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333-215111</w:t>
      </w:r>
    </w:p>
    <w:p>
      <w:pPr>
        <w:spacing w:after="0" w:line="355" w:lineRule="exact"/>
        <w:rPr>
          <w:sz w:val="24"/>
          <w:szCs w:val="24"/>
          <w:color w:val="auto"/>
        </w:rPr>
      </w:pPr>
    </w:p>
    <w:p>
      <w:pPr>
        <w:jc w:val="both"/>
        <w:ind w:right="20"/>
        <w:spacing w:after="0" w:line="314" w:lineRule="auto"/>
        <w:rPr>
          <w:sz w:val="20"/>
          <w:szCs w:val="20"/>
          <w:color w:val="auto"/>
        </w:rPr>
      </w:pPr>
      <w:r>
        <w:rPr>
          <w:rFonts w:ascii="Arial" w:cs="Arial" w:eastAsia="Arial" w:hAnsi="Arial"/>
          <w:sz w:val="16"/>
          <w:szCs w:val="16"/>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FF4338"/>
        </w:rPr>
        <w:t>Subject to Completion, February 13, 2017</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the Prospectus dated 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73660</wp:posOffset>
            </wp:positionV>
            <wp:extent cx="226377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77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5,000,000 Shares</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122" w:lineRule="exact"/>
        <w:rPr>
          <w:sz w:val="24"/>
          <w:szCs w:val="24"/>
          <w:color w:val="auto"/>
        </w:rPr>
      </w:pPr>
    </w:p>
    <w:p>
      <w:pPr>
        <w:ind w:right="180" w:firstLine="342"/>
        <w:spacing w:after="0" w:line="253" w:lineRule="auto"/>
        <w:rPr>
          <w:sz w:val="20"/>
          <w:szCs w:val="20"/>
          <w:color w:val="auto"/>
        </w:rPr>
      </w:pPr>
      <w:r>
        <w:rPr>
          <w:rFonts w:ascii="Arial" w:cs="Arial" w:eastAsia="Arial" w:hAnsi="Arial"/>
          <w:sz w:val="14"/>
          <w:szCs w:val="14"/>
          <w:color w:val="auto"/>
        </w:rPr>
        <w:t>We are offering for sale 5,000,000 shares of our common stock. Our common stock is traded on the NASDAQ Global Select Market under the symbol “PFLT.” The last reported closing sale price for our common stock on February 10, 2017 was $13.99 per share. The net asset value of our common stock on December 31, 2016 was $14.11 per share.</w:t>
      </w:r>
    </w:p>
    <w:p>
      <w:pPr>
        <w:spacing w:after="0" w:line="66" w:lineRule="exact"/>
        <w:rPr>
          <w:sz w:val="24"/>
          <w:szCs w:val="24"/>
          <w:color w:val="auto"/>
        </w:rPr>
      </w:pPr>
    </w:p>
    <w:p>
      <w:pPr>
        <w:ind w:right="620" w:firstLine="342"/>
        <w:spacing w:after="0" w:line="253" w:lineRule="auto"/>
        <w:rPr>
          <w:sz w:val="20"/>
          <w:szCs w:val="20"/>
          <w:color w:val="auto"/>
        </w:rPr>
      </w:pPr>
      <w:r>
        <w:rPr>
          <w:rFonts w:ascii="Arial" w:cs="Arial" w:eastAsia="Arial" w:hAnsi="Arial"/>
          <w:sz w:val="14"/>
          <w:szCs w:val="14"/>
          <w:color w:val="auto"/>
        </w:rPr>
        <w:t>PennantPark Floating Rate Capital Ltd., a Maryland corporation, is a closed-end, externally managed, non-diversified investment company that has elected to be treated as a business development company under the Investment Company Act of 1940, as amended.</w:t>
      </w:r>
    </w:p>
    <w:p>
      <w:pPr>
        <w:spacing w:after="0" w:line="66" w:lineRule="exact"/>
        <w:rPr>
          <w:sz w:val="24"/>
          <w:szCs w:val="24"/>
          <w:color w:val="auto"/>
        </w:rPr>
      </w:pPr>
    </w:p>
    <w:p>
      <w:pPr>
        <w:ind w:right="200" w:firstLine="342"/>
        <w:spacing w:after="0" w:line="234" w:lineRule="auto"/>
        <w:rPr>
          <w:sz w:val="20"/>
          <w:szCs w:val="20"/>
          <w:color w:val="auto"/>
        </w:rPr>
      </w:pPr>
      <w:r>
        <w:rPr>
          <w:rFonts w:ascii="Arial" w:cs="Arial" w:eastAsia="Arial" w:hAnsi="Arial"/>
          <w:sz w:val="14"/>
          <w:szCs w:val="14"/>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74" w:lineRule="exact"/>
        <w:rPr>
          <w:sz w:val="24"/>
          <w:szCs w:val="24"/>
          <w:color w:val="auto"/>
        </w:rPr>
      </w:pPr>
    </w:p>
    <w:p>
      <w:pPr>
        <w:ind w:left="3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96" w:lineRule="exact"/>
        <w:rPr>
          <w:sz w:val="24"/>
          <w:szCs w:val="24"/>
          <w:color w:val="auto"/>
        </w:rPr>
      </w:pPr>
    </w:p>
    <w:p>
      <w:pPr>
        <w:ind w:right="140" w:firstLine="342"/>
        <w:spacing w:after="0" w:line="231" w:lineRule="auto"/>
        <w:rPr>
          <w:sz w:val="20"/>
          <w:szCs w:val="20"/>
          <w:color w:val="auto"/>
        </w:rPr>
      </w:pPr>
      <w:r>
        <w:rPr>
          <w:rFonts w:ascii="Arial" w:cs="Arial" w:eastAsia="Arial" w:hAnsi="Arial"/>
          <w:sz w:val="14"/>
          <w:szCs w:val="14"/>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The information on our website is not incorporated by reference into this prospectus supplement or the accompanying prospectus. The SEC also maintains a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3" w:lineRule="exact"/>
        <w:rPr>
          <w:sz w:val="24"/>
          <w:szCs w:val="24"/>
          <w:color w:val="auto"/>
        </w:rPr>
      </w:pPr>
    </w:p>
    <w:p>
      <w:pPr>
        <w:ind w:right="320" w:firstLine="456"/>
        <w:spacing w:after="0" w:line="347"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leverage. Before buying any shares of our common stock, you should read the discussion of the material risks of investing in us in “</w:t>
      </w:r>
      <w:hyperlink w:anchor="page6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the accompanying prospectus.</w:t>
      </w:r>
    </w:p>
    <w:p>
      <w:pPr>
        <w:spacing w:after="0" w:line="13" w:lineRule="exact"/>
        <w:rPr>
          <w:sz w:val="24"/>
          <w:szCs w:val="24"/>
          <w:color w:val="auto"/>
        </w:rPr>
      </w:pPr>
    </w:p>
    <w:p>
      <w:pPr>
        <w:ind w:right="600" w:firstLine="342"/>
        <w:spacing w:after="0" w:line="298"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1" w:lineRule="exact"/>
        <w:rPr>
          <w:sz w:val="24"/>
          <w:szCs w:val="24"/>
          <w:color w:val="auto"/>
        </w:rPr>
      </w:pPr>
    </w:p>
    <w:tbl>
      <w:tblPr>
        <w:tblLayout w:type="fixed"/>
        <w:tblInd w:w="13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58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6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7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 xml:space="preserve">Underwriting discounts and commissions (sales load) </w:t>
            </w:r>
            <w:r>
              <w:rPr>
                <w:rFonts w:ascii="Arial" w:cs="Arial" w:eastAsia="Arial" w:hAnsi="Arial"/>
                <w:sz w:val="12"/>
                <w:szCs w:val="12"/>
                <w:color w:val="auto"/>
              </w:rPr>
              <w:t>(1)</w:t>
            </w:r>
          </w:p>
        </w:tc>
        <w:tc>
          <w:tcPr>
            <w:tcW w:w="1360" w:type="dxa"/>
            <w:vAlign w:val="bottom"/>
            <w:gridSpan w:val="2"/>
          </w:tcPr>
          <w:p>
            <w:pPr>
              <w:jc w:val="right"/>
              <w:ind w:right="48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9"/>
        </w:trPr>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PennantPark Floating Rate Capital, Ltd. (before estimated expenses of $470,000)</w:t>
            </w:r>
          </w:p>
        </w:tc>
        <w:tc>
          <w:tcPr>
            <w:tcW w:w="1360" w:type="dxa"/>
            <w:vAlign w:val="bottom"/>
            <w:gridSpan w:val="2"/>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6080" w:type="dxa"/>
            <w:vAlign w:val="bottom"/>
            <w:gridSpan w:val="4"/>
          </w:tcPr>
          <w:p>
            <w:pPr>
              <w:ind w:left="80"/>
              <w:spacing w:after="0"/>
              <w:rPr>
                <w:sz w:val="20"/>
                <w:szCs w:val="20"/>
                <w:color w:val="auto"/>
              </w:rPr>
            </w:pPr>
            <w:r>
              <w:rPr>
                <w:rFonts w:ascii="Arial" w:cs="Arial" w:eastAsia="Arial" w:hAnsi="Arial"/>
                <w:sz w:val="14"/>
                <w:szCs w:val="14"/>
                <w:color w:val="auto"/>
                <w:w w:val="96"/>
              </w:rPr>
              <w:t>Our investment adviser, PennantPark Investment Advisers, LLC, has agreed to pay approximately $</w:t>
            </w:r>
          </w:p>
        </w:tc>
        <w:tc>
          <w:tcPr>
            <w:tcW w:w="1180" w:type="dxa"/>
            <w:vAlign w:val="bottom"/>
            <w:gridSpan w:val="3"/>
          </w:tcPr>
          <w:p>
            <w:pPr>
              <w:ind w:left="220"/>
              <w:spacing w:after="0"/>
              <w:rPr>
                <w:sz w:val="20"/>
                <w:szCs w:val="20"/>
                <w:color w:val="auto"/>
              </w:rPr>
            </w:pPr>
            <w:r>
              <w:rPr>
                <w:rFonts w:ascii="Arial" w:cs="Arial" w:eastAsia="Arial" w:hAnsi="Arial"/>
                <w:sz w:val="14"/>
                <w:szCs w:val="14"/>
                <w:color w:val="auto"/>
              </w:rPr>
              <w:t>million, or $</w:t>
            </w:r>
          </w:p>
        </w:tc>
        <w:tc>
          <w:tcPr>
            <w:tcW w:w="2020" w:type="dxa"/>
            <w:vAlign w:val="bottom"/>
          </w:tcPr>
          <w:p>
            <w:pPr>
              <w:ind w:left="240"/>
              <w:spacing w:after="0"/>
              <w:rPr>
                <w:sz w:val="20"/>
                <w:szCs w:val="20"/>
                <w:color w:val="auto"/>
              </w:rPr>
            </w:pPr>
            <w:r>
              <w:rPr>
                <w:rFonts w:ascii="Arial" w:cs="Arial" w:eastAsia="Arial" w:hAnsi="Arial"/>
                <w:sz w:val="14"/>
                <w:szCs w:val="14"/>
                <w:color w:val="auto"/>
                <w:w w:val="96"/>
              </w:rPr>
              <w:t>per share (or approximately $</w:t>
            </w:r>
          </w:p>
        </w:tc>
        <w:tc>
          <w:tcPr>
            <w:tcW w:w="1540" w:type="dxa"/>
            <w:vAlign w:val="bottom"/>
          </w:tcPr>
          <w:p>
            <w:pPr>
              <w:jc w:val="center"/>
              <w:spacing w:after="0"/>
              <w:rPr>
                <w:sz w:val="20"/>
                <w:szCs w:val="20"/>
                <w:color w:val="auto"/>
              </w:rPr>
            </w:pPr>
            <w:r>
              <w:rPr>
                <w:rFonts w:ascii="Arial" w:cs="Arial" w:eastAsia="Arial" w:hAnsi="Arial"/>
                <w:sz w:val="14"/>
                <w:szCs w:val="14"/>
                <w:color w:val="auto"/>
              </w:rPr>
              <w:t>million, or $</w:t>
            </w:r>
          </w:p>
        </w:tc>
        <w:tc>
          <w:tcPr>
            <w:tcW w:w="200" w:type="dxa"/>
            <w:vAlign w:val="bottom"/>
          </w:tcPr>
          <w:p>
            <w:pPr>
              <w:ind w:left="20"/>
              <w:spacing w:after="0"/>
              <w:rPr>
                <w:sz w:val="20"/>
                <w:szCs w:val="20"/>
                <w:color w:val="auto"/>
              </w:rPr>
            </w:pPr>
            <w:r>
              <w:rPr>
                <w:rFonts w:ascii="Arial" w:cs="Arial" w:eastAsia="Arial" w:hAnsi="Arial"/>
                <w:sz w:val="14"/>
                <w:szCs w:val="14"/>
                <w:color w:val="auto"/>
                <w:w w:val="78"/>
              </w:rPr>
              <w:t>per</w:t>
            </w:r>
          </w:p>
        </w:tc>
      </w:tr>
      <w:tr>
        <w:trPr>
          <w:trHeight w:val="149"/>
        </w:trPr>
        <w:tc>
          <w:tcPr>
            <w:tcW w:w="260" w:type="dxa"/>
            <w:vAlign w:val="bottom"/>
          </w:tcPr>
          <w:p>
            <w:pPr>
              <w:spacing w:after="0"/>
              <w:rPr>
                <w:sz w:val="12"/>
                <w:szCs w:val="12"/>
                <w:color w:val="auto"/>
              </w:rPr>
            </w:pPr>
          </w:p>
        </w:tc>
        <w:tc>
          <w:tcPr>
            <w:tcW w:w="11020" w:type="dxa"/>
            <w:vAlign w:val="bottom"/>
            <w:gridSpan w:val="10"/>
          </w:tcPr>
          <w:p>
            <w:pPr>
              <w:ind w:left="80"/>
              <w:spacing w:after="0" w:line="149" w:lineRule="exact"/>
              <w:rPr>
                <w:sz w:val="20"/>
                <w:szCs w:val="20"/>
                <w:color w:val="auto"/>
              </w:rPr>
            </w:pPr>
            <w:r>
              <w:rPr>
                <w:rFonts w:ascii="Arial" w:cs="Arial" w:eastAsia="Arial" w:hAnsi="Arial"/>
                <w:sz w:val="14"/>
                <w:szCs w:val="14"/>
                <w:color w:val="auto"/>
                <w:w w:val="93"/>
              </w:rPr>
              <w:t>share if the option to purchase additional shares is fully exercised) of the underwriting discounts and commissions in connection with this offering, which amount is not reflected in the above</w:t>
            </w:r>
          </w:p>
        </w:tc>
      </w:tr>
      <w:tr>
        <w:trPr>
          <w:trHeight w:val="182"/>
        </w:trPr>
        <w:tc>
          <w:tcPr>
            <w:tcW w:w="260" w:type="dxa"/>
            <w:vAlign w:val="bottom"/>
          </w:tcPr>
          <w:p>
            <w:pPr>
              <w:spacing w:after="0"/>
              <w:rPr>
                <w:sz w:val="15"/>
                <w:szCs w:val="15"/>
                <w:color w:val="auto"/>
              </w:rPr>
            </w:pPr>
          </w:p>
        </w:tc>
        <w:tc>
          <w:tcPr>
            <w:tcW w:w="7260" w:type="dxa"/>
            <w:vAlign w:val="bottom"/>
            <w:gridSpan w:val="7"/>
          </w:tcPr>
          <w:p>
            <w:pPr>
              <w:ind w:left="80"/>
              <w:spacing w:after="0"/>
              <w:rPr>
                <w:sz w:val="20"/>
                <w:szCs w:val="20"/>
                <w:color w:val="auto"/>
              </w:rPr>
            </w:pPr>
            <w:r>
              <w:rPr>
                <w:rFonts w:ascii="Arial" w:cs="Arial" w:eastAsia="Arial" w:hAnsi="Arial"/>
                <w:sz w:val="14"/>
                <w:szCs w:val="14"/>
                <w:color w:val="auto"/>
                <w:w w:val="96"/>
              </w:rPr>
              <w:t>table. All other expenses of the offering, including the sales load not paid by our investment adviser, will be borne by us.</w:t>
            </w: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5"/>
        </w:trPr>
        <w:tc>
          <w:tcPr>
            <w:tcW w:w="260" w:type="dxa"/>
            <w:vAlign w:val="bottom"/>
          </w:tcPr>
          <w:p>
            <w:pPr>
              <w:spacing w:after="0"/>
              <w:rPr>
                <w:sz w:val="18"/>
                <w:szCs w:val="18"/>
                <w:color w:val="auto"/>
              </w:rPr>
            </w:pPr>
          </w:p>
        </w:tc>
        <w:tc>
          <w:tcPr>
            <w:tcW w:w="4260" w:type="dxa"/>
            <w:vAlign w:val="bottom"/>
            <w:gridSpan w:val="2"/>
          </w:tcPr>
          <w:p>
            <w:pPr>
              <w:spacing w:after="0"/>
              <w:rPr>
                <w:sz w:val="18"/>
                <w:szCs w:val="18"/>
                <w:color w:val="auto"/>
              </w:rPr>
            </w:pPr>
          </w:p>
        </w:tc>
        <w:tc>
          <w:tcPr>
            <w:tcW w:w="2380" w:type="dxa"/>
            <w:vAlign w:val="bottom"/>
            <w:tcBorders>
              <w:bottom w:val="single" w:sz="8" w:color="auto"/>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1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r>
      <w:tr>
        <w:trPr>
          <w:trHeight w:val="227"/>
        </w:trPr>
        <w:tc>
          <w:tcPr>
            <w:tcW w:w="260" w:type="dxa"/>
            <w:vAlign w:val="bottom"/>
          </w:tcPr>
          <w:p>
            <w:pPr>
              <w:spacing w:after="0"/>
              <w:rPr>
                <w:sz w:val="19"/>
                <w:szCs w:val="19"/>
                <w:color w:val="auto"/>
              </w:rPr>
            </w:pPr>
          </w:p>
        </w:tc>
        <w:tc>
          <w:tcPr>
            <w:tcW w:w="10820" w:type="dxa"/>
            <w:vAlign w:val="bottom"/>
            <w:gridSpan w:val="9"/>
          </w:tcPr>
          <w:p>
            <w:pPr>
              <w:ind w:left="100"/>
              <w:spacing w:after="0"/>
              <w:rPr>
                <w:sz w:val="20"/>
                <w:szCs w:val="20"/>
                <w:color w:val="auto"/>
              </w:rPr>
            </w:pPr>
            <w:r>
              <w:rPr>
                <w:rFonts w:ascii="Arial" w:cs="Arial" w:eastAsia="Arial" w:hAnsi="Arial"/>
                <w:sz w:val="14"/>
                <w:szCs w:val="14"/>
                <w:b w:val="1"/>
                <w:bCs w:val="1"/>
                <w:color w:val="auto"/>
                <w:w w:val="92"/>
              </w:rPr>
              <w:t>The underwriters may also purchase up to an additional 750,000 shares from us at the public offering price, within 30 days from the date of this prospectus supplement. If the</w:t>
            </w:r>
          </w:p>
        </w:tc>
        <w:tc>
          <w:tcPr>
            <w:tcW w:w="200" w:type="dxa"/>
            <w:vAlign w:val="bottom"/>
          </w:tcPr>
          <w:p>
            <w:pPr>
              <w:spacing w:after="0"/>
              <w:rPr>
                <w:sz w:val="19"/>
                <w:szCs w:val="19"/>
                <w:color w:val="auto"/>
              </w:rPr>
            </w:pPr>
          </w:p>
        </w:tc>
      </w:tr>
      <w:tr>
        <w:trPr>
          <w:trHeight w:val="149"/>
        </w:trPr>
        <w:tc>
          <w:tcPr>
            <w:tcW w:w="5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9"/>
              </w:rPr>
              <w:t>underwriters exercise this option in full, the total public offering price will be $</w:t>
            </w:r>
          </w:p>
        </w:tc>
        <w:tc>
          <w:tcPr>
            <w:tcW w:w="5880" w:type="dxa"/>
            <w:vAlign w:val="bottom"/>
            <w:gridSpan w:val="6"/>
          </w:tcPr>
          <w:p>
            <w:pPr>
              <w:ind w:left="100"/>
              <w:spacing w:after="0" w:line="149" w:lineRule="exact"/>
              <w:rPr>
                <w:sz w:val="20"/>
                <w:szCs w:val="20"/>
                <w:color w:val="auto"/>
              </w:rPr>
            </w:pPr>
            <w:r>
              <w:rPr>
                <w:rFonts w:ascii="Arial" w:cs="Arial" w:eastAsia="Arial" w:hAnsi="Arial"/>
                <w:sz w:val="14"/>
                <w:szCs w:val="14"/>
                <w:b w:val="1"/>
                <w:bCs w:val="1"/>
                <w:color w:val="auto"/>
                <w:w w:val="92"/>
              </w:rPr>
              <w:t>million, the underwriting discount and commissions (sales load) that will be paid by us will be</w:t>
            </w:r>
          </w:p>
        </w:tc>
        <w:tc>
          <w:tcPr>
            <w:tcW w:w="200" w:type="dxa"/>
            <w:vAlign w:val="bottom"/>
          </w:tcPr>
          <w:p>
            <w:pPr>
              <w:spacing w:after="0"/>
              <w:rPr>
                <w:sz w:val="12"/>
                <w:szCs w:val="12"/>
                <w:color w:val="auto"/>
              </w:rPr>
            </w:pPr>
          </w:p>
        </w:tc>
      </w:tr>
      <w:tr>
        <w:trPr>
          <w:trHeight w:val="149"/>
        </w:trPr>
        <w:tc>
          <w:tcPr>
            <w:tcW w:w="2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9280" w:type="dxa"/>
            <w:vAlign w:val="bottom"/>
            <w:gridSpan w:val="8"/>
          </w:tcPr>
          <w:p>
            <w:pPr>
              <w:ind w:left="280"/>
              <w:spacing w:after="0" w:line="149" w:lineRule="exact"/>
              <w:rPr>
                <w:sz w:val="20"/>
                <w:szCs w:val="20"/>
                <w:color w:val="auto"/>
              </w:rPr>
            </w:pPr>
            <w:r>
              <w:rPr>
                <w:rFonts w:ascii="Arial" w:cs="Arial" w:eastAsia="Arial" w:hAnsi="Arial"/>
                <w:sz w:val="14"/>
                <w:szCs w:val="14"/>
                <w:b w:val="1"/>
                <w:bCs w:val="1"/>
                <w:color w:val="auto"/>
                <w:w w:val="96"/>
              </w:rPr>
              <w:t>million and the underwriting discount and commissions (sales load) paid by PennantPark Investment Advisers, LLC will be approximately $</w:t>
            </w:r>
          </w:p>
        </w:tc>
        <w:tc>
          <w:tcPr>
            <w:tcW w:w="15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million and our total</w:t>
            </w:r>
          </w:p>
        </w:tc>
        <w:tc>
          <w:tcPr>
            <w:tcW w:w="200" w:type="dxa"/>
            <w:vAlign w:val="bottom"/>
          </w:tcPr>
          <w:p>
            <w:pPr>
              <w:spacing w:after="0"/>
              <w:rPr>
                <w:sz w:val="12"/>
                <w:szCs w:val="12"/>
                <w:color w:val="auto"/>
              </w:rPr>
            </w:pPr>
          </w:p>
        </w:tc>
      </w:tr>
      <w:tr>
        <w:trPr>
          <w:trHeight w:val="18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w w:val="96"/>
              </w:rPr>
              <w:t>proceeds, before estimated expenses, will be $</w:t>
            </w:r>
          </w:p>
        </w:tc>
        <w:tc>
          <w:tcPr>
            <w:tcW w:w="2180" w:type="dxa"/>
            <w:vAlign w:val="bottom"/>
            <w:gridSpan w:val="2"/>
          </w:tcPr>
          <w:p>
            <w:pPr>
              <w:ind w:left="240"/>
              <w:spacing w:after="0"/>
              <w:rPr>
                <w:sz w:val="20"/>
                <w:szCs w:val="20"/>
                <w:color w:val="auto"/>
              </w:rPr>
            </w:pPr>
            <w:r>
              <w:rPr>
                <w:rFonts w:ascii="Arial" w:cs="Arial" w:eastAsia="Arial" w:hAnsi="Arial"/>
                <w:sz w:val="14"/>
                <w:szCs w:val="14"/>
                <w:b w:val="1"/>
                <w:bCs w:val="1"/>
                <w:color w:val="auto"/>
              </w:rPr>
              <w:t>million.</w:t>
            </w: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7"/>
        </w:trPr>
        <w:tc>
          <w:tcPr>
            <w:tcW w:w="260" w:type="dxa"/>
            <w:vAlign w:val="bottom"/>
          </w:tcPr>
          <w:p>
            <w:pPr>
              <w:spacing w:after="0"/>
              <w:rPr>
                <w:sz w:val="22"/>
                <w:szCs w:val="22"/>
                <w:color w:val="auto"/>
              </w:rPr>
            </w:pPr>
          </w:p>
        </w:tc>
        <w:tc>
          <w:tcPr>
            <w:tcW w:w="4940" w:type="dxa"/>
            <w:vAlign w:val="bottom"/>
            <w:gridSpan w:val="3"/>
          </w:tcPr>
          <w:p>
            <w:pPr>
              <w:ind w:left="100"/>
              <w:spacing w:after="0"/>
              <w:rPr>
                <w:sz w:val="20"/>
                <w:szCs w:val="20"/>
                <w:color w:val="auto"/>
              </w:rPr>
            </w:pPr>
            <w:r>
              <w:rPr>
                <w:rFonts w:ascii="Arial" w:cs="Arial" w:eastAsia="Arial" w:hAnsi="Arial"/>
                <w:sz w:val="14"/>
                <w:szCs w:val="14"/>
                <w:b w:val="1"/>
                <w:bCs w:val="1"/>
                <w:color w:val="auto"/>
                <w:w w:val="96"/>
              </w:rPr>
              <w:t>The underwriters expect to deliver the shares on or about February   , 2017.</w:t>
            </w: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8"/>
        </w:trPr>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0" w:lineRule="exact"/>
        <w:rPr>
          <w:sz w:val="24"/>
          <w:szCs w:val="24"/>
          <w:color w:val="auto"/>
        </w:rPr>
      </w:pPr>
    </w:p>
    <w:p>
      <w:pPr>
        <w:sectPr>
          <w:pgSz w:w="11900" w:h="16838" w:orient="portrait"/>
          <w:cols w:equalWidth="0" w:num="1">
            <w:col w:w="11420"/>
          </w:cols>
          <w:pgMar w:left="240" w:top="230" w:right="239" w:bottom="1440" w:gutter="0" w:footer="0" w:header="0"/>
        </w:sectPr>
      </w:pP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Morgan Stanley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Goldman, Sachs &amp; Co.</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J.P. Morgan</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RBC Capital Markets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SunTrust Robinson Humphrey</w:t>
      </w:r>
    </w:p>
    <w:p>
      <w:pPr>
        <w:spacing w:after="0" w:line="49" w:lineRule="exact"/>
        <w:rPr>
          <w:sz w:val="24"/>
          <w:szCs w:val="24"/>
          <w:color w:val="auto"/>
        </w:rPr>
      </w:pPr>
    </w:p>
    <w:p>
      <w:pPr>
        <w:sectPr>
          <w:pgSz w:w="11900" w:h="16838" w:orient="portrait"/>
          <w:cols w:equalWidth="0" w:num="6">
            <w:col w:w="1120" w:space="560"/>
            <w:col w:w="1580" w:space="420"/>
            <w:col w:w="840" w:space="400"/>
            <w:col w:w="1760" w:space="460"/>
            <w:col w:w="1520" w:space="620"/>
            <w:col w:w="2140"/>
          </w:cols>
          <w:pgMar w:left="240" w:top="230" w:right="239" w:bottom="1440" w:gutter="0" w:footer="0" w:header="0"/>
          <w:type w:val="continuous"/>
        </w:sectPr>
      </w:pPr>
    </w:p>
    <w:p>
      <w:pPr>
        <w:ind w:left="5920"/>
        <w:spacing w:after="0"/>
        <w:rPr>
          <w:sz w:val="20"/>
          <w:szCs w:val="20"/>
          <w:color w:val="auto"/>
        </w:rPr>
      </w:pPr>
      <w:r>
        <w:rPr>
          <w:rFonts w:ascii="Arial" w:cs="Arial" w:eastAsia="Arial" w:hAnsi="Arial"/>
          <w:sz w:val="9"/>
          <w:szCs w:val="9"/>
          <w:i w:val="1"/>
          <w:iCs w:val="1"/>
          <w:color w:val="auto"/>
        </w:rPr>
        <w:t>A Stifel Company</w:t>
      </w:r>
    </w:p>
    <w:p>
      <w:pPr>
        <w:sectPr>
          <w:pgSz w:w="11900" w:h="16838" w:orient="portrait"/>
          <w:cols w:equalWidth="0" w:num="1">
            <w:col w:w="11420"/>
          </w:cols>
          <w:pgMar w:left="240" w:top="230" w:right="239" w:bottom="1440" w:gutter="0" w:footer="0" w:header="0"/>
          <w:type w:val="continuous"/>
        </w:sectPr>
      </w:pPr>
    </w:p>
    <w:p>
      <w:pPr>
        <w:spacing w:after="0" w:line="10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The date of this prospectus supplement is February</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2017.</w:t>
      </w:r>
    </w:p>
    <w:p>
      <w:pPr>
        <w:sectPr>
          <w:pgSz w:w="11900" w:h="16838" w:orient="portrait"/>
          <w:cols w:equalWidth="0" w:num="2">
            <w:col w:w="7000" w:space="180"/>
            <w:col w:w="424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0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w w:val="97"/>
              </w:rPr>
              <w:t>PROSPECTUS SUPPLEMENT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140" w:type="dxa"/>
            <w:vAlign w:val="bottom"/>
            <w:gridSpan w:val="3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SUPPLEMENTAL PROSPECTUS SUMMARY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FEES AND EXPENSES</w:t>
              </w:r>
            </w:hyperlink>
          </w:p>
        </w:tc>
        <w:tc>
          <w:tcPr>
            <w:tcW w:w="1820" w:type="dxa"/>
            <w:vAlign w:val="bottom"/>
            <w:tcBorders>
              <w:top w:val="single" w:sz="8" w:color="0000EE"/>
            </w:tcBorders>
            <w:gridSpan w:val="12"/>
          </w:tcPr>
          <w:p>
            <w:pPr>
              <w:spacing w:after="0"/>
              <w:rPr>
                <w:sz w:val="17"/>
                <w:szCs w:val="17"/>
                <w:color w:val="auto"/>
              </w:rPr>
            </w:pPr>
          </w:p>
        </w:tc>
        <w:tc>
          <w:tcPr>
            <w:tcW w:w="644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FORWARD-LOOKING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1">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10"/>
          </w:tcPr>
          <w:p>
            <w:pPr>
              <w:spacing w:after="0"/>
              <w:rPr>
                <w:sz w:val="17"/>
                <w:szCs w:val="17"/>
                <w:color w:val="auto"/>
              </w:rPr>
            </w:pPr>
          </w:p>
        </w:tc>
        <w:tc>
          <w:tcPr>
            <w:tcW w:w="7020" w:type="dxa"/>
            <w:vAlign w:val="bottom"/>
            <w:gridSpan w:val="1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CAPITALIZATION</w:t>
              </w:r>
            </w:hyperlink>
          </w:p>
        </w:tc>
        <w:tc>
          <w:tcPr>
            <w:tcW w:w="8560" w:type="dxa"/>
            <w:vAlign w:val="bottom"/>
            <w:gridSpan w:val="2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PRICE RANGE OF COMMON STOCK</w:t>
              </w:r>
            </w:hyperlink>
          </w:p>
        </w:tc>
        <w:tc>
          <w:tcPr>
            <w:tcW w:w="694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SELECTED FINANCIAL DATA</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MANAGEMENT’S DISCUSSION AND ANALYSIS OF FINANCIAL CONDITION AND RESULTS OF OPERATIONS</w:t>
              </w:r>
            </w:hyperlink>
          </w:p>
        </w:tc>
        <w:tc>
          <w:tcPr>
            <w:tcW w:w="8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UNDERWRITING</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LEGAL MATTERS</w:t>
              </w:r>
            </w:hyperlink>
          </w:p>
        </w:tc>
        <w:tc>
          <w:tcPr>
            <w:tcW w:w="8580" w:type="dxa"/>
            <w:vAlign w:val="bottom"/>
            <w:gridSpan w:val="2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INDEX TO FINANCIAL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669"/>
        </w:trPr>
        <w:tc>
          <w:tcPr>
            <w:tcW w:w="8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95"/>
              </w:rPr>
              <w:t>PROSPECTUS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200" w:type="dxa"/>
            <w:vAlign w:val="bottom"/>
            <w:gridSpan w:val="13"/>
            <w:vMerge w:val="restart"/>
          </w:tcPr>
          <w:p>
            <w:pPr>
              <w:spacing w:after="0"/>
              <w:rPr>
                <w:rFonts w:ascii="Arial" w:cs="Arial" w:eastAsia="Arial" w:hAnsi="Arial"/>
                <w:sz w:val="18"/>
                <w:szCs w:val="18"/>
                <w:b w:val="1"/>
                <w:bCs w:val="1"/>
                <w:color w:val="0000EE"/>
                <w:w w:val="98"/>
              </w:rPr>
            </w:pPr>
            <w:hyperlink w:anchor="page58">
              <w:r>
                <w:rPr>
                  <w:rFonts w:ascii="Arial" w:cs="Arial" w:eastAsia="Arial" w:hAnsi="Arial"/>
                  <w:sz w:val="18"/>
                  <w:szCs w:val="18"/>
                  <w:b w:val="1"/>
                  <w:bCs w:val="1"/>
                  <w:color w:val="0000EE"/>
                  <w:w w:val="98"/>
                </w:rPr>
                <w:t>PROSPECTUS SUMMARY</w:t>
              </w:r>
            </w:hyperlink>
          </w:p>
        </w:tc>
        <w:tc>
          <w:tcPr>
            <w:tcW w:w="7940" w:type="dxa"/>
            <w:vAlign w:val="bottom"/>
            <w:gridSpan w:val="22"/>
            <w:vMerge w:val="restart"/>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200" w:type="dxa"/>
            <w:vAlign w:val="bottom"/>
            <w:tcBorders>
              <w:bottom w:val="single" w:sz="8" w:color="0000EE"/>
            </w:tcBorders>
            <w:gridSpan w:val="13"/>
            <w:vMerge w:val="continue"/>
          </w:tcPr>
          <w:p>
            <w:pPr>
              <w:spacing w:after="0"/>
              <w:rPr>
                <w:sz w:val="16"/>
                <w:szCs w:val="16"/>
                <w:color w:val="auto"/>
              </w:rPr>
            </w:pPr>
          </w:p>
        </w:tc>
        <w:tc>
          <w:tcPr>
            <w:tcW w:w="7940" w:type="dxa"/>
            <w:vAlign w:val="bottom"/>
            <w:gridSpan w:val="22"/>
            <w:vMerge w:val="continue"/>
          </w:tcPr>
          <w:p>
            <w:pPr>
              <w:spacing w:after="0"/>
              <w:rPr>
                <w:sz w:val="16"/>
                <w:szCs w:val="16"/>
                <w:color w:val="auto"/>
              </w:rPr>
            </w:pPr>
          </w:p>
        </w:tc>
        <w:tc>
          <w:tcPr>
            <w:tcW w:w="11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FEES AND EXPENSES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65">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8280" w:type="dxa"/>
            <w:vAlign w:val="bottom"/>
            <w:gridSpan w:val="2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FORWARD-LOOKING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89">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10"/>
          </w:tcPr>
          <w:p>
            <w:pPr>
              <w:spacing w:after="0"/>
              <w:rPr>
                <w:sz w:val="17"/>
                <w:szCs w:val="17"/>
                <w:color w:val="auto"/>
              </w:rPr>
            </w:pPr>
          </w:p>
        </w:tc>
        <w:tc>
          <w:tcPr>
            <w:tcW w:w="7020" w:type="dxa"/>
            <w:vAlign w:val="bottom"/>
            <w:gridSpan w:val="1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SELECTED FINANCIAL DATA</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9"/>
              </w:rPr>
            </w:pPr>
            <w:hyperlink w:anchor="page92">
              <w:r>
                <w:rPr>
                  <w:rFonts w:ascii="Arial" w:cs="Arial" w:eastAsia="Arial" w:hAnsi="Arial"/>
                  <w:sz w:val="18"/>
                  <w:szCs w:val="18"/>
                  <w:b w:val="1"/>
                  <w:bCs w:val="1"/>
                  <w:color w:val="0000EE"/>
                  <w:w w:val="99"/>
                </w:rPr>
                <w:t>MANAGEMENT’S DISCUSSION AND ANALYSIS OF FINANCIAL CONDITION AND RESULTS OF OPERATIONS</w:t>
              </w:r>
            </w:hyperlink>
          </w:p>
        </w:tc>
        <w:tc>
          <w:tcPr>
            <w:tcW w:w="8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9"/>
              </w:rPr>
            </w:pPr>
            <w:hyperlink w:anchor="page104">
              <w:r>
                <w:rPr>
                  <w:rFonts w:ascii="Arial" w:cs="Arial" w:eastAsia="Arial" w:hAnsi="Arial"/>
                  <w:sz w:val="18"/>
                  <w:szCs w:val="18"/>
                  <w:b w:val="1"/>
                  <w:bCs w:val="1"/>
                  <w:color w:val="0000EE"/>
                  <w:w w:val="99"/>
                </w:rPr>
                <w:t>SENIOR SECURITIES</w:t>
              </w:r>
            </w:hyperlink>
          </w:p>
        </w:tc>
        <w:tc>
          <w:tcPr>
            <w:tcW w:w="8300" w:type="dxa"/>
            <w:vAlign w:val="bottom"/>
            <w:gridSpan w:val="2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PRICE RANGE OF COMMON STOCK</w:t>
              </w:r>
            </w:hyperlink>
          </w:p>
        </w:tc>
        <w:tc>
          <w:tcPr>
            <w:tcW w:w="694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98"/>
              </w:rPr>
            </w:pPr>
            <w:hyperlink w:anchor="page106">
              <w:r>
                <w:rPr>
                  <w:rFonts w:ascii="Arial" w:cs="Arial" w:eastAsia="Arial" w:hAnsi="Arial"/>
                  <w:sz w:val="18"/>
                  <w:szCs w:val="18"/>
                  <w:b w:val="1"/>
                  <w:bCs w:val="1"/>
                  <w:color w:val="0000EE"/>
                  <w:w w:val="98"/>
                </w:rPr>
                <w:t>SALES OF COMMON STOCK BELOW NET ASSET VALUE</w:t>
              </w:r>
            </w:hyperlink>
          </w:p>
        </w:tc>
        <w:tc>
          <w:tcPr>
            <w:tcW w:w="526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DISTRIBUTIONS</w:t>
              </w:r>
            </w:hyperlink>
          </w:p>
        </w:tc>
        <w:tc>
          <w:tcPr>
            <w:tcW w:w="8660" w:type="dxa"/>
            <w:vAlign w:val="bottom"/>
            <w:gridSpan w:val="3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13">
              <w:r>
                <w:rPr>
                  <w:rFonts w:ascii="Arial" w:cs="Arial" w:eastAsia="Arial" w:hAnsi="Arial"/>
                  <w:sz w:val="18"/>
                  <w:szCs w:val="18"/>
                  <w:b w:val="1"/>
                  <w:bCs w:val="1"/>
                  <w:color w:val="0000EE"/>
                  <w:w w:val="93"/>
                </w:rPr>
                <w:t>BUSINESS</w:t>
              </w:r>
            </w:hyperlink>
          </w:p>
        </w:tc>
        <w:tc>
          <w:tcPr>
            <w:tcW w:w="9260" w:type="dxa"/>
            <w:vAlign w:val="bottom"/>
            <w:gridSpan w:val="3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INVESTMENT OBJECTIVES AND POLICIES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PORTFOLIO COMPANIES</w:t>
              </w:r>
            </w:hyperlink>
          </w:p>
        </w:tc>
        <w:tc>
          <w:tcPr>
            <w:tcW w:w="1520" w:type="dxa"/>
            <w:vAlign w:val="bottom"/>
            <w:tcBorders>
              <w:top w:val="single" w:sz="8" w:color="0000EE"/>
            </w:tcBorders>
            <w:gridSpan w:val="10"/>
          </w:tcPr>
          <w:p>
            <w:pPr>
              <w:spacing w:after="0"/>
              <w:rPr>
                <w:sz w:val="17"/>
                <w:szCs w:val="17"/>
                <w:color w:val="auto"/>
              </w:rPr>
            </w:pPr>
          </w:p>
        </w:tc>
        <w:tc>
          <w:tcPr>
            <w:tcW w:w="640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MANAGEMENT</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99"/>
              </w:rPr>
            </w:pPr>
            <w:hyperlink w:anchor="page137">
              <w:r>
                <w:rPr>
                  <w:rFonts w:ascii="Arial" w:cs="Arial" w:eastAsia="Arial" w:hAnsi="Arial"/>
                  <w:sz w:val="18"/>
                  <w:szCs w:val="18"/>
                  <w:b w:val="1"/>
                  <w:bCs w:val="1"/>
                  <w:color w:val="0000EE"/>
                  <w:w w:val="99"/>
                </w:rPr>
                <w:t>CONTROL PERSONS AND PRINCIPAL STOCKHOLDERS</w:t>
              </w:r>
            </w:hyperlink>
          </w:p>
        </w:tc>
        <w:tc>
          <w:tcPr>
            <w:tcW w:w="532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CERTAIN RELATIONSHIPS AND TRANSACTIONS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DETERMINATION OF NET ASSET VALUE</w:t>
              </w:r>
            </w:hyperlink>
          </w:p>
        </w:tc>
        <w:tc>
          <w:tcPr>
            <w:tcW w:w="680" w:type="dxa"/>
            <w:vAlign w:val="bottom"/>
            <w:tcBorders>
              <w:top w:val="single" w:sz="8" w:color="0000EE"/>
            </w:tcBorders>
            <w:gridSpan w:val="6"/>
          </w:tcPr>
          <w:p>
            <w:pPr>
              <w:spacing w:after="0"/>
              <w:rPr>
                <w:sz w:val="17"/>
                <w:szCs w:val="17"/>
                <w:color w:val="auto"/>
              </w:rPr>
            </w:pPr>
          </w:p>
        </w:tc>
        <w:tc>
          <w:tcPr>
            <w:tcW w:w="590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DIVIDEND REINVESTMENT PLAN</w:t>
              </w:r>
            </w:hyperlink>
          </w:p>
        </w:tc>
        <w:tc>
          <w:tcPr>
            <w:tcW w:w="718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rPr>
            </w:pPr>
            <w:hyperlink w:anchor="page148">
              <w:r>
                <w:rPr>
                  <w:rFonts w:ascii="Arial" w:cs="Arial" w:eastAsia="Arial" w:hAnsi="Arial"/>
                  <w:sz w:val="18"/>
                  <w:szCs w:val="18"/>
                  <w:b w:val="1"/>
                  <w:bCs w:val="1"/>
                  <w:color w:val="0000EE"/>
                </w:rPr>
                <w:t>DESCRIPTION OF OUR CAPITAL STOCK</w:t>
              </w:r>
            </w:hyperlink>
          </w:p>
        </w:tc>
        <w:tc>
          <w:tcPr>
            <w:tcW w:w="662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9"/>
              </w:rPr>
            </w:pPr>
            <w:hyperlink w:anchor="page153">
              <w:r>
                <w:rPr>
                  <w:rFonts w:ascii="Arial" w:cs="Arial" w:eastAsia="Arial" w:hAnsi="Arial"/>
                  <w:sz w:val="18"/>
                  <w:szCs w:val="18"/>
                  <w:b w:val="1"/>
                  <w:bCs w:val="1"/>
                  <w:color w:val="0000EE"/>
                  <w:w w:val="99"/>
                </w:rPr>
                <w:t>DESCRIPTION OF OUR PREFERRED STOCK</w:t>
              </w:r>
            </w:hyperlink>
          </w:p>
        </w:tc>
        <w:tc>
          <w:tcPr>
            <w:tcW w:w="632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154">
              <w:r>
                <w:rPr>
                  <w:rFonts w:ascii="Arial" w:cs="Arial" w:eastAsia="Arial" w:hAnsi="Arial"/>
                  <w:sz w:val="18"/>
                  <w:szCs w:val="18"/>
                  <w:b w:val="1"/>
                  <w:bCs w:val="1"/>
                  <w:color w:val="0000EE"/>
                  <w:w w:val="99"/>
                </w:rPr>
                <w:t>DESCRIPTION OF OUR WARRANTS</w:t>
              </w:r>
            </w:hyperlink>
          </w:p>
        </w:tc>
        <w:tc>
          <w:tcPr>
            <w:tcW w:w="7060" w:type="dxa"/>
            <w:vAlign w:val="bottom"/>
            <w:gridSpan w:val="1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9"/>
              </w:rPr>
            </w:pPr>
            <w:hyperlink w:anchor="page155">
              <w:r>
                <w:rPr>
                  <w:rFonts w:ascii="Arial" w:cs="Arial" w:eastAsia="Arial" w:hAnsi="Arial"/>
                  <w:sz w:val="18"/>
                  <w:szCs w:val="18"/>
                  <w:b w:val="1"/>
                  <w:bCs w:val="1"/>
                  <w:color w:val="0000EE"/>
                  <w:w w:val="99"/>
                </w:rPr>
                <w:t>DESCRIPTION OF OUR SUBSCRIPTION RIGHTS</w:t>
              </w:r>
            </w:hyperlink>
          </w:p>
        </w:tc>
        <w:tc>
          <w:tcPr>
            <w:tcW w:w="600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DESCRIPTION OF OUR DEBT SECURITIES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REGULATION</w:t>
              </w:r>
            </w:hyperlink>
          </w:p>
        </w:tc>
        <w:tc>
          <w:tcPr>
            <w:tcW w:w="648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BROKERAGE ALLOCATIONS AND OTHER PRACTICES</w:t>
              </w:r>
            </w:hyperlink>
          </w:p>
        </w:tc>
        <w:tc>
          <w:tcPr>
            <w:tcW w:w="538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MATERIAL U.S. FEDERAL INCOME TAX CONSIDERATIONS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32"/>
          </w:tcPr>
          <w:p>
            <w:pPr>
              <w:spacing w:after="0" w:line="196" w:lineRule="exact"/>
              <w:rPr>
                <w:rFonts w:ascii="Arial" w:cs="Arial" w:eastAsia="Arial" w:hAnsi="Arial"/>
                <w:sz w:val="18"/>
                <w:szCs w:val="18"/>
                <w:b w:val="1"/>
                <w:bCs w:val="1"/>
                <w:color w:val="0000EE"/>
              </w:rPr>
            </w:pPr>
            <w:hyperlink w:anchor="page178">
              <w:r>
                <w:rPr>
                  <w:rFonts w:ascii="Arial" w:cs="Arial" w:eastAsia="Arial" w:hAnsi="Arial"/>
                  <w:sz w:val="18"/>
                  <w:szCs w:val="18"/>
                  <w:b w:val="1"/>
                  <w:bCs w:val="1"/>
                  <w:color w:val="0000EE"/>
                </w:rPr>
                <w:t>PLAN OF DISTRIBUTION</w:t>
              </w:r>
            </w:hyperlink>
          </w:p>
        </w:tc>
        <w:tc>
          <w:tcPr>
            <w:tcW w:w="500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160" w:type="dxa"/>
            <w:vAlign w:val="bottom"/>
            <w:gridSpan w:val="12"/>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79">
              <w:r>
                <w:rPr>
                  <w:rFonts w:ascii="Arial" w:cs="Arial" w:eastAsia="Arial" w:hAnsi="Arial"/>
                  <w:sz w:val="18"/>
                  <w:szCs w:val="18"/>
                  <w:b w:val="1"/>
                  <w:bCs w:val="1"/>
                  <w:color w:val="0000EE"/>
                </w:rPr>
                <w:t>SUB-ADMINISTRATOR, CUSTODIAN, TRANSFER AGENT AND TRUSTEE</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179">
              <w:r>
                <w:rPr>
                  <w:rFonts w:ascii="Arial" w:cs="Arial" w:eastAsia="Arial" w:hAnsi="Arial"/>
                  <w:sz w:val="18"/>
                  <w:szCs w:val="18"/>
                  <w:b w:val="1"/>
                  <w:bCs w:val="1"/>
                  <w:color w:val="0000EE"/>
                </w:rPr>
                <w:t>LEGAL MATTERS</w:t>
              </w:r>
            </w:hyperlink>
          </w:p>
        </w:tc>
        <w:tc>
          <w:tcPr>
            <w:tcW w:w="4640" w:type="dxa"/>
            <w:vAlign w:val="bottom"/>
            <w:tcBorders>
              <w:top w:val="single" w:sz="8" w:color="0000EE"/>
            </w:tcBorders>
            <w:gridSpan w:val="27"/>
          </w:tcPr>
          <w:p>
            <w:pPr>
              <w:spacing w:after="0"/>
              <w:rPr>
                <w:sz w:val="17"/>
                <w:szCs w:val="17"/>
                <w:color w:val="auto"/>
              </w:rPr>
            </w:pPr>
          </w:p>
        </w:tc>
        <w:tc>
          <w:tcPr>
            <w:tcW w:w="39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79">
              <w:r>
                <w:rPr>
                  <w:rFonts w:ascii="Arial" w:cs="Arial" w:eastAsia="Arial" w:hAnsi="Arial"/>
                  <w:sz w:val="18"/>
                  <w:szCs w:val="18"/>
                  <w:b w:val="1"/>
                  <w:bCs w:val="1"/>
                  <w:color w:val="0000EE"/>
                </w:rPr>
                <w:t>INDEPENDENT REGISTERED PUBLIC ACCOUNTING FIRM</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5080" w:type="dxa"/>
            <w:vAlign w:val="bottom"/>
            <w:tcBorders>
              <w:top w:val="single" w:sz="8" w:color="0000EE"/>
            </w:tcBorders>
            <w:gridSpan w:val="31"/>
          </w:tcPr>
          <w:p>
            <w:pPr>
              <w:spacing w:after="0" w:line="196" w:lineRule="exact"/>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INDEX TO FINANCIAL STATEMENTS</w:t>
              </w:r>
            </w:hyperlink>
          </w:p>
        </w:tc>
        <w:tc>
          <w:tcPr>
            <w:tcW w:w="506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supplement and accompanying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 regions.</w:t>
      </w:r>
    </w:p>
    <w:p>
      <w:pPr>
        <w:spacing w:after="0" w:line="18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93"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Liquidity and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$6.0 billion in 430 companies with over 170 different financial sponsors through its managed funds.</w:t>
      </w:r>
    </w:p>
    <w:p>
      <w:pPr>
        <w:spacing w:after="0" w:line="18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hanging="446"/>
        <w:spacing w:after="0" w:line="261"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ind w:left="900" w:right="200" w:hanging="446"/>
        <w:spacing w:after="0" w:line="26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collateralized loan obligation, or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jc w:val="both"/>
        <w:ind w:left="900" w:right="20" w:hanging="446"/>
        <w:spacing w:after="0" w:line="26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participants have reduced lending to middle-market and non-investment grade borrowers. As a result, we believe there is less competition in our market, more conservative capital structures, higher yields and stronger covenants.</w:t>
      </w:r>
    </w:p>
    <w:p>
      <w:pPr>
        <w:spacing w:after="0" w:line="81" w:lineRule="exact"/>
        <w:rPr>
          <w:rFonts w:ascii="Arial" w:cs="Arial" w:eastAsia="Arial" w:hAnsi="Arial"/>
          <w:sz w:val="18"/>
          <w:szCs w:val="18"/>
          <w:color w:val="auto"/>
        </w:rPr>
      </w:pPr>
    </w:p>
    <w:p>
      <w:pPr>
        <w:ind w:left="900" w:right="100" w:hanging="446"/>
        <w:spacing w:after="0" w:line="281"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 companies.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70" w:lineRule="exact"/>
        <w:rPr>
          <w:rFonts w:ascii="Arial" w:cs="Arial" w:eastAsia="Arial" w:hAnsi="Arial"/>
          <w:sz w:val="17"/>
          <w:szCs w:val="17"/>
          <w:color w:val="auto"/>
        </w:rPr>
      </w:pPr>
    </w:p>
    <w:p>
      <w:pPr>
        <w:ind w:left="900" w:right="10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 financings</w:t>
      </w:r>
      <w:r>
        <w:rPr>
          <w:rFonts w:ascii="Arial" w:cs="Arial" w:eastAsia="Arial" w:hAnsi="Arial"/>
          <w:sz w:val="18"/>
          <w:szCs w:val="18"/>
          <w:b w:val="1"/>
          <w:bCs w:val="1"/>
          <w:color w:val="auto"/>
        </w:rPr>
        <w:t xml:space="preserve"> </w:t>
      </w:r>
      <w:r>
        <w:rPr>
          <w:rFonts w:ascii="Arial" w:cs="Arial" w:eastAsia="Arial" w:hAnsi="Arial"/>
          <w:sz w:val="18"/>
          <w:szCs w:val="18"/>
          <w:color w:val="auto"/>
        </w:rPr>
        <w:t>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460" w:right="100" w:firstLine="438"/>
        <w:spacing w:after="0" w:line="302"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46"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solutions to middle-market companies as a result of specialized due diligence, underwriting capabilities and more extensive ongoing monitoring required as lenders.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460" w:right="120" w:firstLine="438"/>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0" w:lineRule="exact"/>
        <w:rPr>
          <w:sz w:val="20"/>
          <w:szCs w:val="20"/>
          <w:color w:val="auto"/>
        </w:rPr>
      </w:pPr>
    </w:p>
    <w:p>
      <w:pPr>
        <w:ind w:left="460" w:right="180" w:firstLine="438"/>
        <w:spacing w:after="0" w:line="302"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 Ability to Source and Evaluate Transactions through our Investment Adviser’s Research Capability and Established Network</w:t>
      </w:r>
    </w:p>
    <w:p>
      <w:pPr>
        <w:spacing w:after="0" w:line="117" w:lineRule="exact"/>
        <w:rPr>
          <w:sz w:val="20"/>
          <w:szCs w:val="20"/>
          <w:color w:val="auto"/>
        </w:rPr>
      </w:pPr>
    </w:p>
    <w:p>
      <w:pPr>
        <w:ind w:left="460" w:right="80" w:firstLine="438"/>
        <w:spacing w:after="0" w:line="25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460" w:right="60" w:firstLine="438"/>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3" w:lineRule="exact"/>
        <w:rPr>
          <w:sz w:val="20"/>
          <w:szCs w:val="20"/>
          <w:color w:val="auto"/>
        </w:rPr>
      </w:pPr>
    </w:p>
    <w:p>
      <w:pPr>
        <w:ind w:left="460" w:right="400" w:firstLine="438"/>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2"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As of December 31, 2016 and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$299.3 million and $232.9 million outstanding as of December 31, 2016 and September 30, 2016,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 2.91% and 5.95%, respectively. As of December 31, 2016 and September 30, 2016, we had $50.7 million and $117.1 million of unused borrowing capacity under our Credit Facility, respectively, subject to the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in this prospectus supplement and in the accompanying prospectus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8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88"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to be treated, and intend to qualify annually to maintain our election to be treated, as a RIC under Subchapter M of the Code. See “Material U.S. Federal Income Tax Considerations” in the accompanying prospectus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We may use the net proceeds from selling securities pursuant to this prospectus supplement to reduce outstanding debt obligations, to invest in new or existing portfolio companies, to capitalize a subsidiary or for other general corporate or strategic purposes. See “Use of Proceeds” in this prospectus supplement for information regarding our outstanding borrowings as of December 31, 2016, the corresponding interest rate charged on such borrowings as of that date and the length of time that it may take us to invest any proceeds in new or existing portfolio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intend to continue making monthly distributions to our stockholders. Our monthly distributions, if any, are ratified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“Distributions” in the accompanying prospectus and “Price Range of Common Stock” in this prospectus supplement for more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in the accompanying prospectus for more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Information contained on our website is not incorporated by reference into this prospectus supplement or the accompanying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material that we file with the SEC on the EDGAR Database.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amounts shown below. Except where the context suggests otherwise, whenever this prospectus supplement and the accompanying prospectus contains a reference to fees or expenses paid by “you” or “us” or that “we” will pay,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9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load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Total stockholder expenses</w:t>
      </w:r>
    </w:p>
    <w:p>
      <w:pPr>
        <w:spacing w:after="0" w:line="27" w:lineRule="exact"/>
        <w:rPr>
          <w:sz w:val="20"/>
          <w:szCs w:val="20"/>
          <w:color w:val="auto"/>
        </w:rPr>
      </w:pPr>
    </w:p>
    <w:p>
      <w:pPr>
        <w:ind w:left="2020" w:right="540" w:hanging="179"/>
        <w:spacing w:after="0" w:line="249" w:lineRule="auto"/>
        <w:rPr>
          <w:sz w:val="20"/>
          <w:szCs w:val="20"/>
          <w:color w:val="auto"/>
        </w:rPr>
      </w:pPr>
      <w:r>
        <w:rPr>
          <w:rFonts w:ascii="Arial" w:cs="Arial" w:eastAsia="Arial" w:hAnsi="Arial"/>
          <w:sz w:val="18"/>
          <w:szCs w:val="18"/>
          <w:b w:val="1"/>
          <w:bCs w:val="1"/>
          <w:color w:val="auto"/>
        </w:rPr>
        <w:t xml:space="preserve">Estimated annual expenses (as a percentage of average net assets attributable to common shares)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-271780</wp:posOffset>
            </wp:positionV>
            <wp:extent cx="49225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20955</wp:posOffset>
            </wp:positionV>
            <wp:extent cx="266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36" w:lineRule="exact"/>
        <w:rPr>
          <w:sz w:val="20"/>
          <w:szCs w:val="20"/>
          <w:color w:val="auto"/>
        </w:rPr>
      </w:pPr>
    </w:p>
    <w:p>
      <w:pPr>
        <w:sectPr>
          <w:pgSz w:w="11900" w:h="16838" w:orient="portrait"/>
          <w:cols w:equalWidth="0" w:num="2">
            <w:col w:w="8500" w:space="720"/>
            <w:col w:w="2180"/>
          </w:cols>
          <w:pgMar w:left="240" w:top="459" w:right="259" w:bottom="1440" w:gutter="0" w:footer="0" w:header="0"/>
          <w:type w:val="continuous"/>
        </w:sectPr>
      </w:pPr>
    </w:p>
    <w:tbl>
      <w:tblPr>
        <w:tblLayout w:type="fixed"/>
        <w:tblInd w:w="184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0.94%</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spacing w:after="0"/>
        <w:tabs>
          <w:tab w:leader="none" w:pos="320" w:val="left"/>
          <w:tab w:leader="none" w:pos="4200" w:val="left"/>
          <w:tab w:leader="none" w:pos="5380" w:val="left"/>
          <w:tab w:leader="none" w:pos="7560" w:val="left"/>
          <w:tab w:leader="none" w:pos="8740" w:val="left"/>
        </w:tabs>
        <w:rPr>
          <w:sz w:val="20"/>
          <w:szCs w:val="20"/>
          <w:color w:val="auto"/>
        </w:rPr>
      </w:pPr>
      <w:r>
        <w:rPr>
          <w:rFonts w:ascii="Arial" w:cs="Arial" w:eastAsia="Arial" w:hAnsi="Arial"/>
          <w:sz w:val="14"/>
          <w:szCs w:val="14"/>
          <w:color w:val="auto"/>
        </w:rPr>
        <w:t>(1)</w:t>
        <w:tab/>
        <w:t>Our Investment Adviser has agreed to pay approximately $</w:t>
      </w:r>
      <w:r>
        <w:rPr>
          <w:sz w:val="20"/>
          <w:szCs w:val="20"/>
          <w:color w:val="auto"/>
        </w:rPr>
        <w:tab/>
      </w:r>
      <w:r>
        <w:rPr>
          <w:rFonts w:ascii="Arial" w:cs="Arial" w:eastAsia="Arial" w:hAnsi="Arial"/>
          <w:sz w:val="14"/>
          <w:szCs w:val="14"/>
          <w:color w:val="auto"/>
        </w:rPr>
        <w:t>million, or $</w:t>
      </w:r>
      <w:r>
        <w:rPr>
          <w:sz w:val="20"/>
          <w:szCs w:val="20"/>
          <w:color w:val="auto"/>
        </w:rPr>
        <w:tab/>
      </w:r>
      <w:r>
        <w:rPr>
          <w:rFonts w:ascii="Arial" w:cs="Arial" w:eastAsia="Arial" w:hAnsi="Arial"/>
          <w:sz w:val="14"/>
          <w:szCs w:val="14"/>
          <w:color w:val="auto"/>
        </w:rPr>
        <w:t>per share (or approximately $</w:t>
      </w:r>
      <w:r>
        <w:rPr>
          <w:sz w:val="20"/>
          <w:szCs w:val="20"/>
          <w:color w:val="auto"/>
        </w:rPr>
        <w:tab/>
      </w:r>
      <w:r>
        <w:rPr>
          <w:rFonts w:ascii="Arial" w:cs="Arial" w:eastAsia="Arial" w:hAnsi="Arial"/>
          <w:sz w:val="14"/>
          <w:szCs w:val="14"/>
          <w:color w:val="auto"/>
        </w:rPr>
        <w:t>million, or $</w:t>
      </w:r>
      <w:r>
        <w:rPr>
          <w:sz w:val="20"/>
          <w:szCs w:val="20"/>
          <w:color w:val="auto"/>
        </w:rPr>
        <w:tab/>
      </w:r>
      <w:r>
        <w:rPr>
          <w:rFonts w:ascii="Arial" w:cs="Arial" w:eastAsia="Arial" w:hAnsi="Arial"/>
          <w:sz w:val="12"/>
          <w:szCs w:val="12"/>
          <w:color w:val="auto"/>
        </w:rPr>
        <w:t>per share if the option to purchase additional</w:t>
      </w:r>
    </w:p>
    <w:p>
      <w:pPr>
        <w:ind w:left="340"/>
        <w:spacing w:after="0"/>
        <w:tabs>
          <w:tab w:leader="none" w:pos="8260" w:val="left"/>
        </w:tabs>
        <w:rPr>
          <w:sz w:val="20"/>
          <w:szCs w:val="20"/>
          <w:color w:val="auto"/>
        </w:rPr>
      </w:pPr>
      <w:r>
        <w:rPr>
          <w:rFonts w:ascii="Arial" w:cs="Arial" w:eastAsia="Arial" w:hAnsi="Arial"/>
          <w:sz w:val="14"/>
          <w:szCs w:val="14"/>
          <w:color w:val="auto"/>
        </w:rPr>
        <w:t>shares is fully exercised) of the underwriting discounts and commissions in connection with this offering, which is a one-time fee of</w:t>
      </w:r>
      <w:r>
        <w:rPr>
          <w:sz w:val="20"/>
          <w:szCs w:val="20"/>
          <w:color w:val="auto"/>
        </w:rPr>
        <w:tab/>
      </w:r>
      <w:r>
        <w:rPr>
          <w:rFonts w:ascii="Arial" w:cs="Arial" w:eastAsia="Arial" w:hAnsi="Arial"/>
          <w:sz w:val="13"/>
          <w:szCs w:val="13"/>
          <w:color w:val="auto"/>
        </w:rPr>
        <w:t>% of the offering price, and is not reflected in the</w:t>
      </w:r>
    </w:p>
    <w:p>
      <w:pPr>
        <w:ind w:left="340"/>
        <w:spacing w:after="0" w:line="221" w:lineRule="auto"/>
        <w:rPr>
          <w:sz w:val="20"/>
          <w:szCs w:val="20"/>
          <w:color w:val="auto"/>
        </w:rPr>
      </w:pPr>
      <w:r>
        <w:rPr>
          <w:rFonts w:ascii="Arial" w:cs="Arial" w:eastAsia="Arial" w:hAnsi="Arial"/>
          <w:sz w:val="14"/>
          <w:szCs w:val="14"/>
          <w:color w:val="auto"/>
        </w:rPr>
        <w:t>table above since it will be determined at pricing. We are not obligated to repay the sales load paid by our Investment Adviser.</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offering expenses of this offering are estimated to be approximately $470,000.</w:t>
      </w:r>
    </w:p>
    <w:p>
      <w:pPr>
        <w:ind w:left="340" w:right="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December 31, 2016, plus net proceeds anticipated from this offering but excluding the underwriters’ option to purchase additional shares.</w:t>
      </w:r>
    </w:p>
    <w:p>
      <w:pPr>
        <w:ind w:left="340" w:right="58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in the accompanying prospectus for more information.</w:t>
      </w:r>
    </w:p>
    <w:p>
      <w:pPr>
        <w:ind w:left="340" w:right="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portion of incentive fees paid with respect to net investment income and capital gain, if any, is based on actual amounts incurred during the three months ended December 31, 2016,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years, if any, may be substantially different than the fee earned during the three months ended December 31, 2016. See “Certain Relationships and Transactions—Investment Management Agreement” in the accompanying prospectus for more information.</w:t>
      </w:r>
    </w:p>
    <w:p>
      <w:pPr>
        <w:spacing w:after="0" w:line="2" w:lineRule="exact"/>
        <w:rPr>
          <w:rFonts w:ascii="Arial" w:cs="Arial" w:eastAsia="Arial" w:hAnsi="Arial"/>
          <w:sz w:val="14"/>
          <w:szCs w:val="14"/>
          <w:color w:val="auto"/>
        </w:rPr>
      </w:pPr>
    </w:p>
    <w:p>
      <w:pPr>
        <w:ind w:left="340" w:right="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of December 31, 2016, we had $50.7 million unused borrowing capacity, subject to maintenance of the applicable total assets to debt ratio, under the 1940 Act, and $299.3 million in borrowings outstanding under our $350 million Credit Facility.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1" w:lineRule="exact"/>
        <w:rPr>
          <w:rFonts w:ascii="Arial" w:cs="Arial" w:eastAsia="Arial" w:hAnsi="Arial"/>
          <w:sz w:val="14"/>
          <w:szCs w:val="14"/>
          <w:color w:val="auto"/>
        </w:rPr>
      </w:pPr>
    </w:p>
    <w:p>
      <w:pPr>
        <w:ind w:left="340" w:right="8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the expenses of the Investment Adviser reimbursable under our Investment Management Agreement and of the Administrator reimbursable under our Administration Agreement. Such expenses are based on actual other expenses for the three months ended December 31, 2016 annualized for a full year. See the Consolidated Statement of Operations in our Consolidated Financial Statements in this prospectus supplement and in the accompanying prospectus for more information.</w:t>
      </w:r>
    </w:p>
    <w:p>
      <w:pPr>
        <w:spacing w:after="0" w:line="1" w:lineRule="exact"/>
        <w:rPr>
          <w:rFonts w:ascii="Arial" w:cs="Arial" w:eastAsia="Arial" w:hAnsi="Arial"/>
          <w:sz w:val="14"/>
          <w:szCs w:val="14"/>
          <w:color w:val="auto"/>
        </w:rPr>
      </w:pPr>
    </w:p>
    <w:p>
      <w:pPr>
        <w:ind w:left="340" w:hanging="332"/>
        <w:spacing w:after="0" w:line="22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estimated annual expenses” as a percentage of average net assets attributable to common shares, to the extent we borrow money to make investments, will be higher than the total annual expenses percentage for a company that is not leveraged. We may borrow money to leverage our net assets and increase our total assets. The SEC requires that the “total estimated annual expenses” percentage be calculated as a percentage of net assets (defined as total assets less liabilities) rather than total assets, which include assets that have been funded with borrowed money.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w:t>
      </w:r>
    </w:p>
    <w:p>
      <w:pPr>
        <w:spacing w:after="0" w:line="46"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common shares, assuming (1) a</w:t>
      </w:r>
      <w:r>
        <w:rPr>
          <w:sz w:val="20"/>
          <w:szCs w:val="20"/>
          <w:color w:val="auto"/>
        </w:rPr>
        <w:tab/>
      </w:r>
      <w:r>
        <w:rPr>
          <w:rFonts w:ascii="Arial" w:cs="Arial" w:eastAsia="Arial" w:hAnsi="Arial"/>
          <w:sz w:val="16"/>
          <w:szCs w:val="16"/>
          <w:color w:val="auto"/>
        </w:rPr>
        <w:t>% sales load (underwriting discounts and commissions) (see note 1 above) and included offering expenses totaling</w:t>
      </w:r>
    </w:p>
    <w:p>
      <w:pPr>
        <w:spacing w:after="0" w:line="9" w:lineRule="exact"/>
        <w:rPr>
          <w:sz w:val="20"/>
          <w:szCs w:val="20"/>
          <w:color w:val="auto"/>
        </w:rPr>
      </w:pPr>
    </w:p>
    <w:p>
      <w:pPr>
        <w:ind w:right="520" w:firstLine="360"/>
        <w:spacing w:after="0" w:line="261" w:lineRule="auto"/>
        <w:rPr>
          <w:sz w:val="20"/>
          <w:szCs w:val="20"/>
          <w:color w:val="auto"/>
        </w:rPr>
      </w:pPr>
      <w:r>
        <w:rPr>
          <w:rFonts w:ascii="Arial" w:cs="Arial" w:eastAsia="Arial" w:hAnsi="Arial"/>
          <w:sz w:val="18"/>
          <w:szCs w:val="18"/>
          <w:color w:val="auto"/>
        </w:rPr>
        <w:t>%, (2) total net estimated annual expenses of % of average net assets attributable to common shares as set forth in the table above (other than performance-based incentive fees) and (3) a 5% annual return: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4"/>
              </w:rPr>
              <w:t>3 Years</w:t>
            </w:r>
          </w:p>
        </w:tc>
        <w:tc>
          <w:tcPr>
            <w:tcW w:w="540" w:type="dxa"/>
            <w:vAlign w:val="bottom"/>
          </w:tcPr>
          <w:p>
            <w:pPr>
              <w:spacing w:after="0"/>
              <w:rPr>
                <w:sz w:val="20"/>
                <w:szCs w:val="20"/>
                <w:color w:val="auto"/>
              </w:rPr>
            </w:pPr>
            <w:r>
              <w:rPr>
                <w:rFonts w:ascii="Arial" w:cs="Arial" w:eastAsia="Arial" w:hAnsi="Arial"/>
                <w:sz w:val="14"/>
                <w:szCs w:val="14"/>
                <w:b w:val="1"/>
                <w:bCs w:val="1"/>
                <w:color w:val="auto"/>
              </w:rPr>
              <w:t>5 Years</w:t>
            </w:r>
          </w:p>
        </w:tc>
        <w:tc>
          <w:tcPr>
            <w:tcW w:w="38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4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18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capital gains or net</w:t>
            </w: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8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02"/>
        </w:trPr>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w w:val="93"/>
              </w:rPr>
              <w:t>Assuming a 5% annual return (assumes return from only realized capital gains and thus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8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in the accompanying prospectus for more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This prospectus supplement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77"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the accompanying prospectus under “Risk Factors” and elsewhere in this prospectus supplement and the accompanying prospectus.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reports on Form 10-K/Q and current reports on Form 8-K.</w:t>
      </w:r>
    </w:p>
    <w:p>
      <w:pPr>
        <w:spacing w:after="0" w:line="1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9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534"/>
        </w:trPr>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Arial" w:cs="Arial" w:eastAsia="Arial" w:hAnsi="Arial"/>
                <w:sz w:val="18"/>
                <w:szCs w:val="18"/>
                <w:b w:val="1"/>
                <w:bCs w:val="1"/>
                <w:color w:val="auto"/>
              </w:rPr>
              <w:t>USE OF PROCEEDS</w:t>
            </w:r>
          </w:p>
        </w:tc>
        <w:tc>
          <w:tcPr>
            <w:tcW w:w="12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11040" w:type="dxa"/>
            <w:vAlign w:val="bottom"/>
            <w:gridSpan w:val="6"/>
          </w:tcPr>
          <w:p>
            <w:pPr>
              <w:ind w:left="180"/>
              <w:spacing w:after="0"/>
              <w:rPr>
                <w:sz w:val="20"/>
                <w:szCs w:val="20"/>
                <w:color w:val="auto"/>
              </w:rPr>
            </w:pPr>
            <w:r>
              <w:rPr>
                <w:rFonts w:ascii="Arial" w:cs="Arial" w:eastAsia="Arial" w:hAnsi="Arial"/>
                <w:sz w:val="18"/>
                <w:szCs w:val="18"/>
                <w:color w:val="auto"/>
                <w:w w:val="98"/>
              </w:rPr>
              <w:t>We estimate that net proceeds we will receive from the sale of 5,000,000 shares of our common stock in this offering will be approximately</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400"/>
              <w:spacing w:after="0"/>
              <w:rPr>
                <w:sz w:val="20"/>
                <w:szCs w:val="20"/>
                <w:color w:val="auto"/>
              </w:rPr>
            </w:pPr>
            <w:r>
              <w:rPr>
                <w:rFonts w:ascii="Arial" w:cs="Arial" w:eastAsia="Arial" w:hAnsi="Arial"/>
                <w:sz w:val="18"/>
                <w:szCs w:val="18"/>
                <w:color w:val="auto"/>
              </w:rPr>
              <w:t>million (or approximately $</w:t>
            </w:r>
          </w:p>
        </w:tc>
        <w:tc>
          <w:tcPr>
            <w:tcW w:w="8340" w:type="dxa"/>
            <w:vAlign w:val="bottom"/>
            <w:gridSpan w:val="4"/>
          </w:tcPr>
          <w:p>
            <w:pPr>
              <w:ind w:left="280"/>
              <w:spacing w:after="0"/>
              <w:rPr>
                <w:sz w:val="20"/>
                <w:szCs w:val="20"/>
                <w:color w:val="auto"/>
              </w:rPr>
            </w:pPr>
            <w:r>
              <w:rPr>
                <w:rFonts w:ascii="Arial" w:cs="Arial" w:eastAsia="Arial" w:hAnsi="Arial"/>
                <w:sz w:val="18"/>
                <w:szCs w:val="18"/>
                <w:color w:val="auto"/>
                <w:w w:val="99"/>
              </w:rPr>
              <w:t>million if the underwriters fully exercise their option to purchase additional shares), after deducting the</w:t>
            </w: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w w:val="96"/>
              </w:rPr>
              <w:t>underwriting discounts and commissions of approximately $</w:t>
            </w:r>
          </w:p>
        </w:tc>
        <w:tc>
          <w:tcPr>
            <w:tcW w:w="2620" w:type="dxa"/>
            <w:vAlign w:val="bottom"/>
          </w:tcPr>
          <w:p>
            <w:pPr>
              <w:ind w:left="340"/>
              <w:spacing w:after="0"/>
              <w:rPr>
                <w:sz w:val="20"/>
                <w:szCs w:val="20"/>
                <w:color w:val="auto"/>
              </w:rPr>
            </w:pPr>
            <w:r>
              <w:rPr>
                <w:rFonts w:ascii="Arial" w:cs="Arial" w:eastAsia="Arial" w:hAnsi="Arial"/>
                <w:sz w:val="18"/>
                <w:szCs w:val="18"/>
                <w:color w:val="auto"/>
              </w:rPr>
              <w:t>million (or approximately $</w:t>
            </w:r>
          </w:p>
        </w:tc>
        <w:tc>
          <w:tcPr>
            <w:tcW w:w="4080" w:type="dxa"/>
            <w:vAlign w:val="bottom"/>
            <w:gridSpan w:val="2"/>
          </w:tcPr>
          <w:p>
            <w:pPr>
              <w:ind w:left="300"/>
              <w:spacing w:after="0"/>
              <w:rPr>
                <w:sz w:val="20"/>
                <w:szCs w:val="20"/>
                <w:color w:val="auto"/>
              </w:rPr>
            </w:pPr>
            <w:r>
              <w:rPr>
                <w:rFonts w:ascii="Arial" w:cs="Arial" w:eastAsia="Arial" w:hAnsi="Arial"/>
                <w:sz w:val="18"/>
                <w:szCs w:val="18"/>
                <w:color w:val="auto"/>
                <w:w w:val="93"/>
              </w:rPr>
              <w:t>million if the underwriters fully exercise their option</w:t>
            </w:r>
          </w:p>
        </w:tc>
      </w:tr>
      <w:tr>
        <w:trPr>
          <w:trHeight w:val="216"/>
        </w:trPr>
        <w:tc>
          <w:tcPr>
            <w:tcW w:w="11320" w:type="dxa"/>
            <w:vAlign w:val="bottom"/>
            <w:gridSpan w:val="7"/>
          </w:tcPr>
          <w:p>
            <w:pPr>
              <w:spacing w:after="0"/>
              <w:rPr>
                <w:sz w:val="20"/>
                <w:szCs w:val="20"/>
                <w:color w:val="auto"/>
              </w:rPr>
            </w:pPr>
            <w:r>
              <w:rPr>
                <w:rFonts w:ascii="Arial" w:cs="Arial" w:eastAsia="Arial" w:hAnsi="Arial"/>
                <w:sz w:val="18"/>
                <w:szCs w:val="18"/>
                <w:color w:val="auto"/>
                <w:w w:val="94"/>
              </w:rPr>
              <w:t>to purchase additional shares) and estimated offering expenses of approximately $470,000 payable by us. The Investment Adviser has agreed to bear</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180" w:type="dxa"/>
            <w:vAlign w:val="bottom"/>
            <w:gridSpan w:val="5"/>
          </w:tcPr>
          <w:p>
            <w:pPr>
              <w:ind w:left="400"/>
              <w:spacing w:after="0"/>
              <w:rPr>
                <w:sz w:val="20"/>
                <w:szCs w:val="20"/>
                <w:color w:val="auto"/>
              </w:rPr>
            </w:pPr>
            <w:r>
              <w:rPr>
                <w:rFonts w:ascii="Arial" w:cs="Arial" w:eastAsia="Arial" w:hAnsi="Arial"/>
                <w:sz w:val="18"/>
                <w:szCs w:val="18"/>
                <w:color w:val="auto"/>
                <w:w w:val="96"/>
              </w:rPr>
              <w:t>million of underwriting discounts and commissions in connection with this offering (or approximately $</w:t>
            </w:r>
          </w:p>
        </w:tc>
        <w:tc>
          <w:tcPr>
            <w:tcW w:w="2860" w:type="dxa"/>
            <w:vAlign w:val="bottom"/>
          </w:tcPr>
          <w:p>
            <w:pPr>
              <w:ind w:left="300"/>
              <w:spacing w:after="0"/>
              <w:rPr>
                <w:sz w:val="20"/>
                <w:szCs w:val="20"/>
                <w:color w:val="auto"/>
              </w:rPr>
            </w:pPr>
            <w:r>
              <w:rPr>
                <w:rFonts w:ascii="Arial" w:cs="Arial" w:eastAsia="Arial" w:hAnsi="Arial"/>
                <w:sz w:val="18"/>
                <w:szCs w:val="18"/>
                <w:color w:val="auto"/>
              </w:rPr>
              <w:t>million if the underwriters fully</w:t>
            </w:r>
          </w:p>
        </w:tc>
      </w:tr>
    </w:tbl>
    <w:p>
      <w:pPr>
        <w:ind w:right="2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their option to purchase additional shares), which will be determined at pricing. The amount of net proceeds may be more or less than the amount described in this prospectus supplement, which will be determined at pricing.</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Facility, to invest in new or existing portfolio companies, to capitalize a subsidiary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of December 31, 2016, we had $50.7 million of unused borrowing capacity, subject to maintenance of the applicable total assets to debt ratio, as set forth in the 1940 Act, and $299.3 million in borrowings outstanding under our $350 million Credit Facility. Borrowings under our Credit Facility bear interest at an annual rate equal to LIBOR plus 200 basis points per annum during the revolving period, and the rate resets to LIBOR plus 425 points per annum for the remaining two years. At December 31, 2016, the interest rate on the Credit Facility was 2.74%, excluding the undrawn commitment fee of 0.375%. The Credit Facility is a revolving facility maturing in August 2020 and is secured by all of the assets of Funding I. Amounts repaid under our Credit Facility remain available for future borrowings during the revolving period. See “Management’s Discussion and Analysis of Financial Condition and Results of Operations” in this prospectus supplement and the accompanying prospectus for more information.</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46"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capitalization on December 31, 2016 (1) on an actual basis and (2) on an as-adjusted basis to reflect the</w:t>
      </w:r>
    </w:p>
    <w:p>
      <w:pPr>
        <w:spacing w:after="0" w:line="46" w:lineRule="exact"/>
        <w:rPr>
          <w:sz w:val="20"/>
          <w:szCs w:val="20"/>
          <w:color w:val="auto"/>
        </w:rPr>
      </w:pPr>
    </w:p>
    <w:p>
      <w:pPr>
        <w:spacing w:after="0"/>
        <w:tabs>
          <w:tab w:leader="none" w:pos="7440" w:val="left"/>
        </w:tabs>
        <w:rPr>
          <w:sz w:val="20"/>
          <w:szCs w:val="20"/>
          <w:color w:val="auto"/>
        </w:rPr>
      </w:pPr>
      <w:r>
        <w:rPr>
          <w:rFonts w:ascii="Arial" w:cs="Arial" w:eastAsia="Arial" w:hAnsi="Arial"/>
          <w:sz w:val="18"/>
          <w:szCs w:val="18"/>
          <w:color w:val="auto"/>
        </w:rPr>
        <w:t>effects of the sale of 5,000,000 shares of common stock in this offering at an offering price of $</w:t>
      </w:r>
      <w:r>
        <w:rPr>
          <w:sz w:val="20"/>
          <w:szCs w:val="20"/>
          <w:color w:val="auto"/>
        </w:rPr>
        <w:tab/>
      </w:r>
      <w:r>
        <w:rPr>
          <w:rFonts w:ascii="Arial" w:cs="Arial" w:eastAsia="Arial" w:hAnsi="Arial"/>
          <w:sz w:val="16"/>
          <w:szCs w:val="16"/>
          <w:color w:val="auto"/>
        </w:rPr>
        <w:t>per share, and estimated offering expenses of</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$470,000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 of December 31,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Actual</w:t>
            </w:r>
          </w:p>
        </w:tc>
        <w:tc>
          <w:tcPr>
            <w:tcW w:w="126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w w:val="98"/>
              </w:rPr>
              <w:t>As-adjusted for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the offering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24,203,565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696,607,247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(cost—$299,309,500)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299,859,712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26,730,074 and 31,730,074 shares, as-adjusted, are issued</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respectively. Par value is $0.001 per share and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100,000,000 shares are authorized.</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371,194,366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(827,387)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3,530,897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(550,212)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377,137,666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capitalization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676,997,378</w:t>
            </w:r>
          </w:p>
        </w:tc>
        <w:tc>
          <w:tcPr>
            <w:tcW w:w="34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include the underwriters’ option to purchase additional shares in connection with this offering and any shares issued pursuant to our dividend reinvestment plan.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Our common stock is traded on the NASDAQ Global Select Market under the symbol “PFLT.” The following table lists the high and low closing sale price for our common stock, the closing sale prices as a premium or (discount) to our NAV per share and distributions per quarter per share since October 1, 2014. On February 10, 2017, the last reported closing sale price of our common stock was $13.99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Closing Sales Price</w:t>
            </w: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Premium / (Discount)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Premium / (Discount)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Distributions</w:t>
            </w:r>
          </w:p>
        </w:tc>
        <w:tc>
          <w:tcPr>
            <w:tcW w:w="0" w:type="dxa"/>
            <w:vAlign w:val="bottom"/>
          </w:tcPr>
          <w:p>
            <w:pPr>
              <w:spacing w:after="0"/>
              <w:rPr>
                <w:sz w:val="1"/>
                <w:szCs w:val="1"/>
                <w:color w:val="auto"/>
              </w:rPr>
            </w:pPr>
          </w:p>
        </w:tc>
      </w:tr>
      <w:tr>
        <w:trPr>
          <w:trHeight w:val="15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18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of High Sales</w:t>
            </w:r>
          </w:p>
        </w:tc>
        <w:tc>
          <w:tcPr>
            <w:tcW w:w="16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of Low Sales</w:t>
            </w: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2"/>
                <w:szCs w:val="12"/>
                <w:color w:val="auto"/>
              </w:rPr>
            </w:pPr>
          </w:p>
        </w:tc>
        <w:tc>
          <w:tcPr>
            <w:tcW w:w="18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6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60" w:type="dxa"/>
            <w:vAlign w:val="bottom"/>
          </w:tcPr>
          <w:p>
            <w:pPr>
              <w:spacing w:after="0"/>
              <w:rPr>
                <w:sz w:val="12"/>
                <w:szCs w:val="12"/>
                <w:color w:val="auto"/>
              </w:rPr>
            </w:pPr>
          </w:p>
        </w:tc>
        <w:tc>
          <w:tcPr>
            <w:tcW w:w="10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8"/>
              </w:rPr>
              <w:t>Fiscal</w:t>
            </w:r>
          </w:p>
        </w:tc>
        <w:tc>
          <w:tcPr>
            <w:tcW w:w="376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Year Ending September 30, 2017</w:t>
            </w: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 (through February 10, 2017)</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 N/A</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$14.17</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$13.99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   0.1900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14.17</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12.44</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13.26</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12.54</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13.75</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12.51</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11.58</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11.70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10.09</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13.73</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12.42</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10.79</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13.95</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14.30</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11.35</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14.33</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14.48</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13.88</w:t>
            </w:r>
          </w:p>
        </w:tc>
        <w:tc>
          <w:tcPr>
            <w:tcW w:w="1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14.30</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14.16</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13.25</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14.23</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12.98</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 distribution of $0.0950 per share payable on March 1, 2017 to stockholders of record on February 17, 2017. Investors in this offering will be entitled to this distribution.</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$14.11 and $13.23 on December 31, 2016 and September 30, 2016, respectively. Our NAV per share was $14.11 and $14.06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and unaudited Consolidated Financial Statements. These selected financial data should be read in conjunction with our Consolidated Financial Statements and related notes thereto and “Management’s Discussion and Analysis of Financial Condition and Results of Operations” in both this prospectus supplement and the accompanying prospectus.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(audited)</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Ended December 31,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Years Ended September 30,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020" w:type="dxa"/>
            <w:vAlign w:val="bottom"/>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$ 12,631</w:t>
            </w:r>
          </w:p>
        </w:tc>
        <w:tc>
          <w:tcPr>
            <w:tcW w:w="800" w:type="dxa"/>
            <w:vAlign w:val="bottom"/>
          </w:tcPr>
          <w:p>
            <w:pPr>
              <w:jc w:val="right"/>
              <w:spacing w:after="0"/>
              <w:rPr>
                <w:sz w:val="20"/>
                <w:szCs w:val="20"/>
                <w:color w:val="auto"/>
              </w:rPr>
            </w:pPr>
            <w:r>
              <w:rPr>
                <w:rFonts w:ascii="Arial" w:cs="Arial" w:eastAsia="Arial" w:hAnsi="Arial"/>
                <w:sz w:val="18"/>
                <w:szCs w:val="18"/>
                <w:color w:val="auto"/>
              </w:rPr>
              <w:t>$  8,756</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$ 46,301</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$ 30,355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$ 30,357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$ 18,867</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$ 12,099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5,809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18,965</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12,695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13,721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6,822</w:t>
            </w:r>
          </w:p>
        </w:tc>
        <w:tc>
          <w:tcPr>
            <w:tcW w:w="800" w:type="dxa"/>
            <w:vAlign w:val="bottom"/>
          </w:tcPr>
          <w:p>
            <w:pPr>
              <w:jc w:val="right"/>
              <w:spacing w:after="0"/>
              <w:rPr>
                <w:sz w:val="20"/>
                <w:szCs w:val="20"/>
                <w:color w:val="auto"/>
              </w:rPr>
            </w:pPr>
            <w:r>
              <w:rPr>
                <w:rFonts w:ascii="Arial" w:cs="Arial" w:eastAsia="Arial" w:hAnsi="Arial"/>
                <w:sz w:val="18"/>
                <w:szCs w:val="18"/>
                <w:color w:val="auto"/>
              </w:rPr>
              <w:t>5,086</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27,336</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17,660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16,636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10,523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2,027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(3,339)</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6,153</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w w:val="97"/>
              </w:rPr>
              <w:t>Net increase in net assets resulting from operations</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8,849</w:t>
            </w:r>
          </w:p>
        </w:tc>
        <w:tc>
          <w:tcPr>
            <w:tcW w:w="800" w:type="dxa"/>
            <w:vAlign w:val="bottom"/>
          </w:tcPr>
          <w:p>
            <w:pPr>
              <w:jc w:val="right"/>
              <w:spacing w:after="0"/>
              <w:rPr>
                <w:sz w:val="20"/>
                <w:szCs w:val="20"/>
                <w:color w:val="auto"/>
              </w:rPr>
            </w:pPr>
            <w:r>
              <w:rPr>
                <w:rFonts w:ascii="Arial" w:cs="Arial" w:eastAsia="Arial" w:hAnsi="Arial"/>
                <w:sz w:val="18"/>
                <w:szCs w:val="18"/>
                <w:color w:val="auto"/>
              </w:rPr>
              <w:t>1,747</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33,489</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12,504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20,514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11,985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asset value</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14.11</w:t>
            </w:r>
          </w:p>
        </w:tc>
        <w:tc>
          <w:tcPr>
            <w:tcW w:w="800" w:type="dxa"/>
            <w:vAlign w:val="bottom"/>
          </w:tcPr>
          <w:p>
            <w:pPr>
              <w:jc w:val="right"/>
              <w:spacing w:after="0"/>
              <w:rPr>
                <w:sz w:val="20"/>
                <w:szCs w:val="20"/>
                <w:color w:val="auto"/>
              </w:rPr>
            </w:pPr>
            <w:r>
              <w:rPr>
                <w:rFonts w:ascii="Arial" w:cs="Arial" w:eastAsia="Arial" w:hAnsi="Arial"/>
                <w:sz w:val="18"/>
                <w:szCs w:val="18"/>
                <w:color w:val="auto"/>
              </w:rPr>
              <w:t>13.73</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14.06</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13.95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14.40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14.10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0.26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0.19</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5"/>
                <w:szCs w:val="15"/>
                <w:color w:val="auto"/>
              </w:rPr>
              <w:t>(1)</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0.07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0.23</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(0.31)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2"/>
              </w:rPr>
              <w:t xml:space="preserve">Net increase in net assets resulting from operations </w:t>
            </w:r>
            <w:r>
              <w:rPr>
                <w:rFonts w:ascii="Arial" w:cs="Arial" w:eastAsia="Arial" w:hAnsi="Arial"/>
                <w:sz w:val="15"/>
                <w:szCs w:val="15"/>
                <w:color w:val="auto"/>
                <w:w w:val="92"/>
              </w:rPr>
              <w:t>(1)</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0.33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0.77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Distributions declared </w:t>
            </w:r>
            <w:r>
              <w:rPr>
                <w:rFonts w:ascii="Arial" w:cs="Arial" w:eastAsia="Arial" w:hAnsi="Arial"/>
                <w:sz w:val="15"/>
                <w:szCs w:val="15"/>
                <w:color w:val="auto"/>
              </w:rPr>
              <w:t>(1),(2)</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0.28</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1.14</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Consolidated Statements of Assets and Liabilities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696,607</w:t>
            </w:r>
          </w:p>
        </w:tc>
        <w:tc>
          <w:tcPr>
            <w:tcW w:w="800" w:type="dxa"/>
            <w:vAlign w:val="bottom"/>
          </w:tcPr>
          <w:p>
            <w:pPr>
              <w:jc w:val="right"/>
              <w:spacing w:after="0"/>
              <w:rPr>
                <w:sz w:val="20"/>
                <w:szCs w:val="20"/>
                <w:color w:val="auto"/>
              </w:rPr>
            </w:pPr>
            <w:r>
              <w:rPr>
                <w:rFonts w:ascii="Arial" w:cs="Arial" w:eastAsia="Arial" w:hAnsi="Arial"/>
                <w:sz w:val="18"/>
                <w:szCs w:val="18"/>
                <w:color w:val="auto"/>
              </w:rPr>
              <w:t>477,856</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631,420</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416,120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372,874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328,802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178,367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656,869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460,066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598,888</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391,312</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348,428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317,804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171,834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Credit Facility payable </w:t>
            </w:r>
            <w:r>
              <w:rPr>
                <w:rFonts w:ascii="Arial" w:cs="Arial" w:eastAsia="Arial" w:hAnsi="Arial"/>
                <w:sz w:val="15"/>
                <w:szCs w:val="15"/>
                <w:color w:val="auto"/>
              </w:rPr>
              <w:t>(3)</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299,860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95,698</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232,389</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29,600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146,949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99,600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75,123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377,138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367,019</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375,907</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372,890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214,528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210,066</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95,744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(4)</w:t>
            </w: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8.90%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Number of portfolio companies </w:t>
            </w:r>
            <w:r>
              <w:rPr>
                <w:rFonts w:ascii="Arial" w:cs="Arial" w:eastAsia="Arial" w:hAnsi="Arial"/>
                <w:sz w:val="15"/>
                <w:szCs w:val="15"/>
                <w:color w:val="auto"/>
              </w:rPr>
              <w:t>(5)</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98</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w:t>
            </w:r>
            <w:r>
              <w:rPr>
                <w:rFonts w:ascii="Arial" w:cs="Arial" w:eastAsia="Arial" w:hAnsi="Arial"/>
                <w:sz w:val="15"/>
                <w:szCs w:val="15"/>
                <w:color w:val="auto"/>
              </w:rPr>
              <w:t>(5)</w:t>
            </w: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annualized for periods of less than a year. Based on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Q1</w:t>
            </w:r>
          </w:p>
        </w:tc>
        <w:tc>
          <w:tcPr>
            <w:tcW w:w="8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$12,631</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6,822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8,849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392"/>
        </w:trPr>
        <w:tc>
          <w:tcPr>
            <w:tcW w:w="6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11,346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7,265</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5,086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(4,829)</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(3,339)</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15,887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13,419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2,436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13.54</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13.73</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r>
      <w:tr>
        <w:trPr>
          <w:trHeight w:val="365"/>
        </w:trPr>
        <w:tc>
          <w:tcPr>
            <w:tcW w:w="6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(5,030)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4,727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6,124</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14.33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14.30</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r>
      <w:tr>
        <w:trPr>
          <w:trHeight w:val="365"/>
        </w:trPr>
        <w:tc>
          <w:tcPr>
            <w:tcW w:w="6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5,320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4,363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3,725</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4,942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7,237</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6,057</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14.46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Based on weighted average shares outstanding for the respective periods.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debt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7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market discount or premium are capitalized and accreted or amortized using the effective interest method as interest income or, in the case of deferred financing costs, as interest expense. We record prepayment penalties on loans and debt securities as income. Dividend income, if any, is recognized on an accrual basis on the ex-dividend date to the extent that we expect to collect such amounts.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local taxes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and applicable federal and state securities laws; and</w:t>
      </w:r>
    </w:p>
    <w:p>
      <w:pPr>
        <w:spacing w:after="0" w:line="142"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2016, our portfolio totaled $656.9 million and consisted of $600.1 million of senior secured debt, $36.9 million of second lien secured debt and $19.9 million of subordinated debt, preferred and common equity. Our debt portfolio consisted of 98% variable-rate investments (including 95% with a floor) and 2% fixed-rate investments. As of December 31, 2016, we had no companies on non-accrual. Overall, the portfolio had net unrealized appreciation of $3.5 million. Our overall portfolio consisted of 98 companies with an average investment size of $6.7 million, had a weighted average yield on debt investments of 7.9%, and was invested 91% in senior secured debt, 6% in second lien secured debt and 3% in subordinated debt, preferred and common equity.</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For the three months ended December 31, 2016, we invested $124.8 million in 12 new and 13 existing portfolio companies with a weighted average yield on debt investments of 7.6%. Sales and repayments of investments for the three months ended December 31, 2016 totaled $70.4 million.</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the three months ended December 31, 2015, we invested $99.2 million in ten new and five existing portfolio companies with a weighted average yield on debt investments of 8.4%. Sales and repayments of investments for the three months ended December 31, 2015 totaled $26.9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supplement.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2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940" w:right="220" w:hanging="1025"/>
        <w:spacing w:after="0" w:line="277" w:lineRule="auto"/>
        <w:tabs>
          <w:tab w:leader="none" w:pos="1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76" w:lineRule="exact"/>
        <w:rPr>
          <w:sz w:val="20"/>
          <w:szCs w:val="20"/>
          <w:color w:val="auto"/>
        </w:rPr>
      </w:pPr>
    </w:p>
    <w:p>
      <w:pPr>
        <w:ind w:left="1940" w:right="20" w:hanging="1025"/>
        <w:spacing w:after="0" w:line="264" w:lineRule="auto"/>
        <w:tabs>
          <w:tab w:leader="none" w:pos="1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7" w:lineRule="exact"/>
        <w:rPr>
          <w:sz w:val="20"/>
          <w:szCs w:val="20"/>
          <w:color w:val="auto"/>
        </w:rPr>
      </w:pPr>
    </w:p>
    <w:p>
      <w:pPr>
        <w:ind w:left="1940" w:right="40" w:hanging="1025"/>
        <w:spacing w:after="0" w:line="277" w:lineRule="auto"/>
        <w:tabs>
          <w:tab w:leader="none" w:pos="1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months ended December 31, 2016 and 2015.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2016 and 2015, our Credit Facility had a net change in unrealized (appreciation) depreciation of $(1.1) million and $0.6 million, respectively. As of December 31, 2016 and September 30, 2016, the net unrealized (appreciation) depreciation on our Credit Facility totaled $(0.6)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100" w:hanging="179"/>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liabilities—at the exchange rates prevailing at the end of the applicable period; and</w:t>
      </w:r>
    </w:p>
    <w:p>
      <w:pPr>
        <w:spacing w:after="0" w:line="128" w:lineRule="exact"/>
        <w:rPr>
          <w:rFonts w:ascii="Arial" w:cs="Arial" w:eastAsia="Arial" w:hAnsi="Arial"/>
          <w:sz w:val="17"/>
          <w:szCs w:val="17"/>
          <w:color w:val="auto"/>
        </w:rPr>
      </w:pPr>
    </w:p>
    <w:p>
      <w:pPr>
        <w:ind w:left="1100" w:hanging="179"/>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Purchases and sales of investment securities, income and expenses—at the exchange rates prevailing on the respective dates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2016 and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Investment income for the three months ended December 31, 2016 was $12.6 million and was attributable to $11.2 million from senior secured debt and $1.4 million from second lien secured debt and subordinated debt, respectively. Investment income for the three months ended December 31, 2015 was $8.8 million and was attributable to $7.3 million from senior secured debt and $1.5 million from second lien secured debt and subordinated debt, respectively. The increase in investment income compared to the same period in the prior year was primarily due to the growth of our portfolio.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Expenses for the three months ended December 31, 2016 totaled $5.8 million. Base management fee for the same period totaled $1.6 million, incentive fee totaled $1.5 million (including $0.6 million on unrealized gains accrued but not payable), Credit Facility expenses totaled $1.8 million and general and administrative expenses totaled $0.9 million. Expenses for the three months ended December 31, 2015 totaled $3.7 million. Base management fee for the same period totaled $1.1 million, incentive fee totaled zero, Credit Facility expenses totaled $1.8 million (including $0.9 million of Credit Facility amendment expenses) and general and administrative expenses totaled $0.8 million. The increase in expenses compared with the same period in the prior year was primarily due to increases in base management and incentive fees as a result of the growth of our portfolio.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investment income totaled $6.8 million, or $0.26 per share, for the three months ended December 31, 2016, and $5.1 million, or $0.19 per share, for the three months ended December 31, 2015. The increase in net investment income compared to the same period in the prior year was primarily due to the growth of our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Sales and repayments of investments for the three months ended December 31, 2016 totaled $70.4 million and realized gains totaled $0.5 million. Sales and repayments of investments totaled $26.9 million and realized losses totaled $3.2 million for the three months ended December 31, 2015. The change in realized gains/losses was primarily due to changes in the market conditions of our investments and the values at which they were realized.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For the three months ended December 31, 2016 and 2015, we reported net unrealized appreciation (depreciation) on investments of $2.5 million and $(0.7) million, respectively. As of December 31, 2016 and September 30, 2016, our net unrealized appreciation on investments totaled $3.5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54"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For the three months ended December 31, 2016 and 2015, we reported net unrealized (appreciation) depreciation on our Credit Facility of $(1.1) million and $0.6 million, respectively. The change compared to the same period in the prior year was primarily due to changes in the capital markets.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Net change in net assets resulting from operations totaled $8.8 million, or $0.33 per share, for the three months ended December 31, 2016. This compares to a net change in net assets resulting from operations of $1.7 million, or $0.07 per share, for the three months ended December 31, 2015. The increase in the net change in net assets from operations compared to the same period in the prior year reflects the change in portfolio investment valuation during the reporting period and the change in net realized losses during the current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Funding I’s multi-currency Credit Facility with the Lenders was $350.0 million as of December 31, 2016,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2016 and September 30, 2016, Funding I had $299.3 million and $232.9 million of outstanding borrowings under the Credit Facility,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w:t>
      </w:r>
    </w:p>
    <w:p>
      <w:pPr>
        <w:spacing w:after="0" w:line="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2.91% and 5.95%, respectively. As of December 31, 2016 and September 30, 2016, we had $50.7 million and $117.1 million of unused borrowing capacity under our Credit Facility, respectively, subject to the regulatory restrictions.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2016, we were in compliance with the covenants relating to our Credit Facility.</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7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At December 31, 2016 and September 30, 2016, we had cash equivalents of $24.2 million and $28.9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operating activities used cash of $63.5 million for the three months ended December 31, 2016, and our financing activities provided cash of $58.8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operating activities used cash of $66.5 million for the three months ended December 31, 2015, and our financing activities provided cash of $59.1 million for the same period. Our operating activities used cash primarily for our investment activities and our financing activities provided cash primarily from net borrowings under the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at cost as of December 31, 2016, including borrowings under our Credit Facility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Payments due by period (millions)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2"/>
              </w:rPr>
              <w:t>Less than</w:t>
            </w: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240" w:type="dxa"/>
            <w:vAlign w:val="bottom"/>
          </w:tcPr>
          <w:p>
            <w:pPr>
              <w:spacing w:after="0"/>
              <w:rPr>
                <w:sz w:val="10"/>
                <w:szCs w:val="10"/>
                <w:color w:val="auto"/>
              </w:rPr>
            </w:pPr>
          </w:p>
        </w:tc>
        <w:tc>
          <w:tcPr>
            <w:tcW w:w="720" w:type="dxa"/>
            <w:vAlign w:val="bottom"/>
            <w:gridSpan w:val="2"/>
          </w:tcPr>
          <w:p>
            <w:pPr>
              <w:jc w:val="right"/>
              <w:ind w:right="59"/>
              <w:spacing w:after="0" w:line="119" w:lineRule="exact"/>
              <w:rPr>
                <w:sz w:val="20"/>
                <w:szCs w:val="20"/>
                <w:color w:val="auto"/>
              </w:rPr>
            </w:pPr>
            <w:r>
              <w:rPr>
                <w:rFonts w:ascii="Arial" w:cs="Arial" w:eastAsia="Arial" w:hAnsi="Arial"/>
                <w:sz w:val="13"/>
                <w:szCs w:val="13"/>
                <w:b w:val="1"/>
                <w:bCs w:val="1"/>
                <w:color w:val="auto"/>
              </w:rPr>
              <w:t>3-5</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(1)</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$ 3.9</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Unfunded investments are disclosed in the Consolidated Schedule of Investments and Note 10 of our Consolidated Financial Statements.</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other than our funding requirements for the unfunded investments described above.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During the three months ended December 31, 2016 and 2015, we declared distributions of $0.285 and $0.285 per share, respectively, for total distributions of $7.6 million and $7.6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73"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ratified by the board of directors quarterly.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December 31, 2016, our debt portfolio consisted of 98% variable-rate investments (including 95% with a floor) and 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gridSpan w:val="3"/>
          </w:tcPr>
          <w:p>
            <w:pPr>
              <w:ind w:left="760"/>
              <w:spacing w:after="0"/>
              <w:rPr>
                <w:sz w:val="20"/>
                <w:szCs w:val="20"/>
                <w:color w:val="auto"/>
              </w:rPr>
            </w:pPr>
            <w:r>
              <w:rPr>
                <w:rFonts w:ascii="Arial" w:cs="Arial" w:eastAsia="Arial" w:hAnsi="Arial"/>
                <w:sz w:val="14"/>
                <w:szCs w:val="14"/>
                <w:color w:val="auto"/>
                <w:w w:val="92"/>
              </w:rPr>
              <w:t>Change In Interest Income,</w:t>
            </w:r>
          </w:p>
        </w:tc>
        <w:tc>
          <w:tcPr>
            <w:tcW w:w="2660" w:type="dxa"/>
            <w:vAlign w:val="bottom"/>
            <w:gridSpan w:val="4"/>
          </w:tcPr>
          <w:p>
            <w:pPr>
              <w:ind w:left="1000"/>
              <w:spacing w:after="0"/>
              <w:rPr>
                <w:sz w:val="20"/>
                <w:szCs w:val="20"/>
                <w:color w:val="auto"/>
              </w:rPr>
            </w:pPr>
            <w:r>
              <w:rPr>
                <w:rFonts w:ascii="Arial" w:cs="Arial" w:eastAsia="Arial" w:hAnsi="Arial"/>
                <w:sz w:val="14"/>
                <w:szCs w:val="14"/>
                <w:color w:val="auto"/>
                <w:w w:val="97"/>
              </w:rPr>
              <w:t>Change In Interest Income,</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jc w:val="center"/>
              <w:ind w:right="180"/>
              <w:spacing w:after="0"/>
              <w:rPr>
                <w:sz w:val="20"/>
                <w:szCs w:val="20"/>
                <w:color w:val="auto"/>
              </w:rPr>
            </w:pPr>
            <w:r>
              <w:rPr>
                <w:rFonts w:ascii="Arial" w:cs="Arial" w:eastAsia="Arial" w:hAnsi="Arial"/>
                <w:sz w:val="14"/>
                <w:szCs w:val="14"/>
                <w:color w:val="auto"/>
                <w:w w:val="91"/>
              </w:rPr>
              <w:t>Change In Interest Rates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2"/>
              </w:rPr>
              <w:t>Net Of Interest Expense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Net Of Interest Expense</w:t>
            </w:r>
          </w:p>
        </w:tc>
        <w:tc>
          <w:tcPr>
            <w:tcW w:w="0" w:type="dxa"/>
            <w:vAlign w:val="bottom"/>
          </w:tcPr>
          <w:p>
            <w:pPr>
              <w:spacing w:after="0"/>
              <w:rPr>
                <w:sz w:val="1"/>
                <w:szCs w:val="1"/>
                <w:color w:val="auto"/>
              </w:rPr>
            </w:pPr>
          </w:p>
        </w:tc>
      </w:tr>
      <w:tr>
        <w:trPr>
          <w:trHeight w:val="167"/>
        </w:trPr>
        <w:tc>
          <w:tcPr>
            <w:tcW w:w="276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right"/>
              <w:ind w:right="288"/>
              <w:spacing w:after="0"/>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Per Share</w:t>
            </w:r>
          </w:p>
        </w:tc>
        <w:tc>
          <w:tcPr>
            <w:tcW w:w="0" w:type="dxa"/>
            <w:vAlign w:val="bottom"/>
          </w:tcPr>
          <w:p>
            <w:pPr>
              <w:spacing w:after="0"/>
              <w:rPr>
                <w:sz w:val="1"/>
                <w:szCs w:val="1"/>
                <w:color w:val="auto"/>
              </w:rPr>
            </w:pPr>
          </w:p>
        </w:tc>
      </w:tr>
      <w:tr>
        <w:trPr>
          <w:trHeight w:val="142"/>
        </w:trPr>
        <w:tc>
          <w:tcPr>
            <w:tcW w:w="5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7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1,435</w:t>
            </w:r>
          </w:p>
        </w:tc>
        <w:tc>
          <w:tcPr>
            <w:tcW w:w="10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1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Up 2%</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4,916</w:t>
            </w:r>
          </w:p>
        </w:tc>
        <w:tc>
          <w:tcPr>
            <w:tcW w:w="1080" w:type="dxa"/>
            <w:vAlign w:val="bottom"/>
            <w:gridSpan w:val="2"/>
          </w:tcPr>
          <w:p>
            <w:pPr>
              <w:ind w:left="100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740"/>
              <w:spacing w:after="0" w:line="149" w:lineRule="exact"/>
              <w:rPr>
                <w:sz w:val="20"/>
                <w:szCs w:val="20"/>
                <w:color w:val="auto"/>
              </w:rPr>
            </w:pPr>
            <w:r>
              <w:rPr>
                <w:rFonts w:ascii="Arial" w:cs="Arial" w:eastAsia="Arial" w:hAnsi="Arial"/>
                <w:sz w:val="14"/>
                <w:szCs w:val="14"/>
                <w:color w:val="auto"/>
                <w:w w:val="95"/>
              </w:rPr>
              <w:t>Up 3%</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8,397</w:t>
            </w:r>
          </w:p>
        </w:tc>
        <w:tc>
          <w:tcPr>
            <w:tcW w:w="108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color w:val="auto"/>
                <w:w w:val="95"/>
              </w:rPr>
              <w:t>Up 4%</w:t>
            </w:r>
          </w:p>
        </w:tc>
        <w:tc>
          <w:tcPr>
            <w:tcW w:w="840" w:type="dxa"/>
            <w:vAlign w:val="bottom"/>
            <w:gridSpan w:val="2"/>
          </w:tcPr>
          <w:p>
            <w:pPr>
              <w:ind w:left="76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11,878</w:t>
            </w: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prospectus supplement, we did not engage in interest rate hedging activities.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Goldman, Sachs &amp; Co., J.P. Morgan Securities LLC, Keefe, Bruyette &amp; Woods, Inc., RBC Capital Markets, LLC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6880" w:type="dxa"/>
            <w:vAlign w:val="bottom"/>
            <w:gridSpan w:val="3"/>
            <w:vMerge w:val="continue"/>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Morgan Stanley</w:t>
            </w: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&amp; Co. LLC</w:t>
            </w: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have advised us that they propose initially to offer the shares to the public at the public offering price on the cover page of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prospectus supplement and to certain other Financial Industry Regulatory Authority (FINRA) members at that price less a concession not in excess of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 share. After the public offering, the public offering price, concession and discount may be changed. No such change shall change the amount of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received by us as set forth on the cover page of this prospectus supplement.</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750,000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1"/>
              </w:rPr>
              <w:t>Per Share</w:t>
            </w:r>
          </w:p>
        </w:tc>
        <w:tc>
          <w:tcPr>
            <w:tcW w:w="6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2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c>
          <w:tcPr>
            <w:tcW w:w="6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 xml:space="preserve">Underwriting discounts and commissions (sales load) </w:t>
            </w:r>
            <w:r>
              <w:rPr>
                <w:rFonts w:ascii="Arial" w:cs="Arial" w:eastAsia="Arial" w:hAnsi="Arial"/>
                <w:sz w:val="15"/>
                <w:szCs w:val="15"/>
                <w:color w:val="auto"/>
              </w:rPr>
              <w:t>(1)</w:t>
            </w:r>
          </w:p>
        </w:tc>
        <w:tc>
          <w:tcPr>
            <w:tcW w:w="114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2"/>
        </w:trPr>
        <w:tc>
          <w:tcPr>
            <w:tcW w:w="920" w:type="dxa"/>
            <w:vAlign w:val="bottom"/>
          </w:tcPr>
          <w:p>
            <w:pPr>
              <w:spacing w:after="0"/>
              <w:rPr>
                <w:sz w:val="17"/>
                <w:szCs w:val="17"/>
                <w:color w:val="auto"/>
              </w:rPr>
            </w:pPr>
          </w:p>
        </w:tc>
        <w:tc>
          <w:tcPr>
            <w:tcW w:w="5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Proceeds to PennantPark Floating Rate Capital Ltd. (before offering</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 of $470,000)</w:t>
            </w:r>
          </w:p>
        </w:tc>
        <w:tc>
          <w:tcPr>
            <w:tcW w:w="1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tcPr>
          <w:p>
            <w:pPr>
              <w:spacing w:after="0"/>
              <w:rPr>
                <w:sz w:val="20"/>
                <w:szCs w:val="20"/>
                <w:color w:val="auto"/>
              </w:rPr>
            </w:pP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4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4"/>
          </w:tcPr>
          <w:p>
            <w:pPr>
              <w:spacing w:after="0"/>
              <w:rPr>
                <w:sz w:val="11"/>
                <w:szCs w:val="11"/>
                <w:color w:val="auto"/>
              </w:rPr>
            </w:pPr>
          </w:p>
        </w:tc>
        <w:tc>
          <w:tcPr>
            <w:tcW w:w="1140" w:type="dxa"/>
            <w:vAlign w:val="bottom"/>
            <w:gridSpan w:val="3"/>
          </w:tcPr>
          <w:p>
            <w:pPr>
              <w:spacing w:after="0"/>
              <w:rPr>
                <w:sz w:val="11"/>
                <w:szCs w:val="11"/>
                <w:color w:val="auto"/>
              </w:rPr>
            </w:pPr>
          </w:p>
        </w:tc>
        <w:tc>
          <w:tcPr>
            <w:tcW w:w="600" w:type="dxa"/>
            <w:vAlign w:val="bottom"/>
          </w:tcPr>
          <w:p>
            <w:pPr>
              <w:spacing w:after="0"/>
              <w:rPr>
                <w:sz w:val="11"/>
                <w:szCs w:val="11"/>
                <w:color w:val="auto"/>
              </w:rPr>
            </w:pPr>
          </w:p>
        </w:tc>
      </w:tr>
      <w:tr>
        <w:trPr>
          <w:trHeight w:val="250"/>
        </w:trPr>
        <w:tc>
          <w:tcPr>
            <w:tcW w:w="5600" w:type="dxa"/>
            <w:vAlign w:val="bottom"/>
            <w:gridSpan w:val="3"/>
          </w:tcPr>
          <w:p>
            <w:pPr>
              <w:spacing w:after="0"/>
              <w:rPr>
                <w:sz w:val="20"/>
                <w:szCs w:val="20"/>
                <w:color w:val="auto"/>
              </w:rPr>
            </w:pPr>
            <w:r>
              <w:rPr>
                <w:rFonts w:ascii="Arial" w:cs="Arial" w:eastAsia="Arial" w:hAnsi="Arial"/>
                <w:sz w:val="18"/>
                <w:szCs w:val="18"/>
                <w:color w:val="auto"/>
                <w:w w:val="94"/>
              </w:rPr>
              <w:t>(1)   PennantPark Investment Advisers has agreed to pay approximately $</w:t>
            </w:r>
          </w:p>
        </w:tc>
        <w:tc>
          <w:tcPr>
            <w:tcW w:w="11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80" w:type="dxa"/>
            <w:vAlign w:val="bottom"/>
          </w:tcPr>
          <w:p>
            <w:pPr>
              <w:spacing w:after="0"/>
              <w:rPr>
                <w:sz w:val="21"/>
                <w:szCs w:val="21"/>
                <w:color w:val="auto"/>
              </w:rPr>
            </w:pPr>
          </w:p>
        </w:tc>
        <w:tc>
          <w:tcPr>
            <w:tcW w:w="2540" w:type="dxa"/>
            <w:vAlign w:val="bottom"/>
            <w:gridSpan w:val="4"/>
          </w:tcPr>
          <w:p>
            <w:pPr>
              <w:ind w:left="200"/>
              <w:spacing w:after="0"/>
              <w:rPr>
                <w:sz w:val="20"/>
                <w:szCs w:val="20"/>
                <w:color w:val="auto"/>
              </w:rPr>
            </w:pPr>
            <w:r>
              <w:rPr>
                <w:rFonts w:ascii="Arial" w:cs="Arial" w:eastAsia="Arial" w:hAnsi="Arial"/>
                <w:sz w:val="18"/>
                <w:szCs w:val="18"/>
                <w:color w:val="auto"/>
                <w:w w:val="98"/>
              </w:rPr>
              <w:t>per share (or approximately $</w:t>
            </w: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w w:val="99"/>
              </w:rPr>
              <w:t>million, or $</w:t>
            </w:r>
          </w:p>
        </w:tc>
        <w:tc>
          <w:tcPr>
            <w:tcW w:w="600" w:type="dxa"/>
            <w:vAlign w:val="bottom"/>
          </w:tcPr>
          <w:p>
            <w:pPr>
              <w:ind w:left="360"/>
              <w:spacing w:after="0"/>
              <w:rPr>
                <w:sz w:val="20"/>
                <w:szCs w:val="20"/>
                <w:color w:val="auto"/>
              </w:rPr>
            </w:pPr>
            <w:r>
              <w:rPr>
                <w:rFonts w:ascii="Arial" w:cs="Arial" w:eastAsia="Arial" w:hAnsi="Arial"/>
                <w:sz w:val="18"/>
                <w:szCs w:val="18"/>
                <w:color w:val="auto"/>
                <w:w w:val="84"/>
              </w:rPr>
              <w:t>per</w:t>
            </w:r>
          </w:p>
        </w:tc>
      </w:tr>
    </w:tbl>
    <w:p>
      <w:pPr>
        <w:ind w:left="460"/>
        <w:spacing w:after="0" w:line="255" w:lineRule="auto"/>
        <w:rPr>
          <w:sz w:val="20"/>
          <w:szCs w:val="20"/>
          <w:color w:val="auto"/>
        </w:rPr>
      </w:pPr>
      <w:r>
        <w:rPr>
          <w:rFonts w:ascii="Arial" w:cs="Arial" w:eastAsia="Arial" w:hAnsi="Arial"/>
          <w:sz w:val="18"/>
          <w:szCs w:val="18"/>
          <w:color w:val="auto"/>
        </w:rPr>
        <w:t>share if the option to purchase additional shares is fully exercised) of the underwriting discounts and commissions in connection with this offering, which amount is not reflected in the above table. All other expenses of the offering, including the sales load not paid by our Investment Adviser, will be borne by us.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granted an option to the underwriters to purchase up to 750,000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have agreed, with exceptions, not to sell or transfer any shares for 90 days after the date of this prospectus supplement without first obtaining the written consent of Morgan Stanley &amp; Co. LLC.</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executive officers and directors, PennantPark Investment Advisers, and Pennant Park Investment Administration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8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as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78"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common stock. In addition, neither we nor any of the underwriters make any representation that the underwriters will engage in these transactions or that these transactions, once commenced, will not be discontinued without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will be entitled to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6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us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4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shares,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8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principal business addresses of the underwriters are: Morgan Stanley &amp; Co. LLC,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Goldman, Sachs &amp; Co., 200 West Street, New York, NY 10282; J.P. Morgan Securities LLC, 383 Madison Avenue, New York, NY 10179; Keefe, Bruyette &amp; Woods, Inc., 787 Seventh Avenue, New York, NY 10019; RBC Capital Markets, LLC, 200 Vesey Street, New York, NY 10281; and SunTrust Robinson Humphrey, Inc., 3333 Peachtree Road NE, Atlanta, GA 30326.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900" w:right="20" w:hanging="446"/>
        <w:spacing w:after="0" w:line="277" w:lineRule="auto"/>
        <w:tabs>
          <w:tab w:leader="none" w:pos="90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i w:val="1"/>
          <w:iCs w:val="1"/>
          <w:color w:val="auto"/>
        </w:rPr>
      </w:pPr>
    </w:p>
    <w:p>
      <w:pPr>
        <w:ind w:left="900" w:right="20" w:hanging="446"/>
        <w:spacing w:after="0" w:line="277" w:lineRule="auto"/>
        <w:tabs>
          <w:tab w:leader="none" w:pos="90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7" w:lineRule="exact"/>
        <w:rPr>
          <w:sz w:val="20"/>
          <w:szCs w:val="20"/>
          <w:color w:val="auto"/>
        </w:rPr>
      </w:pPr>
    </w:p>
    <w:p>
      <w:pPr>
        <w:ind w:left="900" w:right="500" w:hanging="446"/>
        <w:spacing w:after="0" w:line="277"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i w:val="1"/>
          <w:iCs w:val="1"/>
          <w:color w:val="auto"/>
        </w:rPr>
      </w:pPr>
    </w:p>
    <w:p>
      <w:pPr>
        <w:ind w:left="900" w:hanging="446"/>
        <w:spacing w:after="0"/>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i w:val="1"/>
          <w:iCs w:val="1"/>
          <w:color w:val="auto"/>
        </w:rPr>
      </w:pPr>
    </w:p>
    <w:p>
      <w:pPr>
        <w:ind w:left="900" w:hanging="446"/>
        <w:spacing w:after="0"/>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i w:val="1"/>
          <w:iCs w:val="1"/>
          <w:color w:val="auto"/>
        </w:rPr>
      </w:pPr>
    </w:p>
    <w:p>
      <w:pPr>
        <w:ind w:left="900" w:hanging="446"/>
        <w:spacing w:after="0"/>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i w:val="1"/>
          <w:iCs w:val="1"/>
          <w:color w:val="auto"/>
        </w:rPr>
      </w:pPr>
    </w:p>
    <w:p>
      <w:pPr>
        <w:ind w:left="900" w:hanging="446"/>
        <w:spacing w:after="0"/>
        <w:tabs>
          <w:tab w:leader="none" w:pos="900"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Freshfields Bruckhaus Deringer US LLP, New York, 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00"/>
          </w:cols>
          <w:pgMar w:left="240" w:top="459"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480" w:type="dxa"/>
            <w:vAlign w:val="bottom"/>
            <w:gridSpan w:val="9"/>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Interim Financial Statements</w:t>
            </w:r>
          </w:p>
        </w:tc>
        <w:tc>
          <w:tcPr>
            <w:tcW w:w="7580" w:type="dxa"/>
            <w:vAlign w:val="bottom"/>
            <w:gridSpan w:val="8"/>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84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Report of Independent Registered Public Accounting Firm</w:t>
              </w:r>
            </w:hyperlink>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S-29</w:t>
            </w:r>
          </w:p>
        </w:tc>
        <w:tc>
          <w:tcPr>
            <w:tcW w:w="0" w:type="dxa"/>
            <w:vAlign w:val="bottom"/>
          </w:tcPr>
          <w:p>
            <w:pPr>
              <w:spacing w:after="0"/>
              <w:rPr>
                <w:sz w:val="1"/>
                <w:szCs w:val="1"/>
                <w:color w:val="auto"/>
              </w:rPr>
            </w:pPr>
          </w:p>
        </w:tc>
      </w:tr>
      <w:tr>
        <w:trPr>
          <w:trHeight w:val="20"/>
        </w:trPr>
        <w:tc>
          <w:tcPr>
            <w:tcW w:w="4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vMerge w:val="restart"/>
          </w:tcPr>
          <w:p>
            <w:pPr>
              <w:ind w:left="1140"/>
              <w:spacing w:after="0"/>
              <w:rPr>
                <w:sz w:val="20"/>
                <w:szCs w:val="20"/>
                <w:color w:val="auto"/>
              </w:rPr>
            </w:pPr>
            <w:r>
              <w:rPr>
                <w:rFonts w:ascii="Arial" w:cs="Arial" w:eastAsia="Arial" w:hAnsi="Arial"/>
                <w:sz w:val="18"/>
                <w:szCs w:val="18"/>
                <w:b w:val="1"/>
                <w:bCs w:val="1"/>
                <w:color w:val="auto"/>
                <w:w w:val="84"/>
              </w:rPr>
              <w:t>S-30</w:t>
            </w:r>
          </w:p>
        </w:tc>
        <w:tc>
          <w:tcPr>
            <w:tcW w:w="0" w:type="dxa"/>
            <w:vAlign w:val="bottom"/>
          </w:tcPr>
          <w:p>
            <w:pPr>
              <w:spacing w:after="0" w:line="20" w:lineRule="exact"/>
              <w:rPr>
                <w:sz w:val="1"/>
                <w:szCs w:val="1"/>
                <w:color w:val="auto"/>
              </w:rPr>
            </w:pPr>
          </w:p>
        </w:tc>
      </w:tr>
      <w:tr>
        <w:trPr>
          <w:trHeight w:val="304"/>
        </w:trPr>
        <w:tc>
          <w:tcPr>
            <w:tcW w:w="984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Consolidated Statements of Assets and Liabilities as of December 31, 2016 (unaudited) and September 30, 2016</w:t>
              </w:r>
            </w:hyperlink>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140" w:type="dxa"/>
            <w:vAlign w:val="bottom"/>
            <w:tcBorders>
              <w:top w:val="single" w:sz="8" w:color="0000EE"/>
            </w:tcBorders>
            <w:gridSpan w:val="8"/>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Consolidated Statements of Operations for the three months ended December 31, 2016 and 2015 (unaudited)</w:t>
              </w:r>
            </w:hyperlink>
          </w:p>
        </w:tc>
        <w:tc>
          <w:tcPr>
            <w:tcW w:w="1700" w:type="dxa"/>
            <w:vAlign w:val="bottom"/>
            <w:gridSpan w:val="2"/>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S-31</w:t>
            </w:r>
          </w:p>
        </w:tc>
        <w:tc>
          <w:tcPr>
            <w:tcW w:w="0" w:type="dxa"/>
            <w:vAlign w:val="bottom"/>
          </w:tcPr>
          <w:p>
            <w:pPr>
              <w:spacing w:after="0"/>
              <w:rPr>
                <w:sz w:val="1"/>
                <w:szCs w:val="1"/>
                <w:color w:val="auto"/>
              </w:rPr>
            </w:pPr>
          </w:p>
        </w:tc>
      </w:tr>
      <w:tr>
        <w:trPr>
          <w:trHeight w:val="20"/>
        </w:trPr>
        <w:tc>
          <w:tcPr>
            <w:tcW w:w="4300" w:type="dxa"/>
            <w:vAlign w:val="bottom"/>
            <w:gridSpan w:val="4"/>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vMerge w:val="restart"/>
          </w:tcPr>
          <w:p>
            <w:pPr>
              <w:ind w:left="1140"/>
              <w:spacing w:after="0"/>
              <w:rPr>
                <w:sz w:val="20"/>
                <w:szCs w:val="20"/>
                <w:color w:val="auto"/>
              </w:rPr>
            </w:pPr>
            <w:r>
              <w:rPr>
                <w:rFonts w:ascii="Arial" w:cs="Arial" w:eastAsia="Arial" w:hAnsi="Arial"/>
                <w:sz w:val="18"/>
                <w:szCs w:val="18"/>
                <w:b w:val="1"/>
                <w:bCs w:val="1"/>
                <w:color w:val="auto"/>
                <w:w w:val="84"/>
              </w:rPr>
              <w:t>S-32</w:t>
            </w:r>
          </w:p>
        </w:tc>
        <w:tc>
          <w:tcPr>
            <w:tcW w:w="0" w:type="dxa"/>
            <w:vAlign w:val="bottom"/>
          </w:tcPr>
          <w:p>
            <w:pPr>
              <w:spacing w:after="0" w:line="20" w:lineRule="exact"/>
              <w:rPr>
                <w:sz w:val="1"/>
                <w:szCs w:val="1"/>
                <w:color w:val="auto"/>
              </w:rPr>
            </w:pPr>
          </w:p>
        </w:tc>
      </w:tr>
      <w:tr>
        <w:trPr>
          <w:trHeight w:val="304"/>
        </w:trPr>
        <w:tc>
          <w:tcPr>
            <w:tcW w:w="86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Consolidated Statements of Changes in Net Assets for the three months ended December 31, 2016 and 2015 (unaudited)</w:t>
              </w:r>
            </w:hyperlink>
          </w:p>
        </w:tc>
        <w:tc>
          <w:tcPr>
            <w:tcW w:w="1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Cash Flows for the three months ended December 31, 2016 and 2015 (unaudited)</w:t>
              </w:r>
            </w:hyperlink>
          </w:p>
        </w:tc>
        <w:tc>
          <w:tcPr>
            <w:tcW w:w="1940" w:type="dxa"/>
            <w:vAlign w:val="bottom"/>
            <w:gridSpan w:val="3"/>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S-33</w:t>
            </w:r>
          </w:p>
        </w:tc>
        <w:tc>
          <w:tcPr>
            <w:tcW w:w="0" w:type="dxa"/>
            <w:vAlign w:val="bottom"/>
          </w:tcPr>
          <w:p>
            <w:pPr>
              <w:spacing w:after="0"/>
              <w:rPr>
                <w:sz w:val="1"/>
                <w:szCs w:val="1"/>
                <w:color w:val="auto"/>
              </w:rPr>
            </w:pPr>
          </w:p>
        </w:tc>
      </w:tr>
      <w:tr>
        <w:trPr>
          <w:trHeight w:val="304"/>
        </w:trPr>
        <w:tc>
          <w:tcPr>
            <w:tcW w:w="984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Schedules of Investments as of December 31, 2016 (unaudited) and September 30, 2016</w:t>
              </w:r>
            </w:hyperlink>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S-34</w:t>
            </w:r>
          </w:p>
        </w:tc>
        <w:tc>
          <w:tcPr>
            <w:tcW w:w="0" w:type="dxa"/>
            <w:vAlign w:val="bottom"/>
          </w:tcPr>
          <w:p>
            <w:pPr>
              <w:spacing w:after="0"/>
              <w:rPr>
                <w:sz w:val="1"/>
                <w:szCs w:val="1"/>
                <w:color w:val="auto"/>
              </w:rPr>
            </w:pPr>
          </w:p>
        </w:tc>
      </w:tr>
      <w:tr>
        <w:trPr>
          <w:trHeight w:val="304"/>
        </w:trPr>
        <w:tc>
          <w:tcPr>
            <w:tcW w:w="7400" w:type="dxa"/>
            <w:vAlign w:val="bottom"/>
            <w:tcBorders>
              <w:top w:val="single" w:sz="8" w:color="0000EE"/>
            </w:tcBorders>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Notes to the Consolidated Financial Statements (unaudited)</w:t>
              </w:r>
            </w:hyperlink>
          </w:p>
        </w:tc>
        <w:tc>
          <w:tcPr>
            <w:tcW w:w="2440" w:type="dxa"/>
            <w:vAlign w:val="bottom"/>
            <w:gridSpan w:val="5"/>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S-40</w:t>
            </w:r>
          </w:p>
        </w:tc>
        <w:tc>
          <w:tcPr>
            <w:tcW w:w="0" w:type="dxa"/>
            <w:vAlign w:val="bottom"/>
          </w:tcPr>
          <w:p>
            <w:pPr>
              <w:spacing w:after="0"/>
              <w:rPr>
                <w:sz w:val="1"/>
                <w:szCs w:val="1"/>
                <w:color w:val="auto"/>
              </w:rPr>
            </w:pPr>
          </w:p>
        </w:tc>
      </w:tr>
      <w:tr>
        <w:trPr>
          <w:trHeight w:val="385"/>
        </w:trPr>
        <w:tc>
          <w:tcPr>
            <w:tcW w:w="13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540" w:type="dxa"/>
            <w:vAlign w:val="bottom"/>
            <w:gridSpan w:val="6"/>
          </w:tcPr>
          <w:p>
            <w:pPr>
              <w:ind w:left="1240"/>
              <w:spacing w:after="0"/>
              <w:rPr>
                <w:sz w:val="20"/>
                <w:szCs w:val="20"/>
                <w:color w:val="auto"/>
              </w:rPr>
            </w:pPr>
            <w:r>
              <w:rPr>
                <w:rFonts w:ascii="Arial" w:cs="Arial" w:eastAsia="Arial" w:hAnsi="Arial"/>
                <w:sz w:val="18"/>
                <w:szCs w:val="18"/>
                <w:color w:val="auto"/>
              </w:rPr>
              <w:t>S-28</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Subsidiaries (collectively referred to as the “Company”), including the consolidated schedule of investments, as of December 31, 2016, and the consolidated statements of operations, changes in net assets and cash flows for the three months ended December 31, 2016 and 2015. These consolidated financial statements are the responsibility of the Company’s management.</w:t>
      </w:r>
    </w:p>
    <w:p>
      <w:pPr>
        <w:spacing w:after="0" w:line="18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consolidated financial statements referred to above for them to be in conformity with U.S. generally accepted accounting principles.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22, 2016, we expressed an unqualified opinion on those financial statements. In our opinion, the information set forth in the accompanying consolidated statements of assets and liabilities as of December 31, 2016, is fairly stated, in all material respects, in relation to the consolidated statements of assets and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9"/>
              </w:rPr>
              <w:t>(unaudited)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(cost—$653,340,297 and $597,910,267, respectively)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656,868,887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598,887,525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and cash equivalents (cost—$24,201,258 and $28,903,359,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24,203,565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3,088,719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11,357,601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1,088,475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696,607,247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631,420,095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2,539,357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11,827,362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Credit Facility payable (cost—$299,309,500 and $232,907,500, respectively) (See Notes 5 and 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299,859,712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232,389,498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672,625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1,595,726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2,602,140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319,469,581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255,513,267</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w w:val="93"/>
              </w:rPr>
              <w:t>Common stock, 26,730,074 shares issued and outstanding Par value $0.001 per share and 100,000,000 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26,730</w:t>
            </w: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371,194,366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371,194,366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3,763,272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4,559,646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(827,387)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3,530,897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(550,212)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377,137,666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375,906,828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696,607,247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631,420,095</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OPERATIONS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11,951,835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8,612,862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679,433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12,631,268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8,756,480</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1,595,727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1,469,369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Credit Facility (See Note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1,800,725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561,250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5,784,571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2,762,800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9)</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5,809,571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3,670,522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6,821,697</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5,085,958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549,401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(3,232,008)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2,546,025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(appreciation) depreciation (See Notes 5 and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(1,068,214)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1,477,811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2,027,212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(3,339,079)</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8,848,909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CHANGES IN NET ASSETS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6,821,697</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5,085,958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549,401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2,546,025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(1,068,214)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8,848,909</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(7,618,071)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(7,618,071)</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net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1,230,838</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(5,871,192)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375,906,828</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372,890,449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377,137,666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367,019,257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end of period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3,763,272</w:t>
            </w:r>
          </w:p>
        </w:tc>
        <w:tc>
          <w:tcPr>
            <w:tcW w:w="6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CASH FLOWS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8,848,909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1,746,879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Adjustments to reconcile net increase in net assets resulting from operations to net cash used in operating</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(2,546,025)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1,068,214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(549,401)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(425,722)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w w:val="90"/>
              </w:rPr>
              <w:t>(124,826,238)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(99,199,653)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(39,085)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70,405,217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26,860,815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(608,313)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Increase in receivable for investments sold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w w:val="99"/>
              </w:rPr>
              <w:t>(11,357,601)</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52,716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(Decrease) increase in payable for investments purchased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(3,108,608)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payable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137,101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 performance-based incentive fee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(852,774)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Increase (decrease) in accrued 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169,682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(63,491,229)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(66,474,497)</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(7,618,071)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(7,618,071)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Borrowings under Credit Facility (See Notes 5 and 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91,902,000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under Credit Facility (See Notes 5 and 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(25,500,000)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58,783,929</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59,081,929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(4,707,300)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(7,392,568)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28,910,973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21,428,514</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24,203,565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14,035,946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1,660,026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824,461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709,685</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Current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Par /</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1320" w:type="dxa"/>
            <w:vAlign w:val="bottom"/>
          </w:tcPr>
          <w:p>
            <w:pPr>
              <w:jc w:val="center"/>
              <w:ind w:left="577"/>
              <w:spacing w:after="0"/>
              <w:rPr>
                <w:sz w:val="20"/>
                <w:szCs w:val="20"/>
                <w:color w:val="auto"/>
              </w:rPr>
            </w:pPr>
            <w:r>
              <w:rPr>
                <w:rFonts w:ascii="Arial" w:cs="Arial" w:eastAsia="Arial" w:hAnsi="Arial"/>
                <w:sz w:val="13"/>
                <w:szCs w:val="13"/>
                <w:b w:val="1"/>
                <w:bCs w:val="1"/>
                <w:color w:val="auto"/>
                <w:w w:val="94"/>
              </w:rPr>
              <w:t>Maturity</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Coupon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48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 xml:space="preserve">Investments in Non-Controlled, Non-Affiliated Portfolio Companies—174.2% </w:t>
            </w:r>
            <w:r>
              <w:rPr>
                <w:rFonts w:ascii="Arial" w:cs="Arial" w:eastAsia="Arial" w:hAnsi="Arial"/>
                <w:sz w:val="10"/>
                <w:szCs w:val="10"/>
                <w:b w:val="1"/>
                <w:bCs w:val="1"/>
                <w:color w:val="auto"/>
                <w:w w:val="96"/>
              </w:rPr>
              <w:t>(3), (4)</w:t>
            </w:r>
          </w:p>
        </w:tc>
        <w:tc>
          <w:tcPr>
            <w:tcW w:w="20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Debt—159.1%</w:t>
            </w:r>
          </w:p>
        </w:tc>
        <w:tc>
          <w:tcPr>
            <w:tcW w:w="1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08/09/2021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12,468,750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12,236,628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12,344,063</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(8), (10)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08/09/2021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Alera Group Holdings, Inc.</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12/30/2022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Banking, Finance, Insurance and Real</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8.25%</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P+450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8,696,374</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8,609,642</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8,609,410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 xml:space="preserve">Alera Group Holdings, Inc. (Revolver) </w:t>
            </w:r>
            <w:r>
              <w:rPr>
                <w:rFonts w:ascii="Arial" w:cs="Arial" w:eastAsia="Arial" w:hAnsi="Arial"/>
                <w:sz w:val="10"/>
                <w:szCs w:val="10"/>
                <w:color w:val="auto"/>
              </w:rPr>
              <w:t>(10)</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12/30/2021</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6"/>
              </w:rPr>
              <w:t>Banking, Finance, Insurance and Real</w:t>
            </w:r>
          </w:p>
        </w:tc>
        <w:tc>
          <w:tcPr>
            <w:tcW w:w="8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1,771,962</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Alera Group Holdings, Inc. </w:t>
            </w:r>
            <w:r>
              <w:rPr>
                <w:rFonts w:ascii="Arial" w:cs="Arial" w:eastAsia="Arial" w:hAnsi="Arial"/>
                <w:sz w:val="10"/>
                <w:szCs w:val="10"/>
                <w:color w:val="auto"/>
              </w:rPr>
              <w:t>(10)</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12/30/2022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Banking, Finance, Insurance and Real</w:t>
            </w:r>
          </w:p>
        </w:tc>
        <w:tc>
          <w:tcPr>
            <w:tcW w:w="8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3,510,000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02/28/2019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12,064,454</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12,041,216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12,064,454</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04/04/2022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3,890,867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3,873,800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3,754,686</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American Auto Auction Group,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Transportation: Consumer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10,838,502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10,835,000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10/02/2023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2,992,500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2,963,304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2,988,759</w:t>
            </w: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(8)</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12/31/2021</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9"/>
              </w:rPr>
              <w:t>Metals and Mining</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15.00%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128,248</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124,139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128,248</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w w:val="99"/>
              </w:rPr>
              <w:t>(PIK 5.00%)</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American Scaffold</w:t>
            </w:r>
          </w:p>
        </w:tc>
        <w:tc>
          <w:tcPr>
            <w:tcW w:w="1320" w:type="dxa"/>
            <w:vAlign w:val="bottom"/>
            <w:shd w:val="clear" w:color="auto" w:fill="CCEEFF"/>
          </w:tcPr>
          <w:p>
            <w:pPr>
              <w:jc w:val="center"/>
              <w:ind w:left="577"/>
              <w:spacing w:after="0" w:line="138" w:lineRule="exact"/>
              <w:rPr>
                <w:sz w:val="20"/>
                <w:szCs w:val="20"/>
                <w:color w:val="auto"/>
              </w:rPr>
            </w:pPr>
            <w:r>
              <w:rPr>
                <w:rFonts w:ascii="Arial" w:cs="Arial" w:eastAsia="Arial" w:hAnsi="Arial"/>
                <w:sz w:val="13"/>
                <w:szCs w:val="13"/>
                <w:color w:val="auto"/>
                <w:w w:val="86"/>
              </w:rPr>
              <w:t>03/31/2022</w:t>
            </w:r>
          </w:p>
        </w:tc>
        <w:tc>
          <w:tcPr>
            <w:tcW w:w="20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8"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38" w:lineRule="exact"/>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4,906,250</w:t>
            </w:r>
          </w:p>
        </w:tc>
        <w:tc>
          <w:tcPr>
            <w:tcW w:w="94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4,838,361</w:t>
            </w:r>
          </w:p>
        </w:tc>
        <w:tc>
          <w:tcPr>
            <w:tcW w:w="10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4,857,188</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American Teleconferencing Services, Ltd.</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12/08/2021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6,997,280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6,787,362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6,809,263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09/19/2023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14,962,500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14,818,503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14,915,817</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Anesthesia Consulting &amp; Management, LP</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10/31/2022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3,960,604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3,970,000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Anesthesia Consulting &amp; Management, LP </w:t>
            </w:r>
            <w:r>
              <w:rPr>
                <w:rFonts w:ascii="Arial" w:cs="Arial" w:eastAsia="Arial" w:hAnsi="Arial"/>
                <w:sz w:val="10"/>
                <w:szCs w:val="10"/>
                <w:color w:val="auto"/>
              </w:rPr>
              <w:t>(8), (10)</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10/31/2022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6,518,078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6,444,893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6,474,603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04/22/2022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9,770,591</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9,800,750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06/03/2021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2,384,579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06/03/2021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L+1,225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2,407,862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2,450,000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2,442,994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2,364,000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Cardenas Markets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11/29/2023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Beverage, Food and Tobacco</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7,425,830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7,500,000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07/02/2020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4,921,411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07/21/2023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12,468,750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12,158,895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12,531,094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12/24/2019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3,916,040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3,474,900</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01/08/2019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L+625</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4,757,143</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4,732,576</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4,566,857</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11/25/2020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6,256,800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6,153,773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6,256,800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 (10)</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11/25/2020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9,712,731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9,642,729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9,688,450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02/07/2022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1,949,694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1,974,825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08/02/2021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9,975,000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9,879,526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9,975,000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03/19/2018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L+725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1,971,104</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1,962,737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1,971,104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12/09/2020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4,912,500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4,878,704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4,863,375</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Digital Room LLC</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11/21/2022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6,861,733</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6,860,000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4,625,000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4,598,277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4,625,000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09/10/2020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8,437,500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8,403,778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8,437,500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09/10/2020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05/06/2021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8,586,957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8,546,784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8,544,021</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(8), (10)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1,304,348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06/15/2022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10,548,335</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10,449,705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10,548,336</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07/01/2021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4,866,496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4,801,875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12/23/2021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2,917,576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2,894,365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2,830,049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6,618,092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6,577,992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6,551,911</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GTCR Valor Companies,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06/16/2023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7,462,500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7,182,715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7,376,234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Highline Aftermarket Acquisition,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04/01/2022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7,218,750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7,154,171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7,236,797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10/21/2020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1,153,558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12/13/2019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2,587,871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2,573,570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2,208,572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08/05/2019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6,125,000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6,093,462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5,512,500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6,208,320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6,121,045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6,208,320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7,922,492</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7,305,337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7,902,685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05/01/2019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8,321,542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8,268,965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7,988,680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IGM RFE1 B.V. </w:t>
            </w:r>
            <w:r>
              <w:rPr>
                <w:rFonts w:ascii="Arial" w:cs="Arial" w:eastAsia="Arial" w:hAnsi="Arial"/>
                <w:sz w:val="10"/>
                <w:szCs w:val="10"/>
                <w:color w:val="auto"/>
              </w:rPr>
              <w:t>(6), (11), (12)</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10/12/2021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E+000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6"/>
              </w:rPr>
              <w:t>€17,390,625</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18,075,816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18,342,797</w:t>
            </w: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Imagine! Print Solutions, LLC</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03/30/2022</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5,959,975</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5,902,236</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6,049,375</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Impact Sales,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12/30/2021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11,250,000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11,250,000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11,250,000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Impact Sales, LLC </w:t>
            </w:r>
            <w:r>
              <w:rPr>
                <w:rFonts w:ascii="Arial" w:cs="Arial" w:eastAsia="Arial" w:hAnsi="Arial"/>
                <w:sz w:val="10"/>
                <w:szCs w:val="10"/>
                <w:color w:val="auto"/>
              </w:rPr>
              <w:t>(10)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12/31/2018</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03/28/2019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5,256,439</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5,218,146</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5,256,439</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03/28/2019</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12.00%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L+1,100</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4,464,349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6,628,398</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6,579,255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6,628,398</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Inventus Power,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04/30/2020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4,849,446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4,638,153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4,825,770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4,697,875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02/19/2021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3,934,894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3,927,550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07/17/2020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2,812,500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2,791,567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2,784,375</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20"/>
                <w:szCs w:val="20"/>
                <w:color w:val="auto"/>
              </w:rPr>
            </w:pPr>
            <w:r>
              <w:rPr>
                <w:rFonts w:ascii="Arial" w:cs="Arial" w:eastAsia="Arial" w:hAnsi="Arial"/>
                <w:sz w:val="13"/>
                <w:szCs w:val="13"/>
                <w:color w:val="auto"/>
              </w:rPr>
              <w:t>KHC Holdings, Inc.</w:t>
            </w:r>
          </w:p>
        </w:tc>
        <w:tc>
          <w:tcPr>
            <w:tcW w:w="1320" w:type="dxa"/>
            <w:vAlign w:val="bottom"/>
          </w:tcPr>
          <w:p>
            <w:pPr>
              <w:jc w:val="center"/>
              <w:ind w:left="577"/>
              <w:spacing w:after="0"/>
              <w:rPr>
                <w:sz w:val="20"/>
                <w:szCs w:val="20"/>
                <w:color w:val="auto"/>
              </w:rPr>
            </w:pPr>
            <w:r>
              <w:rPr>
                <w:rFonts w:ascii="Arial" w:cs="Arial" w:eastAsia="Arial" w:hAnsi="Arial"/>
                <w:sz w:val="13"/>
                <w:szCs w:val="13"/>
                <w:color w:val="auto"/>
                <w:w w:val="86"/>
              </w:rPr>
              <w:t>10/31/2022</w:t>
            </w:r>
          </w:p>
        </w:tc>
        <w:tc>
          <w:tcPr>
            <w:tcW w:w="2080" w:type="dxa"/>
            <w:vAlign w:val="bottom"/>
          </w:tcPr>
          <w:p>
            <w:pPr>
              <w:jc w:val="center"/>
              <w:spacing w:after="0"/>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12,375,000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12,186,813</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12,375,000</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Basis Point</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40" w:type="dxa"/>
            <w:vAlign w:val="bottom"/>
            <w:gridSpan w:val="3"/>
            <w:vMerge w:val="continue"/>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2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Coupon</w:t>
            </w: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10/30/2020</w:t>
            </w:r>
          </w:p>
        </w:tc>
        <w:tc>
          <w:tcPr>
            <w:tcW w:w="2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Wholesale</w:t>
            </w: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1,209,677</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Lago Resort &amp; Casino,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03/07/2022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Hotel, Gaming and Leisure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10,200,000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8"/>
              </w:rPr>
              <w:t>10,017,217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10,200,000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11/30/2018</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5,392,148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5,356,439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5,203,422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Lombart Brothers,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04/13/2022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5,970,000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5,889,619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04/13/2022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1,238,938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Long’s Drugs Incorporated</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08/19/2021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4,987,500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4,941,570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01/15/2021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Retail</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L+900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9,420,054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9,301,704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9,420,054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Marketplace Events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01/27/2021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3,402,920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3,353,135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3,385,905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01/27/2021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P+275</w:t>
            </w: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5"/>
              </w:rPr>
              <w:t>C$17,200,829</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12,043,641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12,762,251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01/27/2021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1,703,163</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09/28/2022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4,106,316</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4,067,156</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4,072,029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09/28/2021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883,392</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(11,793)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07/31/2019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8,792,647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8,748,099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7,895,797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08/19/2022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6,463,433</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6,402,888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6,463,433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08/19/2022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3,520,896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Polycom,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09/27/2023</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5,802,500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5,575,908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5,824,259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Precyse Acquisition Corp.</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10/20/2022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4,977,494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4,910,610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5,033,491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Premier Dental Services,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11/01/2018</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Consumer Services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7,528,230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7,474,965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7,471,768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05/20/2021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Environmental Industries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7,234,631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7,178,888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7,234,631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05/20/2020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Environmental Industries</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2,459,016</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PT Network,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11/30/2021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7,800,000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7,723,967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7,722,000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PT Network, LLC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11/30/2021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08/23/2021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9,858,256</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03/18/2021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L+450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6,877,500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6,851,967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6,774,338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06/18/2019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4,245,684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4,228,328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4,189,615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08/07/2020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L+575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4,162,500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4,114,022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4,123,497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Snak Club,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07/19/2021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4,937,495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4,868,948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4,912,808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07/19/2021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350,000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07/19/2021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w w:val="94"/>
              </w:rPr>
              <w:t>Softvision, LLC (f/k/a Software Paradigms International Group,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05/21/2021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9,750,000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9,661,870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9,701,250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04/21/2017</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5,668,843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5,639,737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5,527,122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10/19/2021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L+625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7,218,750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7,112,700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7,290,938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12/16/2020</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7,427,655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7,379,369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7,390,517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Tensar Corporation</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07/09/2021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Construction and Building</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4,822,723</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4,788,808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4,340,451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The Infosoft Group, LLC</w:t>
            </w:r>
          </w:p>
        </w:tc>
        <w:tc>
          <w:tcPr>
            <w:tcW w:w="292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12/02/2021   Media: Broadcasting and Subscription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14,853,374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14,850,000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07/20/2021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3,084,564</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3,056,154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3,084,564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07/20/2021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5,971,037</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5,916,117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5,971,037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07/20/2021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1,418,484</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11/02/2020</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1,965,000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1,828,667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1,434,450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12/28/2020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12.02%</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L+1,125</w:t>
            </w:r>
            <w:r>
              <w:rPr>
                <w:rFonts w:ascii="Arial" w:cs="Arial" w:eastAsia="Arial" w:hAnsi="Arial"/>
                <w:sz w:val="10"/>
                <w:szCs w:val="10"/>
                <w:color w:val="auto"/>
              </w:rPr>
              <w:t>(9)</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9,655,810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9,493,124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9,655,810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82"/>
              </w:rPr>
              <w:t>01/14/2019</w:t>
            </w:r>
          </w:p>
        </w:tc>
        <w:tc>
          <w:tcPr>
            <w:tcW w:w="20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9.50%</w:t>
            </w:r>
          </w:p>
        </w:tc>
        <w:tc>
          <w:tcPr>
            <w:tcW w:w="110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L+850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257,621</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257,621</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257,621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1.00%)</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01/14/2019</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L+750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599,702</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566,344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599,702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01/14/2019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151,090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10/04/2021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Chemicals, Plastics and Rubber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8,939,921</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8,889,413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8,939,921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12/31/2019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12,368,750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12,268,500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12,306,906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08/13/2021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3,082,031</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3,082,031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3,082,031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Vistage Worldwide, Inc.</w:t>
            </w:r>
          </w:p>
        </w:tc>
        <w:tc>
          <w:tcPr>
            <w:tcW w:w="292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08/19/2021   Media: Broadcasting and Subscription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5,092,831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5,051,051</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5,105,563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06/30/2022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7,754,100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7,686,604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7,817,225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06/30/2022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708,333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5,767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2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580" w:type="dxa"/>
            <w:vAlign w:val="bottom"/>
          </w:tcPr>
          <w:p>
            <w:pPr>
              <w:ind w:left="20"/>
              <w:spacing w:after="0" w:line="121" w:lineRule="exact"/>
              <w:rPr>
                <w:sz w:val="20"/>
                <w:szCs w:val="20"/>
                <w:color w:val="auto"/>
              </w:rPr>
            </w:pPr>
            <w:r>
              <w:rPr>
                <w:rFonts w:ascii="Arial" w:cs="Arial" w:eastAsia="Arial" w:hAnsi="Arial"/>
                <w:sz w:val="13"/>
                <w:szCs w:val="13"/>
                <w:color w:val="auto"/>
                <w:w w:val="82"/>
              </w:rPr>
              <w:t>10/30/2020</w:t>
            </w:r>
          </w:p>
        </w:tc>
        <w:tc>
          <w:tcPr>
            <w:tcW w:w="200" w:type="dxa"/>
            <w:vAlign w:val="bottom"/>
          </w:tcPr>
          <w:p>
            <w:pPr>
              <w:spacing w:after="0"/>
              <w:rPr>
                <w:sz w:val="10"/>
                <w:szCs w:val="10"/>
                <w:color w:val="auto"/>
              </w:rPr>
            </w:pPr>
          </w:p>
        </w:tc>
        <w:tc>
          <w:tcPr>
            <w:tcW w:w="21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Banking, Finance, Insurance and</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L+800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7,297,877</w:t>
            </w:r>
          </w:p>
        </w:tc>
        <w:tc>
          <w:tcPr>
            <w:tcW w:w="8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7,243,917</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7,115,431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Real Estate</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8"/>
              </w:rPr>
              <w:t>599,327,868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600,052,593</w:t>
            </w: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Second Lien Secured Debt—9.8%</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10/31/2018</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948,800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969,000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12/31/2020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Chemicals, Plastics and Rubber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11.34%</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1,972,437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09/30/2020</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Wholesale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L+1,000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10,537,088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9,790,000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20" w:type="dxa"/>
            <w:vAlign w:val="bottom"/>
            <w:gridSpan w:val="2"/>
          </w:tcPr>
          <w:p>
            <w:pPr>
              <w:spacing w:after="0" w:line="121" w:lineRule="exact"/>
              <w:rPr>
                <w:sz w:val="20"/>
                <w:szCs w:val="20"/>
                <w:color w:val="auto"/>
              </w:rPr>
            </w:pPr>
            <w:r>
              <w:rPr>
                <w:rFonts w:ascii="Arial" w:cs="Arial" w:eastAsia="Arial" w:hAnsi="Arial"/>
                <w:sz w:val="13"/>
                <w:szCs w:val="13"/>
                <w:color w:val="auto"/>
              </w:rPr>
              <w:t>MailSouth, Inc.</w:t>
            </w:r>
          </w:p>
        </w:tc>
        <w:tc>
          <w:tcPr>
            <w:tcW w:w="580" w:type="dxa"/>
            <w:vAlign w:val="bottom"/>
          </w:tcPr>
          <w:p>
            <w:pPr>
              <w:ind w:left="20"/>
              <w:spacing w:after="0" w:line="121" w:lineRule="exact"/>
              <w:rPr>
                <w:sz w:val="20"/>
                <w:szCs w:val="20"/>
                <w:color w:val="auto"/>
              </w:rPr>
            </w:pPr>
            <w:r>
              <w:rPr>
                <w:rFonts w:ascii="Arial" w:cs="Arial" w:eastAsia="Arial" w:hAnsi="Arial"/>
                <w:sz w:val="13"/>
                <w:szCs w:val="13"/>
                <w:color w:val="auto"/>
                <w:w w:val="82"/>
              </w:rPr>
              <w:t>10/22/2021</w:t>
            </w:r>
          </w:p>
        </w:tc>
        <w:tc>
          <w:tcPr>
            <w:tcW w:w="200" w:type="dxa"/>
            <w:vAlign w:val="bottom"/>
          </w:tcPr>
          <w:p>
            <w:pPr>
              <w:spacing w:after="0"/>
              <w:rPr>
                <w:sz w:val="10"/>
                <w:szCs w:val="10"/>
                <w:color w:val="auto"/>
              </w:rPr>
            </w:pPr>
          </w:p>
        </w:tc>
        <w:tc>
          <w:tcPr>
            <w:tcW w:w="21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11.50%</w:t>
            </w:r>
          </w:p>
        </w:tc>
        <w:tc>
          <w:tcPr>
            <w:tcW w:w="110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L+1,050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3,775,000</w:t>
            </w:r>
          </w:p>
        </w:tc>
        <w:tc>
          <w:tcPr>
            <w:tcW w:w="8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3,706,653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3,775,000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07/07/2021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12.25%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L+1,100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11,900,000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11,763,956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11,900,000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08/01/2017</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Energy: Oil and Gas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2,772,451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01/30/2023</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10.75%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L+975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1,837,500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1,778,941</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1,837,500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WD Wolverine Holdings, LLC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10/17/2024</w:t>
            </w:r>
          </w:p>
        </w:tc>
        <w:tc>
          <w:tcPr>
            <w:tcW w:w="200" w:type="dxa"/>
            <w:vAlign w:val="bottom"/>
          </w:tcPr>
          <w:p>
            <w:pPr>
              <w:spacing w:after="0"/>
              <w:rPr>
                <w:sz w:val="12"/>
                <w:szCs w:val="12"/>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5,250,000</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5,040,000</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5,046,563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38,520,326</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36,913,063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INVESTMENST—(Continued)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2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ind w:left="420"/>
              <w:spacing w:after="0" w:line="135" w:lineRule="exact"/>
              <w:rPr>
                <w:sz w:val="20"/>
                <w:szCs w:val="20"/>
                <w:color w:val="auto"/>
              </w:rPr>
            </w:pPr>
            <w:r>
              <w:rPr>
                <w:rFonts w:ascii="Arial" w:cs="Arial" w:eastAsia="Arial" w:hAnsi="Arial"/>
                <w:sz w:val="13"/>
                <w:szCs w:val="13"/>
                <w:b w:val="1"/>
                <w:bCs w:val="1"/>
                <w:color w:val="auto"/>
              </w:rPr>
              <w:t>Current</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Par /</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2780" w:type="dxa"/>
            <w:vAlign w:val="bottom"/>
          </w:tcPr>
          <w:p>
            <w:pPr>
              <w:ind w:left="1920"/>
              <w:spacing w:after="0"/>
              <w:rPr>
                <w:sz w:val="20"/>
                <w:szCs w:val="20"/>
                <w:color w:val="auto"/>
              </w:rPr>
            </w:pPr>
            <w:r>
              <w:rPr>
                <w:rFonts w:ascii="Arial" w:cs="Arial" w:eastAsia="Arial" w:hAnsi="Arial"/>
                <w:sz w:val="13"/>
                <w:szCs w:val="13"/>
                <w:b w:val="1"/>
                <w:bCs w:val="1"/>
                <w:color w:val="auto"/>
              </w:rPr>
              <w:t>Maturity</w:t>
            </w:r>
          </w:p>
        </w:tc>
        <w:tc>
          <w:tcPr>
            <w:tcW w:w="1260" w:type="dxa"/>
            <w:vAlign w:val="bottom"/>
          </w:tcPr>
          <w:p>
            <w:pPr>
              <w:ind w:left="360"/>
              <w:spacing w:after="0"/>
              <w:rPr>
                <w:sz w:val="20"/>
                <w:szCs w:val="20"/>
                <w:color w:val="auto"/>
              </w:rPr>
            </w:pPr>
            <w:r>
              <w:rPr>
                <w:rFonts w:ascii="Arial" w:cs="Arial" w:eastAsia="Arial" w:hAnsi="Arial"/>
                <w:sz w:val="13"/>
                <w:szCs w:val="13"/>
                <w:b w:val="1"/>
                <w:bCs w:val="1"/>
                <w:color w:val="auto"/>
              </w:rPr>
              <w:t>Industry</w:t>
            </w:r>
          </w:p>
        </w:tc>
        <w:tc>
          <w:tcPr>
            <w:tcW w:w="1080" w:type="dxa"/>
            <w:vAlign w:val="bottom"/>
          </w:tcPr>
          <w:p>
            <w:pPr>
              <w:ind w:left="440"/>
              <w:spacing w:after="0"/>
              <w:rPr>
                <w:sz w:val="20"/>
                <w:szCs w:val="20"/>
                <w:color w:val="auto"/>
              </w:rPr>
            </w:pPr>
            <w:r>
              <w:rPr>
                <w:rFonts w:ascii="Arial" w:cs="Arial" w:eastAsia="Arial" w:hAnsi="Arial"/>
                <w:sz w:val="13"/>
                <w:szCs w:val="13"/>
                <w:b w:val="1"/>
                <w:bCs w:val="1"/>
                <w:color w:val="auto"/>
              </w:rPr>
              <w:t>Coupon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Shares</w:t>
            </w:r>
          </w:p>
        </w:tc>
        <w:tc>
          <w:tcPr>
            <w:tcW w:w="760" w:type="dxa"/>
            <w:vAlign w:val="bottom"/>
          </w:tcPr>
          <w:p>
            <w:pPr>
              <w:ind w:left="280"/>
              <w:spacing w:after="0"/>
              <w:rPr>
                <w:sz w:val="20"/>
                <w:szCs w:val="20"/>
                <w:color w:val="auto"/>
              </w:rPr>
            </w:pPr>
            <w:r>
              <w:rPr>
                <w:rFonts w:ascii="Arial" w:cs="Arial" w:eastAsia="Arial" w:hAnsi="Arial"/>
                <w:sz w:val="13"/>
                <w:szCs w:val="13"/>
                <w:b w:val="1"/>
                <w:bCs w:val="1"/>
                <w:color w:val="auto"/>
              </w:rPr>
              <w:t>Cost</w:t>
            </w:r>
          </w:p>
        </w:tc>
        <w:tc>
          <w:tcPr>
            <w:tcW w:w="940" w:type="dxa"/>
            <w:vAlign w:val="bottom"/>
          </w:tcPr>
          <w:p>
            <w:pPr>
              <w:ind w:left="220"/>
              <w:spacing w:after="0"/>
              <w:rPr>
                <w:sz w:val="20"/>
                <w:szCs w:val="20"/>
                <w:color w:val="auto"/>
              </w:rPr>
            </w:pPr>
            <w:r>
              <w:rPr>
                <w:rFonts w:ascii="Arial" w:cs="Arial" w:eastAsia="Arial" w:hAnsi="Arial"/>
                <w:sz w:val="13"/>
                <w:szCs w:val="13"/>
                <w:b w:val="1"/>
                <w:bCs w:val="1"/>
                <w:u w:val="single" w:color="auto"/>
                <w:color w:val="auto"/>
                <w:w w:val="89"/>
              </w:rPr>
              <w:t xml:space="preserve">Fair Value </w:t>
            </w:r>
            <w:r>
              <w:rPr>
                <w:rFonts w:ascii="Arial" w:cs="Arial" w:eastAsia="Arial" w:hAnsi="Arial"/>
                <w:sz w:val="10"/>
                <w:szCs w:val="10"/>
                <w:b w:val="1"/>
                <w:bCs w:val="1"/>
                <w:u w:val="single" w:color="auto"/>
                <w:color w:val="auto"/>
                <w:w w:val="8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4"/>
          <w:szCs w:val="14"/>
          <w:b w:val="1"/>
          <w:bCs w:val="1"/>
          <w:color w:val="auto"/>
        </w:rPr>
        <w:t xml:space="preserve">Subordinated Debt/Corporate Notes—2.2% </w:t>
      </w:r>
      <w:r>
        <w:rPr>
          <w:rFonts w:ascii="Arial" w:cs="Arial" w:eastAsia="Arial" w:hAnsi="Arial"/>
          <w:sz w:val="12"/>
          <w:szCs w:val="12"/>
          <w:b w:val="1"/>
          <w:bCs w:val="1"/>
          <w:color w:val="auto"/>
        </w:rPr>
        <w:t>(8)</w:t>
      </w:r>
    </w:p>
    <w:tbl>
      <w:tblPr>
        <w:tblLayout w:type="fixed"/>
        <w:tblInd w:w="0" w:type="dxa"/>
        <w:tblCellMar>
          <w:top w:w="0" w:type="dxa"/>
          <w:left w:w="0" w:type="dxa"/>
          <w:bottom w:w="0" w:type="dxa"/>
          <w:right w:w="0" w:type="dxa"/>
        </w:tblCellMar>
      </w:tblPr>
      <w:tr>
        <w:trPr>
          <w:trHeight w:val="125"/>
        </w:trPr>
        <w:tc>
          <w:tcPr>
            <w:tcW w:w="4220" w:type="dxa"/>
            <w:vAlign w:val="bottom"/>
            <w:gridSpan w:val="2"/>
          </w:tcPr>
          <w:p>
            <w:pPr>
              <w:spacing w:after="0" w:line="125"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960" w:type="dxa"/>
            <w:vAlign w:val="bottom"/>
          </w:tcPr>
          <w:p>
            <w:pPr>
              <w:jc w:val="center"/>
              <w:ind w:left="37"/>
              <w:spacing w:after="0" w:line="125" w:lineRule="exact"/>
              <w:rPr>
                <w:sz w:val="20"/>
                <w:szCs w:val="20"/>
                <w:color w:val="auto"/>
              </w:rPr>
            </w:pPr>
            <w:r>
              <w:rPr>
                <w:rFonts w:ascii="Arial" w:cs="Arial" w:eastAsia="Arial" w:hAnsi="Arial"/>
                <w:sz w:val="13"/>
                <w:szCs w:val="13"/>
                <w:color w:val="auto"/>
                <w:w w:val="89"/>
              </w:rPr>
              <w:t>07/30/2018</w:t>
            </w:r>
          </w:p>
        </w:tc>
        <w:tc>
          <w:tcPr>
            <w:tcW w:w="1660" w:type="dxa"/>
            <w:vAlign w:val="bottom"/>
          </w:tcPr>
          <w:p>
            <w:pPr>
              <w:jc w:val="center"/>
              <w:spacing w:after="0" w:line="125" w:lineRule="exact"/>
              <w:rPr>
                <w:sz w:val="20"/>
                <w:szCs w:val="20"/>
                <w:color w:val="auto"/>
              </w:rPr>
            </w:pPr>
            <w:r>
              <w:rPr>
                <w:rFonts w:ascii="Arial" w:cs="Arial" w:eastAsia="Arial" w:hAnsi="Arial"/>
                <w:sz w:val="13"/>
                <w:szCs w:val="13"/>
                <w:color w:val="auto"/>
                <w:w w:val="87"/>
              </w:rPr>
              <w:t>Consumer Goods: Durable</w:t>
            </w:r>
          </w:p>
        </w:tc>
        <w:tc>
          <w:tcPr>
            <w:tcW w:w="1280" w:type="dxa"/>
            <w:vAlign w:val="bottom"/>
          </w:tcPr>
          <w:p>
            <w:pPr>
              <w:jc w:val="right"/>
              <w:ind w:right="377"/>
              <w:spacing w:after="0" w:line="125" w:lineRule="exact"/>
              <w:rPr>
                <w:sz w:val="20"/>
                <w:szCs w:val="20"/>
                <w:color w:val="auto"/>
              </w:rPr>
            </w:pPr>
            <w:r>
              <w:rPr>
                <w:rFonts w:ascii="Arial" w:cs="Arial" w:eastAsia="Arial" w:hAnsi="Arial"/>
                <w:sz w:val="13"/>
                <w:szCs w:val="13"/>
                <w:color w:val="auto"/>
              </w:rPr>
              <w:t>7.50%</w:t>
            </w:r>
          </w:p>
        </w:tc>
        <w:tc>
          <w:tcPr>
            <w:tcW w:w="680" w:type="dxa"/>
            <w:vAlign w:val="bottom"/>
          </w:tcPr>
          <w:p>
            <w:pPr>
              <w:ind w:left="420"/>
              <w:spacing w:after="0" w:line="12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5" w:lineRule="exact"/>
              <w:rPr>
                <w:sz w:val="20"/>
                <w:szCs w:val="20"/>
                <w:color w:val="auto"/>
              </w:rPr>
            </w:pPr>
            <w:r>
              <w:rPr>
                <w:rFonts w:ascii="Arial" w:cs="Arial" w:eastAsia="Arial" w:hAnsi="Arial"/>
                <w:sz w:val="13"/>
                <w:szCs w:val="13"/>
                <w:color w:val="auto"/>
              </w:rPr>
              <w:t>1,157,978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25" w:lineRule="exact"/>
              <w:rPr>
                <w:sz w:val="20"/>
                <w:szCs w:val="20"/>
                <w:color w:val="auto"/>
              </w:rPr>
            </w:pPr>
            <w:r>
              <w:rPr>
                <w:rFonts w:ascii="Arial" w:cs="Arial" w:eastAsia="Arial" w:hAnsi="Arial"/>
                <w:sz w:val="13"/>
                <w:szCs w:val="13"/>
                <w:color w:val="auto"/>
              </w:rPr>
              <w:t>1,067,044</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1,111,659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4.00%)</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960" w:type="dxa"/>
            <w:vAlign w:val="bottom"/>
            <w:shd w:val="clear" w:color="auto" w:fill="CCEEFF"/>
          </w:tcPr>
          <w:p>
            <w:pPr>
              <w:jc w:val="center"/>
              <w:ind w:left="37"/>
              <w:spacing w:after="0" w:line="124" w:lineRule="exact"/>
              <w:rPr>
                <w:sz w:val="20"/>
                <w:szCs w:val="20"/>
                <w:color w:val="auto"/>
              </w:rPr>
            </w:pPr>
            <w:r>
              <w:rPr>
                <w:rFonts w:ascii="Arial" w:cs="Arial" w:eastAsia="Arial" w:hAnsi="Arial"/>
                <w:sz w:val="13"/>
                <w:szCs w:val="13"/>
                <w:color w:val="auto"/>
                <w:w w:val="89"/>
              </w:rPr>
              <w:t>12/31/2021</w:t>
            </w:r>
          </w:p>
        </w:tc>
        <w:tc>
          <w:tcPr>
            <w:tcW w:w="16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90"/>
              </w:rPr>
              <w:t>Metals and Mining</w:t>
            </w:r>
          </w:p>
        </w:tc>
        <w:tc>
          <w:tcPr>
            <w:tcW w:w="1280" w:type="dxa"/>
            <w:vAlign w:val="bottom"/>
            <w:shd w:val="clear" w:color="auto" w:fill="CCEEFF"/>
          </w:tcPr>
          <w:p>
            <w:pPr>
              <w:jc w:val="right"/>
              <w:ind w:right="377"/>
              <w:spacing w:after="0" w:line="124" w:lineRule="exact"/>
              <w:rPr>
                <w:sz w:val="20"/>
                <w:szCs w:val="20"/>
                <w:color w:val="auto"/>
              </w:rPr>
            </w:pPr>
            <w:r>
              <w:rPr>
                <w:rFonts w:ascii="Arial" w:cs="Arial" w:eastAsia="Arial" w:hAnsi="Arial"/>
                <w:sz w:val="13"/>
                <w:szCs w:val="13"/>
                <w:color w:val="auto"/>
              </w:rPr>
              <w:t>17.00%</w:t>
            </w:r>
          </w:p>
        </w:tc>
        <w:tc>
          <w:tcPr>
            <w:tcW w:w="680" w:type="dxa"/>
            <w:vAlign w:val="bottom"/>
            <w:shd w:val="clear" w:color="auto" w:fill="CCEEFF"/>
          </w:tcPr>
          <w:p>
            <w:pPr>
              <w:ind w:left="420"/>
              <w:spacing w:after="0" w:line="124"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4" w:lineRule="exact"/>
              <w:rPr>
                <w:sz w:val="20"/>
                <w:szCs w:val="20"/>
                <w:color w:val="auto"/>
              </w:rPr>
            </w:pPr>
            <w:r>
              <w:rPr>
                <w:rFonts w:ascii="Arial" w:cs="Arial" w:eastAsia="Arial" w:hAnsi="Arial"/>
                <w:sz w:val="13"/>
                <w:szCs w:val="13"/>
                <w:color w:val="auto"/>
              </w:rPr>
              <w:t>370,370</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3"/>
                <w:szCs w:val="13"/>
                <w:color w:val="auto"/>
              </w:rPr>
              <w:t>370,370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3"/>
                <w:szCs w:val="13"/>
                <w:color w:val="auto"/>
              </w:rPr>
              <w:t>370,370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(PIK 17.00%)</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960" w:type="dxa"/>
            <w:vAlign w:val="bottom"/>
          </w:tcPr>
          <w:p>
            <w:pPr>
              <w:jc w:val="center"/>
              <w:ind w:left="37"/>
              <w:spacing w:after="0" w:line="121" w:lineRule="exact"/>
              <w:rPr>
                <w:sz w:val="20"/>
                <w:szCs w:val="20"/>
                <w:color w:val="auto"/>
              </w:rPr>
            </w:pPr>
            <w:r>
              <w:rPr>
                <w:rFonts w:ascii="Arial" w:cs="Arial" w:eastAsia="Arial" w:hAnsi="Arial"/>
                <w:sz w:val="13"/>
                <w:szCs w:val="13"/>
                <w:color w:val="auto"/>
                <w:w w:val="89"/>
              </w:rPr>
              <w:t>10/26/2018</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8"/>
              </w:rPr>
              <w:t>High Tech Industries</w:t>
            </w:r>
          </w:p>
        </w:tc>
        <w:tc>
          <w:tcPr>
            <w:tcW w:w="128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13.25%</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2,079,296</w:t>
            </w: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2,039,546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2,023,013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2.00%)</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Sonny’s Enterprises, LLC</w:t>
            </w:r>
          </w:p>
        </w:tc>
        <w:tc>
          <w:tcPr>
            <w:tcW w:w="960" w:type="dxa"/>
            <w:vAlign w:val="bottom"/>
            <w:shd w:val="clear" w:color="auto" w:fill="CCEEFF"/>
          </w:tcPr>
          <w:p>
            <w:pPr>
              <w:jc w:val="center"/>
              <w:ind w:left="37"/>
              <w:spacing w:after="0" w:line="138" w:lineRule="exact"/>
              <w:rPr>
                <w:sz w:val="20"/>
                <w:szCs w:val="20"/>
                <w:color w:val="auto"/>
              </w:rPr>
            </w:pPr>
            <w:r>
              <w:rPr>
                <w:rFonts w:ascii="Arial" w:cs="Arial" w:eastAsia="Arial" w:hAnsi="Arial"/>
                <w:sz w:val="13"/>
                <w:szCs w:val="13"/>
                <w:color w:val="auto"/>
                <w:w w:val="89"/>
              </w:rPr>
              <w:t>06/01/2023</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8"/>
              </w:rPr>
              <w:t>Capital Equipment</w:t>
            </w:r>
          </w:p>
        </w:tc>
        <w:tc>
          <w:tcPr>
            <w:tcW w:w="1280" w:type="dxa"/>
            <w:vAlign w:val="bottom"/>
            <w:shd w:val="clear" w:color="auto" w:fill="CCEEFF"/>
          </w:tcPr>
          <w:p>
            <w:pPr>
              <w:jc w:val="right"/>
              <w:ind w:right="377"/>
              <w:spacing w:after="0" w:line="138" w:lineRule="exact"/>
              <w:rPr>
                <w:sz w:val="20"/>
                <w:szCs w:val="20"/>
                <w:color w:val="auto"/>
              </w:rPr>
            </w:pPr>
            <w:r>
              <w:rPr>
                <w:rFonts w:ascii="Arial" w:cs="Arial" w:eastAsia="Arial" w:hAnsi="Arial"/>
                <w:sz w:val="13"/>
                <w:szCs w:val="13"/>
                <w:color w:val="auto"/>
              </w:rPr>
              <w:t>11.00%</w:t>
            </w:r>
          </w:p>
        </w:tc>
        <w:tc>
          <w:tcPr>
            <w:tcW w:w="68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8" w:lineRule="exact"/>
              <w:rPr>
                <w:sz w:val="20"/>
                <w:szCs w:val="20"/>
                <w:color w:val="auto"/>
              </w:rPr>
            </w:pPr>
            <w:r>
              <w:rPr>
                <w:rFonts w:ascii="Arial" w:cs="Arial" w:eastAsia="Arial" w:hAnsi="Arial"/>
                <w:sz w:val="13"/>
                <w:szCs w:val="13"/>
                <w:color w:val="auto"/>
              </w:rPr>
              <w:t>4,750,000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4,656,141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4,655,000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UniTek Global Services, Inc.</w:t>
            </w:r>
          </w:p>
        </w:tc>
        <w:tc>
          <w:tcPr>
            <w:tcW w:w="960" w:type="dxa"/>
            <w:vAlign w:val="bottom"/>
          </w:tcPr>
          <w:p>
            <w:pPr>
              <w:jc w:val="center"/>
              <w:ind w:left="37"/>
              <w:spacing w:after="0" w:line="121" w:lineRule="exact"/>
              <w:rPr>
                <w:sz w:val="20"/>
                <w:szCs w:val="20"/>
                <w:color w:val="auto"/>
              </w:rPr>
            </w:pPr>
            <w:r>
              <w:rPr>
                <w:rFonts w:ascii="Arial" w:cs="Arial" w:eastAsia="Arial" w:hAnsi="Arial"/>
                <w:sz w:val="13"/>
                <w:szCs w:val="13"/>
                <w:color w:val="auto"/>
                <w:w w:val="89"/>
              </w:rPr>
              <w:t>07/15/2019</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128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15.00%</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152,509</w:t>
            </w:r>
          </w:p>
        </w:tc>
        <w:tc>
          <w:tcPr>
            <w:tcW w:w="80" w:type="dxa"/>
            <w:vAlign w:val="bottom"/>
          </w:tcPr>
          <w:p>
            <w:pPr>
              <w:spacing w:after="0"/>
              <w:rPr>
                <w:sz w:val="10"/>
                <w:szCs w:val="10"/>
                <w:color w:val="auto"/>
              </w:rPr>
            </w:pP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152,509</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154,797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15.00%)</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8,285,610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8,314,839</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28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13.50%</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1,047,317</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670,283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1,364,841</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Equity/Warrants—2.7% </w:t>
            </w:r>
            <w:r>
              <w:rPr>
                <w:rFonts w:ascii="Arial" w:cs="Arial" w:eastAsia="Arial" w:hAnsi="Arial"/>
                <w:sz w:val="10"/>
                <w:szCs w:val="10"/>
                <w:b w:val="1"/>
                <w:bCs w:val="1"/>
                <w:color w:val="auto"/>
              </w:rPr>
              <w:t>(7), (8)</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99,029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3,514,572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3,889,552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4,298</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1,186,649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28,641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Gilsonite Company</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Metals and Mining</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215,182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215,182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300,000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694,987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110,399</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295,670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3,102,473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96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Construction and Building</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1,141</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58,044</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110,766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(Interior Specialists, Inc.)</w:t>
            </w:r>
          </w:p>
        </w:tc>
        <w:tc>
          <w:tcPr>
            <w:tcW w:w="9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Gauge InfosoftCoInvest, LLC</w:t>
            </w:r>
          </w:p>
        </w:tc>
        <w:tc>
          <w:tcPr>
            <w:tcW w:w="960" w:type="dxa"/>
            <w:vAlign w:val="bottom"/>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1280" w:type="dxa"/>
            <w:vAlign w:val="bottom"/>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500</w:t>
            </w:r>
          </w:p>
        </w:tc>
        <w:tc>
          <w:tcPr>
            <w:tcW w:w="80" w:type="dxa"/>
            <w:vAlign w:val="bottom"/>
          </w:tcPr>
          <w:p>
            <w:pPr>
              <w:spacing w:after="0"/>
              <w:rPr>
                <w:sz w:val="10"/>
                <w:szCs w:val="10"/>
                <w:color w:val="auto"/>
              </w:rPr>
            </w:pP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500,000</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(The Infosoft Group, LLC)</w:t>
            </w:r>
          </w:p>
        </w:tc>
        <w:tc>
          <w:tcPr>
            <w:tcW w:w="96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96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Banking, Finance,</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11,867</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27,995</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55,182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Insurance and Real Estate</w:t>
            </w: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TPC Broadband Investors, LP</w:t>
            </w:r>
          </w:p>
        </w:tc>
        <w:tc>
          <w:tcPr>
            <w:tcW w:w="960" w:type="dxa"/>
            <w:vAlign w:val="bottom"/>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1280" w:type="dxa"/>
            <w:vAlign w:val="bottom"/>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438,098</w:t>
            </w:r>
          </w:p>
        </w:tc>
        <w:tc>
          <w:tcPr>
            <w:tcW w:w="80" w:type="dxa"/>
            <w:vAlign w:val="bottom"/>
          </w:tcPr>
          <w:p>
            <w:pPr>
              <w:spacing w:after="0"/>
              <w:rPr>
                <w:sz w:val="10"/>
                <w:szCs w:val="10"/>
                <w:color w:val="auto"/>
              </w:rPr>
            </w:pP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438,098</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438,098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(13)</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96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561,902</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 (13)</w:t>
            </w:r>
          </w:p>
        </w:tc>
        <w:tc>
          <w:tcPr>
            <w:tcW w:w="9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UniTek Global Services, Inc.</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149,617</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1,188,670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6,536,210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10,223,551</w:t>
            </w: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653,340,297</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656,868,887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Equivalents—6.4%</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BlackRock Federal FD Instl 30</w:t>
            </w: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5"/>
              </w:rPr>
              <w:t>22,526,563</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22,526,563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1,674,695</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1,677,002</w:t>
            </w: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24,201,258</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24,203,565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Equivalents—180.6%</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5"/>
              </w:rPr>
              <w:t>677,541,555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681,072,452</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Assets—(80.6)%</w:t>
            </w: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2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(303,934,786)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377,137,666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22"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880" w:hanging="452"/>
        <w:spacing w:after="0" w:line="256" w:lineRule="auto"/>
        <w:tabs>
          <w:tab w:leader="none" w:pos="4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580" w:hanging="452"/>
        <w:spacing w:after="0" w:line="234" w:lineRule="auto"/>
        <w:tabs>
          <w:tab w:leader="none" w:pos="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460" w:right="2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3"/>
          <w:szCs w:val="13"/>
          <w:color w:val="auto"/>
        </w:rPr>
      </w:pPr>
    </w:p>
    <w:p>
      <w:pPr>
        <w:ind w:left="4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hanging="452"/>
        <w:spacing w:after="0"/>
        <w:tabs>
          <w:tab w:leader="none" w:pos="4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right="1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3"/>
          <w:szCs w:val="13"/>
          <w:color w:val="auto"/>
        </w:rPr>
      </w:pPr>
    </w:p>
    <w:p>
      <w:pPr>
        <w:ind w:left="460" w:hanging="452"/>
        <w:spacing w:after="0" w:line="21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Par amount is denominated in Canadian Dollars (C$) or in Euros (€) as denoted.</w:t>
      </w:r>
    </w:p>
    <w:p>
      <w:pPr>
        <w:ind w:left="460" w:hanging="452"/>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Investment is held through our Taxable Subsidiary (See Note 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Current</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76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40" w:type="dxa"/>
            <w:vAlign w:val="bottom"/>
            <w:vMerge w:val="continue"/>
          </w:tcPr>
          <w:p>
            <w:pPr>
              <w:spacing w:after="0"/>
              <w:rPr>
                <w:sz w:val="13"/>
                <w:szCs w:val="13"/>
                <w:color w:val="auto"/>
              </w:rPr>
            </w:pPr>
          </w:p>
        </w:tc>
        <w:tc>
          <w:tcPr>
            <w:tcW w:w="1460" w:type="dxa"/>
            <w:vAlign w:val="bottom"/>
          </w:tcPr>
          <w:p>
            <w:pPr>
              <w:jc w:val="right"/>
              <w:ind w:right="97"/>
              <w:spacing w:after="0"/>
              <w:rPr>
                <w:sz w:val="20"/>
                <w:szCs w:val="20"/>
                <w:color w:val="auto"/>
              </w:rPr>
            </w:pPr>
            <w:r>
              <w:rPr>
                <w:rFonts w:ascii="Arial" w:cs="Arial" w:eastAsia="Arial" w:hAnsi="Arial"/>
                <w:sz w:val="13"/>
                <w:szCs w:val="13"/>
                <w:b w:val="1"/>
                <w:bCs w:val="1"/>
                <w:color w:val="auto"/>
              </w:rPr>
              <w:t>Maturity</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Coupon</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51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Companies—159.3% </w:t>
            </w:r>
            <w:r>
              <w:rPr>
                <w:rFonts w:ascii="Arial" w:cs="Arial" w:eastAsia="Arial" w:hAnsi="Arial"/>
                <w:sz w:val="10"/>
                <w:szCs w:val="10"/>
                <w:b w:val="1"/>
                <w:bCs w:val="1"/>
                <w:color w:val="auto"/>
              </w:rPr>
              <w:t>(3), (4)</w:t>
            </w:r>
          </w:p>
        </w:tc>
        <w:tc>
          <w:tcPr>
            <w:tcW w:w="20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Debt—145.9%</w:t>
            </w:r>
          </w:p>
        </w:tc>
        <w:tc>
          <w:tcPr>
            <w:tcW w:w="14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12,255,990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12,250,000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02/28/2019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12,064,454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12,037,105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12,064,454</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04/04/2022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3,943,925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3,925,777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3,946,410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10/02/2023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2,970,000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2,992,500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American Scaffold</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03/31/2022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4,866,801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4,888,125</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14,850,608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14,931,300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6,534,878</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6,462,308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6,220,419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04/22/2022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9,975,000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9,787,810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9,825,375</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11/15/2018</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5,125,684</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5,042,414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4,228,689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06/29/2020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3,498,670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3,462,806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3,498,670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2,397,229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2,422,820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2,460,000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2,415,653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2,442,679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2,468,750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2,448,157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2,370,000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07/08/2021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4,847,215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4,863,375</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07/02/2020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4,962,500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4,930,912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4,850,844</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07/21/2023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12,179,928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12,343,750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12/24/2019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4,098,750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4,061,551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3,750,357</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01/08/2019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7.50%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L+625</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4,828,571</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4,801,254</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4,732,000</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6,272,600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6,163,749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6,272,600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10,531,671</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10,451,145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10,505,342</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1,953,997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1,970,000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08/02/2021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9,900,163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03/19/2018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2,237,139</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2,225,615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2,237,139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12/09/2020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4,889,096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4,875,750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4,687,500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4,659,016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4,687,500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8,550,000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8,513,835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8,507,250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8,641,304</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8,599,431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8,598,098</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 (Revolver)</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434,783</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(10)</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869,565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06/15/2022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10,972,500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10,864,398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10,972,500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07/01/2021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4,875,844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4,702,969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12/23/2021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4,884,041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4,798,821</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05/31/2019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3,890,000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3,867,640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3,880,275</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6,807,500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6,765,938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6,620,294</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GTCR Valor Companies,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06/16/2023</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7,481,250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7,191,975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7,116,539</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Harbortouch Payments, LLC</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05/31/2022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6,956,250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6,889,369</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7,025,812</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3"/>
                <w:szCs w:val="13"/>
                <w:color w:val="auto"/>
              </w:rPr>
              <w:t>Highline Aftermarket Acquisition, LLC (f/k/a DYK</w:t>
            </w:r>
          </w:p>
        </w:tc>
        <w:tc>
          <w:tcPr>
            <w:tcW w:w="14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04/01/2022</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8"/>
              </w:rPr>
              <w:t>Wholesale</w:t>
            </w:r>
          </w:p>
        </w:tc>
        <w:tc>
          <w:tcPr>
            <w:tcW w:w="6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7,312,500</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7,244,146</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7,275,937</w:t>
            </w:r>
          </w:p>
        </w:tc>
        <w:tc>
          <w:tcPr>
            <w:tcW w:w="0" w:type="dxa"/>
            <w:vAlign w:val="bottom"/>
          </w:tcPr>
          <w:p>
            <w:pPr>
              <w:spacing w:after="0"/>
              <w:rPr>
                <w:sz w:val="1"/>
                <w:szCs w:val="1"/>
                <w:color w:val="auto"/>
              </w:rPr>
            </w:pPr>
          </w:p>
        </w:tc>
      </w:tr>
      <w:tr>
        <w:trPr>
          <w:trHeight w:val="149"/>
        </w:trPr>
        <w:tc>
          <w:tcPr>
            <w:tcW w:w="3640" w:type="dxa"/>
            <w:vAlign w:val="bottom"/>
          </w:tcPr>
          <w:p>
            <w:pPr>
              <w:ind w:left="140"/>
              <w:spacing w:after="0"/>
              <w:rPr>
                <w:sz w:val="20"/>
                <w:szCs w:val="20"/>
                <w:color w:val="auto"/>
              </w:rPr>
            </w:pPr>
            <w:r>
              <w:rPr>
                <w:rFonts w:ascii="Arial" w:cs="Arial" w:eastAsia="Arial" w:hAnsi="Arial"/>
                <w:sz w:val="13"/>
                <w:szCs w:val="13"/>
                <w:color w:val="auto"/>
              </w:rPr>
              <w:t>Prime Acquisition, LLC)</w:t>
            </w:r>
          </w:p>
        </w:tc>
        <w:tc>
          <w:tcPr>
            <w:tcW w:w="1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10/21/2020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1,153,016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12/13/2019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2,624,730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2,610,592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2,183,890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08/05/2019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6,256,250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6,218,559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5,505,500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6,225,820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6,133,990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6,225,820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7,942,494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7,293,179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7,684,363</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8,676,097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8,614,521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8,242,292</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03/30/2022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5,974,987</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5,914,562</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6,027,269</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4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03/28/2019</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5,277,938</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5,235,239</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5,277,938</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03/28/2019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L+1,100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4,460,571</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6,662,719</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6,609,864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6,662,719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Inventus Power, Inc. (f/k/a ICC-Nexergy,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4,846,935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4,686,976</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Jackson Hewitt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4,820,995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4,753,000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02/19/2021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3,932,760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3,925,841</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07/17/2020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2,850,000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2,827,307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2,821,500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10/31/2022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12,406,250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12,210,683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12,344,219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1,209,677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10,174,500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9,984,965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9,971,010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11/13/2020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1,945,020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1,940,066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1,930,432</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11/30/2018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5,407,864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5,371,524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5,272,668</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05/10/2021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2,186,607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2,177,539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2,186,607</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05/10/2021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282,143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280,973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282,143</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Lombart Brothers,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04/13/2022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Capital Equipment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5,985,000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5,901,046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6,014,925</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04/13/2022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Capital Equipment</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176,991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Basis Point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8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Par /</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40" w:type="dxa"/>
            <w:vAlign w:val="bottom"/>
            <w:gridSpan w:val="3"/>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2180" w:type="dxa"/>
            <w:vAlign w:val="bottom"/>
            <w:gridSpan w:val="2"/>
          </w:tcPr>
          <w:p>
            <w:pPr>
              <w:ind w:left="760"/>
              <w:spacing w:after="0"/>
              <w:rPr>
                <w:sz w:val="20"/>
                <w:szCs w:val="20"/>
                <w:color w:val="auto"/>
              </w:rPr>
            </w:pPr>
            <w:r>
              <w:rPr>
                <w:rFonts w:ascii="Arial" w:cs="Arial" w:eastAsia="Arial" w:hAnsi="Arial"/>
                <w:sz w:val="13"/>
                <w:szCs w:val="13"/>
                <w:b w:val="1"/>
                <w:bCs w:val="1"/>
                <w:color w:val="auto"/>
              </w:rPr>
              <w:t>Industry</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Coupon</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3"/>
                <w:szCs w:val="13"/>
                <w:color w:val="auto"/>
              </w:rPr>
            </w:pPr>
          </w:p>
        </w:tc>
        <w:tc>
          <w:tcPr>
            <w:tcW w:w="74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04/13/2022</w:t>
            </w:r>
          </w:p>
        </w:tc>
        <w:tc>
          <w:tcPr>
            <w:tcW w:w="20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Capital Equipment</w:t>
            </w: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1,061,947</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Long’s Drugs Incorporated</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08/19/2021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4,951,874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01/15/2021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9,542,392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9,417,467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9,542,392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LTI Holdings,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04/18/2022</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5,431,250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4,973,326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5,254,734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Marketplace Events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1,362,530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1,342,162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1,342,092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P+275</w:t>
            </w:r>
          </w:p>
        </w:tc>
        <w:tc>
          <w:tcPr>
            <w:tcW w:w="1020" w:type="dxa"/>
            <w:vAlign w:val="bottom"/>
            <w:gridSpan w:val="3"/>
          </w:tcPr>
          <w:p>
            <w:pPr>
              <w:jc w:val="center"/>
              <w:ind w:right="140"/>
              <w:spacing w:after="0" w:line="135" w:lineRule="exact"/>
              <w:rPr>
                <w:sz w:val="20"/>
                <w:szCs w:val="20"/>
                <w:color w:val="auto"/>
              </w:rPr>
            </w:pPr>
            <w:r>
              <w:rPr>
                <w:rFonts w:ascii="Arial" w:cs="Arial" w:eastAsia="Arial" w:hAnsi="Arial"/>
                <w:sz w:val="13"/>
                <w:szCs w:val="13"/>
                <w:color w:val="auto"/>
                <w:w w:val="88"/>
              </w:rPr>
              <w:t>C$17,244,188</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12,065,652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13,078,215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P+275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1,090,024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1,090,024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1,090,024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613,139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09/28/2022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10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4,116,608</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4,075,499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4,075,442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09/28/2021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883,392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07/31/2019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8,817,647</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8,767,669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8,288,588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08/19/2022</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6,268,657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6,205,970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6,205,970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08/19/2022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3,731,343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Polycom,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09/27/2023</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5,760,000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Precyse Acquisition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10/20/2022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3,990,000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3,932,956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4,014,938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Premier Dental Services,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11/01/2018</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7,528,230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7,473,587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7,490,588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05/20/2021</w:t>
            </w:r>
          </w:p>
        </w:tc>
        <w:tc>
          <w:tcPr>
            <w:tcW w:w="21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7,281,762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7,222,561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7,281,762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05/20/2020</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2,459,016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08/23/2021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10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10,000,000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9,852,456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03/18/2021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6,895,000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6,867,800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6,688,150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06/18/2019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4,252,830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4,233,671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4,258,699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08/07/2020</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4,218,750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4,166,413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4,163,400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Sensus USA,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04/05/2023</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3"/>
              </w:rPr>
              <w:t>Utilities: Water</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9,975,000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9,692,511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9,999,938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Snak Club,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07/19/2021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4,968,748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4,896,623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4,919,060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07/19/2021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Software Paradigms International Group,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05/21/2021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9,875,000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9,781,596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9,825,625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04/21/2017</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5,668,843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5,614,696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5,640,499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10/19/2021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7,312,500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7,200,786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12/16/2020</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7,446,562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7,395,200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7,409,329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10/18/2019</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5,850,000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5,834,217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5,733,000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07/09/2021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4,822,723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4,786,985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4,071,198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3,092,295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3,062,366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3,061,372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5,986,002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5,928,120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5,926,142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1,418,484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11/02/2020</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1,970,000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1,825,559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1,576,000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12/28/2020</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11.27%</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(9)</w:t>
            </w:r>
          </w:p>
        </w:tc>
        <w:tc>
          <w:tcPr>
            <w:tcW w:w="10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10,306,936</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10,124,477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10,306,936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2"/>
              </w:rPr>
              <w:t>01/14/2019</w:t>
            </w:r>
          </w:p>
        </w:tc>
        <w:tc>
          <w:tcPr>
            <w:tcW w:w="218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9.50%</w:t>
            </w:r>
          </w:p>
        </w:tc>
        <w:tc>
          <w:tcPr>
            <w:tcW w:w="9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L+850</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256,971</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256,971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256,971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1.00%)</w:t>
            </w: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01/14/2019</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599,702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562,432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590,706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01/14/2019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151,090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10/04/2021</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4,962,500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4,919,423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12/31/2019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9,818,407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9,850,500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08/13/2021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3,089,844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3,089,844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3,089,844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Vistage Worldwide,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08/19/2021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4,792,831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4,752,002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4,792,831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06/30/2022</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7,773,579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7,703,094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7,668,171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06/30/2022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708,333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(9,605)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2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82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w w:val="92"/>
              </w:rPr>
              <w:t>10/30/2020</w:t>
            </w:r>
          </w:p>
        </w:tc>
        <w:tc>
          <w:tcPr>
            <w:tcW w:w="21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9.00%</w:t>
            </w:r>
          </w:p>
        </w:tc>
        <w:tc>
          <w:tcPr>
            <w:tcW w:w="9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L+800</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7,316,440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7,259,010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7,316,440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3"/>
                <w:szCs w:val="13"/>
                <w:color w:val="auto"/>
                <w:w w:val="81"/>
              </w:rPr>
              <w:t>Estate</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549,736,982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548,410,095</w:t>
            </w:r>
          </w:p>
        </w:tc>
        <w:tc>
          <w:tcPr>
            <w:tcW w:w="0" w:type="dxa"/>
            <w:vAlign w:val="bottom"/>
          </w:tcPr>
          <w:p>
            <w:pPr>
              <w:spacing w:after="0"/>
              <w:rPr>
                <w:sz w:val="1"/>
                <w:szCs w:val="1"/>
                <w:color w:val="auto"/>
              </w:rPr>
            </w:pPr>
          </w:p>
        </w:tc>
      </w:tr>
      <w:tr>
        <w:trPr>
          <w:trHeight w:val="142"/>
        </w:trPr>
        <w:tc>
          <w:tcPr>
            <w:tcW w:w="38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Second Lien Secured Debt—9.7%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10/31/2018</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942,276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09/01/2017</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Metals and Mining</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12/31/2020</w:t>
            </w:r>
          </w:p>
        </w:tc>
        <w:tc>
          <w:tcPr>
            <w:tcW w:w="21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11.34%</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1,971,030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Howard Berger Co.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09/30/2020</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Wholesale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10,511,818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MailSouth, Inc.</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2"/>
              </w:rPr>
              <w:t>10/22/2021</w:t>
            </w:r>
          </w:p>
        </w:tc>
        <w:tc>
          <w:tcPr>
            <w:tcW w:w="218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11.50%</w:t>
            </w:r>
          </w:p>
        </w:tc>
        <w:tc>
          <w:tcPr>
            <w:tcW w:w="9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L+1,050</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3,775,000</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3,703,724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3,775,000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07/07/2021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L+1,100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10,914,618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10/02/2020</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4,872,042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4,826,926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08/01/2017</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Energy: Oil and Gas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2,812,500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2,756,732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1,631,250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01/30/2023</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1,837,500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1,777,304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1,837,500</w:t>
            </w:r>
          </w:p>
        </w:tc>
        <w:tc>
          <w:tcPr>
            <w:tcW w:w="0" w:type="dxa"/>
            <w:vAlign w:val="bottom"/>
          </w:tcPr>
          <w:p>
            <w:pPr>
              <w:spacing w:after="0"/>
              <w:rPr>
                <w:sz w:val="1"/>
                <w:szCs w:val="1"/>
                <w:color w:val="auto"/>
              </w:rPr>
            </w:pPr>
          </w:p>
        </w:tc>
      </w:tr>
      <w:tr>
        <w:trPr>
          <w:trHeight w:val="142"/>
        </w:trPr>
        <w:tc>
          <w:tcPr>
            <w:tcW w:w="38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38,404,428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36,596,692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Basis Point</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Current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Spread Above</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Par /</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20" w:type="dxa"/>
            <w:vAlign w:val="bottom"/>
            <w:gridSpan w:val="3"/>
            <w:vMerge w:val="continue"/>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Maturity</w:t>
            </w:r>
          </w:p>
        </w:tc>
        <w:tc>
          <w:tcPr>
            <w:tcW w:w="1660" w:type="dxa"/>
            <w:vAlign w:val="bottom"/>
            <w:gridSpan w:val="2"/>
          </w:tcPr>
          <w:p>
            <w:pPr>
              <w:ind w:left="480"/>
              <w:spacing w:after="0"/>
              <w:rPr>
                <w:sz w:val="20"/>
                <w:szCs w:val="20"/>
                <w:color w:val="auto"/>
              </w:rPr>
            </w:pPr>
            <w:r>
              <w:rPr>
                <w:rFonts w:ascii="Arial" w:cs="Arial" w:eastAsia="Arial" w:hAnsi="Arial"/>
                <w:sz w:val="13"/>
                <w:szCs w:val="13"/>
                <w:b w:val="1"/>
                <w:bCs w:val="1"/>
                <w:color w:val="auto"/>
              </w:rPr>
              <w:t>Industry</w:t>
            </w: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Coupon</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xml:space="preserve">Index </w:t>
            </w:r>
            <w:r>
              <w:rPr>
                <w:rFonts w:ascii="Arial" w:cs="Arial" w:eastAsia="Arial" w:hAnsi="Arial"/>
                <w:sz w:val="10"/>
                <w:szCs w:val="10"/>
                <w:b w:val="1"/>
                <w:bCs w:val="1"/>
                <w:color w:val="auto"/>
              </w:rPr>
              <w:t>(1)</w:t>
            </w: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4"/>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07/30/2018</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7.50%</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w w:val="93"/>
              </w:rPr>
              <w:t>1,135,273</w:t>
            </w:r>
          </w:p>
        </w:tc>
        <w:tc>
          <w:tcPr>
            <w:tcW w:w="320" w:type="dxa"/>
            <w:vAlign w:val="bottom"/>
          </w:tcPr>
          <w:p>
            <w:pPr>
              <w:spacing w:after="0"/>
              <w:rPr>
                <w:sz w:val="10"/>
                <w:szCs w:val="10"/>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1,030,320</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1,035,937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(PIK 4.00%)</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Credit Infonet, Inc.</w:t>
            </w:r>
          </w:p>
        </w:tc>
        <w:tc>
          <w:tcPr>
            <w:tcW w:w="880" w:type="dxa"/>
            <w:vAlign w:val="bottom"/>
            <w:gridSpan w:val="2"/>
            <w:shd w:val="clear" w:color="auto" w:fill="CCEEFF"/>
          </w:tcPr>
          <w:p>
            <w:pPr>
              <w:jc w:val="center"/>
              <w:ind w:right="200"/>
              <w:spacing w:after="0" w:line="124" w:lineRule="exact"/>
              <w:rPr>
                <w:sz w:val="20"/>
                <w:szCs w:val="20"/>
                <w:color w:val="auto"/>
              </w:rPr>
            </w:pPr>
            <w:r>
              <w:rPr>
                <w:rFonts w:ascii="Arial" w:cs="Arial" w:eastAsia="Arial" w:hAnsi="Arial"/>
                <w:sz w:val="13"/>
                <w:szCs w:val="13"/>
                <w:color w:val="auto"/>
                <w:w w:val="86"/>
              </w:rPr>
              <w:t>10/26/2018</w:t>
            </w:r>
          </w:p>
        </w:tc>
        <w:tc>
          <w:tcPr>
            <w:tcW w:w="1660" w:type="dxa"/>
            <w:vAlign w:val="bottom"/>
            <w:gridSpan w:val="2"/>
            <w:shd w:val="clear" w:color="auto" w:fill="CCEEFF"/>
          </w:tcPr>
          <w:p>
            <w:pPr>
              <w:jc w:val="center"/>
              <w:ind w:right="200"/>
              <w:spacing w:after="0" w:line="124"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shd w:val="clear" w:color="auto" w:fill="CCEEFF"/>
          </w:tcPr>
          <w:p>
            <w:pPr>
              <w:jc w:val="right"/>
              <w:ind w:right="280"/>
              <w:spacing w:after="0" w:line="124" w:lineRule="exact"/>
              <w:rPr>
                <w:sz w:val="20"/>
                <w:szCs w:val="20"/>
                <w:color w:val="auto"/>
              </w:rPr>
            </w:pPr>
            <w:r>
              <w:rPr>
                <w:rFonts w:ascii="Arial" w:cs="Arial" w:eastAsia="Arial" w:hAnsi="Arial"/>
                <w:sz w:val="13"/>
                <w:szCs w:val="13"/>
                <w:color w:val="auto"/>
              </w:rPr>
              <w:t>13.00%</w:t>
            </w:r>
          </w:p>
        </w:tc>
        <w:tc>
          <w:tcPr>
            <w:tcW w:w="1000" w:type="dxa"/>
            <w:vAlign w:val="bottom"/>
            <w:gridSpan w:val="2"/>
            <w:shd w:val="clear" w:color="auto" w:fill="CCEEFF"/>
          </w:tcPr>
          <w:p>
            <w:pPr>
              <w:jc w:val="right"/>
              <w:ind w:right="260"/>
              <w:spacing w:after="0" w:line="12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93"/>
              </w:rPr>
              <w:t>2,069,078</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4" w:lineRule="exact"/>
              <w:rPr>
                <w:sz w:val="20"/>
                <w:szCs w:val="20"/>
                <w:color w:val="auto"/>
              </w:rPr>
            </w:pPr>
            <w:r>
              <w:rPr>
                <w:rFonts w:ascii="Arial" w:cs="Arial" w:eastAsia="Arial" w:hAnsi="Arial"/>
                <w:sz w:val="13"/>
                <w:szCs w:val="13"/>
                <w:color w:val="auto"/>
              </w:rPr>
              <w:t>2,050,767</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rPr>
              <w:t>1,975,969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(PIK 1.75%)</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07/15/2019</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15.00%</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146,996</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146,996</w:t>
            </w:r>
          </w:p>
        </w:tc>
        <w:tc>
          <w:tcPr>
            <w:tcW w:w="6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148,466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w w:val="95"/>
              </w:rPr>
              <w:t>(PIK 15.00%)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3,228,083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3,160,372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13.50%</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1,047,317</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670,283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1,319,308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 xml:space="preserve">Common Equity/Warrants—2.5%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99,029</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3,514,572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3,700,216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4,298</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1,186,649</w:t>
            </w:r>
          </w:p>
        </w:tc>
        <w:tc>
          <w:tcPr>
            <w:tcW w:w="6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20,096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621,550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e.l.f. Beauty, Inc. (f/k/a J.A. Cosmetics US, Inc.)</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110,399</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295,670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2,957,767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Faraday Holdings, LLC</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0"/>
              </w:rPr>
              <w:t>Construction and Building</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1,141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58,044</w:t>
            </w:r>
          </w:p>
        </w:tc>
        <w:tc>
          <w:tcPr>
            <w:tcW w:w="6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94,560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20"/>
              <w:spacing w:after="0"/>
              <w:rPr>
                <w:sz w:val="20"/>
                <w:szCs w:val="20"/>
                <w:color w:val="auto"/>
              </w:rPr>
            </w:pPr>
            <w:r>
              <w:rPr>
                <w:rFonts w:ascii="Arial" w:cs="Arial" w:eastAsia="Arial" w:hAnsi="Arial"/>
                <w:sz w:val="13"/>
                <w:szCs w:val="13"/>
                <w:color w:val="auto"/>
              </w:rPr>
              <w:t>(Interior Specialists, Inc.)</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88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20"/>
              <w:spacing w:after="0" w:line="121" w:lineRule="exact"/>
              <w:rPr>
                <w:sz w:val="20"/>
                <w:szCs w:val="20"/>
                <w:color w:val="auto"/>
              </w:rPr>
            </w:pPr>
            <w:r>
              <w:rPr>
                <w:rFonts w:ascii="Arial" w:cs="Arial" w:eastAsia="Arial" w:hAnsi="Arial"/>
                <w:sz w:val="13"/>
                <w:szCs w:val="13"/>
                <w:color w:val="auto"/>
                <w:w w:val="88"/>
              </w:rPr>
              <w:t>Banking, Finance,</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11,867</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27,995</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106,922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4"/>
              </w:rPr>
              <w:t>Insurance and Real Estate</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TPC Broadband Investors, LP</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430,666</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430,666</w:t>
            </w:r>
          </w:p>
        </w:tc>
        <w:tc>
          <w:tcPr>
            <w:tcW w:w="6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430,666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20"/>
              <w:spacing w:after="0"/>
              <w:rPr>
                <w:sz w:val="20"/>
                <w:szCs w:val="20"/>
                <w:color w:val="auto"/>
              </w:rPr>
            </w:pPr>
            <w:r>
              <w:rPr>
                <w:rFonts w:ascii="Arial" w:cs="Arial" w:eastAsia="Arial" w:hAnsi="Arial"/>
                <w:sz w:val="13"/>
                <w:szCs w:val="13"/>
                <w:color w:val="auto"/>
              </w:rPr>
              <w:t>(Advanced Cable Communications, LLC)</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88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569,334</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149,617</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892,276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88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2"/>
              </w:rPr>
              <w:t>Media: Advertising,</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15,179</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56,895</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577,005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8"/>
              </w:rPr>
              <w:t>Printing and Publishing</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Common Equity/Warrants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5,870,491</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9,401,058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1"/>
              </w:rPr>
              <w:t>Total Investments in Non-Controlled, Non-Affiliated Portfolio Companies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1"/>
              </w:rPr>
              <w:t>597,910,267</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1"/>
              </w:rPr>
              <w:t>598,887,525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Cash and Cash Equivalents—7.7%</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2"/>
              </w:rPr>
              <w:t>BlackRock Liquidity Funds, Temp Cash and Temp Fund, Institutional Shares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28,212,041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28,212,041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691,318</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698,932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28,903,359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28,910,973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and Cash Equivalents—167.0%</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626,813,626</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627,798,498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Assets—(67.0)%</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6"/>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1"/>
              </w:rPr>
              <w:t>375,906,828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340" w:right="240" w:hanging="332"/>
        <w:spacing w:after="0" w:line="224"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100" w:hanging="332"/>
        <w:spacing w:after="0" w:line="234"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680" w:hanging="332"/>
        <w:spacing w:after="0" w:line="234"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16"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line="216"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line="216"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16"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right="260" w:hanging="332"/>
        <w:spacing w:after="0" w:line="216"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mezzanine debt, which we define as second lien secured and subordinated debt, and, to a lesser extent, equity investments.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at LIBOR plus 200 basis points during the revolving period. The Credit Facility is secured by all of the assets held by Funding I. See Note 9.</w:t>
      </w:r>
    </w:p>
    <w:p>
      <w:pPr>
        <w:spacing w:after="0" w:line="173"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2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79"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60" w:hanging="446"/>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an excise tax or we may incur taxes through our taxable subsidiaries. For the three months ended December 31, 2016 and 2015, we recorded a provision for taxes of less than $0.1 million and zero, respectively.</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2" w:lineRule="exact"/>
        <w:rPr>
          <w:sz w:val="20"/>
          <w:szCs w:val="20"/>
          <w:color w:val="auto"/>
        </w:rPr>
      </w:pPr>
    </w:p>
    <w:p>
      <w:pPr>
        <w:ind w:left="480" w:hanging="244"/>
        <w:spacing w:after="0"/>
        <w:tabs>
          <w:tab w:leader="none" w:pos="48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rFonts w:ascii="Arial" w:cs="Arial" w:eastAsia="Arial" w:hAnsi="Arial"/>
          <w:sz w:val="18"/>
          <w:szCs w:val="18"/>
          <w:b w:val="1"/>
          <w:bCs w:val="1"/>
          <w:i w:val="1"/>
          <w:iCs w:val="1"/>
          <w:color w:val="auto"/>
        </w:rPr>
      </w:pPr>
    </w:p>
    <w:p>
      <w:pPr>
        <w:ind w:left="900" w:hanging="446"/>
        <w:spacing w:after="0"/>
        <w:tabs>
          <w:tab w:leader="none" w:pos="9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5540" w:right="60" w:hanging="5086"/>
        <w:spacing w:after="0" w:line="449" w:lineRule="auto"/>
        <w:tabs>
          <w:tab w:leader="none" w:pos="8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 S-42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2016 and 2015, the Investment Adviser earned a base management fee of $1.6 million and $1.1 million, respectively,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2016 and 2015, the Investment Adviser earned $0.9 million and zero, respectively, in incentive fees on net investment income from us.</w:t>
      </w:r>
    </w:p>
    <w:p>
      <w:pPr>
        <w:spacing w:after="0" w:line="19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2016 and 2015, the Investment Adviser did not earn an incentive fee on capital gains as calculated under the Investment Management Agreement (as described above).</w:t>
      </w:r>
    </w:p>
    <w:p>
      <w:pPr>
        <w:spacing w:after="0" w:line="17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The incentive fee accrued for under GAAP on our unrealized and realized capital gains for the three months ended December 31, 2016 and 2015 was $0.6 million and zero, respectively.</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months ended December 31, 2016 and 2015, the Investment Adviser was reimbursed approximately $0.3 million and $0.1 million, respectively, from us, including expenses the Investment Adviser incurred on behalf of the Administrator, for services described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5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Purchases of investments, including PIK interest, for the three months ended December 31, 2016 and 2015 totaled $124.9 million and $99.2 million, respectively. Sales and repayments of investments for the same periods totaled $70.4 million and $26.9 million, respectively. For the three months ended December 31, 2016, the Company sold $5.0 million in total investments to an affiliated fund managed by our Investment Adviser in accordance with, and pursuant to procedures adopted under, Rule 17a-7 of the 1940 Act. Realized gain on that transaction amounted to less than $0.1 million.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000" w:type="dxa"/>
            <w:vAlign w:val="bottom"/>
          </w:tcPr>
          <w:p>
            <w:pPr>
              <w:spacing w:after="0"/>
              <w:rPr>
                <w:sz w:val="14"/>
                <w:szCs w:val="14"/>
                <w:color w:val="auto"/>
              </w:rPr>
            </w:pPr>
          </w:p>
        </w:tc>
        <w:tc>
          <w:tcPr>
            <w:tcW w:w="280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 2016</w:t>
            </w: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Borders>
              <w:top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6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$599,327,868</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$600,052,593</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$549,736,982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$548,410,095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400" w:type="dxa"/>
            <w:vAlign w:val="bottom"/>
            <w:gridSpan w:val="3"/>
          </w:tcPr>
          <w:p>
            <w:pPr>
              <w:jc w:val="right"/>
              <w:ind w:right="400"/>
              <w:spacing w:after="0"/>
              <w:rPr>
                <w:sz w:val="20"/>
                <w:szCs w:val="20"/>
                <w:color w:val="auto"/>
              </w:rPr>
            </w:pPr>
            <w:r>
              <w:rPr>
                <w:rFonts w:ascii="Arial" w:cs="Arial" w:eastAsia="Arial" w:hAnsi="Arial"/>
                <w:sz w:val="18"/>
                <w:szCs w:val="18"/>
                <w:color w:val="auto"/>
              </w:rPr>
              <w:t>38,520,326</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36,913,063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38,404,428</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36,596,692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8,285,610</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8,314,839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3,228,083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7,206,493</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11,588,392</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6,540,774</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10,720,366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653,340,297</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656,868,887</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597,910,267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24,201,258</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24,203,565</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677,541,555</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681,072,452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626,813,626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627,798,498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 2016</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9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27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5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Utilities: Water</w:t>
            </w:r>
          </w:p>
        </w:tc>
        <w:tc>
          <w:tcPr>
            <w:tcW w:w="900" w:type="dxa"/>
            <w:vAlign w:val="bottom"/>
          </w:tcPr>
          <w:p>
            <w:pPr>
              <w:spacing w:after="0"/>
              <w:rPr>
                <w:sz w:val="18"/>
                <w:szCs w:val="18"/>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9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260"/>
          </w:cols>
          <w:pgMar w:left="24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2360" w:right="820" w:hanging="886"/>
        <w:spacing w:after="0" w:line="277" w:lineRule="auto"/>
        <w:tabs>
          <w:tab w:leader="none" w:pos="2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2360" w:right="820" w:hanging="886"/>
        <w:spacing w:after="0" w:line="312" w:lineRule="auto"/>
        <w:tabs>
          <w:tab w:leader="none" w:pos="2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2360" w:right="1080" w:hanging="886"/>
        <w:spacing w:after="0" w:line="277" w:lineRule="auto"/>
        <w:tabs>
          <w:tab w:leader="none" w:pos="2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2016 and 2015, our ability to observe valuation inputs resulted in no reclassifications and one reclassification of an asset from Level 2 to 1, respectively.</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w:t>
            </w:r>
          </w:p>
        </w:tc>
        <w:tc>
          <w:tcPr>
            <w:tcW w:w="2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174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4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284,513,256</w:t>
            </w:r>
          </w:p>
        </w:tc>
        <w:tc>
          <w:tcPr>
            <w:tcW w:w="3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3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N/A</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7,590,563</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1,111,659</w:t>
            </w: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315,539,337</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 16.4% (8.5%)</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29,322,500</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 17.0% (14.5%)</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7,203,180</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 18.6% (13.4%)</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8,430,737</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Enterprise Market Value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4.5x – 11.5x (7.5x)</w:t>
            </w:r>
          </w:p>
        </w:tc>
        <w:tc>
          <w:tcPr>
            <w:tcW w:w="0" w:type="dxa"/>
            <w:vAlign w:val="bottom"/>
          </w:tcPr>
          <w:p>
            <w:pPr>
              <w:spacing w:after="0"/>
              <w:rPr>
                <w:sz w:val="1"/>
                <w:szCs w:val="1"/>
                <w:color w:val="auto"/>
              </w:rPr>
            </w:pPr>
          </w:p>
        </w:tc>
      </w:tr>
      <w:tr>
        <w:trPr>
          <w:trHeight w:val="156"/>
        </w:trPr>
        <w:tc>
          <w:tcPr>
            <w:tcW w:w="33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300" w:type="dxa"/>
            <w:vAlign w:val="bottom"/>
          </w:tcPr>
          <w:p>
            <w:pPr>
              <w:spacing w:after="0"/>
              <w:rPr>
                <w:sz w:val="13"/>
                <w:szCs w:val="13"/>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653,711,232</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20" w:type="dxa"/>
            <w:vAlign w:val="bottom"/>
            <w:gridSpan w:val="2"/>
            <w:shd w:val="clear" w:color="auto" w:fill="CCEEFF"/>
          </w:tcPr>
          <w:p>
            <w:pPr>
              <w:jc w:val="right"/>
              <w:ind w:right="2"/>
              <w:spacing w:after="0" w:line="143"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299,859,712</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3"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3"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68"/>
              <w:spacing w:after="0" w:line="143"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 at</w:t>
            </w: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w:t>
            </w:r>
          </w:p>
        </w:tc>
        <w:tc>
          <w:tcPr>
            <w:tcW w:w="2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74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4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264,299,729</w:t>
            </w:r>
          </w:p>
        </w:tc>
        <w:tc>
          <w:tcPr>
            <w:tcW w:w="3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3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N/A</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8,064,192</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1,035,937</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284,110,366</w:t>
            </w: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 13.9% (8.3%)</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28,532,500</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1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 15.9% (13.7%)</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2,124,435</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 16.5% (15.8%)</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7,655,677</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Enterprise Market Value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6"/>
              </w:rPr>
              <w:t>4.3x – 9.0x (7.2x)</w:t>
            </w:r>
          </w:p>
        </w:tc>
        <w:tc>
          <w:tcPr>
            <w:tcW w:w="0" w:type="dxa"/>
            <w:vAlign w:val="bottom"/>
          </w:tcPr>
          <w:p>
            <w:pPr>
              <w:spacing w:after="0"/>
              <w:rPr>
                <w:sz w:val="1"/>
                <w:szCs w:val="1"/>
                <w:color w:val="auto"/>
              </w:rPr>
            </w:pPr>
          </w:p>
        </w:tc>
      </w:tr>
      <w:tr>
        <w:trPr>
          <w:trHeight w:val="156"/>
        </w:trPr>
        <w:tc>
          <w:tcPr>
            <w:tcW w:w="33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595,822,836</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20" w:type="dxa"/>
            <w:vAlign w:val="bottom"/>
            <w:gridSpan w:val="2"/>
            <w:shd w:val="clear" w:color="auto" w:fill="CCEEFF"/>
          </w:tcPr>
          <w:p>
            <w:pPr>
              <w:ind w:left="1300"/>
              <w:spacing w:after="0" w:line="143"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232,389,498</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3"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3"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68"/>
              <w:spacing w:after="0" w:line="143"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720" w:right="22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investments, cash and cash equivalents and Credit Facility were categorized as follows in the fair value hierarchy for ASC 820 purposes: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Fair Value Measurements at December 31, 2016</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$600,052,593</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$600,052,593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36,913,063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36,913,063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8,314,839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11,588,392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3,102,473</w:t>
            </w:r>
          </w:p>
        </w:tc>
        <w:tc>
          <w:tcPr>
            <w:tcW w:w="1000" w:type="dxa"/>
            <w:vAlign w:val="bottom"/>
          </w:tcPr>
          <w:p>
            <w:pPr>
              <w:jc w:val="right"/>
              <w:spacing w:after="0"/>
              <w:rPr>
                <w:sz w:val="20"/>
                <w:szCs w:val="20"/>
                <w:color w:val="auto"/>
              </w:rPr>
            </w:pPr>
            <w:r>
              <w:rPr>
                <w:rFonts w:ascii="Arial" w:cs="Arial" w:eastAsia="Arial" w:hAnsi="Arial"/>
                <w:sz w:val="18"/>
                <w:szCs w:val="18"/>
                <w:color w:val="auto"/>
              </w:rPr>
              <w:t>8,430,737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656,868,887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3,102,473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653,711,232</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24,203,565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24,203,565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681,072,452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24,258,747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3,102,473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653,711,232</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299,859,712</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299,859,712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24"/>
                <w:szCs w:val="24"/>
                <w:color w:val="auto"/>
              </w:rPr>
            </w:pPr>
          </w:p>
        </w:tc>
        <w:tc>
          <w:tcPr>
            <w:tcW w:w="5040" w:type="dxa"/>
            <w:vAlign w:val="bottom"/>
            <w:gridSpan w:val="12"/>
          </w:tcPr>
          <w:p>
            <w:pPr>
              <w:ind w:left="980"/>
              <w:spacing w:after="0"/>
              <w:rPr>
                <w:sz w:val="20"/>
                <w:szCs w:val="20"/>
                <w:color w:val="auto"/>
              </w:rPr>
            </w:pPr>
            <w:r>
              <w:rPr>
                <w:rFonts w:ascii="Arial" w:cs="Arial" w:eastAsia="Arial" w:hAnsi="Arial"/>
                <w:sz w:val="14"/>
                <w:szCs w:val="14"/>
                <w:b w:val="1"/>
                <w:bCs w:val="1"/>
                <w:color w:val="auto"/>
              </w:rPr>
              <w:t>Fair Value Measurements at September 30, 2016</w:t>
            </w: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0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$548,410,095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$548,410,095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36,596,692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36,596,692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3,160,372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10,720,366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2,957,767</w:t>
            </w:r>
          </w:p>
        </w:tc>
        <w:tc>
          <w:tcPr>
            <w:tcW w:w="1000" w:type="dxa"/>
            <w:vAlign w:val="bottom"/>
          </w:tcPr>
          <w:p>
            <w:pPr>
              <w:jc w:val="right"/>
              <w:spacing w:after="0"/>
              <w:rPr>
                <w:sz w:val="20"/>
                <w:szCs w:val="20"/>
                <w:color w:val="auto"/>
              </w:rPr>
            </w:pPr>
            <w:r>
              <w:rPr>
                <w:rFonts w:ascii="Arial" w:cs="Arial" w:eastAsia="Arial" w:hAnsi="Arial"/>
                <w:sz w:val="18"/>
                <w:szCs w:val="18"/>
                <w:color w:val="auto"/>
              </w:rPr>
              <w:t>7,655,677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2,957,767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595,822,836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28,910,973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627,798,498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29,017,895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2,957,757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595,822,836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232,389,498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232,389,498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40" w:type="dxa"/>
            <w:vAlign w:val="bottom"/>
            <w:gridSpan w:val="3"/>
          </w:tcPr>
          <w:p>
            <w:pPr>
              <w:jc w:val="right"/>
              <w:ind w:right="1060"/>
              <w:spacing w:after="0"/>
              <w:rPr>
                <w:sz w:val="20"/>
                <w:szCs w:val="20"/>
                <w:color w:val="auto"/>
              </w:rPr>
            </w:pPr>
            <w:r>
              <w:rPr>
                <w:rFonts w:ascii="Arial" w:cs="Arial" w:eastAsia="Arial" w:hAnsi="Arial"/>
                <w:sz w:val="18"/>
                <w:szCs w:val="18"/>
                <w:color w:val="auto"/>
              </w:rPr>
              <w:t>S-48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5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jc w:val="center"/>
              <w:ind w:left="734"/>
              <w:spacing w:after="0"/>
              <w:rPr>
                <w:sz w:val="20"/>
                <w:szCs w:val="20"/>
                <w:color w:val="auto"/>
              </w:rPr>
            </w:pPr>
            <w:r>
              <w:rPr>
                <w:rFonts w:ascii="Arial" w:cs="Arial" w:eastAsia="Arial" w:hAnsi="Arial"/>
                <w:sz w:val="14"/>
                <w:szCs w:val="14"/>
                <w:b w:val="1"/>
                <w:bCs w:val="1"/>
                <w:color w:val="auto"/>
                <w:w w:val="93"/>
              </w:rPr>
              <w:t>Three Months Ended December 31, 2016</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2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equity investments</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42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548,410,095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47,412,741</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595,822,836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Net realized gains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280,208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263,993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544,201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appreciation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2,051,612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406,754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2,458,366</w:t>
            </w:r>
          </w:p>
        </w:tc>
        <w:tc>
          <w:tcPr>
            <w:tcW w:w="0" w:type="dxa"/>
            <w:vAlign w:val="bottom"/>
          </w:tcPr>
          <w:p>
            <w:pPr>
              <w:spacing w:after="0"/>
              <w:rPr>
                <w:sz w:val="1"/>
                <w:szCs w:val="1"/>
                <w:color w:val="auto"/>
              </w:rPr>
            </w:pPr>
          </w:p>
        </w:tc>
      </w:tr>
      <w:tr>
        <w:trPr>
          <w:trHeight w:val="202"/>
        </w:trPr>
        <w:tc>
          <w:tcPr>
            <w:tcW w:w="50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Purchases, PIK interest, net discount accretion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109,256,025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16,035,021</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125,291,046</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(59,945,347)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(10,459,870)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(70,405,217)</w:t>
            </w: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600,052,593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53,658,639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653,711,232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appreciation reported within the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change in unrealized appreciation on investments in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Operations attributable to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1,927,211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653,710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2,580,921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left="734"/>
              <w:spacing w:after="0"/>
              <w:rPr>
                <w:sz w:val="20"/>
                <w:szCs w:val="20"/>
                <w:color w:val="auto"/>
              </w:rPr>
            </w:pPr>
            <w:r>
              <w:rPr>
                <w:rFonts w:ascii="Arial" w:cs="Arial" w:eastAsia="Arial" w:hAnsi="Arial"/>
                <w:sz w:val="14"/>
                <w:szCs w:val="14"/>
                <w:b w:val="1"/>
                <w:bCs w:val="1"/>
                <w:color w:val="auto"/>
                <w:w w:val="93"/>
              </w:rPr>
              <w:t>Three Months Ended December 31, 2015</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2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equity investments</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42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334,957,341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56,163,940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391,121,281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53,300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(3,285,308)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(3,232,008)</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(depreciation) appreciation</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(2,864,750)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2,266,779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(597,971)</w:t>
            </w:r>
          </w:p>
        </w:tc>
        <w:tc>
          <w:tcPr>
            <w:tcW w:w="0" w:type="dxa"/>
            <w:vAlign w:val="bottom"/>
          </w:tcPr>
          <w:p>
            <w:pPr>
              <w:spacing w:after="0"/>
              <w:rPr>
                <w:sz w:val="1"/>
                <w:szCs w:val="1"/>
                <w:color w:val="auto"/>
              </w:rPr>
            </w:pPr>
          </w:p>
        </w:tc>
      </w:tr>
      <w:tr>
        <w:trPr>
          <w:trHeight w:val="202"/>
        </w:trPr>
        <w:tc>
          <w:tcPr>
            <w:tcW w:w="50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Purchases, PIK interest, net discount accretion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97,970,469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1,584,985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99,555,454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(26,887,251)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26,442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(26,860,809)</w:t>
            </w: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403,229,109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56,756,838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459,985,947</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depreciation reported within the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change in unrealized depreciation on investments in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Operations attributable to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(2,963,079)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(758,129)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(3,721,208)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Long-Term Credit Facility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Three Months Ended December 31,</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Beginning Balance (cost</w:t>
            </w:r>
          </w:p>
        </w:tc>
        <w:tc>
          <w:tcPr>
            <w:tcW w:w="4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$232,907,500 and $29,600,000, respectively)</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$ 232,389,498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$ 29,600,000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Net change in unrealized appreciation (depreciation) included in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540"/>
              <w:spacing w:after="0"/>
              <w:rPr>
                <w:sz w:val="20"/>
                <w:szCs w:val="20"/>
                <w:color w:val="auto"/>
              </w:rPr>
            </w:pPr>
            <w:r>
              <w:rPr>
                <w:rFonts w:ascii="Arial" w:cs="Arial" w:eastAsia="Arial" w:hAnsi="Arial"/>
                <w:sz w:val="18"/>
                <w:szCs w:val="18"/>
                <w:color w:val="auto"/>
              </w:rPr>
              <w:t>earnings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1,068,214</w:t>
            </w:r>
          </w:p>
        </w:tc>
        <w:tc>
          <w:tcPr>
            <w:tcW w:w="28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91,902,000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Repayments</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(25,500,000)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(2,600,000)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Ending Balance (cost – $299,309,500 and $96,300,000, respectively)</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$ 299,859,712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$ 95,698,125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 carrying value of our consolidated financial liabilities approximates fair value.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of December 31,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700" w:type="dxa"/>
            <w:vAlign w:val="bottom"/>
          </w:tcPr>
          <w:p>
            <w:pPr>
              <w:spacing w:after="0"/>
              <w:rPr>
                <w:sz w:val="14"/>
                <w:szCs w:val="14"/>
                <w:color w:val="auto"/>
              </w:rPr>
            </w:pPr>
          </w:p>
        </w:tc>
        <w:tc>
          <w:tcPr>
            <w:tcW w:w="15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3"/>
              </w:rPr>
              <w:t>Amount Borrowed</w:t>
            </w:r>
          </w:p>
        </w:tc>
        <w:tc>
          <w:tcPr>
            <w:tcW w:w="11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Borrowing Cost</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Current Value</w:t>
            </w:r>
          </w:p>
        </w:tc>
        <w:tc>
          <w:tcPr>
            <w:tcW w:w="1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Reset Date</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Change in Fair</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17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17,500,000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12,407,501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$13,049,470</w:t>
            </w:r>
          </w:p>
        </w:tc>
        <w:tc>
          <w:tcPr>
            <w:tcW w:w="4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January 3, 2017</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Euro</w:t>
            </w: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18,000,000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18,702,000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18,985,536</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January 3, 2017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31,109,501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32,035,006</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2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Reset Date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34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  17,500,000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$ 12,407,501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$13,338,920</w:t>
            </w:r>
          </w:p>
        </w:tc>
        <w:tc>
          <w:tcPr>
            <w:tcW w:w="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October 3, 2016</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months ended December 31, 2016 and 2015.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2016 and 2015, our Credit Facility had a net change in unrealized (appreciation) depreciation of $(1.1) million and $0.6 million, respectively. As of December 31, 2016 and September 30, 2016, the net unrealized (appreciation) depreciation on our Credit Facility totaled $(0.6) million and</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December 31,</w:t>
            </w:r>
          </w:p>
        </w:tc>
      </w:tr>
      <w:tr>
        <w:trPr>
          <w:trHeight w:val="142"/>
        </w:trPr>
        <w:tc>
          <w:tcPr>
            <w:tcW w:w="58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8,848,909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1,746,879</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26,730,074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26,730,074</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net increase in net assets per share resulting from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AND CASH EQUIVALENTS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2016 and September 30, 2016, cash and cash equivalents consisted of money market funds in the amounts of $24.2 million and $28.9 million, respectively, at fair value.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20" w:right="26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right="8400" w:hanging="452"/>
        <w:spacing w:after="0" w:line="407" w:lineRule="auto"/>
        <w:tabs>
          <w:tab w:leader="none" w:pos="18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HIGHLIGHTS </w:t>
      </w:r>
      <w:r>
        <w:rPr>
          <w:rFonts w:ascii="Arial" w:cs="Arial" w:eastAsia="Arial" w:hAnsi="Arial"/>
          <w:sz w:val="18"/>
          <w:szCs w:val="18"/>
          <w:color w:val="auto"/>
        </w:rPr>
        <w:t>Below are the financial highlights: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14.06</w:t>
            </w:r>
          </w:p>
        </w:tc>
        <w:tc>
          <w:tcPr>
            <w:tcW w:w="300" w:type="dxa"/>
            <w:vAlign w:val="bottom"/>
          </w:tcPr>
          <w:p>
            <w:pPr>
              <w:spacing w:after="0"/>
              <w:rPr>
                <w:sz w:val="18"/>
                <w:szCs w:val="18"/>
                <w:color w:val="auto"/>
              </w:rPr>
            </w:pP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(loss) </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26,730,074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26,730,074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5"/>
                <w:szCs w:val="15"/>
                <w:color w:val="auto"/>
              </w:rPr>
              <w:t>(4)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7"/>
              </w:rPr>
              <w:t xml:space="preserve">Ratio of Credit Facility related expenses to average net assets </w:t>
            </w:r>
            <w:r>
              <w:rPr>
                <w:rFonts w:ascii="Arial" w:cs="Arial" w:eastAsia="Arial" w:hAnsi="Arial"/>
                <w:sz w:val="15"/>
                <w:szCs w:val="15"/>
                <w:color w:val="auto"/>
                <w:w w:val="97"/>
              </w:rPr>
              <w:t>(5)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w:t>
            </w: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377,137,666</w:t>
            </w:r>
          </w:p>
        </w:tc>
        <w:tc>
          <w:tcPr>
            <w:tcW w:w="300" w:type="dxa"/>
            <w:vAlign w:val="bottom"/>
          </w:tcPr>
          <w:p>
            <w:pPr>
              <w:spacing w:after="0"/>
              <w:rPr>
                <w:sz w:val="18"/>
                <w:szCs w:val="18"/>
                <w:color w:val="auto"/>
              </w:rPr>
            </w:pP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367,019,257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247,183,783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63,132,609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(6)</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Not annualized for periods less than one year.</w:t>
      </w:r>
    </w:p>
    <w:p>
      <w:pPr>
        <w:spacing w:after="0" w:line="2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Annualized for periods less than one year.</w:t>
      </w:r>
    </w:p>
    <w:p>
      <w:pPr>
        <w:spacing w:after="0" w:line="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Based on the weighted average shares outstanding for the respective periods.</w:t>
      </w:r>
    </w:p>
    <w:p>
      <w:pPr>
        <w:spacing w:after="0" w:line="10" w:lineRule="exact"/>
        <w:rPr>
          <w:rFonts w:ascii="Arial" w:cs="Arial" w:eastAsia="Arial" w:hAnsi="Arial"/>
          <w:sz w:val="15"/>
          <w:szCs w:val="15"/>
          <w:color w:val="auto"/>
        </w:rPr>
      </w:pPr>
    </w:p>
    <w:p>
      <w:pPr>
        <w:ind w:left="460" w:right="180" w:hanging="452"/>
        <w:spacing w:after="0" w:line="250"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tax status of distributions is calculated in accordance with income tax regulations, which may differ from amounts determined under GAAP, and reported on Form 1099-DIV each calendar year.</w:t>
      </w:r>
    </w:p>
    <w:p>
      <w:pPr>
        <w:ind w:left="460" w:right="20" w:hanging="452"/>
        <w:spacing w:after="0" w:line="250"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Excludes Credit Facility related costs.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Credit Facility amendment costs, if any, are not annualized.</w:t>
      </w:r>
    </w:p>
    <w:p>
      <w:pPr>
        <w:spacing w:after="0" w:line="9" w:lineRule="exact"/>
        <w:rPr>
          <w:rFonts w:ascii="Arial" w:cs="Arial" w:eastAsia="Arial" w:hAnsi="Arial"/>
          <w:sz w:val="15"/>
          <w:szCs w:val="15"/>
          <w:color w:val="auto"/>
        </w:rPr>
      </w:pPr>
    </w:p>
    <w:p>
      <w:pPr>
        <w:ind w:left="460" w:right="100" w:hanging="452"/>
        <w:spacing w:after="0" w:line="255"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Funding I’s multi-currency Credit Facility with affiliates of SunTrust Bank, or the Lenders, was $350.0 million as of December 31, 2016,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2016 and September 30, 2016, Funding I had $299.3 million and $232.9 million of outstanding borrowings under the Credit Facility,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 2.91% and 5.95%, respectively.</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2016, we were in compliance with the covenants relating to our Credit Facility.</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December 31, 2016 and September 30, 2016, we had $34.2 million and $20.0 million, respectively, in commitments to fund investments.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32"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42"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“PFLT.” The last reported closing price for our common stock on January 13, 2017 was $14.10 per share, and our net asset value on September 30, 2016 was $14.06 per share.</w:t>
      </w:r>
    </w:p>
    <w:p>
      <w:pPr>
        <w:spacing w:after="0" w:line="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jc w:val="both"/>
        <w:ind w:right="100" w:firstLine="57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dated January 19, 2017</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2860" w:type="dxa"/>
            <w:vAlign w:val="bottom"/>
            <w:tcBorders>
              <w:top w:val="single" w:sz="8" w:color="0000EE"/>
            </w:tcBorders>
            <w:gridSpan w:val="1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USE OF PROCEEDS</w:t>
              </w:r>
            </w:hyperlink>
          </w:p>
        </w:tc>
        <w:tc>
          <w:tcPr>
            <w:tcW w:w="7920" w:type="dxa"/>
            <w:vAlign w:val="bottom"/>
            <w:gridSpan w:val="1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90">
              <w:r>
                <w:rPr>
                  <w:rFonts w:ascii="Arial" w:cs="Arial" w:eastAsia="Arial" w:hAnsi="Arial"/>
                  <w:sz w:val="18"/>
                  <w:szCs w:val="18"/>
                  <w:color w:val="0000EE"/>
                  <w:w w:val="95"/>
                </w:rPr>
                <w:t>SELECTED FINANCIAL DATA</w:t>
              </w:r>
            </w:hyperlink>
          </w:p>
        </w:tc>
        <w:tc>
          <w:tcPr>
            <w:tcW w:w="840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8700" w:type="dxa"/>
            <w:vAlign w:val="bottom"/>
            <w:tcBorders>
              <w:top w:val="single" w:sz="8" w:color="0000EE"/>
            </w:tcBorders>
            <w:gridSpan w:val="3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9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PRICE RANGE OF COMMON STOCK</w:t>
              </w:r>
            </w:hyperlink>
          </w:p>
        </w:tc>
        <w:tc>
          <w:tcPr>
            <w:tcW w:w="788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454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DISTRIBUTIONS</w:t>
              </w:r>
            </w:hyperlink>
          </w:p>
        </w:tc>
        <w:tc>
          <w:tcPr>
            <w:tcW w:w="9440" w:type="dxa"/>
            <w:vAlign w:val="bottom"/>
            <w:gridSpan w:val="2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BUSINESS</w:t>
              </w:r>
            </w:hyperlink>
          </w:p>
        </w:tc>
        <w:tc>
          <w:tcPr>
            <w:tcW w:w="9940" w:type="dxa"/>
            <w:vAlign w:val="bottom"/>
            <w:gridSpan w:val="3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3440" w:type="dxa"/>
            <w:vAlign w:val="bottom"/>
            <w:tcBorders>
              <w:top w:val="single" w:sz="8" w:color="0000EE"/>
            </w:tcBorders>
            <w:gridSpan w:val="2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4"/>
        </w:trPr>
        <w:tc>
          <w:tcPr>
            <w:tcW w:w="444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33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4"/>
              </w:rPr>
            </w:pPr>
            <w:hyperlink w:anchor="page14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27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DIVIDEND REINVESTMENT PLAN</w:t>
              </w:r>
            </w:hyperlink>
          </w:p>
        </w:tc>
        <w:tc>
          <w:tcPr>
            <w:tcW w:w="8020" w:type="dxa"/>
            <w:vAlign w:val="bottom"/>
            <w:gridSpan w:val="1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32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48">
              <w:r>
                <w:rPr>
                  <w:rFonts w:ascii="Arial" w:cs="Arial" w:eastAsia="Arial" w:hAnsi="Arial"/>
                  <w:sz w:val="18"/>
                  <w:szCs w:val="18"/>
                  <w:color w:val="0000EE"/>
                  <w:w w:val="92"/>
                </w:rPr>
                <w:t>DESCRIPTION OF OUR CAPITAL STOCK</w:t>
              </w:r>
            </w:hyperlink>
          </w:p>
        </w:tc>
        <w:tc>
          <w:tcPr>
            <w:tcW w:w="7560" w:type="dxa"/>
            <w:vAlign w:val="bottom"/>
            <w:gridSpan w:val="1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4"/>
        </w:trPr>
        <w:tc>
          <w:tcPr>
            <w:tcW w:w="3480" w:type="dxa"/>
            <w:vAlign w:val="bottom"/>
            <w:tcBorders>
              <w:top w:val="single" w:sz="8" w:color="0000EE"/>
            </w:tcBorders>
            <w:gridSpan w:val="21"/>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33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156">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REGULATION</w:t>
              </w:r>
            </w:hyperlink>
          </w:p>
        </w:tc>
        <w:tc>
          <w:tcPr>
            <w:tcW w:w="966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438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476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72">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79">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4680" w:type="dxa"/>
            <w:vAlign w:val="bottom"/>
            <w:tcBorders>
              <w:top w:val="single" w:sz="8" w:color="0000EE"/>
            </w:tcBorders>
            <w:gridSpan w:val="28"/>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47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7147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 w:lineRule="exact"/>
        <w:rPr>
          <w:sz w:val="20"/>
          <w:szCs w:val="20"/>
          <w:color w:val="auto"/>
        </w:rPr>
      </w:pPr>
    </w:p>
    <w:p>
      <w:pPr>
        <w:ind w:left="200" w:firstLine="55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40" w:firstLine="55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20" w:lineRule="exact"/>
        <w:rPr>
          <w:sz w:val="20"/>
          <w:szCs w:val="20"/>
          <w:color w:val="auto"/>
        </w:rPr>
      </w:pPr>
    </w:p>
    <w:p>
      <w:pPr>
        <w:ind w:left="200" w:right="20" w:firstLine="553"/>
        <w:spacing w:after="0" w:line="294"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 — Liquidity and Capital Resources.”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80" w:firstLine="553"/>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40" w:lineRule="exact"/>
        <w:rPr>
          <w:sz w:val="20"/>
          <w:szCs w:val="20"/>
          <w:color w:val="auto"/>
        </w:rPr>
      </w:pPr>
    </w:p>
    <w:p>
      <w:pPr>
        <w:ind w:left="200" w:right="340" w:firstLine="553"/>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250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72504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553"/>
        <w:spacing w:after="0" w:line="259"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4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20" w:lineRule="exact"/>
        <w:rPr>
          <w:sz w:val="20"/>
          <w:szCs w:val="20"/>
          <w:color w:val="auto"/>
        </w:rPr>
      </w:pPr>
    </w:p>
    <w:p>
      <w:pPr>
        <w:ind w:left="200" w:right="8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180" w:firstLine="553"/>
        <w:spacing w:after="0" w:line="255"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16" w:lineRule="exact"/>
        <w:rPr>
          <w:sz w:val="20"/>
          <w:szCs w:val="20"/>
          <w:color w:val="auto"/>
        </w:rPr>
      </w:pPr>
    </w:p>
    <w:p>
      <w:pPr>
        <w:ind w:left="200" w:firstLine="553"/>
        <w:spacing w:after="0" w:line="318"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75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4575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553"/>
        <w:spacing w:after="0" w:line="253"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right="20" w:firstLine="553"/>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left="200" w:right="120" w:firstLine="55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28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553"/>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08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2808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6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830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220" w:firstLine="553"/>
        <w:spacing w:after="0" w:line="268"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32"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18" w:lineRule="exact"/>
        <w:rPr>
          <w:sz w:val="20"/>
          <w:szCs w:val="20"/>
          <w:color w:val="auto"/>
        </w:rPr>
      </w:pPr>
    </w:p>
    <w:p>
      <w:pPr>
        <w:ind w:left="200" w:right="120" w:firstLine="55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0" w:firstLine="553"/>
        <w:spacing w:after="0" w:line="289"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220" w:type="dxa"/>
            <w:vAlign w:val="bottom"/>
          </w:tcPr>
          <w:p>
            <w:pPr>
              <w:spacing w:after="0"/>
              <w:rPr>
                <w:sz w:val="19"/>
                <w:szCs w:val="19"/>
                <w:color w:val="auto"/>
              </w:rPr>
            </w:pPr>
          </w:p>
        </w:tc>
      </w:tr>
      <w:tr>
        <w:trPr>
          <w:trHeight w:val="297"/>
        </w:trPr>
        <w:tc>
          <w:tcPr>
            <w:tcW w:w="8020" w:type="dxa"/>
            <w:vAlign w:val="bottom"/>
          </w:tcPr>
          <w:p>
            <w:pPr>
              <w:spacing w:after="0"/>
              <w:rPr>
                <w:sz w:val="20"/>
                <w:szCs w:val="20"/>
                <w:color w:val="auto"/>
              </w:rPr>
            </w:pPr>
            <w:r>
              <w:rPr>
                <w:rFonts w:ascii="Arial" w:cs="Arial" w:eastAsia="Arial" w:hAnsi="Arial"/>
                <w:sz w:val="18"/>
                <w:szCs w:val="18"/>
                <w:color w:val="auto"/>
              </w:rPr>
              <w:t>Sales load</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517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(2)</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1.63 %</w:t>
      </w:r>
      <w:r>
        <w:rPr>
          <w:rFonts w:ascii="Arial" w:cs="Arial" w:eastAsia="Arial" w:hAnsi="Arial"/>
          <w:sz w:val="10"/>
          <w:szCs w:val="10"/>
          <w:color w:val="auto"/>
        </w:rPr>
        <w:t>(4)</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1.30 %</w:t>
      </w:r>
      <w:r>
        <w:rPr>
          <w:rFonts w:ascii="Arial" w:cs="Arial" w:eastAsia="Arial" w:hAnsi="Arial"/>
          <w:sz w:val="10"/>
          <w:szCs w:val="10"/>
          <w:color w:val="auto"/>
        </w:rPr>
        <w:t>(5)</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1.58 %</w:t>
      </w:r>
      <w:r>
        <w:rPr>
          <w:rFonts w:ascii="Arial" w:cs="Arial" w:eastAsia="Arial" w:hAnsi="Arial"/>
          <w:sz w:val="10"/>
          <w:szCs w:val="10"/>
          <w:color w:val="auto"/>
        </w:rPr>
        <w:t>(6)</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0.90 %</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33020</wp:posOffset>
            </wp:positionV>
            <wp:extent cx="231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5.41 %</w:t>
      </w:r>
      <w:r>
        <w:rPr>
          <w:rFonts w:ascii="Arial" w:cs="Arial" w:eastAsia="Arial" w:hAnsi="Arial"/>
          <w:sz w:val="10"/>
          <w:szCs w:val="10"/>
          <w:color w:val="auto"/>
        </w:rPr>
        <w:t>(8)</w:t>
      </w:r>
    </w:p>
    <w:p>
      <w:pPr>
        <w:spacing w:after="0" w:line="214" w:lineRule="exact"/>
        <w:rPr>
          <w:sz w:val="20"/>
          <w:szCs w:val="20"/>
          <w:color w:val="auto"/>
        </w:rPr>
      </w:pPr>
    </w:p>
    <w:p>
      <w:pPr>
        <w:sectPr>
          <w:pgSz w:w="11900" w:h="16838" w:orient="portrait"/>
          <w:cols w:equalWidth="0" w:num="2">
            <w:col w:w="9900" w:space="720"/>
            <w:col w:w="740"/>
          </w:cols>
          <w:pgMar w:left="240" w:top="459" w:right="299" w:bottom="1440" w:gutter="0" w:footer="0" w:header="0"/>
          <w:type w:val="continuous"/>
        </w:sectPr>
      </w:pPr>
    </w:p>
    <w:p>
      <w:pPr>
        <w:spacing w:after="0" w:line="42"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fiscal year ended September 30, 2016.</w:t>
      </w:r>
    </w:p>
    <w:p>
      <w:pPr>
        <w:spacing w:after="0" w:line="68" w:lineRule="exact"/>
        <w:rPr>
          <w:rFonts w:ascii="Arial" w:cs="Arial" w:eastAsia="Arial" w:hAnsi="Arial"/>
          <w:sz w:val="14"/>
          <w:szCs w:val="14"/>
          <w:color w:val="auto"/>
        </w:rPr>
      </w:pPr>
    </w:p>
    <w:p>
      <w:pPr>
        <w:ind w:left="580" w:right="400" w:hanging="572"/>
        <w:spacing w:after="0" w:line="239"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September 30, 2016.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40" w:hanging="572"/>
        <w:spacing w:after="0" w:line="266" w:lineRule="auto"/>
        <w:tabs>
          <w:tab w:leader="none" w:pos="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right="80" w:hanging="572"/>
        <w:spacing w:after="0" w:line="273" w:lineRule="auto"/>
        <w:tabs>
          <w:tab w:leader="none" w:pos="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in the future will depend on prevailing interest rates and our rate of borrowing, which may be substantially higher than the amount provided in this table. See “Risk Factors— 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jc w:val="both"/>
        <w:ind w:left="580" w:right="100" w:hanging="572"/>
        <w:spacing w:after="0" w:line="233"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580" w:right="60" w:hanging="572"/>
        <w:spacing w:after="0" w:line="278" w:lineRule="auto"/>
        <w:tabs>
          <w:tab w:leader="none" w:pos="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37 of this prospectus.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7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0.48%, (2) total net estimated annual expenses of 4.11%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 years</w:t>
            </w:r>
          </w:p>
        </w:tc>
        <w:tc>
          <w:tcPr>
            <w:tcW w:w="2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10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75</w:t>
            </w:r>
          </w:p>
        </w:tc>
        <w:tc>
          <w:tcPr>
            <w:tcW w:w="2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155</w:t>
            </w:r>
          </w:p>
        </w:tc>
        <w:tc>
          <w:tcPr>
            <w:tcW w:w="40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w:t>
            </w:r>
          </w:p>
        </w:tc>
        <w:tc>
          <w:tcPr>
            <w:tcW w:w="44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84</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183</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281</w:t>
            </w:r>
          </w:p>
        </w:tc>
        <w:tc>
          <w:tcPr>
            <w:tcW w:w="4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20" w:firstLine="571"/>
        <w:spacing w:after="0" w:line="309" w:lineRule="auto"/>
        <w:rPr>
          <w:sz w:val="20"/>
          <w:szCs w:val="20"/>
          <w:color w:val="auto"/>
        </w:rPr>
      </w:pPr>
      <w:r>
        <w:rPr>
          <w:rFonts w:ascii="Arial" w:cs="Arial" w:eastAsia="Arial" w:hAnsi="Arial"/>
          <w:sz w:val="15"/>
          <w:szCs w:val="15"/>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0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w:t>
      </w:r>
    </w:p>
    <w:p>
      <w:pPr>
        <w:spacing w:after="0" w:line="90"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5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our outstanding borrowings under the Credit Facility not exceed a certain percentage of the value of our portfolio.</w:t>
      </w:r>
    </w:p>
    <w:p>
      <w:pPr>
        <w:spacing w:after="0" w:line="171"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05"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43"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90" w:lineRule="exact"/>
        <w:rPr>
          <w:sz w:val="20"/>
          <w:szCs w:val="20"/>
          <w:color w:val="auto"/>
        </w:rPr>
      </w:pPr>
    </w:p>
    <w:p>
      <w:pPr>
        <w:ind w:right="380" w:firstLine="571"/>
        <w:spacing w:after="0" w:line="306" w:lineRule="auto"/>
        <w:rPr>
          <w:sz w:val="20"/>
          <w:szCs w:val="20"/>
          <w:color w:val="auto"/>
        </w:rPr>
      </w:pPr>
      <w:r>
        <w:rPr>
          <w:rFonts w:ascii="Arial" w:cs="Arial" w:eastAsia="Arial" w:hAnsi="Arial"/>
          <w:sz w:val="16"/>
          <w:szCs w:val="16"/>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8"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2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20" w:firstLine="571"/>
        <w:spacing w:after="0" w:line="287"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2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5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4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62" w:lineRule="exact"/>
        <w:rPr>
          <w:sz w:val="20"/>
          <w:szCs w:val="20"/>
          <w:color w:val="auto"/>
        </w:rPr>
      </w:pPr>
    </w:p>
    <w:p>
      <w:pPr>
        <w:ind w:right="30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ind w:right="120" w:firstLine="571"/>
        <w:spacing w:after="0" w:line="306"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07"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6"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subject to tax as a RIC for federal income tax purposes. We may have to request a waiver of these covenants’ restrictions for Funding I to make certain distributions to enable us to be treated as a RIC for federal income tax purposes. We cannot assure you that Funding I will be granted such a waiver, and if Funding I is unable to obtain a waiver, compliance with the covenants may cause us to incur a corporate-level income tax.</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60" w:lineRule="exact"/>
        <w:rPr>
          <w:sz w:val="20"/>
          <w:szCs w:val="20"/>
          <w:color w:val="auto"/>
        </w:rPr>
      </w:pPr>
    </w:p>
    <w:p>
      <w:pPr>
        <w:ind w:left="460" w:hanging="452"/>
        <w:spacing w:after="0" w:line="29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 If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60" w:lineRule="exact"/>
        <w:rPr>
          <w:rFonts w:ascii="Arial" w:cs="Arial" w:eastAsia="Arial" w:hAnsi="Arial"/>
          <w:sz w:val="16"/>
          <w:szCs w:val="16"/>
          <w:color w:val="auto"/>
        </w:rPr>
      </w:pPr>
    </w:p>
    <w:p>
      <w:pPr>
        <w:ind w:left="460" w:right="2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65" w:lineRule="exact"/>
        <w:rPr>
          <w:sz w:val="20"/>
          <w:szCs w:val="20"/>
          <w:color w:val="auto"/>
        </w:rPr>
      </w:pPr>
    </w:p>
    <w:p>
      <w:pPr>
        <w:ind w:left="460" w:hanging="452"/>
        <w:spacing w:after="0" w:line="28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43"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20" w:firstLine="571"/>
        <w:spacing w:after="0" w:line="307" w:lineRule="auto"/>
        <w:rPr>
          <w:sz w:val="20"/>
          <w:szCs w:val="20"/>
          <w:color w:val="auto"/>
        </w:rPr>
      </w:pPr>
      <w:r>
        <w:rPr>
          <w:rFonts w:ascii="Arial" w:cs="Arial" w:eastAsia="Arial" w:hAnsi="Arial"/>
          <w:sz w:val="15"/>
          <w:szCs w:val="15"/>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As of September 30, 2016, we had outstanding borrowings of $232.9 million under our Credit Facility with a current interest rate of 2.57% exclusive of the fees on the undrawn commitment. To cover the annual interest on our borrowings of $232.9 million outstanding at September 30, 2016, at the weighted average annual rate of 2.57%, we would have to receive an annual yield of at least 0.98%.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6" w:lineRule="exact"/>
        <w:rPr>
          <w:sz w:val="20"/>
          <w:szCs w:val="20"/>
          <w:color w:val="auto"/>
        </w:rPr>
      </w:pPr>
    </w:p>
    <w:p>
      <w:pPr>
        <w:ind w:right="260" w:firstLine="571"/>
        <w:spacing w:after="0" w:line="254"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September 30, 2016 of 37% of total assets (including such borrowed funds), at the current interest rate at the time of 2.57%,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1"/>
                <w:szCs w:val="11"/>
                <w:color w:val="auto"/>
              </w:rPr>
              <w:t>(1)</w:t>
            </w:r>
          </w:p>
        </w:tc>
        <w:tc>
          <w:tcPr>
            <w:tcW w:w="2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1"/>
                <w:szCs w:val="11"/>
                <w:color w:val="auto"/>
              </w:rPr>
              <w:t>(2)</w:t>
            </w:r>
          </w:p>
        </w:tc>
        <w:tc>
          <w:tcPr>
            <w:tcW w:w="286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1"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77" w:lineRule="auto"/>
        <w:tabs>
          <w:tab w:leader="none" w:pos="2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1"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88"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4"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51"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20"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5"/>
          <w:szCs w:val="15"/>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2"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44"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44"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25"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2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90"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9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62"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90" w:lineRule="exact"/>
        <w:rPr>
          <w:sz w:val="20"/>
          <w:szCs w:val="20"/>
          <w:color w:val="auto"/>
        </w:rPr>
      </w:pPr>
    </w:p>
    <w:p>
      <w:pPr>
        <w:jc w:val="both"/>
        <w:ind w:right="500" w:firstLine="571"/>
        <w:spacing w:after="0" w:line="335" w:lineRule="auto"/>
        <w:rPr>
          <w:sz w:val="20"/>
          <w:szCs w:val="20"/>
          <w:color w:val="auto"/>
        </w:rPr>
      </w:pPr>
      <w:r>
        <w:rPr>
          <w:rFonts w:ascii="Arial" w:cs="Arial" w:eastAsia="Arial" w:hAnsi="Arial"/>
          <w:sz w:val="15"/>
          <w:szCs w:val="15"/>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8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60" w:firstLine="8"/>
        <w:spacing w:after="0" w:line="290" w:lineRule="auto"/>
        <w:tabs>
          <w:tab w:leader="none" w:pos="3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8"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45"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3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80" w:firstLine="571"/>
        <w:spacing w:after="0" w:line="294" w:lineRule="auto"/>
        <w:rPr>
          <w:sz w:val="20"/>
          <w:szCs w:val="20"/>
          <w:color w:val="auto"/>
        </w:rPr>
      </w:pPr>
      <w:r>
        <w:rPr>
          <w:rFonts w:ascii="Arial" w:cs="Arial" w:eastAsia="Arial" w:hAnsi="Arial"/>
          <w:sz w:val="16"/>
          <w:szCs w:val="16"/>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invest in over-the-counter securities, which have and may continue to face liquidity constraints, to provide us with liquidity.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We intend to invest primarily in Floating Rate Loans, which may consist of senior secured debt and mezzanine debt, and, to a lesser extent, equity investments issued by U.S. middle-market companies.</w:t>
      </w:r>
    </w:p>
    <w:p>
      <w:pPr>
        <w:spacing w:after="0" w:line="118" w:lineRule="exact"/>
        <w:rPr>
          <w:sz w:val="20"/>
          <w:szCs w:val="20"/>
          <w:color w:val="auto"/>
        </w:rPr>
      </w:pPr>
    </w:p>
    <w:p>
      <w:pPr>
        <w:ind w:left="920" w:right="140" w:hanging="345"/>
        <w:spacing w:after="0" w:line="289"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Floating Rate Loans: </w:t>
      </w:r>
      <w:r>
        <w:rPr>
          <w:rFonts w:ascii="Arial" w:cs="Arial" w:eastAsia="Arial" w:hAnsi="Arial"/>
          <w:sz w:val="16"/>
          <w:szCs w:val="16"/>
          <w:color w:val="auto"/>
        </w:rPr>
        <w:t>The Floating Rate Loans we invest in are usually rated below investment grade or may also be unrated.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91" w:lineRule="exact"/>
        <w:rPr>
          <w:rFonts w:ascii="Arial" w:cs="Arial" w:eastAsia="Arial" w:hAnsi="Arial"/>
          <w:sz w:val="16"/>
          <w:szCs w:val="16"/>
          <w:color w:val="auto"/>
        </w:rPr>
      </w:pPr>
    </w:p>
    <w:p>
      <w:pPr>
        <w:ind w:left="920" w:right="60"/>
        <w:spacing w:after="0" w:line="288" w:lineRule="auto"/>
        <w:rPr>
          <w:rFonts w:ascii="Arial" w:cs="Arial" w:eastAsia="Arial" w:hAnsi="Arial"/>
          <w:sz w:val="16"/>
          <w:szCs w:val="16"/>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11" w:lineRule="exact"/>
        <w:rPr>
          <w:sz w:val="20"/>
          <w:szCs w:val="20"/>
          <w:color w:val="auto"/>
        </w:rPr>
      </w:pPr>
    </w:p>
    <w:p>
      <w:pPr>
        <w:ind w:left="920" w:hanging="345"/>
        <w:spacing w:after="0" w:line="288"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Debt: </w:t>
      </w:r>
      <w:r>
        <w:rPr>
          <w:rFonts w:ascii="Arial" w:cs="Arial" w:eastAsia="Arial" w:hAnsi="Arial"/>
          <w:sz w:val="16"/>
          <w:szCs w:val="16"/>
          <w:color w:val="auto"/>
        </w:rPr>
        <w:t>When we extend senior secured debt, which we define to include first lien debt, we will generally take a security interest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920" w:right="60" w:hanging="345"/>
        <w:spacing w:after="0" w:line="290"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hanging="345"/>
        <w:spacing w:after="0" w:line="289" w:lineRule="auto"/>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212" w:lineRule="exact"/>
        <w:rPr>
          <w:sz w:val="20"/>
          <w:szCs w:val="20"/>
          <w:color w:val="auto"/>
        </w:rPr>
      </w:pPr>
    </w:p>
    <w:p>
      <w:pPr>
        <w:jc w:val="both"/>
        <w:ind w:left="900" w:right="1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80"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8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25"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5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13"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4"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72"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01"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439"/>
        <w:spacing w:after="0" w:line="323" w:lineRule="auto"/>
        <w:rPr>
          <w:sz w:val="20"/>
          <w:szCs w:val="20"/>
          <w:color w:val="auto"/>
        </w:rPr>
      </w:pPr>
      <w:r>
        <w:rPr>
          <w:rFonts w:ascii="Arial" w:cs="Arial" w:eastAsia="Arial" w:hAnsi="Arial"/>
          <w:sz w:val="15"/>
          <w:szCs w:val="15"/>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25"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5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3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9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7"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6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Our shares closed on the NASDAQ Global Select Market at $13.23 and $11.94 on September 30, 2016 and 2015, respectively. Our NAV per share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$14.06 and $13.95 for the same periods. The possibility that our shares of common stock will trade at a discount from NAV or at a premium that is unsustainable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is separate and distinct from the risk that our NAV will decrease. It is not possible to predict whether our shares will trade at, above or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in the future.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72" w:lineRule="exact"/>
        <w:rPr>
          <w:sz w:val="20"/>
          <w:szCs w:val="20"/>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11"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w:t>
      </w:r>
    </w:p>
    <w:p>
      <w:pPr>
        <w:spacing w:after="0" w:line="22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6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As of September 30, 2016, we had $232.9 million in borrowings outstanding under our $350 million multi-currency Credit Facility. Borrowings under our Credit Facility bear interest at LIBOR plus 200 basis points per annum during the revolving period, and the rate resets to LIBOR plus 425 basis points per annum for the remaining two years. At September 30, 2016, the interest rate was 2.57% exclusive of the fees on the undrawn commitment. The Credit Facility is a revolving facility maturing in August 2020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44"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80" w:firstLine="571"/>
        <w:spacing w:after="0" w:line="256"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89"/>
              </w:rPr>
              <w:t>For the years ended September 30,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29"/>
        </w:trPr>
        <w:tc>
          <w:tcPr>
            <w:tcW w:w="7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$ 46,301</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$ 30,355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$ 30,357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$ 18,867</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$ 12,099</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18,965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12,695</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13,721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5,789</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27,336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17,660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16,636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6,310</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6,153</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(5,156)</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1,461</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5,651</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33,489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12,504</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20,514</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11,985</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11,961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13.95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13.98</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0.92</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(1)</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0.23</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(0.31)</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0.77</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1.75</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Distributions declared </w:t>
            </w:r>
            <w:r>
              <w:rPr>
                <w:rFonts w:ascii="Arial" w:cs="Arial" w:eastAsia="Arial" w:hAnsi="Arial"/>
                <w:sz w:val="17"/>
                <w:szCs w:val="17"/>
                <w:color w:val="auto"/>
                <w:vertAlign w:val="superscript"/>
              </w:rPr>
              <w:t>(1), (2)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Assets and Liabilities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631,420</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8"/>
              </w:rPr>
              <w:t>416,120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372,874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328,802</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178,367</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598,888</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391,312</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348,428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317,804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171,834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Credit Facility payable </w:t>
            </w:r>
            <w:r>
              <w:rPr>
                <w:rFonts w:ascii="Arial" w:cs="Arial" w:eastAsia="Arial" w:hAnsi="Arial"/>
                <w:sz w:val="17"/>
                <w:szCs w:val="17"/>
                <w:color w:val="auto"/>
                <w:vertAlign w:val="superscript"/>
              </w:rPr>
              <w:t>(3)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232,389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29,600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146,949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99,600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75,123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375,907</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372,890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214,528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210,066</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95,744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(4)</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17.17%</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29.43%</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w:t>
            </w:r>
            <w:r>
              <w:rPr>
                <w:rFonts w:ascii="Arial" w:cs="Arial" w:eastAsia="Arial" w:hAnsi="Arial"/>
                <w:sz w:val="17"/>
                <w:szCs w:val="17"/>
                <w:color w:val="auto"/>
                <w:vertAlign w:val="superscript"/>
              </w:rPr>
              <w:t>(5)</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r>
      <w:tr>
        <w:trPr>
          <w:trHeight w:val="278"/>
        </w:trPr>
        <w:tc>
          <w:tcPr>
            <w:tcW w:w="734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22"/>
                <w:szCs w:val="22"/>
                <w:color w:val="auto"/>
                <w:vertAlign w:val="superscript"/>
              </w:rPr>
              <w:t>(5)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7.8%</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7.9%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8.1%</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86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580" w:hanging="572"/>
        <w:spacing w:after="0" w:line="185" w:lineRule="auto"/>
        <w:tabs>
          <w:tab w:leader="none" w:pos="580" w:val="left"/>
        </w:tabs>
        <w:numPr>
          <w:ilvl w:val="0"/>
          <w:numId w:val="37"/>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580" w:right="140" w:hanging="572"/>
        <w:spacing w:after="0" w:line="182" w:lineRule="auto"/>
        <w:tabs>
          <w:tab w:leader="none" w:pos="58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The tax status of our distributions is calculated in accordance with income tax regulations, which may differ from amounts determined under GAAP and is reported on Form 1099-DIV each calendar year.</w:t>
      </w:r>
    </w:p>
    <w:p>
      <w:pPr>
        <w:ind w:left="580" w:hanging="572"/>
        <w:spacing w:after="0" w:line="182" w:lineRule="auto"/>
        <w:tabs>
          <w:tab w:leader="none" w:pos="580" w:val="left"/>
        </w:tabs>
        <w:numPr>
          <w:ilvl w:val="0"/>
          <w:numId w:val="37"/>
        </w:numPr>
        <w:rPr>
          <w:rFonts w:ascii="Arial" w:cs="Arial" w:eastAsia="Arial" w:hAnsi="Arial"/>
          <w:sz w:val="17"/>
          <w:szCs w:val="17"/>
          <w:color w:val="auto"/>
          <w:vertAlign w:val="superscript"/>
        </w:rPr>
      </w:pPr>
      <w:r>
        <w:rPr>
          <w:rFonts w:ascii="Arial" w:cs="Arial" w:eastAsia="Arial" w:hAnsi="Arial"/>
          <w:sz w:val="11"/>
          <w:szCs w:val="11"/>
          <w:color w:val="auto"/>
        </w:rPr>
        <w:t>At fair value.</w:t>
      </w:r>
    </w:p>
    <w:p>
      <w:pPr>
        <w:ind w:left="580" w:hanging="572"/>
        <w:spacing w:after="0" w:line="182" w:lineRule="auto"/>
        <w:tabs>
          <w:tab w:leader="none" w:pos="580" w:val="left"/>
        </w:tabs>
        <w:numPr>
          <w:ilvl w:val="0"/>
          <w:numId w:val="37"/>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580" w:hanging="572"/>
        <w:spacing w:after="0" w:line="185" w:lineRule="auto"/>
        <w:tabs>
          <w:tab w:leader="none" w:pos="580" w:val="left"/>
        </w:tabs>
        <w:numPr>
          <w:ilvl w:val="0"/>
          <w:numId w:val="37"/>
        </w:numPr>
        <w:rPr>
          <w:rFonts w:ascii="Arial" w:cs="Arial" w:eastAsia="Arial" w:hAnsi="Arial"/>
          <w:sz w:val="18"/>
          <w:szCs w:val="18"/>
          <w:color w:val="auto"/>
          <w:vertAlign w:val="superscript"/>
        </w:rPr>
      </w:pPr>
      <w:r>
        <w:rPr>
          <w:rFonts w:ascii="Arial" w:cs="Arial" w:eastAsia="Arial" w:hAnsi="Arial"/>
          <w:sz w:val="12"/>
          <w:szCs w:val="12"/>
          <w:color w:val="auto"/>
        </w:rPr>
        <w:t>Unaudited, at year end.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15,396</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10,803</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8,155</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6,830</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7,265</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5,086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7,732</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(3,339)</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15,887</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13,419</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2,436</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1,747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13.54</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11.70</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7,104</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3,639</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4,456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5,468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(2,424)</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1,668</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(5,030)</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1,215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4,727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6,124</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0.41</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8,221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7,669</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7,623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5,320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4,363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3,725</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3,228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(3,043)</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3,513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2,278</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4,942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7,237</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6,057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0.49</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14.40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14.24</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13.82</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8"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right="80" w:firstLine="571"/>
        <w:spacing w:after="0" w:line="318" w:lineRule="auto"/>
        <w:rPr>
          <w:sz w:val="20"/>
          <w:szCs w:val="20"/>
          <w:color w:val="auto"/>
        </w:rPr>
      </w:pPr>
      <w:r>
        <w:rPr>
          <w:rFonts w:ascii="Arial" w:cs="Arial" w:eastAsia="Arial" w:hAnsi="Arial"/>
          <w:sz w:val="15"/>
          <w:szCs w:val="15"/>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00"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314"/>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300" w:firstLine="571"/>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01"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20" w:type="dxa"/>
            <w:vAlign w:val="bottom"/>
            <w:gridSpan w:val="2"/>
          </w:tcPr>
          <w:p>
            <w:pPr>
              <w:ind w:left="1200"/>
              <w:spacing w:after="0"/>
              <w:rPr>
                <w:sz w:val="20"/>
                <w:szCs w:val="20"/>
                <w:color w:val="auto"/>
              </w:rPr>
            </w:pPr>
            <w:r>
              <w:rPr>
                <w:rFonts w:ascii="Arial" w:cs="Arial" w:eastAsia="Arial" w:hAnsi="Arial"/>
                <w:sz w:val="18"/>
                <w:szCs w:val="18"/>
                <w:b w:val="1"/>
                <w:bCs w:val="1"/>
                <w:color w:val="auto"/>
                <w:w w:val="87"/>
              </w:rPr>
              <w:t>Estimated Annual Expenses (as a Percentage of Average Total Assets</w:t>
            </w:r>
            <w:r>
              <w:rPr>
                <w:rFonts w:ascii="Arial" w:cs="Arial" w:eastAsia="Arial" w:hAnsi="Arial"/>
                <w:sz w:val="11"/>
                <w:szCs w:val="11"/>
                <w:b w:val="1"/>
                <w:bCs w:val="1"/>
                <w:color w:val="auto"/>
                <w:w w:val="87"/>
              </w:rPr>
              <w:t>(1)</w:t>
            </w:r>
            <w:r>
              <w:rPr>
                <w:rFonts w:ascii="Arial" w:cs="Arial" w:eastAsia="Arial" w:hAnsi="Arial"/>
                <w:sz w:val="18"/>
                <w:szCs w:val="18"/>
                <w:b w:val="1"/>
                <w:bCs w:val="1"/>
                <w:color w:val="auto"/>
                <w:w w:val="87"/>
              </w:rPr>
              <w:t>)</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780" w:type="dxa"/>
            <w:vAlign w:val="bottom"/>
          </w:tcPr>
          <w:p>
            <w:pPr>
              <w:jc w:val="right"/>
              <w:spacing w:after="0"/>
              <w:rPr>
                <w:sz w:val="20"/>
                <w:szCs w:val="20"/>
                <w:color w:val="auto"/>
              </w:rPr>
            </w:pPr>
            <w:r>
              <w:rPr>
                <w:rFonts w:ascii="Arial" w:cs="Arial" w:eastAsia="Arial" w:hAnsi="Arial"/>
                <w:sz w:val="18"/>
                <w:szCs w:val="18"/>
                <w:color w:val="auto"/>
              </w:rPr>
              <w:t xml:space="preserve">0.90 % </w:t>
            </w:r>
            <w:r>
              <w:rPr>
                <w:rFonts w:ascii="Arial" w:cs="Arial" w:eastAsia="Arial" w:hAnsi="Arial"/>
                <w:sz w:val="11"/>
                <w:szCs w:val="11"/>
                <w:color w:val="auto"/>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1.09 % </w:t>
            </w:r>
            <w:r>
              <w:rPr>
                <w:rFonts w:ascii="Arial" w:cs="Arial" w:eastAsia="Arial" w:hAnsi="Arial"/>
                <w:sz w:val="11"/>
                <w:szCs w:val="11"/>
                <w:color w:val="auto"/>
              </w:rPr>
              <w:t>(4)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expenses</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0.62 % </w:t>
            </w:r>
            <w:r>
              <w:rPr>
                <w:rFonts w:ascii="Arial" w:cs="Arial" w:eastAsia="Arial" w:hAnsi="Arial"/>
                <w:sz w:val="11"/>
                <w:szCs w:val="11"/>
                <w:color w:val="auto"/>
              </w:rPr>
              <w:t>(5)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3.61 % </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Average total assets attributable to common shares equals average gross assets for the fiscal year ended September 30, 2016.</w:t>
      </w:r>
    </w:p>
    <w:p>
      <w:pPr>
        <w:spacing w:after="0" w:line="68"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40" w:hanging="332"/>
        <w:spacing w:after="0" w:line="266"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20" w:hanging="332"/>
        <w:spacing w:after="0" w:line="273"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for the fiscal year ended September 30,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93"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8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7" w:lineRule="exact"/>
        <w:rPr>
          <w:sz w:val="20"/>
          <w:szCs w:val="20"/>
          <w:color w:val="auto"/>
        </w:rPr>
      </w:pPr>
    </w:p>
    <w:p>
      <w:pPr>
        <w:ind w:left="900" w:right="4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9"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9"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58" w:lineRule="exact"/>
        <w:rPr>
          <w:sz w:val="20"/>
          <w:szCs w:val="20"/>
          <w:color w:val="auto"/>
        </w:rPr>
      </w:pPr>
    </w:p>
    <w:p>
      <w:pPr>
        <w:ind w:left="1700" w:right="1660" w:hanging="769"/>
        <w:spacing w:after="0" w:line="268" w:lineRule="auto"/>
        <w:tabs>
          <w:tab w:leader="none" w:pos="16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700" w:right="940" w:hanging="769"/>
        <w:spacing w:after="0" w:line="306"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700" w:right="1380" w:hanging="769"/>
        <w:spacing w:after="0" w:line="268" w:lineRule="auto"/>
        <w:tabs>
          <w:tab w:leader="none" w:pos="16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0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2015 and 2014, our Credit Facility had a net change in unrealized depreciation (appreciation) of $0.5 million,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67" w:lineRule="exact"/>
        <w:rPr>
          <w:sz w:val="20"/>
          <w:szCs w:val="20"/>
          <w:color w:val="auto"/>
        </w:rPr>
      </w:pPr>
    </w:p>
    <w:p>
      <w:pPr>
        <w:ind w:left="1100" w:hanging="179"/>
        <w:spacing w:after="0"/>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67" w:lineRule="exact"/>
        <w:rPr>
          <w:rFonts w:ascii="Arial" w:cs="Arial" w:eastAsia="Arial" w:hAnsi="Arial"/>
          <w:sz w:val="16"/>
          <w:szCs w:val="16"/>
          <w:color w:val="auto"/>
        </w:rPr>
      </w:pPr>
    </w:p>
    <w:p>
      <w:pPr>
        <w:ind w:left="1100" w:hanging="179"/>
        <w:spacing w:after="0"/>
        <w:tabs>
          <w:tab w:leader="none" w:pos="11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179"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for federal income tax purposes, to provide us with additional liquidity.</w:t>
      </w:r>
    </w:p>
    <w:p>
      <w:pPr>
        <w:spacing w:after="0" w:line="91"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certain portfolio companies treated as pass-through entities for U.S. federal income tax purposes while continuing to satisfy the requirements of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fiscal years ended September 30, 2016, 2015 and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jc w:val="both"/>
        <w:ind w:right="180" w:firstLine="571"/>
        <w:spacing w:after="0" w:line="335" w:lineRule="auto"/>
        <w:rPr>
          <w:sz w:val="20"/>
          <w:szCs w:val="20"/>
          <w:color w:val="auto"/>
        </w:rPr>
      </w:pPr>
      <w:r>
        <w:rPr>
          <w:rFonts w:ascii="Arial" w:cs="Arial" w:eastAsia="Arial" w:hAnsi="Arial"/>
          <w:sz w:val="15"/>
          <w:szCs w:val="15"/>
          <w:color w:val="auto"/>
        </w:rPr>
        <w:t>Investment income for the fiscal year ended September 30, 2016 was $46.3 million and was attributable to $36.4 million from senior secured debt, $6.1 million from second lien secured debt and $3.8 million from subordinated debt (including $3.3 million from a litigation settlement related to a former portfolio company of MCG that is not expected to be recurring). The increase in investment income over the prior year was primarily due to the growth of our portfolio.</w:t>
      </w:r>
    </w:p>
    <w:p>
      <w:pPr>
        <w:spacing w:after="0" w:line="6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w:t>
      </w:r>
    </w:p>
    <w:p>
      <w:pPr>
        <w:spacing w:after="0" w:line="11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Investment income for the fiscal year ended September 30, 2014 was $30.4 million and was attributable to $24.5 million from senior secured debt, $4.2 million from second lien secured debt and $1.7 million from subordinated debt.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116"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20" w:firstLine="571"/>
        <w:spacing w:after="0" w:line="335" w:lineRule="auto"/>
        <w:rPr>
          <w:sz w:val="20"/>
          <w:szCs w:val="20"/>
          <w:color w:val="auto"/>
        </w:rPr>
      </w:pPr>
      <w:r>
        <w:rPr>
          <w:rFonts w:ascii="Arial" w:cs="Arial" w:eastAsia="Arial" w:hAnsi="Arial"/>
          <w:sz w:val="15"/>
          <w:szCs w:val="15"/>
          <w:color w:val="auto"/>
        </w:rPr>
        <w:t>Net investment income totaled $27.3 million or $1.02 per share, $17.7 million or $1.08 per share and $16.6 million or $1.12 per share, for the fiscal years ended September 30, 2016, 2015 and 2014, respectively. Although the net investment income increased, the net investment income per share for fiscal year ended September 30, 2016 decreased compared to the prior year primarily due to the issuance of new shares in connection with our acquisition of MCG in August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2016, 2015 and 2014 totaled $164.2 million, $195.0 million and $225.6 million, respectively. Net realized (losses) gains totaled $(1.4) million, $0.4 million and $2.9 million for the same periods, respectively. The decrease in realized gains for fiscal year ended September 30, 2016 compared to the prior year was driven by changes in market conditions for our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For the fiscal years ended September 30, 2016, 2015 and 2014, we reported unrealized appreciation (depreciation) on investments of $7.0 million, $(6.1) million and $1.6 million, respectively. As of September 30, 2016 and 2015, net unrealized appreciation (depreciation) on investments totaled $1.0 million and $(6.0) million,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w:t>
      </w:r>
    </w:p>
    <w:p>
      <w:pPr>
        <w:spacing w:after="0" w:line="116"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For the fiscal years ended September 30, 2016, 2015 and 2014, our Credit Facility had a change in unrealized depreciation (appreciation) of $0.5 million, $0.5 million and $(0.5) million, respectively. As of September 30, 2016 and 2015, net unrealized depreciation on our Credit Facility totaled $0.5 million and zero, respectively. The change for fiscal year ended September 30, 2016 compared to the prior year was due to changes in the capital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Net change in net assets resulting from operations totaled $33.5 million or $1.25 per share, $12.5 million or $0.77 per share and $20.5 million or $1.38 per share, for the fiscal years ended September 30, 2016, 2015 and 2014, respectively. The increase in the net change in net assets from operations for fiscal year ended September 30, 2016 compared to the prior year reflects the change in portfolio investment valuation during the reporting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6" w:lineRule="exact"/>
        <w:rPr>
          <w:sz w:val="20"/>
          <w:szCs w:val="20"/>
          <w:color w:val="auto"/>
        </w:rPr>
      </w:pPr>
    </w:p>
    <w:p>
      <w:pPr>
        <w:ind w:firstLine="571"/>
        <w:spacing w:after="0" w:line="302" w:lineRule="auto"/>
        <w:rPr>
          <w:sz w:val="20"/>
          <w:szCs w:val="20"/>
          <w:color w:val="auto"/>
        </w:rPr>
      </w:pPr>
      <w:r>
        <w:rPr>
          <w:rFonts w:ascii="Arial" w:cs="Arial" w:eastAsia="Arial" w:hAnsi="Arial"/>
          <w:sz w:val="15"/>
          <w:szCs w:val="15"/>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0.375% and 0.75% as of September 30, 2016 and 2015, respectively. The annualized weighted average cost of debt for the fiscal years ended September 30, 2016, 2015 and 2014, inclusive of the fee on the undrawn commitment on the Credit Facility but excluding amendment costs, was 3.51%, 2.62% and 2.35%, respectively. As of September 30, 2016 and 2015, we had $117.1 million and $260.4 million of unused borrowing capacity under our Credit Facility, respectively, subject to the regulatory restrictions.</w:t>
      </w:r>
    </w:p>
    <w:p>
      <w:pPr>
        <w:spacing w:after="0" w:line="11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89"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3"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93"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2016, 2015 and 2014, we issued zero, 11.8 million and zero shares, respectively. As a result, we raised approximately zero, $164.7 million and zero dollars in gross proceeds from issuances of our equity capital.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4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14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2016, including borrowings under our Credit Facility and other contractual obligations,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4"/>
              </w:rPr>
              <w:t>Payments due by period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500"/>
              <w:spacing w:after="0" w:line="129"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3-5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80"/>
              <w:spacing w:after="0" w:line="129" w:lineRule="exact"/>
              <w:rPr>
                <w:sz w:val="20"/>
                <w:szCs w:val="20"/>
                <w:color w:val="auto"/>
              </w:rPr>
            </w:pPr>
            <w:r>
              <w:rPr>
                <w:rFonts w:ascii="Arial" w:cs="Arial" w:eastAsia="Arial" w:hAnsi="Arial"/>
                <w:sz w:val="14"/>
                <w:szCs w:val="14"/>
                <w:b w:val="1"/>
                <w:bCs w:val="1"/>
                <w:color w:val="auto"/>
              </w:rPr>
              <w:t>More than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Unfunded investments are disclosed in the Consolidated Schedule of Investments and Note 12 of our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generally at least equal to 90% of the sum of our ordinary income and realized net short-term capital gains in excess of realized net long-term capital losses, or investment company taxable income, determined without regard to any deduction for dividends paid.</w:t>
      </w:r>
    </w:p>
    <w:p>
      <w:pPr>
        <w:spacing w:after="0" w:line="8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91"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During the years ended September 30, 2016, 2015 and 2014, we declared distributions of $1.14, $1.12 and $1.08 per share, respectively, for total distributions of $30.5 million, $18.9 million and $16.1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89"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tax status. We cannot assure stockholders that they will receive any distributions at a particular level.</w:t>
      </w:r>
    </w:p>
    <w:p>
      <w:pPr>
        <w:spacing w:after="0" w:line="8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3"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4960" w:type="dxa"/>
            <w:vAlign w:val="bottom"/>
            <w:gridSpan w:val="3"/>
          </w:tcPr>
          <w:p>
            <w:pPr>
              <w:ind w:left="3860"/>
              <w:spacing w:after="0"/>
              <w:rPr>
                <w:sz w:val="20"/>
                <w:szCs w:val="20"/>
                <w:color w:val="auto"/>
              </w:rPr>
            </w:pPr>
            <w:r>
              <w:rPr>
                <w:rFonts w:ascii="Arial" w:cs="Arial" w:eastAsia="Arial" w:hAnsi="Arial"/>
                <w:sz w:val="14"/>
                <w:szCs w:val="14"/>
                <w:b w:val="1"/>
                <w:bCs w:val="1"/>
                <w:color w:val="auto"/>
                <w:w w:val="88"/>
              </w:rPr>
              <w:t>Change In Interest</w:t>
            </w:r>
          </w:p>
        </w:tc>
        <w:tc>
          <w:tcPr>
            <w:tcW w:w="2180" w:type="dxa"/>
            <w:vAlign w:val="bottom"/>
            <w:gridSpan w:val="4"/>
          </w:tcPr>
          <w:p>
            <w:pPr>
              <w:ind w:left="980"/>
              <w:spacing w:after="0"/>
              <w:rPr>
                <w:sz w:val="20"/>
                <w:szCs w:val="20"/>
                <w:color w:val="auto"/>
              </w:rPr>
            </w:pPr>
            <w:r>
              <w:rPr>
                <w:rFonts w:ascii="Arial" w:cs="Arial" w:eastAsia="Arial" w:hAnsi="Arial"/>
                <w:sz w:val="14"/>
                <w:szCs w:val="14"/>
                <w:b w:val="1"/>
                <w:bCs w:val="1"/>
                <w:color w:val="auto"/>
                <w:w w:val="96"/>
              </w:rPr>
              <w:t>Change In Interest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8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98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9"/>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3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3,858</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960" w:type="dxa"/>
            <w:vAlign w:val="bottom"/>
            <w:gridSpan w:val="2"/>
            <w:shd w:val="clear" w:color="auto" w:fill="CCEEFF"/>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11,156</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Information about our senior securities shown in the following table as of September 30,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line="189" w:lineRule="exact"/>
              <w:rPr>
                <w:sz w:val="20"/>
                <w:szCs w:val="20"/>
                <w:color w:val="auto"/>
              </w:rPr>
            </w:pPr>
            <w:r>
              <w:rPr>
                <w:rFonts w:ascii="Arial" w:cs="Arial" w:eastAsia="Arial" w:hAnsi="Arial"/>
                <w:sz w:val="13"/>
                <w:szCs w:val="13"/>
                <w:b w:val="1"/>
                <w:bCs w:val="1"/>
                <w:color w:val="auto"/>
                <w:w w:val="97"/>
              </w:rPr>
              <w:t xml:space="preserve">per Unit </w:t>
            </w:r>
            <w:r>
              <w:rPr>
                <w:rFonts w:ascii="Arial" w:cs="Arial" w:eastAsia="Arial" w:hAnsi="Arial"/>
                <w:sz w:val="21"/>
                <w:szCs w:val="21"/>
                <w:b w:val="1"/>
                <w:bCs w:val="1"/>
                <w:color w:val="auto"/>
                <w:w w:val="97"/>
                <w:vertAlign w:val="superscript"/>
              </w:rPr>
              <w:t>(2)</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$232,908</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$146,400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$99,600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$75,500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$24,650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2014. On January 13, 2017, the last reported closing price of our common stock was $14.10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Premium /</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Premium /</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(Discount)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(Discount)</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Closing Sales Price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5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11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Price to</w:t>
            </w:r>
          </w:p>
        </w:tc>
        <w:tc>
          <w:tcPr>
            <w:tcW w:w="1080" w:type="dxa"/>
            <w:vAlign w:val="bottom"/>
            <w:gridSpan w:val="2"/>
            <w:vMerge w:val="restart"/>
          </w:tcPr>
          <w:p>
            <w:pPr>
              <w:jc w:val="right"/>
              <w:ind w:right="320"/>
              <w:spacing w:after="0" w:line="135" w:lineRule="exact"/>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35"/>
        </w:trPr>
        <w:tc>
          <w:tcPr>
            <w:tcW w:w="300" w:type="dxa"/>
            <w:vAlign w:val="bottom"/>
          </w:tcPr>
          <w:p>
            <w:pPr>
              <w:spacing w:after="0"/>
              <w:rPr>
                <w:sz w:val="3"/>
                <w:szCs w:val="3"/>
                <w:color w:val="auto"/>
              </w:rPr>
            </w:pPr>
          </w:p>
        </w:tc>
        <w:tc>
          <w:tcPr>
            <w:tcW w:w="5500" w:type="dxa"/>
            <w:vAlign w:val="bottom"/>
          </w:tcPr>
          <w:p>
            <w:pPr>
              <w:spacing w:after="0"/>
              <w:rPr>
                <w:sz w:val="3"/>
                <w:szCs w:val="3"/>
                <w:color w:val="auto"/>
              </w:rPr>
            </w:pPr>
          </w:p>
        </w:tc>
        <w:tc>
          <w:tcPr>
            <w:tcW w:w="660" w:type="dxa"/>
            <w:vAlign w:val="bottom"/>
            <w:gridSpan w:val="2"/>
            <w:vMerge w:val="restart"/>
          </w:tcPr>
          <w:p>
            <w:pPr>
              <w:jc w:val="right"/>
              <w:ind w:right="200"/>
              <w:spacing w:after="0" w:line="197" w:lineRule="exact"/>
              <w:rPr>
                <w:sz w:val="20"/>
                <w:szCs w:val="20"/>
                <w:color w:val="auto"/>
              </w:rPr>
            </w:pPr>
            <w:r>
              <w:rPr>
                <w:rFonts w:ascii="Arial" w:cs="Arial" w:eastAsia="Arial" w:hAnsi="Arial"/>
                <w:sz w:val="22"/>
                <w:szCs w:val="22"/>
                <w:b w:val="1"/>
                <w:bCs w:val="1"/>
                <w:color w:val="auto"/>
                <w:vertAlign w:val="subscript"/>
              </w:rPr>
              <w:t>NAV</w:t>
            </w:r>
            <w:r>
              <w:rPr>
                <w:rFonts w:ascii="Arial" w:cs="Arial" w:eastAsia="Arial" w:hAnsi="Arial"/>
                <w:sz w:val="10"/>
                <w:szCs w:val="10"/>
                <w:b w:val="1"/>
                <w:bCs w:val="1"/>
                <w:color w:val="auto"/>
              </w:rPr>
              <w:t>(1)</w:t>
            </w:r>
          </w:p>
        </w:tc>
        <w:tc>
          <w:tcPr>
            <w:tcW w:w="1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Second quarter (through January 13, 2017)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 N/A</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$14.17</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  0.0950</w:t>
            </w:r>
            <w:r>
              <w:rPr>
                <w:rFonts w:ascii="Arial" w:cs="Arial" w:eastAsia="Arial" w:hAnsi="Arial"/>
                <w:sz w:val="11"/>
                <w:szCs w:val="11"/>
                <w:color w:val="auto"/>
                <w:w w:val="99"/>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14.17</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12.44</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13.26</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12.54</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12.51</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11.58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11.70</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12.42</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10.79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14.30</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11.35</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14.48</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14.16</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13.25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12.98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060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12" w:lineRule="exact"/>
        <w:rPr>
          <w:sz w:val="20"/>
          <w:szCs w:val="20"/>
          <w:color w:val="auto"/>
        </w:rPr>
      </w:pPr>
    </w:p>
    <w:p>
      <w:pPr>
        <w:ind w:left="220" w:right="80" w:hanging="212"/>
        <w:spacing w:after="0" w:line="230"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as the respective high or low closing sales price less NAV per share, divided by the quarter-end NAV per share.</w:t>
      </w: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a dividend of $0.0950 per share payable on February 1, 2017 to stockholders of record as of January 20, 2017.</w:t>
      </w:r>
    </w:p>
    <w:p>
      <w:pPr>
        <w:spacing w:after="0" w:line="113"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January 13, 2017 we had 41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660" w:right="200" w:hanging="314"/>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40" w:hanging="314"/>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0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1,000,000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4"/>
              </w:rPr>
              <w:t>1,050,000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6"/>
              </w:rPr>
              <w:t>5.00 %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1,100,000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1,250,000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(9.00)%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99,800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99,100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80"/>
              <w:spacing w:after="0"/>
              <w:rPr>
                <w:sz w:val="20"/>
                <w:szCs w:val="20"/>
                <w:color w:val="auto"/>
              </w:rPr>
            </w:pPr>
            <w:r>
              <w:rPr>
                <w:rFonts w:ascii="Arial" w:cs="Arial" w:eastAsia="Arial" w:hAnsi="Arial"/>
                <w:sz w:val="18"/>
                <w:szCs w:val="18"/>
                <w:color w:val="auto"/>
                <w:w w:val="79"/>
              </w:rPr>
              <w:t>50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37" w:lineRule="exact"/>
        <w:rPr>
          <w:sz w:val="20"/>
          <w:szCs w:val="20"/>
          <w:color w:val="auto"/>
        </w:rPr>
      </w:pPr>
    </w:p>
    <w:p>
      <w:pPr>
        <w:ind w:left="440" w:right="42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86"/>
              </w:rPr>
              <w:t>Example 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9"/>
              </w:rPr>
              <w:t>Example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80" w:type="dxa"/>
            <w:vAlign w:val="bottom"/>
            <w:gridSpan w:val="4"/>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4"/>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4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Sale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880" w:type="dxa"/>
            <w:vAlign w:val="bottom"/>
          </w:tcPr>
          <w:p>
            <w:pPr>
              <w:jc w:val="right"/>
              <w:ind w:right="62"/>
              <w:spacing w:after="0"/>
              <w:rPr>
                <w:sz w:val="20"/>
                <w:szCs w:val="20"/>
                <w:color w:val="auto"/>
              </w:rPr>
            </w:pPr>
            <w:r>
              <w:rPr>
                <w:rFonts w:ascii="Arial" w:cs="Arial" w:eastAsia="Arial" w:hAnsi="Arial"/>
                <w:sz w:val="18"/>
                <w:szCs w:val="18"/>
                <w:color w:val="auto"/>
                <w:w w:val="89"/>
              </w:rPr>
              <w:t>$ 100,000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
              <w:spacing w:after="0"/>
              <w:rPr>
                <w:sz w:val="20"/>
                <w:szCs w:val="20"/>
                <w:color w:val="auto"/>
              </w:rPr>
            </w:pPr>
            <w:r>
              <w:rPr>
                <w:rFonts w:ascii="Arial" w:cs="Arial" w:eastAsia="Arial" w:hAnsi="Arial"/>
                <w:sz w:val="18"/>
                <w:szCs w:val="18"/>
                <w:color w:val="auto"/>
                <w:w w:val="89"/>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right="27"/>
              <w:spacing w:after="0"/>
              <w:rPr>
                <w:sz w:val="20"/>
                <w:szCs w:val="20"/>
                <w:color w:val="auto"/>
              </w:rPr>
            </w:pPr>
            <w:r>
              <w:rPr>
                <w:rFonts w:ascii="Arial" w:cs="Arial" w:eastAsia="Arial" w:hAnsi="Arial"/>
                <w:sz w:val="18"/>
                <w:szCs w:val="18"/>
                <w:color w:val="auto"/>
                <w:w w:val="86"/>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27"/>
              <w:spacing w:after="0"/>
              <w:rPr>
                <w:sz w:val="20"/>
                <w:szCs w:val="20"/>
                <w:color w:val="auto"/>
              </w:rPr>
            </w:pPr>
            <w:r>
              <w:rPr>
                <w:rFonts w:ascii="Arial" w:cs="Arial" w:eastAsia="Arial" w:hAnsi="Arial"/>
                <w:sz w:val="18"/>
                <w:szCs w:val="18"/>
                <w:color w:val="auto"/>
                <w:w w:val="89"/>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8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7"/>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-632460</wp:posOffset>
            </wp:positionV>
            <wp:extent cx="7246620" cy="3175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1270</wp:posOffset>
            </wp:positionV>
            <wp:extent cx="7246620"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4500" w:space="280"/>
            <w:col w:w="6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9.91</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Investment per share held by stockholder A (assumed to be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   10.00</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6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440"/>
              <w:spacing w:after="0"/>
              <w:rPr>
                <w:sz w:val="20"/>
                <w:szCs w:val="20"/>
                <w:color w:val="auto"/>
              </w:rPr>
            </w:pPr>
            <w:r>
              <w:rPr>
                <w:rFonts w:ascii="Arial" w:cs="Arial" w:eastAsia="Arial" w:hAnsi="Arial"/>
                <w:sz w:val="18"/>
                <w:szCs w:val="18"/>
                <w:color w:val="auto"/>
                <w:w w:val="94"/>
              </w:rPr>
              <w:t>Dilution per share held by stockholder A (NAV per share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less investment per share)</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(0.09)</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Percentage dilution to stockholder A (dilution per share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divided by investment per share)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(0.20)%</w:t>
            </w:r>
          </w:p>
        </w:tc>
        <w:tc>
          <w:tcPr>
            <w:tcW w:w="3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(0.90)%</w:t>
            </w:r>
          </w:p>
        </w:tc>
        <w:tc>
          <w:tcPr>
            <w:tcW w:w="3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80" w:firstLine="8"/>
        <w:spacing w:after="0" w:line="261"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0" w:type="dxa"/>
            <w:vAlign w:val="bottom"/>
          </w:tcPr>
          <w:p>
            <w:pPr>
              <w:spacing w:after="0"/>
              <w:rPr>
                <w:sz w:val="19"/>
                <w:szCs w:val="19"/>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94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 held by stockholder A</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investment by stockholder A (assumed to be $10.00 per share on shares held prior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9"/>
                <w:szCs w:val="19"/>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held prior 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2</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1,050,000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1,250,000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23,750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Total investment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19,725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(dilution)/accretion to stockholder A (total NAV</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total investment)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4,025</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(Dilution)/accretion per share held by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rPr>
              <w:t>((dilution)/accretion per share divided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18"/>
              <w:spacing w:after="0"/>
              <w:rPr>
                <w:sz w:val="20"/>
                <w:szCs w:val="20"/>
                <w:color w:val="auto"/>
              </w:rPr>
            </w:pPr>
            <w:r>
              <w:rPr>
                <w:rFonts w:ascii="Arial" w:cs="Arial" w:eastAsia="Arial" w:hAnsi="Arial"/>
                <w:sz w:val="18"/>
                <w:szCs w:val="18"/>
                <w:color w:val="auto"/>
                <w:w w:val="89"/>
              </w:rPr>
              <w:t>53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400" w:type="dxa"/>
            <w:vAlign w:val="bottom"/>
            <w:vMerge w:val="restart"/>
          </w:tcPr>
          <w:p>
            <w:pPr>
              <w:spacing w:after="0"/>
              <w:rPr>
                <w:sz w:val="14"/>
                <w:szCs w:val="14"/>
                <w:color w:val="auto"/>
              </w:rPr>
            </w:pPr>
          </w:p>
        </w:tc>
        <w:tc>
          <w:tcPr>
            <w:tcW w:w="416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rPr>
              <w:t>Payment Dates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4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20, 2017</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1, 2017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22,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18,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1, 2016</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September 21,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3,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19,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September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July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August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June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2,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March 18,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18,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March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19,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2, 2015</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September 21,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24,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September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July 22,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15,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May 20,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June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March 20,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18,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March 2,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21,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2,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19, 2014</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2,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19, 2014</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22, 2014</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3, 2014</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860" w:firstLine="571"/>
        <w:spacing w:after="0" w:line="268" w:lineRule="auto"/>
        <w:rPr>
          <w:sz w:val="20"/>
          <w:szCs w:val="20"/>
          <w:color w:val="auto"/>
        </w:rPr>
      </w:pPr>
      <w:r>
        <w:rPr>
          <w:rFonts w:ascii="Arial" w:cs="Arial" w:eastAsia="Arial" w:hAnsi="Arial"/>
          <w:sz w:val="18"/>
          <w:szCs w:val="18"/>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tax characteristics of distributions declared, in accordance with Section 19(a) of the 1940 Act, during the fiscal years ended September 30, 2016 and 2015 from ordinary income (including short-term capital gains) totaled $30.5 million and $17.2 million, or $1.14 and $1.06 per share, respectively, based on the weighted average shares outstanding for the respective periods. Additionally, for the fiscal year ended September 30, 2015, we had long-term capital gain distributions of $1.7 million, or $0.10 per share, based on the weighted average shares outstanding.</w:t>
      </w:r>
    </w:p>
    <w:p>
      <w:pPr>
        <w:spacing w:after="0" w:line="86"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51"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35"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51"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hanging="314"/>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55" w:lineRule="exact"/>
        <w:rPr>
          <w:rFonts w:ascii="Arial" w:cs="Arial" w:eastAsia="Arial" w:hAnsi="Arial"/>
          <w:sz w:val="18"/>
          <w:szCs w:val="18"/>
          <w:color w:val="auto"/>
        </w:rPr>
      </w:pPr>
    </w:p>
    <w:p>
      <w:pPr>
        <w:ind w:left="660" w:right="260" w:hanging="314"/>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 hedge</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CLO funds have withdrawn, and may again withdraw, capital from the middle-market, resulting in opportunities for alternative funding sources.</w:t>
      </w:r>
    </w:p>
    <w:p>
      <w:pPr>
        <w:spacing w:after="0" w:line="51" w:lineRule="exact"/>
        <w:rPr>
          <w:rFonts w:ascii="Arial" w:cs="Arial" w:eastAsia="Arial" w:hAnsi="Arial"/>
          <w:sz w:val="18"/>
          <w:szCs w:val="18"/>
          <w:color w:val="auto"/>
        </w:rPr>
      </w:pPr>
    </w:p>
    <w:p>
      <w:pPr>
        <w:jc w:val="both"/>
        <w:ind w:left="660" w:right="40" w:hanging="314"/>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have reduced lending to middle-market and non-investment grade borrowers. As a result, we believe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180" w:hanging="314"/>
        <w:spacing w:after="0" w:line="30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right="40" w:hanging="314"/>
        <w:spacing w:after="0" w:line="29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32"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jc w:val="both"/>
        <w:ind w:right="100" w:firstLine="571"/>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325"/>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71" w:lineRule="exact"/>
        <w:rPr>
          <w:rFonts w:ascii="Arial" w:cs="Arial" w:eastAsia="Arial" w:hAnsi="Arial"/>
          <w:sz w:val="18"/>
          <w:szCs w:val="18"/>
          <w:color w:val="auto"/>
        </w:rPr>
      </w:pPr>
    </w:p>
    <w:p>
      <w:pPr>
        <w:ind w:left="420" w:hanging="184"/>
        <w:spacing w:after="0"/>
        <w:tabs>
          <w:tab w:leader="none" w:pos="420"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59"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51"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which we believe has resulted in a less competitive environment for making new investments.</w:t>
      </w:r>
    </w:p>
    <w:p>
      <w:pPr>
        <w:spacing w:after="0" w:line="5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As of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$232.9 million outstanding. The annualized weighted average cost of debt for the year ended September 30, 2016, inclusive of the fee on the undrawn commitment on the Credit Facility but excluding amendment costs, was 3.51%. As of September 30, 2016 and 2015, we had $117.1 million and $260.4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$3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20" w:lineRule="exact"/>
        <w:rPr>
          <w:sz w:val="20"/>
          <w:szCs w:val="20"/>
          <w:color w:val="auto"/>
        </w:rPr>
      </w:pPr>
    </w:p>
    <w:p>
      <w:pPr>
        <w:ind w:right="200" w:firstLine="571"/>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Objectives and Policies—Investment Selection Criteria” for more information.</w:t>
      </w:r>
    </w:p>
    <w:p>
      <w:pPr>
        <w:spacing w:after="0" w:line="144"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84" w:lineRule="exact"/>
        <w:rPr>
          <w:sz w:val="20"/>
          <w:szCs w:val="20"/>
          <w:color w:val="auto"/>
        </w:rPr>
      </w:pPr>
    </w:p>
    <w:p>
      <w:pPr>
        <w:ind w:left="1140" w:hanging="335"/>
        <w:spacing w:after="0"/>
        <w:tabs>
          <w:tab w:leader="none" w:pos="114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81" w:lineRule="exact"/>
        <w:rPr>
          <w:sz w:val="20"/>
          <w:szCs w:val="20"/>
          <w:color w:val="auto"/>
        </w:rPr>
      </w:pPr>
    </w:p>
    <w:p>
      <w:pPr>
        <w:ind w:left="1140" w:hanging="335"/>
        <w:spacing w:after="0"/>
        <w:tabs>
          <w:tab w:leader="none" w:pos="114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40" w:hanging="335"/>
        <w:spacing w:after="0"/>
        <w:tabs>
          <w:tab w:leader="none" w:pos="114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40" w:hanging="335"/>
        <w:spacing w:after="0"/>
        <w:tabs>
          <w:tab w:leader="none" w:pos="114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40" w:hanging="335"/>
        <w:spacing w:after="0"/>
        <w:tabs>
          <w:tab w:leader="none" w:pos="114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90" w:lineRule="exact"/>
        <w:rPr>
          <w:sz w:val="20"/>
          <w:szCs w:val="20"/>
          <w:color w:val="auto"/>
        </w:rPr>
      </w:pPr>
    </w:p>
    <w:p>
      <w:pPr>
        <w:ind w:right="500" w:firstLine="571"/>
        <w:spacing w:after="0" w:line="306" w:lineRule="auto"/>
        <w:rPr>
          <w:sz w:val="20"/>
          <w:szCs w:val="20"/>
          <w:color w:val="auto"/>
        </w:rPr>
      </w:pPr>
      <w:r>
        <w:rPr>
          <w:rFonts w:ascii="Arial" w:cs="Arial" w:eastAsia="Arial" w:hAnsi="Arial"/>
          <w:sz w:val="16"/>
          <w:szCs w:val="16"/>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47" w:lineRule="exact"/>
        <w:rPr>
          <w:sz w:val="20"/>
          <w:szCs w:val="20"/>
          <w:color w:val="auto"/>
        </w:rPr>
      </w:pPr>
    </w:p>
    <w:p>
      <w:pPr>
        <w:ind w:left="1140" w:hanging="335"/>
        <w:spacing w:after="0"/>
        <w:tabs>
          <w:tab w:leader="none" w:pos="114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90"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71"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4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85" w:lineRule="exact"/>
        <w:rPr>
          <w:sz w:val="20"/>
          <w:szCs w:val="20"/>
          <w:color w:val="auto"/>
        </w:rPr>
      </w:pPr>
    </w:p>
    <w:p>
      <w:pPr>
        <w:ind w:right="60" w:firstLine="571"/>
        <w:spacing w:after="0" w:line="323" w:lineRule="auto"/>
        <w:rPr>
          <w:sz w:val="20"/>
          <w:szCs w:val="20"/>
          <w:color w:val="auto"/>
        </w:rPr>
      </w:pPr>
      <w:r>
        <w:rPr>
          <w:rFonts w:ascii="Arial" w:cs="Arial" w:eastAsia="Arial" w:hAnsi="Arial"/>
          <w:sz w:val="15"/>
          <w:szCs w:val="15"/>
          <w:color w:val="auto"/>
        </w:rPr>
        <w:t>Typically, our mezzanine debt investments have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9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 w:lineRule="exact"/>
        <w:rPr>
          <w:sz w:val="20"/>
          <w:szCs w:val="20"/>
          <w:color w:val="auto"/>
        </w:rPr>
      </w:pPr>
    </w:p>
    <w:p>
      <w:pPr>
        <w:ind w:left="900" w:right="24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jc w:val="both"/>
        <w:ind w:left="900" w:right="320" w:hanging="325"/>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5"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71"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44"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Aerospace and Defense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Energy/Utilities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Auto Sector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High Tech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w w:val="89"/>
              </w:rPr>
              <w:t>• Home &amp; Office Furnishings, Housewares &amp; 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Consumer Products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Consumer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Mining, Steel, Iron and Non-Precious Metals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Retail</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Education</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Wholesale</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68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pacing w:after="0" w:line="8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Company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AKA Diversified Holdings, Inc.</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1"/>
        </w:trPr>
        <w:tc>
          <w:tcPr>
            <w:tcW w:w="526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Bowlmor AMF Corp.</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32"/>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CRGT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AMF Bowling Centers,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Howard Berger Co.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Instant Web,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Language Line,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 Company,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Novitex Acquisition,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KHC Holdings,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Polyconcept Finance B.V.</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Surgical Specialties Corporation (US),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Triad Manufacturing,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iEnergizer Limited and Aptara, Inc.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Industry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Industry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 Tech Industries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Healthcare and Pharmaceuticals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Business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Consumer Goods: Durable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Retail</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Construction and Building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Hotel, Gaming and Leisure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Goods: Non-Durable</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Media: Advertising, Printing and Publishing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96" w:lineRule="exact"/>
        <w:rPr>
          <w:sz w:val="20"/>
          <w:szCs w:val="20"/>
          <w:color w:val="auto"/>
        </w:rPr>
      </w:pPr>
    </w:p>
    <w:p>
      <w:pPr>
        <w:ind w:right="260" w:firstLine="571"/>
        <w:spacing w:after="0" w:line="323" w:lineRule="auto"/>
        <w:rPr>
          <w:sz w:val="20"/>
          <w:szCs w:val="20"/>
          <w:color w:val="auto"/>
        </w:rPr>
      </w:pPr>
      <w:r>
        <w:rPr>
          <w:rFonts w:ascii="Arial" w:cs="Arial" w:eastAsia="Arial" w:hAnsi="Arial"/>
          <w:sz w:val="15"/>
          <w:szCs w:val="15"/>
          <w:color w:val="auto"/>
        </w:rPr>
        <w:t>The following is a listing of each portfolio company or its affiliate, together referred to as portfolio companies, in which we had an investment as of September 30,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September 30, 2016, there was no portfolio company in which we have made an investment that represents greater than 5% of our total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120" w:type="dxa"/>
            <w:vAlign w:val="bottom"/>
          </w:tcPr>
          <w:p>
            <w:pPr>
              <w:spacing w:after="0"/>
              <w:rPr>
                <w:sz w:val="17"/>
                <w:szCs w:val="17"/>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8"/>
              </w:rPr>
              <w:t>Companies Less than 5% Owned</w:t>
            </w:r>
          </w:p>
        </w:tc>
        <w:tc>
          <w:tcPr>
            <w:tcW w:w="6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8"/>
                <w:szCs w:val="18"/>
                <w:color w:val="auto"/>
              </w:rPr>
            </w:pP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$ 12,601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(TPC Broadband Investors,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08/09/2021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12409 NW 35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Coral Springs, FL 33065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L+700, 10/31/2018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(Affinion International Holdings Limited)</w:t>
            </w:r>
            <w:r>
              <w:rPr>
                <w:rFonts w:ascii="Arial" w:cs="Arial" w:eastAsia="Arial" w:hAnsi="Arial"/>
                <w:sz w:val="11"/>
                <w:szCs w:val="11"/>
                <w:color w:val="auto"/>
                <w:w w:val="97"/>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Subordinated Debt, 7.50%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Connecticut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(PIK4.00%) fixed, 07/30/2018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06850</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ALG USA Holdings,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 Campus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02/28/2019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Newtown Square, PA 19073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Alvogen Pharma US, Inc.</w:t>
            </w:r>
            <w:r>
              <w:rPr>
                <w:rFonts w:ascii="Arial" w:cs="Arial" w:eastAsia="Arial" w:hAnsi="Arial"/>
                <w:sz w:val="11"/>
                <w:szCs w:val="11"/>
                <w:color w:val="auto"/>
              </w:rPr>
              <w:t>(3)</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 and Pharmaceuticals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Bloomfield Avenue, Building B</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04/04/2022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Bath Group,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435 Industrial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10/02/2023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Savannah, TN 38372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Metals and Mining</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1717 St. James Place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 , 09/01/2017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Scaffold</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3210 Commercial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L+650, 03/31/2022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Diego, CA 92113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Centers,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Retail</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1"/>
                <w:szCs w:val="11"/>
                <w:color w:val="auto"/>
              </w:rPr>
              <w:t>th</w:t>
            </w:r>
            <w:r>
              <w:rPr>
                <w:rFonts w:ascii="Arial" w:cs="Arial" w:eastAsia="Arial" w:hAnsi="Arial"/>
                <w:sz w:val="18"/>
                <w:szCs w:val="18"/>
                <w:color w:val="auto"/>
              </w:rPr>
              <w:t xml:space="preserve"> St.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09/19/2023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AP Gaming I,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L+825, 12/21/2020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API Technologies Corp.</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4705 S. Apopka Vineland Rd., Suite 210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04/22/2022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FL 32819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gridSpan w:val="2"/>
          </w:tcPr>
          <w:p>
            <w:pPr>
              <w:jc w:val="right"/>
              <w:ind w:right="19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2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Azure Midstream Energy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Energy: Oil and Gas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1250 Wood Bridge Branch Park Dr., Ste.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11/15/2018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77079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Blue Bird Body Company</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Automotive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402 Blue Bird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06/29/2020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Fort Valley, GA 31030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Broder Bros., Co.</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Neshaminy Interplex, 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Tranche A (L+575,</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Trevose, PA 19053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06/03/2021), Tranche B</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(L+1,225, 06/03/2021)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Camin Cargo Control,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Transportation: Cargo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230 Marion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06/30/2021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Linden, NJ 07036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CareCentrix,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 Church Street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07/08/2021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Hartford, CT 06103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CBAC Borrower,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One Caesars Palace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07/02/2020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2200 Fletcher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07/21/2023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Lee, NJ 07024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Charming Charlie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5999 Savoy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12/24/2019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Chicken Soup for the Soul Publishing,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Hedgerow Lane</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01/08/2019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Greenwich, CT 06831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Corfin Industries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(Corfin InvestCo,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L+975, 11/25/2020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7B Raymond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Salem, NH 03079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Infonet,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Subordinated Debt, 13.00%</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4540 Honeywell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(PIK 1.75%) fixed,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Dayton, OH 45424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10/26/2018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11921 Freedom Drive, Ste. 1000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L+650, 12/21/2020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Reston, VA 20190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Curo Health Services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491 Williamson Road, Suite 204</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02/07/2022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DBI Holding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North Conahan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L+525, 08/02/2021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Hazleton, PA 18201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DCS Business Services,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North Canyon Parkway, Ste. 100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L+725, 03/19/2018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Livermore, CA 94551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120" w:type="dxa"/>
            <w:vAlign w:val="bottom"/>
          </w:tcPr>
          <w:p>
            <w:pPr>
              <w:spacing w:after="0"/>
              <w:rPr>
                <w:sz w:val="17"/>
                <w:szCs w:val="17"/>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DISA Global Solutions,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12600 Northborough Drive,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12/09/2020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77067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1"/>
              </w:rPr>
              <w:t>Douglas Products and Packaging Company</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Chemicals, Plastics and Rubber</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06/30/2020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1550 East Old 210 Highway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Liberty, MO 64068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L+1,050</w:t>
            </w:r>
            <w:r>
              <w:rPr>
                <w:rFonts w:ascii="Arial" w:cs="Arial" w:eastAsia="Arial" w:hAnsi="Arial"/>
                <w:sz w:val="11"/>
                <w:szCs w:val="11"/>
                <w:color w:val="auto"/>
                <w:w w:val="90"/>
              </w:rPr>
              <w:t>(5)</w:t>
            </w:r>
            <w:r>
              <w:rPr>
                <w:rFonts w:ascii="Arial" w:cs="Arial" w:eastAsia="Arial" w:hAnsi="Arial"/>
                <w:sz w:val="18"/>
                <w:szCs w:val="18"/>
                <w:color w:val="auto"/>
                <w:w w:val="90"/>
              </w:rPr>
              <w:t>, 12/31/2020</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Driven Performance Brands,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Stony Point Rd, Suite 125</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L+475, 09/10/2020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Rosa, CA 95401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Education Networks of America,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618 Grassmere Park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05/06/2021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Suite 12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Nashville, TN 37211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Media: Diversified and</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 ,</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Production</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L+675, 06/15/2022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27070 Miles Road, Suite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e.l.f. Beauty,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(f/k/a J. A. Cosmetics US, Inc.)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Emerging Markets Communications,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777 Brickell Avenue Suite 1150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L+575, 07/01/2021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FHC Health Systems,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Healthcare and Pharmaceuticals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240 Corporate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L+400, 12/23/2021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23502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GlobalLogic Holdings,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High Tech Industries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05/31/2019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Greenway Health,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High Tech Industries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Greenway Blvd.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L+500 , 11/04/2020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Carrollton, GA 30117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GTCR Valor Companies,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Media: Broadcasting and</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 E Randolph St.</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Subscription</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L+600 , 06/16/2023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Harbortouch Payments,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Banking, Finance, Insurance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2202 N. Irving Street</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and Real Estate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L+600 , 05/31/2022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Allentown, PA 18109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Highline Aftermarket Acquisition,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Wholesale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DYK Prime Acquisition, 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L+475 , 04/01/2022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4635 Willow Drive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Medina, MN 55340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gridSpan w:val="2"/>
          </w:tcPr>
          <w:p>
            <w:pPr>
              <w:jc w:val="right"/>
              <w:ind w:right="191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Hollander Sleep Products, LLC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Consumer Goods: Non-Durable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L+800, 10/21/2020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Hostway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 Riverside, Ste. 800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12/13/2019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Berger Co.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Wholesale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324 Half Acre Road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L+1,000, 09/30/2020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Cranbury, NJ 08512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Hunter Defense Technologies,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30500 Aurora Road, Ste.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08/05/2019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Solon, OH 44139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Icynene U.S. Acquisition Corp.</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6747 Campobello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11/04/2020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Mississauga 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L5N2L7 Canada</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Idera,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The America Tower Heliport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04/09/2021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5"/>
              </w:rPr>
              <w:t>2950 North Loop Freeway West Suite 700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77092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iEnergizer Limited and Aptara, Inc.</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 Crevelt House, Bulwer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05/01/2019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Sampson, Guernsey GY2 4LH</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Imagine! Print Solutions,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1000 Valley Park Drive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03/30/2022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Minneapolis, MN 55379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First Lien Secured Debt, Term</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7951 Powers Boulevard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Loan A (L+450, 03/28/2019),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Chanhassen, MN 55317</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Term Loan B (L+1,100,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03/28/2019)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Interior Specialists,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(Faraday Holdings, 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06/30/2020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1630 Faraday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Carlsbad, CA 92008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Inventus Power,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ICC-Nexergy,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04/30/2020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Internationale Parkway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Woodridge, IL 60517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Jackson Hewitt Inc.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 Sylvan 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07/30/2020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Parsippany, NJ 07054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3515 Massillion Road Ste. 290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L+900, 02/19/2021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Uniontown, OH 44685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Kendra Scott,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2"/>
              </w:rPr>
              <w:t>1400 South Congress Avenue, Suite A-170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07/17/2020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Austin, TX 78704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KHC Holdings,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Wholesale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3300 Brother Boulevard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10/31/2022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Memphis, TN 38133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Lago Resort &amp; Casino,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1133 Ridge Road (Rt 414)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L+950, 03/07/2022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Waterloo, NY 13165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Lanyon Solutions,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10182 Telesis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11/13/2020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92121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LifeCare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5340 Legacy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L+525, 11/30/2018</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Ste. 150, Building 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Expeditions, Inc.</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Maritime Enterprises, Ltd.</w:t>
            </w:r>
            <w:r>
              <w:rPr>
                <w:rFonts w:ascii="Arial" w:cs="Arial" w:eastAsia="Arial" w:hAnsi="Arial"/>
                <w:sz w:val="11"/>
                <w:szCs w:val="11"/>
                <w:color w:val="auto"/>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05/10/2021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 Morton Street, 9th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Lombart Brothers,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5358 Robin Hood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L+675, 04/13/2022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Long’s Drugs Incorporated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 Executive Center Drive, Suite 228</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08/19/2021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SC 29210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LSF9 Atlantis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775 Prairie Center Drive, Suite 420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L+900, 01/15/2021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Eden Prairie, MN 55344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 So McClure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L+425, 04/18/2022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Modesto, CA 95357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MailSouth,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5901 Highway 52 East</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L+1,050, 10/22/2021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Helena, AL 35080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31105 Bainbridge Road Suite 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Production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USD (L+525, 01/27/2021),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CAD (P+275, 01/27/2021),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Revolver (P+275, 01/27/2021)</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Mission Critical Electronics,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2911 W. Garry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09/28/2022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Santa Ana, CA 92704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Trident HoldCorp,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930 Ridgebrook Road, 3rd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07/31/2019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Sparks, MD 21152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 Elmcroft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L+1,100, 07/07/2021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Stamford, CT 06926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Pathway Partners Vet Management</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08/19/2022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3930 Bee Cave Rd. #9</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Patriot National,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Banking, Finance, Insurance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Common Equity</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Production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L+775, 10/02/2020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Polycom,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6001 America Center Dr,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09/27/2023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95002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Precyse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200 North Point Center East, Suite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10/20/2022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30022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Premier Dental Services, Inc.</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530 S Main Street, 6th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11/01/2018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Orange, CA 92868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Profile Products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Environmental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750 Lake Cook Road, Suite 440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05/20/2021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Buffalo Grove, IL 60089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Quick Weight Loss Centers,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3161 Mcnab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L+475, 08/23/2021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Pompano Beach, FL 33069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Research Now Group,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5800 Tennyson Parkway, Ste.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L+450, 03/18/2021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Robertshaw US Holding Corp.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 East North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L+700, 06/18/2019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Stream, IL 60188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Ryan,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Three Galleria Tower</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08/07/2020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13155 Noel Road, Suite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Dallas, TX 75240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Sensus USA,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Utilities: Water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8601 Six Forks Road, Suite 700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04/05/2023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27615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Snak Club,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5560 E Slauson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07/19/2021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Commerce, CA 90040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Software Paradigms International Group,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05/21/2021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Concourse Pkwy., Ste. 500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30328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Sotera Defense Solutions,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2121 Cooperative Way, Ste. 400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L+750, 04/21/2017</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Herndon, VA 20171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Sundial Group Holdings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Ranick Drive South</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10/19/2021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Amityville, NY 11701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Sunshine Oilsands Ltd.</w:t>
            </w:r>
            <w:r>
              <w:rPr>
                <w:rFonts w:ascii="Arial" w:cs="Arial" w:eastAsia="Arial" w:hAnsi="Arial"/>
                <w:sz w:val="11"/>
                <w:szCs w:val="11"/>
                <w:color w:val="auto"/>
              </w:rPr>
              <w:t>(3)</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Energy: Oil and Gas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 903 - 8 Avenue S.W.</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12.50% fixed, 08/01/2017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Calgary, Alberta, Canada T2P 0P7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Survey Sampling International,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 Research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12/16/2020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Shelton, CT 06484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Systems Maintenance Services Holding,</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L+400, 10/18/2019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10420 Harris Oaks Blvd, Ste. 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 NC 28269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Tensar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2500 Northwinds Parkway, Ste. 500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07/09/2021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Co. </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Ltd. </w:t>
            </w:r>
            <w:r>
              <w:rPr>
                <w:rFonts w:ascii="Arial" w:cs="Arial" w:eastAsia="Arial" w:hAnsi="Arial"/>
                <w:sz w:val="11"/>
                <w:szCs w:val="11"/>
                <w:color w:val="auto"/>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The Original Cakerie, Co.</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1345 Cliveden Ave</w:t>
            </w:r>
          </w:p>
        </w:tc>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0"/>
              </w:rPr>
              <w:t>(L+550, 07/20/2021),</w:t>
            </w: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gridSpan w:val="2"/>
            <w:vMerge w:val="continue"/>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Original Cakerie, Ltd.</w:t>
            </w:r>
          </w:p>
        </w:tc>
        <w:tc>
          <w:tcPr>
            <w:tcW w:w="1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Delta, BC V3M 6C7, Canada</w:t>
            </w: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gridSpan w:val="2"/>
            <w:vMerge w:val="continue"/>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07/20/2021)</w:t>
            </w:r>
          </w:p>
        </w:tc>
        <w:tc>
          <w:tcPr>
            <w:tcW w:w="1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60" w:type="dxa"/>
            <w:vAlign w:val="bottom"/>
            <w:gridSpan w:val="2"/>
            <w:vMerge w:val="continue"/>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TOMS Shoes,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Consumer Goods: Non-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5404 Jandy Place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Durable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11/02/2020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Los Angeles, CA 90066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Triad Manufacturing,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4321 Semple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L+1,075</w:t>
            </w:r>
            <w:r>
              <w:rPr>
                <w:rFonts w:ascii="Arial" w:cs="Arial" w:eastAsia="Arial" w:hAnsi="Arial"/>
                <w:sz w:val="11"/>
                <w:szCs w:val="11"/>
                <w:color w:val="auto"/>
                <w:w w:val="90"/>
              </w:rPr>
              <w:t>(5)</w:t>
            </w:r>
            <w:r>
              <w:rPr>
                <w:rFonts w:ascii="Arial" w:cs="Arial" w:eastAsia="Arial" w:hAnsi="Arial"/>
                <w:sz w:val="18"/>
                <w:szCs w:val="18"/>
                <w:color w:val="auto"/>
                <w:w w:val="90"/>
              </w:rPr>
              <w:t>, 12/28/2020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Louis, MO 63120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UniTek Global Services,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1777 Sentry Parkway West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(L+850 (PIK 100),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Gwynedd Hall, Ste. 202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01/14/2019), (L+750,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Blue Bell, PA 19422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01/14/2019)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15.00% (PIK 15.00%) fixed,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07/15/2019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Preferred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Universal Fiber Systems,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14401 Industrial Park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10/04/2021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Bristol, VA 24202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 Anesthesia Partners,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2475 Eagle Run</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L+500,12/31/2019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Weston, FL 33327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Med Acquisition,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L+900, 08/13/2021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Vestcom Parent Holdings,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7302 Kanis Road</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Little Rock, AR 72204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Vistage Worldwide,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Media: Broadcasting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11452 El Camino Real, Suite 400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Subscription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08/19/2021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VT Buyer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9"/>
              </w:rPr>
              <w:t>290 West Mount Pleasant Avenue, Suite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L+975, 01/30/2023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3200</w:t>
            </w: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Livingston, NJ 07039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680" w:type="dxa"/>
            <w:vAlign w:val="bottom"/>
          </w:tcPr>
          <w:p>
            <w:pPr>
              <w:spacing w:after="0"/>
              <w:rPr>
                <w:sz w:val="17"/>
                <w:szCs w:val="17"/>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6"/>
              </w:rPr>
              <w:t xml:space="preserve">Interest </w:t>
            </w:r>
            <w:r>
              <w:rPr>
                <w:rFonts w:ascii="Arial" w:cs="Arial" w:eastAsia="Arial" w:hAnsi="Arial"/>
                <w:sz w:val="20"/>
                <w:szCs w:val="20"/>
                <w:b w:val="1"/>
                <w:bCs w:val="1"/>
                <w:color w:val="auto"/>
                <w:w w:val="96"/>
                <w:vertAlign w:val="superscript"/>
              </w:rPr>
              <w:t>(1)</w:t>
            </w:r>
            <w:r>
              <w:rPr>
                <w:rFonts w:ascii="Arial" w:cs="Arial" w:eastAsia="Arial" w:hAnsi="Arial"/>
                <w:sz w:val="13"/>
                <w:szCs w:val="13"/>
                <w:b w:val="1"/>
                <w:bCs w:val="1"/>
                <w:color w:val="auto"/>
                <w:w w:val="96"/>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8"/>
              </w:rPr>
              <w:t>Winchester Electronics Corporation</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Capital Equipment</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40"/>
              <w:spacing w:after="0" w:line="182" w:lineRule="exact"/>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 Water Street</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06/30/2022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06854</w:t>
            </w: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Worley Claims Services, LLC</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Banking, Finance, Insurance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303 Timber Creek</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10/30/2020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3"/>
          </w:tcPr>
          <w:p>
            <w:pPr>
              <w:spacing w:after="0"/>
              <w:rPr>
                <w:sz w:val="20"/>
                <w:szCs w:val="20"/>
                <w:color w:val="auto"/>
              </w:rPr>
            </w:pPr>
            <w:r>
              <w:rPr>
                <w:rFonts w:ascii="Arial" w:cs="Arial" w:eastAsia="Arial" w:hAnsi="Arial"/>
                <w:sz w:val="18"/>
                <w:szCs w:val="18"/>
                <w:color w:val="auto"/>
              </w:rPr>
              <w:t>Hammond, LA 70403</w:t>
            </w: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8"/>
                <w:szCs w:val="18"/>
                <w:color w:val="auto"/>
              </w:rPr>
              <w:t>$598,888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220" w:right="180" w:hanging="212"/>
        <w:spacing w:after="0" w:line="227"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or fixed rate for instruments if no index is indicated,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22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220" w:right="54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220" w:hanging="212"/>
        <w:spacing w:after="0"/>
        <w:tabs>
          <w:tab w:leader="none" w:pos="2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the purchase of a security with delayed settlement or a revolving line of credit that is currently an unfunded investment, that does not earn a basis point spread above an index while it is unfunded.</w:t>
      </w:r>
    </w:p>
    <w:p>
      <w:pPr>
        <w:spacing w:after="0" w:line="10" w:lineRule="exact"/>
        <w:rPr>
          <w:rFonts w:ascii="Arial" w:cs="Arial" w:eastAsia="Arial" w:hAnsi="Arial"/>
          <w:sz w:val="12"/>
          <w:szCs w:val="12"/>
          <w:color w:val="auto"/>
        </w:rPr>
      </w:pP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40"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4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4680" w:type="dxa"/>
            <w:vAlign w:val="bottom"/>
            <w:tcBorders>
              <w:bottom w:val="single" w:sz="8" w:color="auto"/>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4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High Tech Industries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Telecommunications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Capital Equipment</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Retail</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Banking, Finance, Insurance and Real Estate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Services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Automotive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520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5200" w:type="dxa"/>
            <w:vAlign w:val="bottom"/>
            <w:gridSpan w:val="2"/>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680" w:type="dxa"/>
            <w:vAlign w:val="bottom"/>
            <w:vMerge w:val="restart"/>
          </w:tcPr>
          <w:p>
            <w:pPr>
              <w:jc w:val="right"/>
              <w:ind w:right="3172"/>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Director</w:t>
            </w:r>
          </w:p>
        </w:tc>
        <w:tc>
          <w:tcPr>
            <w:tcW w:w="840" w:type="dxa"/>
            <w:vAlign w:val="bottom"/>
          </w:tcPr>
          <w:p>
            <w:pPr>
              <w:jc w:val="right"/>
              <w:ind w:right="118"/>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Since</w:t>
            </w: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156"/>
        </w:trPr>
        <w:tc>
          <w:tcPr>
            <w:tcW w:w="5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156"/>
        </w:trPr>
        <w:tc>
          <w:tcPr>
            <w:tcW w:w="5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address for each director and executive officer is c/o PennantPark Floating Rate Capital Ltd., 590 Madison Avenue, 15th Floor,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59"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Adam K. Bernstein (53),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Marshall Brozost (49),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3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Jeffrey Flug (54),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7"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Samuel L. Katz (51), Director. Mr. Katz became a Director of PennantPark Floating Rate Capital Ltd. and PennantPark Investment Corporation in October 2010 and February 2007,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Arthur H. Penn (53),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Aviv Efrat (52),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Guy F. Talarico (61),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annual-self assessment, the members of the Nominating and Corporate Governance Committee evaluate the membership of the board of directors and whether the board of directors maintains satisfactory policies regarding membership selection.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PennantPark Floating Rate Capital Ltd.</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PennantPark Investment Corporation</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Aggregate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benefits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from the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500" w:type="dxa"/>
            <w:vAlign w:val="bottom"/>
          </w:tcPr>
          <w:p>
            <w:pPr>
              <w:spacing w:after="0"/>
              <w:rPr>
                <w:sz w:val="11"/>
                <w:szCs w:val="11"/>
                <w:color w:val="auto"/>
              </w:rPr>
            </w:pPr>
          </w:p>
        </w:tc>
        <w:tc>
          <w:tcPr>
            <w:tcW w:w="114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w w:val="96"/>
              </w:rPr>
              <w:t>Total paid to</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Company</w:t>
            </w:r>
          </w:p>
        </w:tc>
        <w:tc>
          <w:tcPr>
            <w:tcW w:w="9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5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2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Adam K. Bernstein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Jeffrey Flug</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Arthur H. Penn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220" w:hanging="212"/>
        <w:spacing w:after="0"/>
        <w:tabs>
          <w:tab w:leader="none" w:pos="2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4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and indemnify such persons against certain 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2016 our portfolio managers also managed investments on behalf of the following entities:</w:t>
      </w:r>
    </w:p>
    <w:p>
      <w:pPr>
        <w:sectPr>
          <w:pgSz w:w="11900" w:h="16838" w:orient="portrait"/>
          <w:cols w:equalWidth="0" w:num="1">
            <w:col w:w="11380"/>
          </w:cols>
          <w:pgMar w:left="240" w:top="459" w:right="27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5"/>
                <w:szCs w:val="15"/>
                <w:color w:val="auto"/>
              </w:rPr>
            </w:pPr>
          </w:p>
        </w:tc>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r>
      <w:tr>
        <w:trPr>
          <w:trHeight w:val="28"/>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01"/>
        </w:trPr>
        <w:tc>
          <w:tcPr>
            <w:tcW w:w="2960" w:type="dxa"/>
            <w:vAlign w:val="bottom"/>
          </w:tcPr>
          <w:p>
            <w:pPr>
              <w:ind w:left="60"/>
              <w:spacing w:after="0" w:line="201" w:lineRule="exact"/>
              <w:rPr>
                <w:sz w:val="20"/>
                <w:szCs w:val="20"/>
                <w:color w:val="auto"/>
              </w:rPr>
            </w:pPr>
            <w:r>
              <w:rPr>
                <w:rFonts w:ascii="Arial" w:cs="Arial" w:eastAsia="Arial" w:hAnsi="Arial"/>
                <w:sz w:val="18"/>
                <w:szCs w:val="18"/>
                <w:color w:val="auto"/>
                <w:w w:val="97"/>
              </w:rPr>
              <w:t>PennantPark Investment Corporation</w:t>
            </w:r>
          </w:p>
        </w:tc>
        <w:tc>
          <w:tcPr>
            <w:tcW w:w="100" w:type="dxa"/>
            <w:vAlign w:val="bottom"/>
          </w:tcPr>
          <w:p>
            <w:pPr>
              <w:spacing w:after="0"/>
              <w:rPr>
                <w:sz w:val="17"/>
                <w:szCs w:val="17"/>
                <w:color w:val="auto"/>
              </w:rPr>
            </w:pPr>
          </w:p>
        </w:tc>
        <w:tc>
          <w:tcPr>
            <w:tcW w:w="1620" w:type="dxa"/>
            <w:vAlign w:val="bottom"/>
          </w:tcPr>
          <w:p>
            <w:pPr>
              <w:ind w:left="40"/>
              <w:spacing w:after="0" w:line="201" w:lineRule="exact"/>
              <w:rPr>
                <w:sz w:val="20"/>
                <w:szCs w:val="20"/>
                <w:color w:val="auto"/>
              </w:rPr>
            </w:pPr>
            <w:r>
              <w:rPr>
                <w:rFonts w:ascii="Arial" w:cs="Arial" w:eastAsia="Arial" w:hAnsi="Arial"/>
                <w:sz w:val="18"/>
                <w:szCs w:val="18"/>
                <w:color w:val="auto"/>
                <w:w w:val="86"/>
              </w:rPr>
              <w:t>Business development</w:t>
            </w:r>
          </w:p>
        </w:tc>
        <w:tc>
          <w:tcPr>
            <w:tcW w:w="100" w:type="dxa"/>
            <w:vAlign w:val="bottom"/>
          </w:tcPr>
          <w:p>
            <w:pPr>
              <w:spacing w:after="0"/>
              <w:rPr>
                <w:sz w:val="17"/>
                <w:szCs w:val="17"/>
                <w:color w:val="auto"/>
              </w:rPr>
            </w:pPr>
          </w:p>
        </w:tc>
        <w:tc>
          <w:tcPr>
            <w:tcW w:w="5600" w:type="dxa"/>
            <w:vAlign w:val="bottom"/>
          </w:tcPr>
          <w:p>
            <w:pPr>
              <w:ind w:left="60"/>
              <w:spacing w:after="0" w:line="201" w:lineRule="exact"/>
              <w:rPr>
                <w:sz w:val="20"/>
                <w:szCs w:val="20"/>
                <w:color w:val="auto"/>
              </w:rPr>
            </w:pPr>
            <w:r>
              <w:rPr>
                <w:rFonts w:ascii="Arial" w:cs="Arial" w:eastAsia="Arial" w:hAnsi="Arial"/>
                <w:sz w:val="18"/>
                <w:szCs w:val="18"/>
                <w:color w:val="auto"/>
                <w:w w:val="96"/>
              </w:rPr>
              <w:t>Primarily in U.S. middle-market companies in the form of senior secured</w:t>
            </w: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company</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loans, mezzanine debt and equity investments</w:t>
            </w:r>
          </w:p>
        </w:tc>
      </w:tr>
      <w:tr>
        <w:trPr>
          <w:trHeight w:val="236"/>
        </w:trPr>
        <w:tc>
          <w:tcPr>
            <w:tcW w:w="306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40"/>
              <w:spacing w:after="0"/>
              <w:rPr>
                <w:sz w:val="20"/>
                <w:szCs w:val="20"/>
                <w:color w:val="auto"/>
              </w:rPr>
            </w:pPr>
            <w:r>
              <w:rPr>
                <w:rFonts w:ascii="Arial" w:cs="Arial" w:eastAsia="Arial" w:hAnsi="Arial"/>
                <w:sz w:val="18"/>
                <w:szCs w:val="18"/>
                <w:color w:val="auto"/>
                <w:w w:val="96"/>
              </w:rPr>
              <w:t>Direct Lending Fund</w:t>
            </w:r>
          </w:p>
        </w:tc>
        <w:tc>
          <w:tcPr>
            <w:tcW w:w="10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Arial" w:cs="Arial" w:eastAsia="Arial" w:hAnsi="Arial"/>
                <w:sz w:val="18"/>
                <w:szCs w:val="18"/>
                <w:color w:val="auto"/>
              </w:rPr>
              <w:t>Other credit opportunities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83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ind w:left="32" w:right="60" w:firstLine="37"/>
        <w:spacing w:after="0" w:line="372" w:lineRule="auto"/>
        <w:rPr>
          <w:sz w:val="20"/>
          <w:szCs w:val="20"/>
          <w:color w:val="auto"/>
        </w:rPr>
      </w:pPr>
      <w:r>
        <w:rPr>
          <w:rFonts w:ascii="Arial" w:cs="Arial" w:eastAsia="Arial" w:hAnsi="Arial"/>
          <w:sz w:val="11"/>
          <w:szCs w:val="11"/>
          <w:b w:val="1"/>
          <w:bCs w:val="1"/>
          <w:color w:val="auto"/>
        </w:rPr>
        <w:t>Gross Assets ($ in millions)</w:t>
      </w:r>
    </w:p>
    <w:p>
      <w:pPr>
        <w:spacing w:after="0" w:line="139" w:lineRule="exact"/>
        <w:rPr>
          <w:sz w:val="20"/>
          <w:szCs w:val="20"/>
          <w:color w:val="auto"/>
        </w:rPr>
      </w:pPr>
    </w:p>
    <w:p>
      <w:pPr>
        <w:ind w:left="452" w:hanging="452"/>
        <w:spacing w:after="0"/>
        <w:tabs>
          <w:tab w:leader="none" w:pos="452" w:val="left"/>
        </w:tabs>
        <w:numPr>
          <w:ilvl w:val="0"/>
          <w:numId w:val="63"/>
        </w:numPr>
        <w:rPr>
          <w:rFonts w:ascii="Arial" w:cs="Arial" w:eastAsia="Arial" w:hAnsi="Arial"/>
          <w:sz w:val="15"/>
          <w:szCs w:val="15"/>
          <w:color w:val="auto"/>
        </w:rPr>
      </w:pPr>
      <w:r>
        <w:rPr>
          <w:rFonts w:ascii="Arial" w:cs="Arial" w:eastAsia="Arial" w:hAnsi="Arial"/>
          <w:sz w:val="15"/>
          <w:szCs w:val="15"/>
          <w:color w:val="auto"/>
        </w:rPr>
        <w:t>1,239</w:t>
      </w:r>
    </w:p>
    <w:p>
      <w:pPr>
        <w:spacing w:after="0" w:line="49" w:lineRule="exact"/>
        <w:rPr>
          <w:rFonts w:ascii="Arial" w:cs="Arial" w:eastAsia="Arial" w:hAnsi="Arial"/>
          <w:sz w:val="15"/>
          <w:szCs w:val="15"/>
          <w:color w:val="auto"/>
        </w:rPr>
      </w:pPr>
    </w:p>
    <w:p>
      <w:pPr>
        <w:ind w:left="652" w:hanging="652"/>
        <w:spacing w:after="0"/>
        <w:tabs>
          <w:tab w:leader="none" w:pos="6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70</w:t>
      </w:r>
    </w:p>
    <w:p>
      <w:pPr>
        <w:spacing w:after="0" w:line="201" w:lineRule="exact"/>
        <w:rPr>
          <w:sz w:val="20"/>
          <w:szCs w:val="20"/>
          <w:color w:val="auto"/>
        </w:rPr>
      </w:pPr>
    </w:p>
    <w:p>
      <w:pPr>
        <w:sectPr>
          <w:pgSz w:w="11900" w:h="16838" w:orient="portrait"/>
          <w:cols w:equalWidth="0" w:num="2">
            <w:col w:w="10380" w:space="108"/>
            <w:col w:w="892"/>
          </w:cols>
          <w:pgMar w:left="240" w:top="459" w:right="279" w:bottom="1440" w:gutter="0" w:footer="0" w:header="0"/>
          <w:type w:val="continuous"/>
        </w:sectPr>
      </w:pPr>
    </w:p>
    <w:p>
      <w:pPr>
        <w:ind w:right="420" w:firstLine="571"/>
        <w:spacing w:after="0" w:line="268"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As of January 13, 2017, to our knowledge, no person would be deemed to “control” us, as such term is defined in the 1940 Act. Our board of directors consist of an interested director and Independent Directors.</w:t>
      </w:r>
    </w:p>
    <w:p>
      <w:pPr>
        <w:spacing w:after="0" w:line="13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 following table sets forth, as of January 13,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812"/>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500" w:type="dxa"/>
            <w:vAlign w:val="bottom"/>
            <w:gridSpan w:val="2"/>
          </w:tcPr>
          <w:p>
            <w:pPr>
              <w:ind w:left="4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(2)</w:t>
            </w:r>
          </w:p>
        </w:tc>
        <w:tc>
          <w:tcPr>
            <w:tcW w:w="2280" w:type="dxa"/>
            <w:vAlign w:val="bottom"/>
          </w:tcPr>
          <w:p>
            <w:pPr>
              <w:jc w:val="right"/>
              <w:ind w:right="792"/>
              <w:spacing w:after="0"/>
              <w:rPr>
                <w:sz w:val="20"/>
                <w:szCs w:val="20"/>
                <w:color w:val="auto"/>
              </w:rPr>
            </w:pPr>
            <w:r>
              <w:rPr>
                <w:rFonts w:ascii="Arial" w:cs="Arial" w:eastAsia="Arial" w:hAnsi="Arial"/>
                <w:sz w:val="18"/>
                <w:szCs w:val="18"/>
                <w:b w:val="1"/>
                <w:bCs w:val="1"/>
                <w:color w:val="auto"/>
              </w:rPr>
              <w:t>owned</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r>
      <w:tr>
        <w:trPr>
          <w:trHeight w:val="23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5,000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15,500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20" w:type="dxa"/>
            <w:vAlign w:val="bottom"/>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All directors and executive officer as a group (6 persons)</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318,559</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5176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7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Dollar Range of the Common Stock of the Companies</w:t>
            </w:r>
            <w:r>
              <w:rPr>
                <w:rFonts w:ascii="Arial" w:cs="Arial" w:eastAsia="Arial" w:hAnsi="Arial"/>
                <w:sz w:val="11"/>
                <w:szCs w:val="11"/>
                <w:b w:val="1"/>
                <w:bCs w:val="1"/>
                <w:color w:val="auto"/>
                <w:w w:val="87"/>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40" w:type="dxa"/>
            <w:vAlign w:val="bottom"/>
          </w:tcPr>
          <w:p>
            <w:pPr>
              <w:spacing w:after="0"/>
              <w:rPr>
                <w:sz w:val="17"/>
                <w:szCs w:val="17"/>
                <w:color w:val="auto"/>
              </w:rPr>
            </w:pPr>
          </w:p>
        </w:tc>
        <w:tc>
          <w:tcPr>
            <w:tcW w:w="238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Floating</w:t>
            </w:r>
          </w:p>
        </w:tc>
        <w:tc>
          <w:tcPr>
            <w:tcW w:w="240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Investment</w:t>
            </w:r>
          </w:p>
        </w:tc>
        <w:tc>
          <w:tcPr>
            <w:tcW w:w="2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 Capital Ltd.</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$ 50,001 - $100,000</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$500,001 - $1,000,000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$500,001 - $1,000,000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 w:firstLine="571"/>
        <w:spacing w:after="0" w:line="305" w:lineRule="auto"/>
        <w:rPr>
          <w:sz w:val="20"/>
          <w:szCs w:val="20"/>
          <w:color w:val="auto"/>
        </w:rPr>
      </w:pPr>
      <w:r>
        <w:rPr>
          <w:rFonts w:ascii="Arial" w:cs="Arial" w:eastAsia="Arial" w:hAnsi="Arial"/>
          <w:sz w:val="15"/>
          <w:szCs w:val="15"/>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w:t>
      </w:r>
    </w:p>
    <w:p>
      <w:pPr>
        <w:spacing w:after="0" w:line="295" w:lineRule="auto"/>
        <w:rPr>
          <w:sz w:val="20"/>
          <w:szCs w:val="20"/>
          <w:color w:val="auto"/>
        </w:rPr>
      </w:pPr>
      <w:r>
        <w:rPr>
          <w:rFonts w:ascii="Arial" w:cs="Arial" w:eastAsia="Arial" w:hAnsi="Arial"/>
          <w:sz w:val="16"/>
          <w:szCs w:val="16"/>
          <w:color w:val="auto"/>
        </w:rPr>
        <w:t>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4"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71"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2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March 31, 20XX = $180 million</w:t>
      </w:r>
    </w:p>
    <w:p>
      <w:pPr>
        <w:spacing w:after="0" w:line="165"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4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20"/>
        <w:spacing w:after="0" w:line="331" w:lineRule="auto"/>
        <w:rPr>
          <w:sz w:val="20"/>
          <w:szCs w:val="20"/>
          <w:color w:val="auto"/>
        </w:rPr>
      </w:pPr>
      <w:r>
        <w:rPr>
          <w:rFonts w:ascii="Arial" w:cs="Arial" w:eastAsia="Arial" w:hAnsi="Arial"/>
          <w:sz w:val="18"/>
          <w:szCs w:val="18"/>
          <w:color w:val="auto"/>
        </w:rPr>
        <w:t>(investment income—(base management fee + other expenses)) = 0.80% Pre-Incentive Fee Net Investment Income does not exceed hurdle; therefore there is no incentive fee.</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jc w:val="right"/>
        <w:ind w:right="348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36" w:lineRule="exact"/>
        <w:rPr>
          <w:sz w:val="20"/>
          <w:szCs w:val="20"/>
          <w:color w:val="auto"/>
        </w:rPr>
      </w:pPr>
    </w:p>
    <w:p>
      <w:pPr>
        <w:ind w:left="2880" w:hanging="151"/>
        <w:spacing w:after="0"/>
        <w:tabs>
          <w:tab w:leader="none" w:pos="2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49" w:lineRule="exact"/>
        <w:rPr>
          <w:rFonts w:ascii="Arial" w:cs="Arial" w:eastAsia="Arial" w:hAnsi="Arial"/>
          <w:sz w:val="18"/>
          <w:szCs w:val="18"/>
          <w:color w:val="auto"/>
        </w:rPr>
      </w:pPr>
    </w:p>
    <w:p>
      <w:pPr>
        <w:ind w:left="2880" w:hanging="151"/>
        <w:spacing w:after="0"/>
        <w:tabs>
          <w:tab w:leader="none" w:pos="2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60" w:hanging="151"/>
        <w:spacing w:after="0"/>
        <w:tabs>
          <w:tab w:leader="none" w:pos="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(3)</w:t>
      </w:r>
    </w:p>
    <w:p>
      <w:pPr>
        <w:spacing w:after="0" w:line="36" w:lineRule="exact"/>
        <w:rPr>
          <w:rFonts w:ascii="Arial" w:cs="Arial" w:eastAsia="Arial" w:hAnsi="Arial"/>
          <w:sz w:val="18"/>
          <w:szCs w:val="18"/>
          <w:color w:val="auto"/>
        </w:rPr>
      </w:pPr>
    </w:p>
    <w:p>
      <w:pPr>
        <w:ind w:right="2600" w:firstLine="9"/>
        <w:spacing w:after="0" w:line="328" w:lineRule="auto"/>
        <w:tabs>
          <w:tab w:leader="none" w:pos="1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204" w:lineRule="exact"/>
        <w:rPr>
          <w:rFonts w:ascii="Arial" w:cs="Arial" w:eastAsia="Arial" w:hAnsi="Arial"/>
          <w:sz w:val="18"/>
          <w:szCs w:val="18"/>
          <w:color w:val="auto"/>
        </w:rPr>
      </w:pPr>
    </w:p>
    <w:p>
      <w:pPr>
        <w:ind w:right="5180"/>
        <w:spacing w:after="0" w:line="297"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080"/>
        <w:spacing w:after="0" w:line="315"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000" w:space="720"/>
            <w:col w:w="8640"/>
          </w:cols>
          <w:pgMar w:left="240" w:top="459" w:right="299" w:bottom="1440" w:gutter="0" w:footer="0" w:header="0"/>
          <w:type w:val="continuous"/>
        </w:sectPr>
      </w:pPr>
    </w:p>
    <w:p>
      <w:pPr>
        <w:spacing w:after="0" w:line="92" w:lineRule="exact"/>
        <w:rPr>
          <w:sz w:val="20"/>
          <w:szCs w:val="20"/>
          <w:color w:val="auto"/>
        </w:rPr>
      </w:pPr>
    </w:p>
    <w:p>
      <w:pPr>
        <w:ind w:left="380" w:hanging="325"/>
        <w:spacing w:after="0"/>
        <w:tabs>
          <w:tab w:leader="none" w:pos="3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30"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Investment B sold for $31 million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580" w:right="88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$0.6 million capital gains incentive fee</w:t>
      </w:r>
    </w:p>
    <w:p>
      <w:pPr>
        <w:spacing w:after="0" w:line="90" w:lineRule="exact"/>
        <w:rPr>
          <w:sz w:val="20"/>
          <w:szCs w:val="20"/>
          <w:color w:val="auto"/>
        </w:rPr>
      </w:pPr>
    </w:p>
    <w:p>
      <w:pPr>
        <w:ind w:left="580" w:right="380"/>
        <w:spacing w:after="0" w:line="332" w:lineRule="auto"/>
        <w:rPr>
          <w:sz w:val="20"/>
          <w:szCs w:val="20"/>
          <w:color w:val="auto"/>
        </w:rPr>
      </w:pPr>
      <w:r>
        <w:rPr>
          <w:rFonts w:ascii="Arial" w:cs="Arial" w:eastAsia="Arial" w:hAnsi="Arial"/>
          <w:sz w:val="16"/>
          <w:szCs w:val="16"/>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197" w:lineRule="exact"/>
        <w:rPr>
          <w:sz w:val="20"/>
          <w:szCs w:val="20"/>
          <w:color w:val="auto"/>
        </w:rPr>
      </w:pPr>
    </w:p>
    <w:p>
      <w:pPr>
        <w:ind w:left="580" w:right="80" w:hanging="572"/>
        <w:spacing w:after="0" w:line="195" w:lineRule="auto"/>
        <w:tabs>
          <w:tab w:leader="none" w:pos="58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2016. Unless terminated earlier as described below, 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4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194"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360" w:right="60" w:hanging="769"/>
        <w:spacing w:after="0" w:line="259" w:lineRule="auto"/>
        <w:tabs>
          <w:tab w:leader="none" w:pos="134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360" w:right="380" w:hanging="769"/>
        <w:spacing w:after="0" w:line="268" w:lineRule="auto"/>
        <w:tabs>
          <w:tab w:leader="none" w:pos="13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9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18"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2016,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January 13, 2017 was $14.10 per share. As of January 13, 2017, we had 41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26,730,074</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8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460" w:firstLine="571"/>
        <w:spacing w:after="0" w:line="33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2018, 2019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360" w:firstLine="571"/>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3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0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jc w:val="both"/>
        <w:ind w:right="140" w:firstLine="571"/>
        <w:spacing w:after="0" w:line="306"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26"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440" w:firstLine="571"/>
        <w:spacing w:after="0" w:line="33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76"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51"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9"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20"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00"/>
          </w:cols>
          <w:pgMar w:left="24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85"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5"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2"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325"/>
        <w:spacing w:after="0" w:line="325"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104</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900" w:right="120" w:hanging="325"/>
        <w:spacing w:after="0" w:line="325"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900" w:right="240" w:hanging="325"/>
        <w:spacing w:after="0" w:line="347" w:lineRule="auto"/>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36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900" w:right="62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0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77"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900" w:right="400" w:hanging="325"/>
        <w:spacing w:after="0" w:line="33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8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4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900" w:right="160" w:hanging="325"/>
        <w:spacing w:after="0" w:line="370" w:lineRule="auto"/>
        <w:tabs>
          <w:tab w:leader="none" w:pos="9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800" w:right="40" w:hanging="346"/>
        <w:spacing w:after="0" w:line="256"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98"/>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325"/>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77"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right="20" w:hanging="325"/>
        <w:spacing w:after="0" w:line="347" w:lineRule="auto"/>
        <w:tabs>
          <w:tab w:leader="none" w:pos="9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77"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0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and on which we paid no federal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116"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303" w:lineRule="auto"/>
        <w:rPr>
          <w:sz w:val="20"/>
          <w:szCs w:val="20"/>
          <w:color w:val="auto"/>
        </w:rPr>
      </w:pPr>
      <w:r>
        <w:rPr>
          <w:rFonts w:ascii="Arial" w:cs="Arial" w:eastAsia="Arial" w:hAnsi="Arial"/>
          <w:sz w:val="15"/>
          <w:szCs w:val="15"/>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w:t>
      </w:r>
    </w:p>
    <w:p>
      <w:pPr>
        <w:spacing w:after="0" w:line="1" w:lineRule="exact"/>
        <w:rPr>
          <w:sz w:val="20"/>
          <w:szCs w:val="20"/>
          <w:color w:val="auto"/>
        </w:rPr>
      </w:pPr>
    </w:p>
    <w:p>
      <w:pPr>
        <w:jc w:val="both"/>
        <w:ind w:right="120" w:firstLine="8"/>
        <w:spacing w:after="0" w:line="255" w:lineRule="auto"/>
        <w:tabs>
          <w:tab w:leader="none" w:pos="2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27" w:lineRule="exact"/>
        <w:rPr>
          <w:sz w:val="20"/>
          <w:szCs w:val="20"/>
          <w:color w:val="auto"/>
        </w:rPr>
      </w:pPr>
    </w:p>
    <w:p>
      <w:pPr>
        <w:ind w:right="214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generally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40" w:firstLine="8"/>
        <w:spacing w:after="0" w:line="292" w:lineRule="auto"/>
        <w:tabs>
          <w:tab w:leader="none" w:pos="24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18"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20"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11" w:lineRule="exact"/>
        <w:rPr>
          <w:rFonts w:ascii="Arial" w:cs="Arial" w:eastAsia="Arial" w:hAnsi="Arial"/>
          <w:sz w:val="15"/>
          <w:szCs w:val="15"/>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4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2016 and 2015.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81">
              <w:r>
                <w:rPr>
                  <w:rFonts w:ascii="Arial" w:cs="Arial" w:eastAsia="Arial" w:hAnsi="Arial"/>
                  <w:sz w:val="18"/>
                  <w:szCs w:val="18"/>
                  <w:color w:val="0000EE"/>
                  <w:w w:val="91"/>
                </w:rPr>
                <w:t>Management’s Report on Internal Control Over Financial Reporting</w:t>
              </w:r>
            </w:hyperlink>
          </w:p>
        </w:tc>
        <w:tc>
          <w:tcPr>
            <w:tcW w:w="444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83">
              <w:r>
                <w:rPr>
                  <w:rFonts w:ascii="Arial" w:cs="Arial" w:eastAsia="Arial" w:hAnsi="Arial"/>
                  <w:sz w:val="18"/>
                  <w:szCs w:val="18"/>
                  <w:color w:val="0000EE"/>
                  <w:w w:val="92"/>
                </w:rPr>
                <w:t>Report of Independent Registered Public Accounting Firm On Internal Control Over Financial Reportincg</w:t>
              </w:r>
            </w:hyperlink>
          </w:p>
        </w:tc>
        <w:tc>
          <w:tcPr>
            <w:tcW w:w="1700" w:type="dxa"/>
            <w:vAlign w:val="bottom"/>
            <w:gridSpan w:val="2"/>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84">
              <w:r>
                <w:rPr>
                  <w:rFonts w:ascii="Arial" w:cs="Arial" w:eastAsia="Arial" w:hAnsi="Arial"/>
                  <w:sz w:val="18"/>
                  <w:szCs w:val="18"/>
                  <w:color w:val="0000EE"/>
                  <w:w w:val="90"/>
                </w:rPr>
                <w:t>Consolidated Statements of Assets and Liabilities as of September 30, 2016 and 2015</w:t>
              </w:r>
            </w:hyperlink>
          </w:p>
        </w:tc>
        <w:tc>
          <w:tcPr>
            <w:tcW w:w="3140" w:type="dxa"/>
            <w:vAlign w:val="bottom"/>
            <w:gridSpan w:val="5"/>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Operations for the years ended September 30, 2016, 2015 and 2014</w:t>
              </w:r>
            </w:hyperlink>
          </w:p>
        </w:tc>
        <w:tc>
          <w:tcPr>
            <w:tcW w:w="2420" w:type="dxa"/>
            <w:vAlign w:val="bottom"/>
            <w:gridSpan w:val="4"/>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Consolidated Statements of Changes in Net Assets for the years ended September 30, 2016, 2015 and 2014</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7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Consolidated Statements of Cash Flows for the years ended September 30, 2016, 2015 and 2014</w:t>
              </w:r>
            </w:hyperlink>
          </w:p>
        </w:tc>
        <w:tc>
          <w:tcPr>
            <w:tcW w:w="720" w:type="dxa"/>
            <w:vAlign w:val="bottom"/>
            <w:tcBorders>
              <w:top w:val="single" w:sz="8" w:color="0000EE"/>
            </w:tcBorders>
            <w:gridSpan w:val="2"/>
          </w:tcPr>
          <w:p>
            <w:pPr>
              <w:spacing w:after="0"/>
              <w:rPr>
                <w:sz w:val="22"/>
                <w:szCs w:val="22"/>
                <w:color w:val="auto"/>
              </w:rPr>
            </w:pPr>
          </w:p>
        </w:tc>
        <w:tc>
          <w:tcPr>
            <w:tcW w:w="164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88">
              <w:r>
                <w:rPr>
                  <w:rFonts w:ascii="Arial" w:cs="Arial" w:eastAsia="Arial" w:hAnsi="Arial"/>
                  <w:sz w:val="18"/>
                  <w:szCs w:val="18"/>
                  <w:color w:val="0000EE"/>
                  <w:w w:val="89"/>
                </w:rPr>
                <w:t>Consolidated Schedules of Investments as of September 30, 2016 and 2015</w:t>
              </w:r>
            </w:hyperlink>
          </w:p>
        </w:tc>
        <w:tc>
          <w:tcPr>
            <w:tcW w:w="3880" w:type="dxa"/>
            <w:vAlign w:val="bottom"/>
            <w:gridSpan w:val="6"/>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Notes to the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F-15</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Arial" w:cs="Arial" w:eastAsia="Arial" w:hAnsi="Arial"/>
                <w:sz w:val="18"/>
                <w:szCs w:val="18"/>
                <w:color w:val="auto"/>
              </w:rPr>
              <w:t>F-1</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0" w:lineRule="exact"/>
        <w:rPr>
          <w:sz w:val="20"/>
          <w:szCs w:val="20"/>
          <w:color w:val="auto"/>
        </w:rPr>
      </w:pPr>
    </w:p>
    <w:p>
      <w:pPr>
        <w:ind w:right="180" w:firstLine="685"/>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14"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3"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2016,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6"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2016. This report appears on page 45.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78"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48"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100" w:firstLine="685"/>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2016 and 2015, and the results of their operations, changes in net assets and their cash flows for the three years in the period then ended September 30, 2016, in conformity with U.S. generally accepted accounting principles.</w:t>
      </w:r>
    </w:p>
    <w:p>
      <w:pPr>
        <w:spacing w:after="0" w:line="106" w:lineRule="exact"/>
        <w:rPr>
          <w:sz w:val="20"/>
          <w:szCs w:val="20"/>
          <w:color w:val="auto"/>
        </w:rPr>
      </w:pPr>
    </w:p>
    <w:p>
      <w:pPr>
        <w:ind w:right="20" w:firstLine="685"/>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2016,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in 2013, and our report dated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22, 2016 expressed an unqualified opinion on the effectiveness of the Company’s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00"/>
          </w:cols>
          <w:pgMar w:left="240" w:top="460"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43" w:lineRule="exact"/>
        <w:rPr>
          <w:sz w:val="20"/>
          <w:szCs w:val="20"/>
          <w:color w:val="auto"/>
        </w:rPr>
      </w:pPr>
    </w:p>
    <w:p>
      <w:pPr>
        <w:ind w:right="400" w:firstLine="685"/>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3" w:lineRule="exact"/>
        <w:rPr>
          <w:sz w:val="20"/>
          <w:szCs w:val="20"/>
          <w:color w:val="auto"/>
        </w:rPr>
      </w:pPr>
    </w:p>
    <w:p>
      <w:pPr>
        <w:ind w:right="80" w:firstLine="685"/>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6"/>
          <w:szCs w:val="16"/>
          <w:i w:val="1"/>
          <w:iCs w:val="1"/>
          <w:color w:val="auto"/>
        </w:rPr>
        <w:t>a</w:t>
      </w:r>
      <w:r>
        <w:rPr>
          <w:rFonts w:ascii="Arial" w:cs="Arial" w:eastAsia="Arial" w:hAnsi="Arial"/>
          <w:sz w:val="16"/>
          <w:szCs w:val="16"/>
          <w:color w:val="auto"/>
        </w:rPr>
        <w:t>) pertain to the maintenance of records that, in reasonable detail, accurately and fairly reflect the transactions and dispositions of the assets of the company; (</w:t>
      </w:r>
      <w:r>
        <w:rPr>
          <w:rFonts w:ascii="Arial" w:cs="Arial" w:eastAsia="Arial" w:hAnsi="Arial"/>
          <w:sz w:val="16"/>
          <w:szCs w:val="16"/>
          <w:i w:val="1"/>
          <w:iCs w:val="1"/>
          <w:color w:val="auto"/>
        </w:rPr>
        <w:t>b</w:t>
      </w:r>
      <w:r>
        <w:rPr>
          <w:rFonts w:ascii="Arial" w:cs="Arial" w:eastAsia="Arial" w:hAnsi="Arial"/>
          <w:sz w:val="16"/>
          <w:szCs w:val="16"/>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6"/>
          <w:szCs w:val="16"/>
          <w:i w:val="1"/>
          <w:iCs w:val="1"/>
          <w:color w:val="auto"/>
        </w:rPr>
        <w:t>c</w:t>
      </w:r>
      <w:r>
        <w:rPr>
          <w:rFonts w:ascii="Arial" w:cs="Arial" w:eastAsia="Arial" w:hAnsi="Arial"/>
          <w:sz w:val="16"/>
          <w:szCs w:val="16"/>
          <w:color w:val="auto"/>
        </w:rPr>
        <w:t>)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480" w:firstLine="685"/>
        <w:spacing w:after="0" w:line="342" w:lineRule="auto"/>
        <w:rPr>
          <w:sz w:val="20"/>
          <w:szCs w:val="20"/>
          <w:color w:val="auto"/>
        </w:rPr>
      </w:pPr>
      <w:r>
        <w:rPr>
          <w:rFonts w:ascii="Arial" w:cs="Arial" w:eastAsia="Arial" w:hAnsi="Arial"/>
          <w:sz w:val="16"/>
          <w:szCs w:val="16"/>
          <w:color w:val="auto"/>
        </w:rPr>
        <w:t xml:space="preserve">In our opinion, PennantPark Floating Rate Capital Ltd. and its Subsidiaries maintained, in all material respects, effective internal control over financial reporting as of September 30,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 in 2013.</w:t>
      </w:r>
    </w:p>
    <w:p>
      <w:pPr>
        <w:spacing w:after="0" w:line="83" w:lineRule="exact"/>
        <w:rPr>
          <w:sz w:val="20"/>
          <w:szCs w:val="20"/>
          <w:color w:val="auto"/>
        </w:rPr>
      </w:pPr>
    </w:p>
    <w:p>
      <w:pPr>
        <w:ind w:right="40" w:firstLine="685"/>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22, 2016 expressed an unqualified opinion on those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September 30, 2016</w:t>
            </w:r>
          </w:p>
        </w:tc>
        <w:tc>
          <w:tcPr>
            <w:tcW w:w="22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September 30, 2015</w:t>
            </w: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Non-controlled, non-affiliated investments (cost—$597,910,267 and $394,561,175, respectively)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388,535,383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Controlled, affiliated investments (cost—$0 and $2,777,132, respectively)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 investments (cost—$597,910,267 and $397,338,307, respectively)</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(cost—$28,903,359 and $21,428,514, respectively)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28,910,973</w:t>
            </w: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21,428,514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2,480,406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1,141,191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631,420,095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shd w:val="clear" w:color="auto" w:fill="CCEEFF"/>
          </w:tcPr>
          <w:p>
            <w:pPr>
              <w:spacing w:after="0"/>
              <w:rPr>
                <w:sz w:val="18"/>
                <w:szCs w:val="18"/>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2,539,357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14,935,970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9,367,500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4"/>
              </w:rPr>
              <w:t>Credit Facility payable (cost—$232,907,500 and $29,600,000, respectively) (See Notes 5 and 11)</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232,389,498</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29,600,000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531,926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224,633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1,458,625</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956,115</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3,454,914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202,977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255,513,267</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43,229,888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12)</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26,730,074 shares issued and outstanding.</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26,730</w:t>
            </w:r>
          </w:p>
        </w:tc>
        <w:tc>
          <w:tcPr>
            <w:tcW w:w="2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26,730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371,194,366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371,502,801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4,559,646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Accumulated net realized (loss) gain on investments</w:t>
            </w:r>
          </w:p>
        </w:tc>
        <w:tc>
          <w:tcPr>
            <w:tcW w:w="2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(1,376,788)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395,862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984,872</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(6,026,417)</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375,906,828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372,890,449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631,420,095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Years Ended September 30,</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40,561,694</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29,203,963</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2,334,330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1,151,336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 proceeds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3,299,764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46,301,290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30,355,299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30,356,832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Base management fee (See Note 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5,015,077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3,572,614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Performance-based incentive fee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4,791,574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1,114,972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Interest and expenses on the Credit Facility (See Note 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4,923,219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3,251,761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3,471,347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1,148,281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837,708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1,176,769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18,057,408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9,953,824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Provision for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Facility amendment costs (See Notes 5 and 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907,722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2,301,478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18,965,130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12,695,302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27,336,160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17,659,997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(1,376,788)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395,862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7,011,289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(6,100,614)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Credit Facility depreciation (appreciation) (See Note 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518,002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549,000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w w:val="91"/>
              </w:rPr>
              <w:t>Net change in unrealized appreciation (depreciation) on investments and Credit</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Facility</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7,529,291</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(5,551,614)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(5,155,752)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12,504,245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September 30,</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27,336,160</w:t>
            </w:r>
          </w:p>
        </w:tc>
        <w:tc>
          <w:tcPr>
            <w:tcW w:w="100" w:type="dxa"/>
            <w:vAlign w:val="bottom"/>
          </w:tcPr>
          <w:p>
            <w:pPr>
              <w:spacing w:after="0"/>
              <w:rPr>
                <w:sz w:val="18"/>
                <w:szCs w:val="18"/>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17,659,997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 gain on investments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(1,376,788)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395,862</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7,011,289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(6,100,614)</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change in unrealized depreciation (appreciation) on Credit Facility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549,000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Distribution of net investment income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(30,076,422)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(15,976,507)</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(12,477,719)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of realized gains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(395,862)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(2,882,909)</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(3,574,936)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Total distributions to stockholders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(30,472,284)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(18,859,416)</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(16,052,655)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Acquisition of MCG assets (See Note 13)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158,362,739</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372,890,449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214,527,710</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210,066,394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375,906,828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372,890,449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214,527,710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200"/>
              <w:spacing w:after="0"/>
              <w:rPr>
                <w:sz w:val="20"/>
                <w:szCs w:val="20"/>
                <w:color w:val="auto"/>
              </w:rPr>
            </w:pPr>
            <w:r>
              <w:rPr>
                <w:rFonts w:ascii="Arial" w:cs="Arial" w:eastAsia="Arial" w:hAnsi="Arial"/>
                <w:sz w:val="18"/>
                <w:szCs w:val="18"/>
                <w:color w:val="auto"/>
              </w:rPr>
              <w:t>Undistributed net investment income, end of year</w:t>
            </w: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11,832,018</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33,488,663</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12,504,245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 to net cash used in operating activities:</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w w:val="94"/>
              </w:rPr>
              <w:t>Net change in unrealized (appreciation) depreciation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(7,011,289)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6,100,614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(1,553,771)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Net change in unrealized (depreciation) appreciation on Credit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Facility</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(518,002)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Net realized loss (gain)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1,376,788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(395,862)</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(2,873,525)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(1,679,006)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(1,240,781)</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(364,442,810)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(224,170,119)</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(248,124,673)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(655,580)</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164,178,802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195,049,580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225,614,700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(521,002)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(185,534)</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receivable for investments sold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9,001,938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(5,342,753)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(315,139)</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5,568,470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6,205,500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(10,859,588)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(60,273)</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41,137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(2,177,668)</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accrued other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(336,370)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(1,358,635)</w:t>
            </w:r>
          </w:p>
        </w:tc>
        <w:tc>
          <w:tcPr>
            <w:tcW w:w="4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(165,462,703)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(2,205,577)</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(22,249,022)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 of MCG assets (See Note 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144,981,158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(30,472,284)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(17,660,884)</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(16,015,410)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130,700,000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(57,400,000)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(247,500,000)</w:t>
            </w:r>
          </w:p>
        </w:tc>
        <w:tc>
          <w:tcPr>
            <w:tcW w:w="4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172,835,216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10,520,274</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7,372,513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8,314,697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8,535,568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13,113,817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4,578,249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28,910,973</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21,428,514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13,113,817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4,615,926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3,313,701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exchanges and conversions</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4,843,385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670,283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w w:val="92"/>
              </w:rPr>
              <w:t>Investments acquired from MCG in exchange for shares issued (See Note</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20,277,132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 from MCG (See Note 13)</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549,031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Acquisition of other liabilities from MCG (See Note 13)</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40" w:type="dxa"/>
            <w:vAlign w:val="bottom"/>
            <w:vMerge w:val="continue"/>
          </w:tcPr>
          <w:p>
            <w:pPr>
              <w:spacing w:after="0"/>
              <w:rPr>
                <w:sz w:val="12"/>
                <w:szCs w:val="12"/>
                <w:color w:val="auto"/>
              </w:rPr>
            </w:pPr>
          </w:p>
        </w:tc>
        <w:tc>
          <w:tcPr>
            <w:tcW w:w="1000" w:type="dxa"/>
            <w:vAlign w:val="bottom"/>
          </w:tcPr>
          <w:p>
            <w:pPr>
              <w:jc w:val="center"/>
              <w:ind w:left="122"/>
              <w:spacing w:after="0"/>
              <w:rPr>
                <w:sz w:val="20"/>
                <w:szCs w:val="20"/>
                <w:color w:val="auto"/>
              </w:rPr>
            </w:pPr>
            <w:r>
              <w:rPr>
                <w:rFonts w:ascii="Arial" w:cs="Arial" w:eastAsia="Arial" w:hAnsi="Arial"/>
                <w:sz w:val="12"/>
                <w:szCs w:val="12"/>
                <w:b w:val="1"/>
                <w:bCs w:val="1"/>
                <w:color w:val="auto"/>
                <w:w w:val="98"/>
              </w:rPr>
              <w:t>Maturity</w:t>
            </w:r>
          </w:p>
        </w:tc>
        <w:tc>
          <w:tcPr>
            <w:tcW w:w="2060" w:type="dxa"/>
            <w:vAlign w:val="bottom"/>
            <w:vMerge w:val="continue"/>
          </w:tcPr>
          <w:p>
            <w:pPr>
              <w:spacing w:after="0"/>
              <w:rPr>
                <w:sz w:val="12"/>
                <w:szCs w:val="12"/>
                <w:color w:val="auto"/>
              </w:rPr>
            </w:pPr>
          </w:p>
        </w:tc>
        <w:tc>
          <w:tcPr>
            <w:tcW w:w="70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2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45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7"/>
              </w:rPr>
              <w:t xml:space="preserve">Investments in Non-Controlled, Non-Affiliated Portfolio Companies—159.3% </w:t>
            </w:r>
            <w:r>
              <w:rPr>
                <w:rFonts w:ascii="Arial" w:cs="Arial" w:eastAsia="Arial" w:hAnsi="Arial"/>
                <w:sz w:val="9"/>
                <w:szCs w:val="9"/>
                <w:b w:val="1"/>
                <w:bCs w:val="1"/>
                <w:color w:val="auto"/>
                <w:w w:val="97"/>
              </w:rPr>
              <w:t>(3), (4)</w:t>
            </w:r>
          </w:p>
        </w:tc>
        <w:tc>
          <w:tcPr>
            <w:tcW w:w="1000" w:type="dxa"/>
            <w:vAlign w:val="bottom"/>
            <w:tcBorders>
              <w:top w:val="single" w:sz="8" w:color="auto"/>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Debt—145.9%</w:t>
            </w:r>
          </w:p>
        </w:tc>
        <w:tc>
          <w:tcPr>
            <w:tcW w:w="10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8"/>
              </w:rPr>
              <w:t>$12,255,990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  12,250,000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02/28/2019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12,064,454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12,037,105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12,064,454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04/04/2022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3,925,777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3,946,410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American Bath Group,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10/02/2023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2,970,000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2,992,500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03/31/2022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4,866,801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4,888,125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AMF Bowling Centers,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09/19/2023</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14,850,608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14,931,300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6,462,308</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6,220,419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04/22/2022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9,787,810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9,825,375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11/15/2018</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Energy: Oil and Gas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5,042,414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4,228,689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06/29/2020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3"/>
              </w:rPr>
              <w:t>Automotive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3,462,806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3,498,670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2,397,229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2,422,820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L+1,225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2,415,653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2,442,679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2,448,157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07/08/2021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4,847,215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4,863,375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07/02/2020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4,930,912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4,850,844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07/21/2023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12,179,928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12,343,750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12/24/2019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4,061,551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3,750,357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01/08/2019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L+625</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4,828,571</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4,801,254</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4,732,000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Industries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L+975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6,163,749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6,272,600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10,531,671</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10,451,145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10,505,342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1,953,997</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1,970,000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08/02/2021</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9,900,163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03/19/2018</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2,225,615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2,237,139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12/09/2020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4,889,096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4,875,750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4,659,016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8,513,835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8,507,250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8,599,431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8,598,098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434,783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434,783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06/15/2022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10,972,500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10,864,398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10,972,500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07/01/2021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4,875,844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4,702,969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12/23/2021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4,884,041</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4,798,821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05/31/2019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3,867,640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3,880,275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6,765,938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6,620,294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GTCR Valor Companies,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06/16/2023</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7,191,975</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7,116,539</w:t>
            </w: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Harbortouch Payments,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05/31/2022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6,956,250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6,889,369</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7,025,812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8"/>
              </w:rPr>
              <w:t>Estate</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Highline Aftermarket Acquisition, LLC (f/k/a DYK Prime Acquisition,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7,312,500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7,244,146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7,275,937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10/21/2020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1,153,016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1,142,569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12/13/2019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2,610,592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2,183,890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08/05/2019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6,218,559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5,505,500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6,133,990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6,225,820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Idera,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7,293,179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7,684,363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05/01/2019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8,614,521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8,242,292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Imagine! Print Solutions,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03/30/2022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5,974,987</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5,914,562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6,027,269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shd w:val="clear" w:color="auto" w:fill="CCEEFF"/>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5,277,938</w:t>
            </w:r>
          </w:p>
        </w:tc>
        <w:tc>
          <w:tcPr>
            <w:tcW w:w="78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5,235,239</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5,277,938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L+1,100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4,460,571</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6,609,864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6,662,719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04/30/2020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4,846,935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4,686,976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4,820,995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4,753,000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02/19/2021</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4,002,471</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3,932,760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3,925,841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07/17/2020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2,827,307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10/31/2022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12,406,250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12,210,683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10/30/2020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1,209,677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Lago Resort &amp; Casino,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10,174,500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9,984,965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9,971,010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11/13/2020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1,945,020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1,940,066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1,930,432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11/30/2018</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5,407,864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5,371,524</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5,272,668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2,186,607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2,177,539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2,186,607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282,143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280,973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282,143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Lombart Brothers,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04/13/2022</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9"/>
              </w:rPr>
              <w:t>Capital Equipment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5,985,000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5,901,046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6,014,925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000" w:type="dxa"/>
            <w:vAlign w:val="bottom"/>
          </w:tcPr>
          <w:p>
            <w:pPr>
              <w:jc w:val="center"/>
              <w:ind w:left="122"/>
              <w:spacing w:after="0"/>
              <w:rPr>
                <w:sz w:val="20"/>
                <w:szCs w:val="20"/>
                <w:color w:val="auto"/>
              </w:rPr>
            </w:pPr>
            <w:r>
              <w:rPr>
                <w:rFonts w:ascii="Arial" w:cs="Arial" w:eastAsia="Arial" w:hAnsi="Arial"/>
                <w:sz w:val="12"/>
                <w:szCs w:val="12"/>
                <w:color w:val="auto"/>
                <w:w w:val="89"/>
              </w:rPr>
              <w:t>04/13/2022</w:t>
            </w:r>
          </w:p>
        </w:tc>
        <w:tc>
          <w:tcPr>
            <w:tcW w:w="2060" w:type="dxa"/>
            <w:vAlign w:val="bottom"/>
          </w:tcPr>
          <w:p>
            <w:pPr>
              <w:jc w:val="center"/>
              <w:ind w:left="2"/>
              <w:spacing w:after="0"/>
              <w:rPr>
                <w:sz w:val="20"/>
                <w:szCs w:val="20"/>
                <w:color w:val="auto"/>
              </w:rPr>
            </w:pPr>
            <w:r>
              <w:rPr>
                <w:rFonts w:ascii="Arial" w:cs="Arial" w:eastAsia="Arial" w:hAnsi="Arial"/>
                <w:sz w:val="12"/>
                <w:szCs w:val="12"/>
                <w:color w:val="auto"/>
                <w:w w:val="89"/>
              </w:rPr>
              <w:t>Capital Equipment</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176,991</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176,991</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176,991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gridSpan w:val="3"/>
            <w:vMerge w:val="continue"/>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Maturity</w:t>
            </w:r>
          </w:p>
        </w:tc>
        <w:tc>
          <w:tcPr>
            <w:tcW w:w="2160" w:type="dxa"/>
            <w:vAlign w:val="bottom"/>
            <w:gridSpan w:val="2"/>
            <w:vMerge w:val="continue"/>
          </w:tcPr>
          <w:p>
            <w:pPr>
              <w:spacing w:after="0"/>
              <w:rPr>
                <w:sz w:val="12"/>
                <w:szCs w:val="1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Cost</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04/13/2022</w:t>
            </w:r>
          </w:p>
        </w:tc>
        <w:tc>
          <w:tcPr>
            <w:tcW w:w="16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Capital Equipment</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80"/>
              <w:spacing w:after="0" w:line="129"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1,061,947</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Long’s Drugs Incorporated</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4,951,874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01/15/2021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4"/>
              </w:rPr>
              <w:t>Retail</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9,417,467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LTI Holdings,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04/18/2022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5,431,250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4,973,326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5,254,734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1,362,530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1,342,162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1,342,092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17,244,188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12,065,652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13,078,215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613,139</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09/28/2022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4,116,608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4,075,499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4,075,442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09/28/2021</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883,392</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8,817,647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8,767,669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8,288,588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6,268,657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6,205,970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6,205,970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3,731,343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Polycom,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09/27/2023</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5,760,000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Precyse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10/20/2022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3,990,000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3,932,956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4,014,938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Premier Dental Services,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11/01/2018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Consumer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7,528,230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7,473,587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7,490,588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Profile Products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7,222,561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08/23/2021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9,852,456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Research Now Group,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03/18/2021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6,895,000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6,867,800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6,688,150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Robertshaw US Holding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06/18/2019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4,252,830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4,233,671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4,258,699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Ryan,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08/07/2020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6.75%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4,218,750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4,166,413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4,163,400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Sensus USA,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04/05/2023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Utilities: Water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9,692,511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9,999,938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Snak Club,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4,968,748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4,896,623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4,919,060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05/21/2021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9,781,596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9,825,625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04/21/2017</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5,668,843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5,614,696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5,640,499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Sundial Group Holdings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7,312,500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7,200,786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12/16/2020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7,446,562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7,395,200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7,409,329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10/18/2019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5,834,217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5,733,000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2"/>
              </w:rPr>
              <w:t>Construction and Building</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4,822,723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4,786,985</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4,071,198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3,092,295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3,062,366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5,986,002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5,928,120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TOMS Shoes,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1,825,559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1,576,000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Triad Manufacturing,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12/28/2020</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11.27%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10,306,936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10,124,477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10,306,936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9.50%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L+850</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1.00%)</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599,702</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562,432</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590,706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151,090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Universal Fiber Systems,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10/04/2021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4,919,423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4,937,688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 Anesthesia Partners,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9,818,407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4,752,002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7,773,579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7,703,094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7,668,171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708,333</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9.00%</w:t>
            </w: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L+800</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7,316,440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7,259,010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7,316,440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86"/>
              </w:rPr>
              <w:t>549,736,982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548,410,095</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Debt—9.7%</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942,276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2"/>
              </w:rPr>
              <w:t>Metals and Mining</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11.34%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1,971,030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L+1,000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10,511,818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MailSouth,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10/22/2021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11.50%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L+1,050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3,703,724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3,775,000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0"/>
              </w:rPr>
              <w:t>Publishing</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L+1,100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10,914,618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4,872,042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4,826,926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Energy: Oil and Gas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12.50%</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2,756,732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1,631,250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VT Buyer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01/30/2023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2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1,777,304</w:t>
            </w:r>
          </w:p>
        </w:tc>
        <w:tc>
          <w:tcPr>
            <w:tcW w:w="2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38,404,428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36,596,692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07/30/2018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7.50%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1,135,273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1,030,320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1,035,937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(PIK 4.00%)</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9"/>
              </w:rPr>
              <w:t>10/26/2018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13.00%</w:t>
            </w:r>
          </w:p>
        </w:tc>
        <w:tc>
          <w:tcPr>
            <w:tcW w:w="880" w:type="dxa"/>
            <w:vAlign w:val="bottom"/>
            <w:gridSpan w:val="2"/>
            <w:shd w:val="clear" w:color="auto" w:fill="CCEEFF"/>
          </w:tcPr>
          <w:p>
            <w:pPr>
              <w:ind w:left="38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2,069,078</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2,050,767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1,975,969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15.00%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148,466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w w:val="95"/>
              </w:rPr>
              <w:t>(PIK 15.00%)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3,228,083</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3,160,372</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13.50%</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1,047,317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670,283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1,319,308</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99,029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3,514,572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3,700,216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80" w:type="dxa"/>
            <w:vAlign w:val="bottom"/>
            <w:gridSpan w:val="3"/>
            <w:vMerge w:val="continue"/>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c>
          <w:tcPr>
            <w:tcW w:w="2160" w:type="dxa"/>
            <w:vAlign w:val="bottom"/>
            <w:gridSpan w:val="2"/>
            <w:vMerge w:val="continue"/>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Coupon</w:t>
            </w: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Affinion Group Holdings, Inc., Series C and Series D</w:t>
            </w: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Consumer Goods: Durable</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4,298</w:t>
            </w: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1,186,649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20,096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621,550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e.l.f. Beauty, Inc. (f/k/a J.A. Cosmetics US, Inc.)</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w w:val="96"/>
              </w:rPr>
              <w:t>110,399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295,670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2,957,767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0"/>
              </w:rPr>
              <w:t>Construction and Building</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1,141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58,044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94,560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11,867</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27,995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106,922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w w:val="96"/>
              </w:rPr>
              <w:t>430,666</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430,666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430,666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(Advanced Cable Communications, LLC)</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w w:val="96"/>
              </w:rPr>
              <w:t>569,334</w:t>
            </w:r>
          </w:p>
        </w:tc>
        <w:tc>
          <w:tcPr>
            <w:tcW w:w="60" w:type="dxa"/>
            <w:vAlign w:val="bottom"/>
          </w:tcPr>
          <w:p>
            <w:pPr>
              <w:spacing w:after="0"/>
              <w:rPr>
                <w:sz w:val="11"/>
                <w:szCs w:val="11"/>
                <w:color w:val="auto"/>
              </w:rPr>
            </w:pPr>
          </w:p>
        </w:tc>
        <w:tc>
          <w:tcPr>
            <w:tcW w:w="740" w:type="dxa"/>
            <w:vAlign w:val="bottom"/>
            <w:gridSpan w:val="2"/>
          </w:tcPr>
          <w:p>
            <w:pPr>
              <w:ind w:left="420"/>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w w:val="96"/>
              </w:rPr>
              <w:t>149,617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892,276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15,179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56,895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577,005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Publishing</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86"/>
              </w:rPr>
              <w:t>597,910,267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598,887,525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w w:val="96"/>
              </w:rPr>
              <w:t>28,212,041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28,212,041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691,318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698,932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626,813,626</w:t>
            </w: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627,798,498</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375,906,828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176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0"/>
          <w:szCs w:val="20"/>
          <w:color w:val="auto"/>
        </w:rPr>
      </w:pPr>
    </w:p>
    <w:p>
      <w:pPr>
        <w:ind w:left="340" w:right="380" w:hanging="332"/>
        <w:spacing w:after="0" w:line="243"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22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right="12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right="220" w:hanging="332"/>
        <w:spacing w:after="0" w:line="234" w:lineRule="auto"/>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00" w:type="dxa"/>
            <w:vAlign w:val="bottom"/>
            <w:vMerge w:val="continue"/>
          </w:tcPr>
          <w:p>
            <w:pPr>
              <w:spacing w:after="0"/>
              <w:rPr>
                <w:sz w:val="12"/>
                <w:szCs w:val="12"/>
                <w:color w:val="auto"/>
              </w:rPr>
            </w:pPr>
          </w:p>
        </w:tc>
        <w:tc>
          <w:tcPr>
            <w:tcW w:w="1000" w:type="dxa"/>
            <w:vAlign w:val="bottom"/>
          </w:tcPr>
          <w:p>
            <w:pPr>
              <w:ind w:left="460"/>
              <w:spacing w:after="0"/>
              <w:rPr>
                <w:sz w:val="20"/>
                <w:szCs w:val="20"/>
                <w:color w:val="auto"/>
              </w:rPr>
            </w:pPr>
            <w:r>
              <w:rPr>
                <w:rFonts w:ascii="Arial" w:cs="Arial" w:eastAsia="Arial" w:hAnsi="Arial"/>
                <w:sz w:val="12"/>
                <w:szCs w:val="12"/>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Coupon</w:t>
            </w: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84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46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8"/>
              </w:rPr>
              <w:t xml:space="preserve">Investments in Non-Controlled, Non-Affiliated Portfolio Companies—104.2% </w:t>
            </w:r>
            <w:r>
              <w:rPr>
                <w:rFonts w:ascii="Arial" w:cs="Arial" w:eastAsia="Arial" w:hAnsi="Arial"/>
                <w:sz w:val="9"/>
                <w:szCs w:val="9"/>
                <w:b w:val="1"/>
                <w:bCs w:val="1"/>
                <w:color w:val="auto"/>
                <w:w w:val="98"/>
              </w:rPr>
              <w:t>(3), (4)</w:t>
            </w:r>
          </w:p>
        </w:tc>
        <w:tc>
          <w:tcPr>
            <w:tcW w:w="1000" w:type="dxa"/>
            <w:vAlign w:val="bottom"/>
            <w:tcBorders>
              <w:top w:val="single" w:sz="8" w:color="auto"/>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Debt—89.1%</w:t>
            </w: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AKA Diversified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11.97%</w:t>
            </w:r>
          </w:p>
        </w:tc>
        <w:tc>
          <w:tcPr>
            <w:tcW w:w="9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10,734,388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  10,555,953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  10,895,404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AKA Diversified Holdings, Inc. (Revolver) </w:t>
            </w:r>
            <w:r>
              <w:rPr>
                <w:rFonts w:ascii="Arial" w:cs="Arial" w:eastAsia="Arial" w:hAnsi="Arial"/>
                <w:sz w:val="9"/>
                <w:szCs w:val="9"/>
                <w:color w:val="auto"/>
              </w:rPr>
              <w:t>(10)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1,165,725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17,486</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7,136,577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7,101,328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7,118,736</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04/04/2022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3,900,038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3,881,182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3,880,538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Ancile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07/16/2018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2,990,287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2,971,513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2,975,336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6,602,074</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6,517,717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6,492,018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ARC Automotive Group,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3,935,708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3,930,300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11/15/2018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5,310,750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5,189,661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4,514,138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4,280,585</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4,227,278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4,264,533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Bowlmor AMF Corp.</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09/17/2021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12,902,393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12,820,758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12,805,625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2,493,750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2,469,351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2,468,812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4,878,103</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4,870,850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4,961,991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4,700,000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4,432,500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4,381,480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4,210,875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01/08/2019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4,925,000</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4,887,389</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4,925,000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11,861,946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11,755,521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11,743,327</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02/07/2022</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1,971,403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1,988,348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03/19/2018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2,976,683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2,952,648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3,017,613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12/09/2020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4,931,287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4,875,500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2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06/30/2020   Chemicals, Plastics and Rubber</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4,901,367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8,955,000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8,955,000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07/01/2021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4,914,374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4,862,812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4,927,105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4,897,290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05/31/2019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3,900,641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3,910,350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05/23/2018</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1,091,582</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1,090,547</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1,088,177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Subscription</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6,827,661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6,739,950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Help/Systems Holdings,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4,866,257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4,851,000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10/21/2020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1,194,000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1,178,322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1,194,000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12/13/2019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2,753,737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2,734,900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2,726,199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Hunter Defense Technologies,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08/05/2019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6,650,000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6,598,073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6,641,687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ICC-Nexergy,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4,941,329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6,842,099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6,965,000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05/01/2019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10,094,315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10,001,190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9,084,884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5,366,227</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5,306,494</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5,366,227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12.00%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4,447,058</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6,734,452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6,800,000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Tax Service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8.00%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4,901,996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08/19/2019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L+1,000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5,965,222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5,874,403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5,537,227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07/17/2020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2,970,849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11/13/2020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1,965,012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1,958,874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1,943,731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11/30/2018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5,789,068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5,735,375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5,736,619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2,208,750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2,197,809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2,197,706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283,588</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283,575</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04/18/2022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1,985,364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1,973,175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8,917,647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8,854,192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8,566,559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Physiotherapy Corporation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06/04/2021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3,482,889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3,491,250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PlayPower,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3,990,000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3,951,094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3,970,050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Polyconcept Finance B.V.</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11,482,697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11,430,576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11,425,283</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11/01/2018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8,219,601</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8,131,135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7,109,955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05/20/2021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7,470,287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7,398,025</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7,470,287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05/20/2020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2,459,016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Quality Home Brands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12/17/2018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4,912,500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4,880,217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4,914,563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6,931,604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6,912,763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Robertshaw US Holding Corp.</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3,582,758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3,557,217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3,575,247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4,443,750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4,378,244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4,382,648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04/21/2017</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6,101,682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5,946,657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5,491,514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714,200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711,056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714,200</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Surgical Specialties Corporation (US),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08/22/2018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10,037,432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10,017,760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9,937,058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12/16/2020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6,171,308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6,164,336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5,875,736</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5,895,000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4,906,969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4,588,056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TOMS Shoes,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1,814,920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1,845,725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9.50%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L+850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430,126</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(PIK 1.00%)</w:t>
            </w: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599,702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548,736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569,717</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151,090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700" w:type="dxa"/>
            <w:vAlign w:val="bottom"/>
            <w:gridSpan w:val="3"/>
            <w:vMerge w:val="continue"/>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Maturity</w:t>
            </w: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U.S. Farathane, LLC</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02/07/2022</w:t>
            </w: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Automotive</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6.75</w:t>
            </w:r>
          </w:p>
        </w:tc>
        <w:tc>
          <w:tcPr>
            <w:tcW w:w="280" w:type="dxa"/>
            <w:vAlign w:val="bottom"/>
            <w:tcBorders>
              <w:top w:val="single" w:sz="8" w:color="CCEEFF"/>
            </w:tcBorders>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w w:val="74"/>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L+575</w:t>
            </w: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3,800,641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3,729,952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3,807,672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3,121,094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Vistage Worldwide,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4,950,477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Wilton Brands,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08/30/2018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Consumer Goods: Non-Durable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L+725</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2,703,000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2,674,736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2,630,370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6,490,688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6,429,955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6,490,688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335,790,073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332,180,834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Debt—12.8%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919,155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893,130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1,965,770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Wholesale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10,423,463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10,670,000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3,938,373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Language Line,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07/07/2022</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Consumer Services</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10.75%</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10,750,000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10,589,814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10,723,125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11.75%</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10,902,202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10,780,000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 Diversified and Production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5,252,824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5,194,116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5,230,920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Energy: Oil and Gas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2,812,500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2,697,607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2,615,625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47,630,500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47,902,800</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Notes—1.5% </w:t>
            </w:r>
            <w:r>
              <w:rPr>
                <w:rFonts w:ascii="Arial" w:cs="Arial" w:eastAsia="Arial" w:hAnsi="Arial"/>
                <w:sz w:val="9"/>
                <w:szCs w:val="9"/>
                <w:b w:val="1"/>
                <w:bCs w:val="1"/>
                <w:color w:val="auto"/>
              </w:rPr>
              <w:t>(8)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09/14/2018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4,786,483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4,361,551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1,818,864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Investments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08/15/2018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2,484,000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2,146,500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1,664,280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10/26/2018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13.00%</w:t>
            </w:r>
          </w:p>
        </w:tc>
        <w:tc>
          <w:tcPr>
            <w:tcW w:w="82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2,025,065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1,999,885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1,992,841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29" w:lineRule="exact"/>
              <w:rPr>
                <w:sz w:val="20"/>
                <w:szCs w:val="20"/>
                <w:color w:val="auto"/>
              </w:rPr>
            </w:pPr>
            <w:r>
              <w:rPr>
                <w:rFonts w:ascii="Arial" w:cs="Arial" w:eastAsia="Arial" w:hAnsi="Arial"/>
                <w:sz w:val="12"/>
                <w:szCs w:val="12"/>
                <w:color w:val="auto"/>
              </w:rPr>
              <w:t>15.00%</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126,259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2"/>
                <w:szCs w:val="12"/>
                <w:color w:val="auto"/>
                <w:w w:val="98"/>
              </w:rPr>
              <w:t>(PIK 15.00%)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8,634,195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5,602,244</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8.00%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399,704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455,490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13.50%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1,047,317</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670,283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691,115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1,069,987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1,146,605</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A2Z Wireless Holdings,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Retail</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463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118,817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674,296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 Series A (Warrants)</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554,715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1,186,649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291,226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B (Warrants)</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1,135,743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22,715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Faraday Holdings, LLC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939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45,761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52,466</w:t>
            </w:r>
          </w:p>
        </w:tc>
        <w:tc>
          <w:tcPr>
            <w:tcW w:w="0" w:type="dxa"/>
            <w:vAlign w:val="bottom"/>
          </w:tcPr>
          <w:p>
            <w:pPr>
              <w:spacing w:after="0"/>
              <w:rPr>
                <w:sz w:val="1"/>
                <w:szCs w:val="1"/>
                <w:color w:val="auto"/>
              </w:rPr>
            </w:pPr>
          </w:p>
        </w:tc>
      </w:tr>
      <w:tr>
        <w:trPr>
          <w:trHeight w:val="148"/>
        </w:trPr>
        <w:tc>
          <w:tcPr>
            <w:tcW w:w="4700" w:type="dxa"/>
            <w:vAlign w:val="bottom"/>
            <w:gridSpan w:val="3"/>
          </w:tcPr>
          <w:p>
            <w:pPr>
              <w:spacing w:after="0"/>
              <w:rPr>
                <w:sz w:val="20"/>
                <w:szCs w:val="20"/>
                <w:color w:val="auto"/>
              </w:rPr>
            </w:pPr>
            <w:r>
              <w:rPr>
                <w:rFonts w:ascii="Arial" w:cs="Arial" w:eastAsia="Arial" w:hAnsi="Arial"/>
                <w:sz w:val="12"/>
                <w:szCs w:val="12"/>
                <w:color w:val="auto"/>
              </w:rPr>
              <w:t>(Interior Specialists, Inc.)</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215,689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 (Warrants)</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11/27/2023</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14,484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28,002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190,609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149,617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15,179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56,895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255,899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1,436,420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1,702,900</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394,561,175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388,535,383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Investments in Controlled, Affiliated Portfolio Companies—0.7%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First Lien Secured Debt—0.7%</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GMC Television Broadcasting Holdings, LLC </w:t>
            </w:r>
            <w:r>
              <w:rPr>
                <w:rFonts w:ascii="Arial" w:cs="Arial" w:eastAsia="Arial" w:hAnsi="Arial"/>
                <w:sz w:val="9"/>
                <w:szCs w:val="9"/>
                <w:color w:val="auto"/>
              </w:rPr>
              <w:t>(8), (12)</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12/30/2016</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4.33%</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L+400</w:t>
            </w:r>
            <w:r>
              <w:rPr>
                <w:rFonts w:ascii="Arial" w:cs="Arial" w:eastAsia="Arial" w:hAnsi="Arial"/>
                <w:sz w:val="9"/>
                <w:szCs w:val="9"/>
                <w:color w:val="auto"/>
              </w:rPr>
              <w:t>(9)</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3,702,009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2,777,132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2,776,507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Investments—104.9%</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397,338,307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391,311,890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Equivalents—5.8%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21,428,514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21,428,514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Equivalents—110.7%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83"/>
              </w:rPr>
              <w:t>418,766,821</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412,740,404</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Assets—(10.7)%</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0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91"/>
              </w:rPr>
              <w:t>(39,849,955)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372,890,449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5176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6" w:lineRule="exact"/>
        <w:rPr>
          <w:sz w:val="20"/>
          <w:szCs w:val="20"/>
          <w:color w:val="auto"/>
        </w:rPr>
      </w:pPr>
    </w:p>
    <w:p>
      <w:pPr>
        <w:ind w:left="340" w:hanging="332"/>
        <w:spacing w:after="0" w:line="252" w:lineRule="auto"/>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right="180" w:hanging="332"/>
        <w:spacing w:after="0" w:line="252" w:lineRule="auto"/>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40" w:right="200" w:hanging="332"/>
        <w:spacing w:after="0" w:line="252" w:lineRule="auto"/>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40" w:right="200" w:hanging="332"/>
        <w:spacing w:after="0" w:line="252" w:lineRule="auto"/>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Became a controlled affiliate during the quarter ended September 30, 2015.</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02" w:lineRule="exact"/>
        <w:rPr>
          <w:sz w:val="20"/>
          <w:szCs w:val="20"/>
          <w:color w:val="auto"/>
        </w:rPr>
      </w:pPr>
    </w:p>
    <w:p>
      <w:pPr>
        <w:ind w:right="200" w:firstLine="685"/>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0"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also entered into the Administration Agreement with the Administrator, which provides the administrative services necessary for us to operate.</w:t>
      </w:r>
    </w:p>
    <w:p>
      <w:pPr>
        <w:spacing w:after="0" w:line="195"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as of September 30, 2016 at LIBOR plus 200 basis points during the revolving period. The Credit Facility is secured by all of the assets held by Funding I. See Note 11.</w:t>
      </w:r>
    </w:p>
    <w:p>
      <w:pPr>
        <w:spacing w:after="0" w:line="118" w:lineRule="exact"/>
        <w:rPr>
          <w:sz w:val="20"/>
          <w:szCs w:val="20"/>
          <w:color w:val="auto"/>
        </w:rPr>
      </w:pPr>
    </w:p>
    <w:p>
      <w:pPr>
        <w:ind w:right="520" w:firstLine="685"/>
        <w:spacing w:after="0" w:line="312" w:lineRule="auto"/>
        <w:rPr>
          <w:sz w:val="20"/>
          <w:szCs w:val="20"/>
          <w:color w:val="auto"/>
        </w:rPr>
      </w:pPr>
      <w:r>
        <w:rPr>
          <w:rFonts w:ascii="Arial" w:cs="Arial" w:eastAsia="Arial" w:hAnsi="Arial"/>
          <w:sz w:val="16"/>
          <w:szCs w:val="16"/>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06"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by and among MCG, our Investment Adviser and the Company. As a result of the transactions completed by the Merger Agreement, MCG was ultimately merged with and into PFLT Funding II, LLC with PFLT Funding II, LLC as the surviving company. See Note 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65"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98"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51"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7" w:lineRule="exact"/>
        <w:rPr>
          <w:sz w:val="20"/>
          <w:szCs w:val="20"/>
          <w:color w:val="auto"/>
        </w:rPr>
      </w:pPr>
    </w:p>
    <w:p>
      <w:pPr>
        <w:ind w:left="900" w:hanging="446"/>
        <w:spacing w:after="0" w:line="253" w:lineRule="auto"/>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73" w:lineRule="exact"/>
        <w:rPr>
          <w:rFonts w:ascii="Arial" w:cs="Arial" w:eastAsia="Arial" w:hAnsi="Arial"/>
          <w:sz w:val="14"/>
          <w:szCs w:val="14"/>
          <w:color w:val="auto"/>
        </w:rPr>
      </w:pPr>
    </w:p>
    <w:p>
      <w:pPr>
        <w:ind w:left="900" w:hanging="446"/>
        <w:spacing w:after="0"/>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900" w:right="260" w:hanging="446"/>
        <w:spacing w:after="0" w:line="264" w:lineRule="auto"/>
        <w:tabs>
          <w:tab w:leader="none" w:pos="9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68" w:lineRule="exact"/>
        <w:rPr>
          <w:rFonts w:ascii="Arial" w:cs="Arial" w:eastAsia="Arial" w:hAnsi="Arial"/>
          <w:sz w:val="13"/>
          <w:szCs w:val="13"/>
          <w:color w:val="auto"/>
        </w:rPr>
      </w:pPr>
    </w:p>
    <w:p>
      <w:pPr>
        <w:ind w:left="900" w:right="140" w:hanging="446"/>
        <w:spacing w:after="0" w:line="238" w:lineRule="auto"/>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82" w:lineRule="exact"/>
        <w:rPr>
          <w:rFonts w:ascii="Arial" w:cs="Arial" w:eastAsia="Arial" w:hAnsi="Arial"/>
          <w:sz w:val="14"/>
          <w:szCs w:val="14"/>
          <w:color w:val="auto"/>
        </w:rPr>
      </w:pPr>
    </w:p>
    <w:p>
      <w:pPr>
        <w:ind w:left="900" w:right="280" w:hanging="446"/>
        <w:spacing w:after="0" w:line="253" w:lineRule="auto"/>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8"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98"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27" w:lineRule="exact"/>
        <w:rPr>
          <w:sz w:val="20"/>
          <w:szCs w:val="20"/>
          <w:color w:val="auto"/>
        </w:rPr>
      </w:pPr>
    </w:p>
    <w:p>
      <w:pPr>
        <w:ind w:right="140" w:firstLine="685"/>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98" w:lineRule="exact"/>
        <w:rPr>
          <w:sz w:val="20"/>
          <w:szCs w:val="20"/>
          <w:color w:val="auto"/>
        </w:rPr>
      </w:pPr>
    </w:p>
    <w:p>
      <w:pPr>
        <w:ind w:right="20" w:firstLine="685"/>
        <w:spacing w:after="0" w:line="272" w:lineRule="auto"/>
        <w:rPr>
          <w:sz w:val="20"/>
          <w:szCs w:val="20"/>
          <w:color w:val="auto"/>
        </w:rPr>
      </w:pPr>
      <w:r>
        <w:rPr>
          <w:rFonts w:ascii="Arial" w:cs="Arial" w:eastAsia="Arial" w:hAnsi="Arial"/>
          <w:sz w:val="17"/>
          <w:szCs w:val="17"/>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are not subject to federal income taxes as a RIC, we may elect to retain a portion of our calendar year income, which may result in an excise tax. For the fiscal years ended September 30, 2016, 2015 and 2014, we had accrued an excise tax of zero, $0.4 million and $0.5 million, respectively.</w:t>
      </w:r>
    </w:p>
    <w:p>
      <w:pPr>
        <w:spacing w:after="0" w:line="13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146" w:lineRule="exact"/>
        <w:rPr>
          <w:sz w:val="20"/>
          <w:szCs w:val="20"/>
          <w:color w:val="auto"/>
        </w:rPr>
      </w:pPr>
    </w:p>
    <w:p>
      <w:pPr>
        <w:ind w:right="160" w:firstLine="685"/>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85"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46"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37" w:lineRule="exact"/>
        <w:rPr>
          <w:sz w:val="20"/>
          <w:szCs w:val="20"/>
          <w:color w:val="auto"/>
        </w:rPr>
      </w:pPr>
    </w:p>
    <w:p>
      <w:pPr>
        <w:ind w:left="1260" w:hanging="455"/>
        <w:spacing w:after="0"/>
        <w:tabs>
          <w:tab w:leader="none" w:pos="1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right="640" w:hanging="455"/>
        <w:spacing w:after="0" w:line="277" w:lineRule="auto"/>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30" w:lineRule="exact"/>
        <w:rPr>
          <w:sz w:val="20"/>
          <w:szCs w:val="20"/>
          <w:color w:val="auto"/>
        </w:rPr>
      </w:pPr>
    </w:p>
    <w:p>
      <w:pPr>
        <w:ind w:right="200" w:firstLine="685"/>
        <w:spacing w:after="0" w:line="288"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ind w:right="260" w:firstLine="685"/>
        <w:spacing w:after="0" w:line="254"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Consolidation</w:t>
      </w:r>
    </w:p>
    <w:p>
      <w:pPr>
        <w:spacing w:after="0" w:line="185" w:lineRule="exact"/>
        <w:rPr>
          <w:sz w:val="20"/>
          <w:szCs w:val="20"/>
          <w:color w:val="auto"/>
        </w:rPr>
      </w:pPr>
    </w:p>
    <w:p>
      <w:pPr>
        <w:ind w:right="80" w:firstLine="685"/>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98"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89"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6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incentive fee has two parts, as follows:</w:t>
      </w:r>
    </w:p>
    <w:p>
      <w:pPr>
        <w:spacing w:after="0" w:line="185"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64"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60" w:lineRule="exact"/>
        <w:rPr>
          <w:sz w:val="20"/>
          <w:szCs w:val="20"/>
          <w:color w:val="auto"/>
        </w:rPr>
      </w:pPr>
    </w:p>
    <w:p>
      <w:pPr>
        <w:ind w:right="60" w:firstLine="685"/>
        <w:spacing w:after="0" w:line="283"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7"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02" w:lineRule="exact"/>
        <w:rPr>
          <w:sz w:val="20"/>
          <w:szCs w:val="20"/>
          <w:color w:val="auto"/>
        </w:rPr>
      </w:pPr>
    </w:p>
    <w:p>
      <w:pPr>
        <w:ind w:right="60" w:firstLine="685"/>
        <w:spacing w:after="0" w:line="342" w:lineRule="auto"/>
        <w:rPr>
          <w:sz w:val="20"/>
          <w:szCs w:val="20"/>
          <w:color w:val="auto"/>
        </w:rPr>
      </w:pPr>
      <w:r>
        <w:rPr>
          <w:rFonts w:ascii="Arial" w:cs="Arial" w:eastAsia="Arial" w:hAnsi="Arial"/>
          <w:sz w:val="16"/>
          <w:szCs w:val="16"/>
          <w:color w:val="auto"/>
        </w:rPr>
        <w:t>Purchases of investments, including PIK, for the years ended September 30, 2016, 2015 and 2014 totaled $364.6 million, $224.8 million and $248.8 million, respectively. Sales and repayments of investments for the same periods totaled $164.2 million, $195.0 million and $225.6 million, respectively.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549,736,982</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548,410,095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338,567,205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334,957,341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Second lien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38,404,428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36,596,692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47,630,500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47,902,800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8,634,195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Preferred equity / common equity / warrants</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6,540,774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2,506,407</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597,910,267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397,338,307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391,311,890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626,813,626</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627,798,498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418,766,821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412,740,404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F-19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040" w:type="dxa"/>
            <w:vAlign w:val="bottom"/>
            <w:vMerge w:val="restart"/>
          </w:tcPr>
          <w:p>
            <w:pPr>
              <w:spacing w:after="0"/>
              <w:rPr>
                <w:sz w:val="14"/>
                <w:szCs w:val="14"/>
                <w:color w:val="auto"/>
              </w:rPr>
            </w:pPr>
          </w:p>
        </w:tc>
        <w:tc>
          <w:tcPr>
            <w:tcW w:w="20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CCEEFF"/>
            </w:tcBorders>
            <w:vMerge w:val="continue"/>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0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94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97" w:lineRule="exact"/>
        <w:rPr>
          <w:sz w:val="20"/>
          <w:szCs w:val="20"/>
          <w:color w:val="auto"/>
        </w:rPr>
      </w:pPr>
    </w:p>
    <w:p>
      <w:pPr>
        <w:ind w:right="20" w:firstLine="685"/>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25" w:lineRule="exact"/>
        <w:rPr>
          <w:sz w:val="20"/>
          <w:szCs w:val="20"/>
          <w:color w:val="auto"/>
        </w:rPr>
      </w:pPr>
    </w:p>
    <w:p>
      <w:pPr>
        <w:ind w:left="1400" w:right="740" w:hanging="823"/>
        <w:spacing w:after="0" w:line="277" w:lineRule="auto"/>
        <w:tabs>
          <w:tab w:leader="none" w:pos="13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62" w:lineRule="exact"/>
        <w:rPr>
          <w:sz w:val="20"/>
          <w:szCs w:val="20"/>
          <w:color w:val="auto"/>
        </w:rPr>
      </w:pPr>
    </w:p>
    <w:p>
      <w:pPr>
        <w:ind w:left="1400" w:right="580" w:hanging="823"/>
        <w:spacing w:after="0" w:line="264" w:lineRule="auto"/>
        <w:tabs>
          <w:tab w:leader="none" w:pos="138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00" w:right="580" w:hanging="823"/>
        <w:spacing w:after="0" w:line="277" w:lineRule="auto"/>
        <w:tabs>
          <w:tab w:leader="none" w:pos="13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0"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51"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3"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and one reclassification from Level 3 to Level 2 during the year ended September 30, 2016. During the year ended September 30, 2015, there were two reclassifications from Level 2 to 3 and one reclassification from Level 3 to 2.</w:t>
      </w:r>
    </w:p>
    <w:p>
      <w:pPr>
        <w:spacing w:after="0" w:line="148"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54" w:lineRule="exact"/>
        <w:rPr>
          <w:sz w:val="20"/>
          <w:szCs w:val="20"/>
          <w:color w:val="auto"/>
        </w:rPr>
      </w:pPr>
    </w:p>
    <w:p>
      <w:pPr>
        <w:ind w:firstLine="685"/>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2"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14"/>
                <w:szCs w:val="1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2016</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273,399,858</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314,767,301</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5.3% – 16.5%</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(8.9%)</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7,655,677</w:t>
            </w: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9.0x</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(7.2x)</w:t>
            </w:r>
          </w:p>
        </w:tc>
        <w:tc>
          <w:tcPr>
            <w:tcW w:w="0" w:type="dxa"/>
            <w:vAlign w:val="bottom"/>
          </w:tcPr>
          <w:p>
            <w:pPr>
              <w:spacing w:after="0"/>
              <w:rPr>
                <w:sz w:val="1"/>
                <w:szCs w:val="1"/>
                <w:color w:val="auto"/>
              </w:rPr>
            </w:pPr>
          </w:p>
        </w:tc>
      </w:tr>
      <w:tr>
        <w:trPr>
          <w:trHeight w:val="207"/>
        </w:trPr>
        <w:tc>
          <w:tcPr>
            <w:tcW w:w="4320" w:type="dxa"/>
            <w:vAlign w:val="bottom"/>
            <w:gridSpan w:val="2"/>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595,822,836</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232,389,498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24"/>
                <w:szCs w:val="2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259,566,475</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128,895,910</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5.5% – 34.7%</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313,941</w:t>
            </w: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Broker/Dealer bid quotes</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2,344,955</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6.0x – 10.5x</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(7.6x)</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3"/>
              </w:rPr>
              <w:t>2.9%</w:t>
            </w:r>
          </w:p>
        </w:tc>
        <w:tc>
          <w:tcPr>
            <w:tcW w:w="0" w:type="dxa"/>
            <w:vAlign w:val="bottom"/>
          </w:tcPr>
          <w:p>
            <w:pPr>
              <w:spacing w:after="0" w:line="20" w:lineRule="exact"/>
              <w:rPr>
                <w:sz w:val="1"/>
                <w:szCs w:val="1"/>
                <w:color w:val="auto"/>
              </w:rPr>
            </w:pPr>
          </w:p>
        </w:tc>
      </w:tr>
      <w:tr>
        <w:trPr>
          <w:trHeight w:val="194"/>
        </w:trPr>
        <w:tc>
          <w:tcPr>
            <w:tcW w:w="432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29,600,000</w:t>
            </w:r>
          </w:p>
        </w:tc>
        <w:tc>
          <w:tcPr>
            <w:tcW w:w="2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2016</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36,596,692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36,596,692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10,720,366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7,655,677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598,887,525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28,910,973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28,910,973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627,798,498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29,017,895</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2015</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47,902,800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47,902,800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2,849,505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2,658,896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391,311,890</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21,428,514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21,428,514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412,740,404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21,428,514</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29,600,000</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 (Continued) SEPTEMBER 30, 2016</w:t>
      </w:r>
    </w:p>
    <w:p>
      <w:pPr>
        <w:spacing w:after="0" w:line="113"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2016</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744,464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(2,223,584)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(1,479,120)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appreciation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2,282,976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4,804,379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7,087,355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Purchases, PIK, net discount accretion and non-cash exchanges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357,140,895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9,088,987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366,229,882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(146,715,581)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(17,463,214)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(164,178,795)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(2,957,767)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(2,957,767)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548,410,095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47,412,741</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6"/>
                <w:szCs w:val="16"/>
                <w:color w:val="auto"/>
              </w:rPr>
              <w:t>Net change in unrealized appreciation (depreciation) reported within the net change in unrealized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w w:val="96"/>
              </w:rPr>
              <w:t>appreciation on investments in our Consolidated Statements of Operations attributable to our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rPr>
              <w:t>assets still held at the reporting date.</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2,617,111</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(693,738)</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1,923,373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2015</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302,565,355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40,707,230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343,272,585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(losses)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(175,862)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667,008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491,146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depreciation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(3,286,024)</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(2,397,090)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(5,683,114)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line="202" w:lineRule="exact"/>
              <w:rPr>
                <w:sz w:val="20"/>
                <w:szCs w:val="20"/>
                <w:color w:val="auto"/>
              </w:rPr>
            </w:pPr>
            <w:r>
              <w:rPr>
                <w:rFonts w:ascii="Arial" w:cs="Arial" w:eastAsia="Arial" w:hAnsi="Arial"/>
                <w:sz w:val="14"/>
                <w:szCs w:val="14"/>
                <w:color w:val="auto"/>
              </w:rPr>
              <w:t xml:space="preserve">Purchases, PIK, net discount accretion and non-cash exchanges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215,410,313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27,790,325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243,200,638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(179,556,441)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(15,493,137)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(195,049,578)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4,889,604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4,889,604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334,957,341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391,121,281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depreciation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60" w:type="dxa"/>
            <w:vAlign w:val="bottom"/>
            <w:gridSpan w:val="2"/>
          </w:tcPr>
          <w:p>
            <w:pPr>
              <w:ind w:left="14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(3,449,989)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(2,257,945)</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(5,707,934)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0326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4" w:lineRule="exact"/>
        <w:rPr>
          <w:sz w:val="20"/>
          <w:szCs w:val="20"/>
          <w:color w:val="auto"/>
        </w:rPr>
      </w:pPr>
    </w:p>
    <w:p>
      <w:pPr>
        <w:ind w:left="580" w:hanging="572"/>
        <w:spacing w:after="0"/>
        <w:tabs>
          <w:tab w:leader="none" w:pos="58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Includes assets acquired from MCG.</w:t>
      </w:r>
    </w:p>
    <w:p>
      <w:pPr>
        <w:spacing w:after="0" w:line="8"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Carrying/Fair Value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5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Years Ended September 30,</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jc w:val="right"/>
              <w:ind w:right="80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jc w:val="right"/>
              <w:ind w:right="7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 (cost – $29,600,000 and $146,400,000, respectively)</w:t>
            </w:r>
          </w:p>
        </w:tc>
        <w:tc>
          <w:tcPr>
            <w:tcW w:w="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29,600,000</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146,949,000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Total unrealized depreciation included in earnings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(518,002)</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(549,000)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Borrowings</w:t>
            </w:r>
          </w:p>
        </w:tc>
        <w:tc>
          <w:tcPr>
            <w:tcW w:w="5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260,707,500</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130,700,000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Repayments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(57,400,000)</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(247,500,000)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Transfers in and/or out of Level 3</w:t>
            </w:r>
          </w:p>
        </w:tc>
        <w:tc>
          <w:tcPr>
            <w:tcW w:w="5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gridSpan w:val="2"/>
          </w:tcPr>
          <w:p>
            <w:pPr>
              <w:spacing w:after="0"/>
              <w:rPr>
                <w:sz w:val="20"/>
                <w:szCs w:val="20"/>
                <w:color w:val="auto"/>
              </w:rPr>
            </w:pPr>
            <w:r>
              <w:rPr>
                <w:rFonts w:ascii="Arial" w:cs="Arial" w:eastAsia="Arial" w:hAnsi="Arial"/>
                <w:sz w:val="16"/>
                <w:szCs w:val="16"/>
                <w:color w:val="auto"/>
              </w:rPr>
              <w:t>Ending Balance (cost – $232,907,500 and $29,600,000, respectively)</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232,389,498</w:t>
            </w:r>
          </w:p>
        </w:tc>
        <w:tc>
          <w:tcPr>
            <w:tcW w:w="1240" w:type="dxa"/>
            <w:vAlign w:val="bottom"/>
            <w:gridSpan w:val="2"/>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80" w:firstLine="685"/>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translating on outstanding borrowings is listed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50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Local Currency</w:t>
            </w:r>
          </w:p>
        </w:tc>
        <w:tc>
          <w:tcPr>
            <w:tcW w:w="1080" w:type="dxa"/>
            <w:vAlign w:val="bottom"/>
          </w:tcPr>
          <w:p>
            <w:pPr>
              <w:spacing w:after="0"/>
              <w:rPr>
                <w:sz w:val="14"/>
                <w:szCs w:val="14"/>
                <w:color w:val="auto"/>
              </w:rPr>
            </w:pPr>
          </w:p>
        </w:tc>
        <w:tc>
          <w:tcPr>
            <w:tcW w:w="2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8"/>
              </w:rPr>
              <w:t>Original</w:t>
            </w: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Reset Date</w:t>
            </w:r>
          </w:p>
        </w:tc>
        <w:tc>
          <w:tcPr>
            <w:tcW w:w="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Borrowing Cost</w:t>
            </w:r>
          </w:p>
        </w:tc>
        <w:tc>
          <w:tcPr>
            <w:tcW w:w="198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Canadian Dollars</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C$ 17,500,000</w:t>
            </w:r>
          </w:p>
        </w:tc>
        <w:tc>
          <w:tcPr>
            <w:tcW w:w="10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12,407,501</w:t>
            </w:r>
          </w:p>
        </w:tc>
        <w:tc>
          <w:tcPr>
            <w:tcW w:w="1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4"/>
              </w:rPr>
              <w:t>$ 13,338,920</w:t>
            </w:r>
          </w:p>
        </w:tc>
        <w:tc>
          <w:tcPr>
            <w:tcW w:w="10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8"/>
              </w:rPr>
              <w:t>October 3, 2016</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931,419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and 2015, our Credit Facility had a net change in unrealized depreciation of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89" w:lineRule="exact"/>
        <w:rPr>
          <w:sz w:val="20"/>
          <w:szCs w:val="20"/>
          <w:color w:val="auto"/>
        </w:rPr>
      </w:pPr>
    </w:p>
    <w:p>
      <w:pPr>
        <w:ind w:right="120" w:firstLine="685"/>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September 30,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Purchases of /</w:t>
            </w:r>
          </w:p>
        </w:tc>
        <w:tc>
          <w:tcPr>
            <w:tcW w:w="2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Sale of /</w:t>
            </w:r>
          </w:p>
        </w:tc>
        <w:tc>
          <w:tcPr>
            <w:tcW w:w="120" w:type="dxa"/>
            <w:vAlign w:val="bottom"/>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Advances to</w:t>
            </w: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Affiliates</w:t>
            </w:r>
          </w:p>
        </w:tc>
        <w:tc>
          <w:tcPr>
            <w:tcW w:w="2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from Affiliates</w:t>
            </w:r>
          </w:p>
        </w:tc>
        <w:tc>
          <w:tcPr>
            <w:tcW w:w="12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Gains (Losses)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GMC Television Broadcasting Holdings, LLC</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September 30,</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82"/>
        </w:trPr>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Numerator for net increase in net assets resulting from</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33,488,663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12,504,245</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20,513,971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1"/>
              </w:rPr>
              <w:t>Denominator for basic and diluted weighted average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rPr>
              <w:t>26,730,074</w:t>
            </w:r>
          </w:p>
        </w:tc>
        <w:tc>
          <w:tcPr>
            <w:tcW w:w="160" w:type="dxa"/>
            <w:vAlign w:val="bottom"/>
          </w:tcPr>
          <w:p>
            <w:pPr>
              <w:spacing w:after="0"/>
              <w:rPr>
                <w:sz w:val="18"/>
                <w:szCs w:val="18"/>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16,291,965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14,898,056</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increase in net assets per share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resulting from 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0.77</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62"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32" w:lineRule="exact"/>
        <w:rPr>
          <w:sz w:val="20"/>
          <w:szCs w:val="20"/>
          <w:color w:val="auto"/>
        </w:rPr>
      </w:pPr>
    </w:p>
    <w:p>
      <w:pPr>
        <w:ind w:right="140" w:firstLine="685"/>
        <w:spacing w:after="0" w:line="342" w:lineRule="auto"/>
        <w:rPr>
          <w:sz w:val="20"/>
          <w:szCs w:val="20"/>
          <w:color w:val="auto"/>
        </w:rPr>
      </w:pPr>
      <w:r>
        <w:rPr>
          <w:rFonts w:ascii="Arial" w:cs="Arial" w:eastAsia="Arial" w:hAnsi="Arial"/>
          <w:sz w:val="16"/>
          <w:szCs w:val="16"/>
          <w:color w:val="auto"/>
        </w:rPr>
        <w:t>As of September 30, 2016 and 2015, the cost of investments for federal income tax purposes was $600.1 million and $399.6 million, respectively, resulting in a gross unrealized appreciation of $10.6 million and $3.3 million, respectively, and depreciation of $11.8 million and $11.6 million,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Years Ended September 30,</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Decrease in paid-in capital</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(308,435)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(254,753)</w:t>
            </w:r>
          </w:p>
        </w:tc>
        <w:tc>
          <w:tcPr>
            <w:tcW w:w="860" w:type="dxa"/>
            <w:vAlign w:val="bottom"/>
            <w:shd w:val="clear" w:color="auto" w:fill="CCEEFF"/>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Increase in accumulated net realized gain</w:t>
            </w: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9,384</w:t>
            </w:r>
          </w:p>
        </w:tc>
        <w:tc>
          <w:tcPr>
            <w:tcW w:w="860" w:type="dxa"/>
            <w:vAlign w:val="bottom"/>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Increase in undistributed net investment income</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308,435</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245,369</w:t>
            </w:r>
          </w:p>
        </w:tc>
        <w:tc>
          <w:tcPr>
            <w:tcW w:w="8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33,488,663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12,504,245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20,513,971</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Net realized loss on investments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1,376,788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w w:val="96"/>
              </w:rPr>
              <w:t>Net change in unrealized (appreciation) depreciation on investments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Credit Facility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(7,529,291)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5,551,614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(1,004,771)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Other book-to-tax differences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642,719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5,788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266,378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Other non-deductible expenses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479,425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Taxable income before dividends paid deduction</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vMerge w:val="continue"/>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27,978,879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18,501,647</w:t>
            </w:r>
          </w:p>
        </w:tc>
        <w:tc>
          <w:tcPr>
            <w:tcW w:w="220" w:type="dxa"/>
            <w:vAlign w:val="bottom"/>
          </w:tcPr>
          <w:p>
            <w:pPr>
              <w:spacing w:after="0"/>
              <w:rPr>
                <w:sz w:val="17"/>
                <w:szCs w:val="17"/>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20,255,003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Undistributed ordinary income – tax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10,097,684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12,591,089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10,097,482</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5"/>
              </w:rPr>
              <w:t>(Realized loss carried forward)/Undistributed long-term capital gain</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(1,121,514)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1,652,842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payable and other book to tax differences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(5,793,312)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(5,203,754)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(3,989,324)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4"/>
              </w:rPr>
              <w:t>Net unrealized appreciation (depreciation) of investments and Credit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Facility</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1,502,874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(6,026,417)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2"/>
          </w:tcPr>
          <w:p>
            <w:pPr>
              <w:jc w:val="right"/>
              <w:ind w:right="820"/>
              <w:spacing w:after="0"/>
              <w:rPr>
                <w:sz w:val="20"/>
                <w:szCs w:val="20"/>
                <w:color w:val="auto"/>
              </w:rPr>
            </w:pPr>
            <w:r>
              <w:rPr>
                <w:rFonts w:ascii="Arial" w:cs="Arial" w:eastAsia="Arial" w:hAnsi="Arial"/>
                <w:sz w:val="16"/>
                <w:szCs w:val="16"/>
                <w:color w:val="auto"/>
              </w:rPr>
              <w:t>(474,803)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Total accumulated surplus – book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4,685,732</w:t>
            </w: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1,360,918</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7,286,197</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411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8" w:lineRule="exact"/>
        <w:rPr>
          <w:sz w:val="20"/>
          <w:szCs w:val="20"/>
          <w:color w:val="auto"/>
        </w:rPr>
      </w:pPr>
    </w:p>
    <w:p>
      <w:pPr>
        <w:ind w:left="360" w:right="1120" w:hanging="352"/>
        <w:spacing w:after="0" w:line="277" w:lineRule="auto"/>
        <w:tabs>
          <w:tab w:leader="none" w:pos="483" w:val="left"/>
        </w:tabs>
        <w:numPr>
          <w:ilvl w:val="0"/>
          <w:numId w:val="111"/>
        </w:numPr>
        <w:rPr>
          <w:rFonts w:ascii="Arial" w:cs="Arial" w:eastAsia="Arial" w:hAnsi="Arial"/>
          <w:sz w:val="15"/>
          <w:szCs w:val="15"/>
          <w:color w:val="auto"/>
        </w:rPr>
      </w:pPr>
      <w:r>
        <w:rPr>
          <w:rFonts w:ascii="Arial" w:cs="Arial" w:eastAsia="Arial" w:hAnsi="Arial"/>
          <w:sz w:val="18"/>
          <w:szCs w:val="18"/>
          <w:color w:val="auto"/>
        </w:rPr>
        <w:t>As of September 30, 2016, the capital loss carried forward was $1.1 million. This loss can be carried forward indefinitely to be an offset against future capital gains.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tax characteristics of distributions declared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Ordinary income (including short-term gains)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30,472,284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17,206,311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13,473,860</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Long-term capital gain</w:t>
            </w: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1,653,105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2,578,795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w:t>
            </w: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30,472,284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18,859,416</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16,052,655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6"/>
                <w:szCs w:val="16"/>
                <w:color w:val="auto"/>
              </w:rPr>
              <w:t>Total distributions per share based on weighted average shares</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80" w:type="dxa"/>
            <w:vAlign w:val="bottom"/>
            <w:gridSpan w:val="2"/>
            <w:vMerge w:val="continue"/>
          </w:tcPr>
          <w:p>
            <w:pPr>
              <w:spacing w:after="0"/>
              <w:rPr>
                <w:sz w:val="16"/>
                <w:szCs w:val="16"/>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6"/>
                <w:szCs w:val="16"/>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20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2016 and 2015, cash equivalents consisted of money market funds in the amounts of $28.9 million and $21.4 million at fair value,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 xml:space="preserve">2013 </w:t>
            </w:r>
            <w:r>
              <w:rPr>
                <w:rFonts w:ascii="Arial" w:cs="Arial" w:eastAsia="Arial" w:hAnsi="Arial"/>
                <w:sz w:val="9"/>
                <w:szCs w:val="9"/>
                <w:b w:val="1"/>
                <w:bCs w:val="1"/>
                <w:color w:val="auto"/>
              </w:rPr>
              <w:t>(6)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 xml:space="preserve">2012 </w:t>
            </w:r>
            <w:r>
              <w:rPr>
                <w:rFonts w:ascii="Arial" w:cs="Arial" w:eastAsia="Arial" w:hAnsi="Arial"/>
                <w:sz w:val="9"/>
                <w:szCs w:val="9"/>
                <w:b w:val="1"/>
                <w:bCs w:val="1"/>
                <w:color w:val="auto"/>
              </w:rPr>
              <w:t>(6)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 value, beginning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13.95</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14.40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13.98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(0.84)</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(0.24)</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distributions to stockholders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Effect of acquisition of MCG and offering costs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end of period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14.10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Per share market value, end of period</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gridSpan w:val="2"/>
            <w:vMerge w:val="continue"/>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13.23</w:t>
            </w:r>
          </w:p>
        </w:tc>
        <w:tc>
          <w:tcPr>
            <w:tcW w:w="36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11.94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13.78</w:t>
            </w:r>
          </w:p>
        </w:tc>
        <w:tc>
          <w:tcPr>
            <w:tcW w:w="38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13.78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17.17%</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Shares outstanding at end of period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26,730,074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26,730,074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14,898,056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14,898,056</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6,850,667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Ratios / Supplemental Data:</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3.56%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4.45%</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7"/>
              </w:rPr>
              <w:t>Ratio of Credit Facility related expenses to average net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Ratio of total expenses to average net assets</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5.14%</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6.40%</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6.09%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assets at end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375,906,828</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372,890,449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214,527,710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w w:val="96"/>
              </w:rPr>
              <w:t>210,066,394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95,743,877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debt outstanding</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140,218,095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123,924,384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147,599,452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71,678,836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46,133,607</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per share </w:t>
            </w:r>
            <w:r>
              <w:rPr>
                <w:rFonts w:ascii="Arial" w:cs="Arial" w:eastAsia="Arial" w:hAnsi="Arial"/>
                <w:sz w:val="26"/>
                <w:szCs w:val="26"/>
                <w:color w:val="auto"/>
                <w:vertAlign w:val="superscript"/>
              </w:rPr>
              <w:t>(1)</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5.25</w:t>
            </w:r>
          </w:p>
        </w:tc>
        <w:tc>
          <w:tcPr>
            <w:tcW w:w="3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7.61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7.48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13,598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3,109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32.16%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62.74%</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81.89%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5151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71" w:lineRule="exact"/>
        <w:rPr>
          <w:sz w:val="20"/>
          <w:szCs w:val="20"/>
          <w:color w:val="auto"/>
        </w:rPr>
      </w:pPr>
    </w:p>
    <w:p>
      <w:pPr>
        <w:ind w:left="1040" w:hanging="1032"/>
        <w:spacing w:after="0"/>
        <w:tabs>
          <w:tab w:leader="none" w:pos="1040" w:val="left"/>
        </w:tabs>
        <w:numPr>
          <w:ilvl w:val="0"/>
          <w:numId w:val="112"/>
        </w:numPr>
        <w:rPr>
          <w:rFonts w:ascii="Arial" w:cs="Arial" w:eastAsia="Arial" w:hAnsi="Arial"/>
          <w:sz w:val="28"/>
          <w:szCs w:val="28"/>
          <w:color w:val="auto"/>
          <w:vertAlign w:val="superscript"/>
        </w:rPr>
      </w:pPr>
      <w:r>
        <w:rPr>
          <w:rFonts w:ascii="Arial" w:cs="Arial" w:eastAsia="Arial" w:hAnsi="Arial"/>
          <w:sz w:val="16"/>
          <w:szCs w:val="16"/>
          <w:color w:val="auto"/>
        </w:rPr>
        <w:t>Based on the weighted average shares outstanding for the respective periods.</w:t>
      </w:r>
    </w:p>
    <w:p>
      <w:pPr>
        <w:spacing w:after="0" w:line="10" w:lineRule="exact"/>
        <w:rPr>
          <w:rFonts w:ascii="Arial" w:cs="Arial" w:eastAsia="Arial" w:hAnsi="Arial"/>
          <w:sz w:val="28"/>
          <w:szCs w:val="28"/>
          <w:color w:val="auto"/>
          <w:vertAlign w:val="superscript"/>
        </w:rPr>
      </w:pPr>
    </w:p>
    <w:p>
      <w:pPr>
        <w:ind w:left="1040" w:right="160" w:hanging="1032"/>
        <w:spacing w:after="0" w:line="187" w:lineRule="auto"/>
        <w:tabs>
          <w:tab w:leader="none" w:pos="1040" w:val="left"/>
        </w:tabs>
        <w:numPr>
          <w:ilvl w:val="0"/>
          <w:numId w:val="112"/>
        </w:numPr>
        <w:rPr>
          <w:rFonts w:ascii="Arial" w:cs="Arial" w:eastAsia="Arial" w:hAnsi="Arial"/>
          <w:sz w:val="28"/>
          <w:szCs w:val="28"/>
          <w:color w:val="auto"/>
          <w:vertAlign w:val="superscript"/>
        </w:rPr>
      </w:pPr>
      <w:r>
        <w:rPr>
          <w:rFonts w:ascii="Arial" w:cs="Arial" w:eastAsia="Arial" w:hAnsi="Arial"/>
          <w:sz w:val="16"/>
          <w:szCs w:val="16"/>
          <w:color w:val="auto"/>
        </w:rPr>
        <w:t>The tax status of distributions is calculated in accordance with income tax regulations, which may differ from amounts determined under GAAP, and reported on Form 1099-DIV each calendar year.</w:t>
      </w:r>
    </w:p>
    <w:p>
      <w:pPr>
        <w:ind w:left="1040" w:right="580" w:hanging="1032"/>
        <w:spacing w:after="0" w:line="192" w:lineRule="auto"/>
        <w:tabs>
          <w:tab w:leader="none" w:pos="1040" w:val="left"/>
        </w:tabs>
        <w:numPr>
          <w:ilvl w:val="0"/>
          <w:numId w:val="112"/>
        </w:numPr>
        <w:rPr>
          <w:rFonts w:ascii="Arial" w:cs="Arial" w:eastAsia="Arial" w:hAnsi="Arial"/>
          <w:sz w:val="28"/>
          <w:szCs w:val="28"/>
          <w:color w:val="auto"/>
          <w:vertAlign w:val="superscript"/>
        </w:rPr>
      </w:pPr>
      <w:r>
        <w:rPr>
          <w:rFonts w:ascii="Arial" w:cs="Arial" w:eastAsia="Arial" w:hAnsi="Arial"/>
          <w:sz w:val="16"/>
          <w:szCs w:val="16"/>
          <w:color w:val="auto"/>
        </w:rPr>
        <w:t>Based on the change in market price per share during the period and takes into account distributions, if any, reinvested in accordance with our dividend reinvestment plan.</w:t>
      </w:r>
    </w:p>
    <w:p>
      <w:pPr>
        <w:ind w:left="1040" w:hanging="1032"/>
        <w:spacing w:after="0" w:line="183" w:lineRule="auto"/>
        <w:tabs>
          <w:tab w:leader="none" w:pos="1040" w:val="left"/>
        </w:tabs>
        <w:numPr>
          <w:ilvl w:val="0"/>
          <w:numId w:val="112"/>
        </w:numPr>
        <w:rPr>
          <w:rFonts w:ascii="Arial" w:cs="Arial" w:eastAsia="Arial" w:hAnsi="Arial"/>
          <w:sz w:val="23"/>
          <w:szCs w:val="23"/>
          <w:color w:val="auto"/>
          <w:vertAlign w:val="superscript"/>
        </w:rPr>
      </w:pPr>
      <w:r>
        <w:rPr>
          <w:rFonts w:ascii="Arial" w:cs="Arial" w:eastAsia="Arial" w:hAnsi="Arial"/>
          <w:sz w:val="14"/>
          <w:szCs w:val="14"/>
          <w:color w:val="auto"/>
        </w:rPr>
        <w:t>Excludes Credit Facility related costs.</w:t>
      </w:r>
    </w:p>
    <w:p>
      <w:pPr>
        <w:spacing w:after="0" w:line="11" w:lineRule="exact"/>
        <w:rPr>
          <w:rFonts w:ascii="Arial" w:cs="Arial" w:eastAsia="Arial" w:hAnsi="Arial"/>
          <w:sz w:val="23"/>
          <w:szCs w:val="23"/>
          <w:color w:val="auto"/>
          <w:vertAlign w:val="superscript"/>
        </w:rPr>
      </w:pPr>
    </w:p>
    <w:p>
      <w:pPr>
        <w:ind w:left="1040" w:hanging="1032"/>
        <w:spacing w:after="0" w:line="207" w:lineRule="auto"/>
        <w:tabs>
          <w:tab w:leader="none" w:pos="1040" w:val="left"/>
        </w:tabs>
        <w:numPr>
          <w:ilvl w:val="0"/>
          <w:numId w:val="112"/>
        </w:numPr>
        <w:rPr>
          <w:rFonts w:ascii="Arial" w:cs="Arial" w:eastAsia="Arial" w:hAnsi="Arial"/>
          <w:sz w:val="28"/>
          <w:szCs w:val="28"/>
          <w:color w:val="auto"/>
          <w:vertAlign w:val="superscript"/>
        </w:rPr>
      </w:pPr>
      <w:r>
        <w:rPr>
          <w:rFonts w:ascii="Arial" w:cs="Arial" w:eastAsia="Arial" w:hAnsi="Arial"/>
          <w:sz w:val="16"/>
          <w:szCs w:val="16"/>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 w:lineRule="exact"/>
        <w:rPr>
          <w:rFonts w:ascii="Arial" w:cs="Arial" w:eastAsia="Arial" w:hAnsi="Arial"/>
          <w:sz w:val="28"/>
          <w:szCs w:val="28"/>
          <w:color w:val="auto"/>
          <w:vertAlign w:val="superscript"/>
        </w:rPr>
      </w:pPr>
    </w:p>
    <w:p>
      <w:pPr>
        <w:ind w:left="1040" w:hanging="1032"/>
        <w:spacing w:after="0" w:line="183" w:lineRule="auto"/>
        <w:tabs>
          <w:tab w:leader="none" w:pos="1040" w:val="left"/>
        </w:tabs>
        <w:numPr>
          <w:ilvl w:val="0"/>
          <w:numId w:val="112"/>
        </w:numPr>
        <w:rPr>
          <w:rFonts w:ascii="Arial" w:cs="Arial" w:eastAsia="Arial" w:hAnsi="Arial"/>
          <w:sz w:val="23"/>
          <w:szCs w:val="23"/>
          <w:color w:val="auto"/>
          <w:vertAlign w:val="superscript"/>
        </w:rPr>
      </w:pPr>
      <w:r>
        <w:rPr>
          <w:rFonts w:ascii="Arial" w:cs="Arial" w:eastAsia="Arial" w:hAnsi="Arial"/>
          <w:sz w:val="14"/>
          <w:szCs w:val="14"/>
          <w:color w:val="auto"/>
        </w:rPr>
        <w:t>Audited by predecessor auditors.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89"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years ended September 30, 2016, 2015 and 2014, inclusive of the fee on the undrawn commitment on the Credit Facility but excluding amendment costs, was 3.51%, 2.62% and 2.35%, respectively.</w:t>
      </w:r>
    </w:p>
    <w:p>
      <w:pPr>
        <w:spacing w:after="0" w:line="149"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0"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18" w:lineRule="exact"/>
        <w:rPr>
          <w:sz w:val="20"/>
          <w:szCs w:val="20"/>
          <w:color w:val="auto"/>
        </w:rPr>
      </w:pPr>
    </w:p>
    <w:p>
      <w:pPr>
        <w:jc w:val="both"/>
        <w:ind w:right="300" w:firstLine="685"/>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1"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right="220" w:firstLine="685"/>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2016 and 2015, we had $20.0 million and $4.8 million, respectively, in commitments to fund investments.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OF MCG CAPITAL CORPORTION</w:t>
      </w:r>
    </w:p>
    <w:p>
      <w:pPr>
        <w:spacing w:after="0" w:line="202"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We entered into the Merger Agreement with MCG on April 28, 2015 to improve our scale to be more important to borrowers, to increase our market capitalization, to reduce our expense ratio and to increase diversification.</w:t>
      </w:r>
    </w:p>
    <w:p>
      <w:pPr>
        <w:spacing w:after="0" w:line="130" w:lineRule="exact"/>
        <w:rPr>
          <w:sz w:val="20"/>
          <w:szCs w:val="20"/>
          <w:color w:val="auto"/>
        </w:rPr>
      </w:pPr>
    </w:p>
    <w:p>
      <w:pPr>
        <w:ind w:right="160" w:firstLine="685"/>
        <w:spacing w:after="0" w:line="271" w:lineRule="auto"/>
        <w:rPr>
          <w:sz w:val="20"/>
          <w:szCs w:val="20"/>
          <w:color w:val="auto"/>
        </w:rPr>
      </w:pPr>
      <w:r>
        <w:rPr>
          <w:rFonts w:ascii="Arial" w:cs="Arial" w:eastAsia="Arial" w:hAnsi="Arial"/>
          <w:sz w:val="17"/>
          <w:szCs w:val="17"/>
          <w:color w:val="auto"/>
        </w:rPr>
        <w:t>In August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138"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We accounted for the merger with MCG under the asset acquisition method of accounting in accordance with ASC 805-50, Business Combinations —Related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648970</wp:posOffset>
            </wp:positionV>
            <wp:extent cx="2383790" cy="514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20"/>
        <w:spacing w:after="0"/>
        <w:rPr>
          <w:sz w:val="20"/>
          <w:szCs w:val="20"/>
          <w:color w:val="auto"/>
        </w:rPr>
      </w:pPr>
      <w:r>
        <w:rPr>
          <w:rFonts w:ascii="Arial" w:cs="Arial" w:eastAsia="Arial" w:hAnsi="Arial"/>
          <w:sz w:val="29"/>
          <w:szCs w:val="29"/>
          <w:b w:val="1"/>
          <w:bCs w:val="1"/>
          <w:color w:val="auto"/>
        </w:rPr>
        <w:t>5,000,000 shares</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Morgan Stanley</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Goldman, Sachs &amp; Co.</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J.P. Morgan</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Keefe, Bruyette &amp; Woods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A Stifel Company</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RBC Capital Markets</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SunTrust Robinson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397510</wp:posOffset>
            </wp:positionV>
            <wp:extent cx="15176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20"/>
        <w:spacing w:after="0"/>
        <w:tabs>
          <w:tab w:leader="none" w:pos="5940" w:val="left"/>
        </w:tabs>
        <w:rPr>
          <w:sz w:val="20"/>
          <w:szCs w:val="20"/>
          <w:color w:val="auto"/>
        </w:rPr>
      </w:pPr>
      <w:r>
        <w:rPr>
          <w:rFonts w:ascii="Arial" w:cs="Arial" w:eastAsia="Arial" w:hAnsi="Arial"/>
          <w:sz w:val="18"/>
          <w:szCs w:val="18"/>
          <w:b w:val="1"/>
          <w:bCs w:val="1"/>
          <w:color w:val="auto"/>
        </w:rPr>
        <w:t>February</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1"/>
      <w:numFmt w:val="lowerLetter"/>
      <w:start w:val="1"/>
    </w:lvl>
    <w:lvl w:ilvl="1">
      <w:lvlJc w:val="left"/>
      <w:lvlText w:val="•"/>
      <w:numFmt w:val="bullet"/>
      <w:start w:val="1"/>
    </w:lvl>
  </w:abstractNum>
  <w:abstractNum w:abstractNumId="2">
    <w:nsid w:val="180115BE"/>
    <w:multiLevelType w:val="hybridMultilevel"/>
    <w:lvl w:ilvl="0">
      <w:lvlJc w:val="left"/>
      <w:lvlText w:val="(%1)"/>
      <w:numFmt w:val="decimal"/>
      <w:start w:val="2"/>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1)"/>
      <w:numFmt w:val="decimal"/>
      <w:start w:val="1"/>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1)"/>
      <w:numFmt w:val="decimal"/>
      <w:start w:val="1"/>
    </w:lvl>
  </w:abstractNum>
  <w:abstractNum w:abstractNumId="9">
    <w:nsid w:val="10233C99"/>
    <w:multiLevelType w:val="hybridMultilevel"/>
    <w:lvl w:ilvl="0">
      <w:lvlJc w:val="left"/>
      <w:lvlText w:val="%1."/>
      <w:numFmt w:val="decimal"/>
      <w:start w:val="1"/>
    </w:lvl>
  </w:abstractNum>
  <w:abstractNum w:abstractNumId="10">
    <w:nsid w:val="3F6AB60F"/>
    <w:multiLevelType w:val="hybridMultilevel"/>
    <w:lvl w:ilvl="0">
      <w:lvlJc w:val="left"/>
      <w:lvlText w:val="(%1)"/>
      <w:numFmt w:val="decimal"/>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lowerLetter"/>
      <w:start w:val="1"/>
    </w:lvl>
  </w:abstractNum>
  <w:abstractNum w:abstractNumId="13">
    <w:nsid w:val="77AE35EB"/>
    <w:multiLevelType w:val="hybridMultilevel"/>
    <w:lvl w:ilvl="0">
      <w:lvlJc w:val="left"/>
      <w:lvlText w:val="(%1)"/>
      <w:numFmt w:val="decimal"/>
      <w:start w:val="1"/>
    </w:lvl>
  </w:abstractNum>
  <w:abstractNum w:abstractNumId="14">
    <w:nsid w:val="579BE4F1"/>
    <w:multiLevelType w:val="hybridMultilevel"/>
    <w:lvl w:ilvl="0">
      <w:lvlJc w:val="left"/>
      <w:lvlText w:val="(%1)"/>
      <w:numFmt w:val="decimal"/>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lowerLetter"/>
      <w:start w:val="5"/>
    </w:lvl>
    <w:lvl w:ilvl="1">
      <w:lvlJc w:val="left"/>
      <w:lvlText w:val="%2."/>
      <w:numFmt w:val="decimal"/>
      <w:start w:val="1"/>
    </w:lvl>
  </w:abstractNum>
  <w:abstractNum w:abstractNumId="18">
    <w:nsid w:val="25A70BF7"/>
    <w:multiLevelType w:val="hybridMultilevel"/>
    <w:lvl w:ilvl="0">
      <w:lvlJc w:val="left"/>
      <w:lvlText w:val="%1."/>
      <w:numFmt w:val="decimal"/>
      <w:start w:val="8"/>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decimal"/>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1)"/>
      <w:numFmt w:val="decimal"/>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1."/>
      <w:numFmt w:val="decimal"/>
      <w:start w:val="820"/>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decimal"/>
      <w:start w:val="2"/>
    </w:lvl>
  </w:abstractNum>
  <w:abstractNum w:abstractNumId="31">
    <w:nsid w:val="42C296BD"/>
    <w:multiLevelType w:val="hybridMultilevel"/>
    <w:lvl w:ilvl="0">
      <w:lvlJc w:val="left"/>
      <w:lvlText w:val="%1."/>
      <w:numFmt w:val="decimal"/>
      <w:start w:val="4"/>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1)"/>
      <w:numFmt w:val="decimal"/>
      <w:start w:val="5"/>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1)"/>
      <w:numFmt w:val="decimal"/>
      <w:start w:val="2"/>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1)"/>
      <w:numFmt w:val="lowerLetter"/>
      <w:start w:val="2"/>
    </w:lvl>
    <w:lvl w:ilvl="1">
      <w:lvlJc w:val="left"/>
      <w:lvlText w:val="•"/>
      <w:numFmt w:val="bullet"/>
      <w:start w:val="1"/>
    </w:lvl>
  </w:abstractNum>
  <w:abstractNum w:abstractNumId="51">
    <w:nsid w:val="14330624"/>
    <w:multiLevelType w:val="hybridMultilevel"/>
    <w:lvl w:ilvl="0">
      <w:lvlJc w:val="left"/>
      <w:lvlText w:val="%1)"/>
      <w:numFmt w:val="lowerLetter"/>
      <w:start w:val="1"/>
    </w:lvl>
  </w:abstractNum>
  <w:abstractNum w:abstractNumId="52">
    <w:nsid w:val="7FFFCA11"/>
    <w:multiLevelType w:val="hybridMultilevel"/>
    <w:lvl w:ilvl="0">
      <w:lvlJc w:val="left"/>
      <w:lvlText w:val="%1)"/>
      <w:numFmt w:val="lowerLetter"/>
      <w:start w:val="2"/>
    </w:lvl>
  </w:abstractNum>
  <w:abstractNum w:abstractNumId="53">
    <w:nsid w:val="1A27709E"/>
    <w:multiLevelType w:val="hybridMultilevel"/>
    <w:lvl w:ilvl="0">
      <w:lvlJc w:val="left"/>
      <w:lvlText w:val="%1)"/>
      <w:numFmt w:val="lowerLetter"/>
      <w:start w:val="3"/>
    </w:lvl>
  </w:abstractNum>
  <w:abstractNum w:abstractNumId="54">
    <w:nsid w:val="71EA1109"/>
    <w:multiLevelType w:val="hybridMultilevel"/>
    <w:lvl w:ilvl="0">
      <w:lvlJc w:val="left"/>
      <w:lvlText w:val="%1)"/>
      <w:numFmt w:val="lowerLetter"/>
      <w:start w:val="4"/>
    </w:lvl>
  </w:abstractNum>
  <w:abstractNum w:abstractNumId="55">
    <w:nsid w:val="100F59DC"/>
    <w:multiLevelType w:val="hybridMultilevel"/>
    <w:lvl w:ilvl="0">
      <w:lvlJc w:val="left"/>
      <w:lvlText w:val="%1)"/>
      <w:numFmt w:val="lowerLetter"/>
      <w:start w:val="5"/>
    </w:lvl>
  </w:abstractNum>
  <w:abstractNum w:abstractNumId="56">
    <w:nsid w:val="7FB7E0AA"/>
    <w:multiLevelType w:val="hybridMultilevel"/>
    <w:lvl w:ilvl="0">
      <w:lvlJc w:val="left"/>
      <w:lvlText w:val="%1)"/>
      <w:numFmt w:val="lowerLetter"/>
      <w:start w:val="6"/>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1)"/>
      <w:numFmt w:val="decimal"/>
      <w:start w:val="1"/>
    </w:lvl>
  </w:abstractNum>
  <w:abstractNum w:abstractNumId="61">
    <w:nsid w:val="76272110"/>
    <w:multiLevelType w:val="hybridMultilevel"/>
    <w:lvl w:ilvl="0">
      <w:lvlJc w:val="left"/>
      <w:lvlText w:val="(%1)"/>
      <w:numFmt w:val="decimal"/>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1)"/>
      <w:numFmt w:val="decimal"/>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1)"/>
      <w:numFmt w:val="decimal"/>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1)"/>
      <w:numFmt w:val="lowerLetter"/>
      <w:start w:val="2"/>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8">
    <w:nsid w:val="53299938"/>
    <w:multiLevelType w:val="hybridMultilevel"/>
    <w:lvl w:ilvl="0">
      <w:lvlJc w:val="left"/>
      <w:lvlText w:val="(%1)"/>
      <w:numFmt w:val="decimal"/>
      <w:start w:val="2"/>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
      <w:numFmt w:val="bullet"/>
      <w:start w:val="1"/>
    </w:lvl>
  </w:abstractNum>
  <w:abstractNum w:abstractNumId="101">
    <w:nsid w:val="1D545C4D"/>
    <w:multiLevelType w:val="hybridMultilevel"/>
    <w:lvl w:ilvl="0">
      <w:lvlJc w:val="left"/>
      <w:lvlText w:val="•"/>
      <w:numFmt w:val="bullet"/>
      <w:start w:val="1"/>
    </w:lvl>
    <w:lvl w:ilvl="1">
      <w:lvlJc w:val="left"/>
      <w:lvlText w:val="%2)"/>
      <w:numFmt w:val="decimal"/>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decimal"/>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1)"/>
      <w:numFmt w:val="decimal"/>
      <w:start w:val="1"/>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2019-12-07T14:04:02Z</dcterms:created>
  <dcterms:modified xsi:type="dcterms:W3CDTF">2019-12-07T14:04:02Z</dcterms:modified>
</cp:coreProperties>
</file>