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863600</wp:posOffset>
            </wp:positionH>
            <wp:positionV relativeFrom="paragraph">
              <wp:posOffset>55880</wp:posOffset>
            </wp:positionV>
            <wp:extent cx="399796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97960" cy="6350"/>
                    </a:xfrm>
                    <a:prstGeom prst="rect">
                      <a:avLst/>
                    </a:prstGeom>
                    <a:noFill/>
                  </pic:spPr>
                </pic:pic>
              </a:graphicData>
            </a:graphic>
          </wp:anchor>
        </w:drawing>
      </w:r>
    </w:p>
    <w:p>
      <w:pPr>
        <w:spacing w:after="0" w:line="1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863600</wp:posOffset>
            </wp:positionH>
            <wp:positionV relativeFrom="paragraph">
              <wp:posOffset>74930</wp:posOffset>
            </wp:positionV>
            <wp:extent cx="399796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97960" cy="6350"/>
                    </a:xfrm>
                    <a:prstGeom prst="rect">
                      <a:avLst/>
                    </a:prstGeom>
                    <a:noFill/>
                  </pic:spPr>
                </pic:pic>
              </a:graphicData>
            </a:graphic>
          </wp:anchor>
        </w:drawing>
      </w:r>
    </w:p>
    <w:p>
      <w:pPr>
        <w:spacing w:after="0" w:line="206"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9"/>
          <w:szCs w:val="9"/>
          <w:b w:val="1"/>
          <w:bCs w:val="1"/>
          <w:color w:val="auto"/>
        </w:rPr>
        <w:t>(Mark One)</w:t>
      </w:r>
    </w:p>
    <w:p>
      <w:pPr>
        <w:spacing w:after="0" w:line="18" w:lineRule="exact"/>
        <w:rPr>
          <w:sz w:val="24"/>
          <w:szCs w:val="24"/>
          <w:color w:val="auto"/>
        </w:rPr>
      </w:pPr>
    </w:p>
    <w:p>
      <w:pPr>
        <w:ind w:left="1500" w:right="1660" w:hanging="140"/>
        <w:spacing w:after="0" w:line="280" w:lineRule="auto"/>
        <w:tabs>
          <w:tab w:leader="none" w:pos="150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4"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3"/>
          <w:szCs w:val="13"/>
          <w:b w:val="1"/>
          <w:bCs w:val="1"/>
          <w:color w:val="auto"/>
        </w:rPr>
        <w:t>FOR THE QUARTERLY PERIOD ENDED DECEMBER 31, 2025</w:t>
      </w:r>
    </w:p>
    <w:p>
      <w:pPr>
        <w:spacing w:after="0" w:line="62"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13" w:lineRule="exact"/>
        <w:rPr>
          <w:sz w:val="24"/>
          <w:szCs w:val="24"/>
          <w:color w:val="auto"/>
        </w:rPr>
      </w:pPr>
    </w:p>
    <w:p>
      <w:pPr>
        <w:ind w:left="1500" w:right="1660" w:hanging="140"/>
        <w:spacing w:after="0" w:line="280" w:lineRule="auto"/>
        <w:tabs>
          <w:tab w:leader="none" w:pos="150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4" w:lineRule="exact"/>
        <w:rPr>
          <w:sz w:val="24"/>
          <w:szCs w:val="24"/>
          <w:color w:val="auto"/>
        </w:rPr>
      </w:pPr>
    </w:p>
    <w:p>
      <w:pPr>
        <w:ind w:left="3120"/>
        <w:spacing w:after="0"/>
        <w:tabs>
          <w:tab w:leader="none" w:pos="598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863600</wp:posOffset>
            </wp:positionH>
            <wp:positionV relativeFrom="paragraph">
              <wp:posOffset>66040</wp:posOffset>
            </wp:positionV>
            <wp:extent cx="399796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97960" cy="6350"/>
                    </a:xfrm>
                    <a:prstGeom prst="rect">
                      <a:avLst/>
                    </a:prstGeom>
                    <a:noFill/>
                  </pic:spPr>
                </pic:pic>
              </a:graphicData>
            </a:graphic>
          </wp:anchor>
        </w:drawing>
      </w:r>
    </w:p>
    <w:p>
      <w:pPr>
        <w:spacing w:after="0" w:line="1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PENNANTPARK FLOATING RATE CAPITAL LTD.</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102" w:lineRule="exact"/>
        <w:rPr>
          <w:sz w:val="24"/>
          <w:szCs w:val="24"/>
          <w:color w:val="auto"/>
        </w:rPr>
      </w:pPr>
    </w:p>
    <w:tbl>
      <w:tblPr>
        <w:tblLayout w:type="fixed"/>
        <w:tblInd w:w="1760" w:type="dxa"/>
        <w:tblCellMar>
          <w:top w:w="0" w:type="dxa"/>
          <w:left w:w="0" w:type="dxa"/>
          <w:bottom w:w="0" w:type="dxa"/>
          <w:right w:w="0" w:type="dxa"/>
        </w:tblCellMar>
      </w:tblPr>
      <w:tr>
        <w:trPr>
          <w:trHeight w:val="141"/>
        </w:trPr>
        <w:tc>
          <w:tcPr>
            <w:tcW w:w="3020" w:type="dxa"/>
            <w:vAlign w:val="bottom"/>
          </w:tcPr>
          <w:p>
            <w:pPr>
              <w:jc w:val="center"/>
              <w:ind w:right="609"/>
              <w:spacing w:after="0"/>
              <w:rPr>
                <w:sz w:val="20"/>
                <w:szCs w:val="20"/>
                <w:color w:val="auto"/>
              </w:rPr>
            </w:pPr>
            <w:r>
              <w:rPr>
                <w:rFonts w:ascii="Times New Roman" w:cs="Times New Roman" w:eastAsia="Times New Roman" w:hAnsi="Times New Roman"/>
                <w:sz w:val="11"/>
                <w:szCs w:val="11"/>
                <w:b w:val="1"/>
                <w:bCs w:val="1"/>
                <w:color w:val="auto"/>
                <w:w w:val="97"/>
              </w:rPr>
              <w:t>MARYLAND</w:t>
            </w:r>
          </w:p>
        </w:tc>
        <w:tc>
          <w:tcPr>
            <w:tcW w:w="2060" w:type="dxa"/>
            <w:vAlign w:val="bottom"/>
          </w:tcPr>
          <w:p>
            <w:pPr>
              <w:jc w:val="center"/>
              <w:ind w:left="630"/>
              <w:spacing w:after="0"/>
              <w:rPr>
                <w:sz w:val="20"/>
                <w:szCs w:val="20"/>
                <w:color w:val="auto"/>
              </w:rPr>
            </w:pPr>
            <w:r>
              <w:rPr>
                <w:rFonts w:ascii="Times New Roman" w:cs="Times New Roman" w:eastAsia="Times New Roman" w:hAnsi="Times New Roman"/>
                <w:sz w:val="11"/>
                <w:szCs w:val="11"/>
                <w:b w:val="1"/>
                <w:bCs w:val="1"/>
                <w:color w:val="auto"/>
              </w:rPr>
              <w:t>27-3794690</w:t>
            </w:r>
          </w:p>
        </w:tc>
      </w:tr>
      <w:tr>
        <w:trPr>
          <w:trHeight w:val="119"/>
        </w:trPr>
        <w:tc>
          <w:tcPr>
            <w:tcW w:w="3020" w:type="dxa"/>
            <w:vAlign w:val="bottom"/>
          </w:tcPr>
          <w:p>
            <w:pPr>
              <w:jc w:val="center"/>
              <w:ind w:right="629"/>
              <w:spacing w:after="0"/>
              <w:rPr>
                <w:sz w:val="20"/>
                <w:szCs w:val="20"/>
                <w:color w:val="auto"/>
              </w:rPr>
            </w:pPr>
            <w:r>
              <w:rPr>
                <w:rFonts w:ascii="Times New Roman" w:cs="Times New Roman" w:eastAsia="Times New Roman" w:hAnsi="Times New Roman"/>
                <w:sz w:val="9"/>
                <w:szCs w:val="9"/>
                <w:b w:val="1"/>
                <w:bCs w:val="1"/>
                <w:color w:val="auto"/>
              </w:rPr>
              <w:t>(State or other jurisdiction of incorporation or organization)</w:t>
            </w:r>
          </w:p>
        </w:tc>
        <w:tc>
          <w:tcPr>
            <w:tcW w:w="2060" w:type="dxa"/>
            <w:vAlign w:val="bottom"/>
          </w:tcPr>
          <w:p>
            <w:pPr>
              <w:jc w:val="center"/>
              <w:ind w:left="630"/>
              <w:spacing w:after="0"/>
              <w:rPr>
                <w:sz w:val="20"/>
                <w:szCs w:val="20"/>
                <w:color w:val="auto"/>
              </w:rPr>
            </w:pPr>
            <w:r>
              <w:rPr>
                <w:rFonts w:ascii="Times New Roman" w:cs="Times New Roman" w:eastAsia="Times New Roman" w:hAnsi="Times New Roman"/>
                <w:sz w:val="9"/>
                <w:szCs w:val="9"/>
                <w:b w:val="1"/>
                <w:bCs w:val="1"/>
                <w:color w:val="auto"/>
              </w:rPr>
              <w:t>(I.R.S. Employer Identification No.)</w:t>
            </w:r>
          </w:p>
        </w:tc>
      </w:tr>
      <w:tr>
        <w:trPr>
          <w:trHeight w:val="335"/>
        </w:trPr>
        <w:tc>
          <w:tcPr>
            <w:tcW w:w="3020" w:type="dxa"/>
            <w:vAlign w:val="bottom"/>
          </w:tcPr>
          <w:p>
            <w:pPr>
              <w:jc w:val="center"/>
              <w:ind w:right="609"/>
              <w:spacing w:after="0"/>
              <w:rPr>
                <w:sz w:val="20"/>
                <w:szCs w:val="20"/>
                <w:color w:val="auto"/>
              </w:rPr>
            </w:pPr>
            <w:r>
              <w:rPr>
                <w:rFonts w:ascii="Times New Roman" w:cs="Times New Roman" w:eastAsia="Times New Roman" w:hAnsi="Times New Roman"/>
                <w:sz w:val="11"/>
                <w:szCs w:val="11"/>
                <w:b w:val="1"/>
                <w:bCs w:val="1"/>
                <w:color w:val="auto"/>
              </w:rPr>
              <w:t>1691 Michigan Avenue</w:t>
            </w:r>
          </w:p>
        </w:tc>
        <w:tc>
          <w:tcPr>
            <w:tcW w:w="2060" w:type="dxa"/>
            <w:vAlign w:val="bottom"/>
          </w:tcPr>
          <w:p>
            <w:pPr>
              <w:spacing w:after="0"/>
              <w:rPr>
                <w:sz w:val="24"/>
                <w:szCs w:val="24"/>
                <w:color w:val="auto"/>
              </w:rPr>
            </w:pPr>
          </w:p>
        </w:tc>
      </w:tr>
      <w:tr>
        <w:trPr>
          <w:trHeight w:val="161"/>
        </w:trPr>
        <w:tc>
          <w:tcPr>
            <w:tcW w:w="3020" w:type="dxa"/>
            <w:vAlign w:val="bottom"/>
          </w:tcPr>
          <w:p>
            <w:pPr>
              <w:jc w:val="center"/>
              <w:ind w:right="609"/>
              <w:spacing w:after="0"/>
              <w:rPr>
                <w:sz w:val="20"/>
                <w:szCs w:val="20"/>
                <w:color w:val="auto"/>
              </w:rPr>
            </w:pPr>
            <w:r>
              <w:rPr>
                <w:rFonts w:ascii="Times New Roman" w:cs="Times New Roman" w:eastAsia="Times New Roman" w:hAnsi="Times New Roman"/>
                <w:sz w:val="11"/>
                <w:szCs w:val="11"/>
                <w:b w:val="1"/>
                <w:bCs w:val="1"/>
                <w:color w:val="auto"/>
              </w:rPr>
              <w:t>Miami Beach, Florida</w:t>
            </w:r>
          </w:p>
        </w:tc>
        <w:tc>
          <w:tcPr>
            <w:tcW w:w="2060" w:type="dxa"/>
            <w:vAlign w:val="bottom"/>
          </w:tcPr>
          <w:p>
            <w:pPr>
              <w:jc w:val="center"/>
              <w:ind w:left="610"/>
              <w:spacing w:after="0"/>
              <w:rPr>
                <w:sz w:val="20"/>
                <w:szCs w:val="20"/>
                <w:color w:val="auto"/>
              </w:rPr>
            </w:pPr>
            <w:r>
              <w:rPr>
                <w:rFonts w:ascii="Times New Roman" w:cs="Times New Roman" w:eastAsia="Times New Roman" w:hAnsi="Times New Roman"/>
                <w:sz w:val="11"/>
                <w:szCs w:val="11"/>
                <w:b w:val="1"/>
                <w:bCs w:val="1"/>
                <w:color w:val="auto"/>
              </w:rPr>
              <w:t>33139</w:t>
            </w:r>
          </w:p>
        </w:tc>
      </w:tr>
      <w:tr>
        <w:trPr>
          <w:trHeight w:val="119"/>
        </w:trPr>
        <w:tc>
          <w:tcPr>
            <w:tcW w:w="3020" w:type="dxa"/>
            <w:vAlign w:val="bottom"/>
          </w:tcPr>
          <w:p>
            <w:pPr>
              <w:jc w:val="center"/>
              <w:ind w:right="629"/>
              <w:spacing w:after="0"/>
              <w:rPr>
                <w:sz w:val="20"/>
                <w:szCs w:val="20"/>
                <w:color w:val="auto"/>
              </w:rPr>
            </w:pPr>
            <w:r>
              <w:rPr>
                <w:rFonts w:ascii="Times New Roman" w:cs="Times New Roman" w:eastAsia="Times New Roman" w:hAnsi="Times New Roman"/>
                <w:sz w:val="9"/>
                <w:szCs w:val="9"/>
                <w:b w:val="1"/>
                <w:bCs w:val="1"/>
                <w:color w:val="auto"/>
              </w:rPr>
              <w:t>(Address of principal executive offices)</w:t>
            </w:r>
          </w:p>
        </w:tc>
        <w:tc>
          <w:tcPr>
            <w:tcW w:w="2060" w:type="dxa"/>
            <w:vAlign w:val="bottom"/>
          </w:tcPr>
          <w:p>
            <w:pPr>
              <w:jc w:val="center"/>
              <w:ind w:left="630"/>
              <w:spacing w:after="0"/>
              <w:rPr>
                <w:sz w:val="20"/>
                <w:szCs w:val="20"/>
                <w:color w:val="auto"/>
              </w:rPr>
            </w:pPr>
            <w:r>
              <w:rPr>
                <w:rFonts w:ascii="Times New Roman" w:cs="Times New Roman" w:eastAsia="Times New Roman" w:hAnsi="Times New Roman"/>
                <w:sz w:val="9"/>
                <w:szCs w:val="9"/>
                <w:b w:val="1"/>
                <w:bCs w:val="1"/>
                <w:color w:val="auto"/>
              </w:rPr>
              <w:t>(Zip Code)</w:t>
            </w:r>
          </w:p>
        </w:tc>
      </w:tr>
    </w:tbl>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(786) 297-9500</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9"/>
          <w:szCs w:val="9"/>
          <w:b w:val="1"/>
          <w:bCs w:val="1"/>
          <w:color w:val="auto"/>
        </w:rPr>
        <w:t>(Registrant’s Telephone Number, Including Area Code)</w:t>
      </w:r>
    </w:p>
    <w:p>
      <w:pPr>
        <w:spacing w:after="0" w:line="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None</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9"/>
          <w:szCs w:val="9"/>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863600</wp:posOffset>
            </wp:positionH>
            <wp:positionV relativeFrom="paragraph">
              <wp:posOffset>48260</wp:posOffset>
            </wp:positionV>
            <wp:extent cx="399796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97960" cy="6350"/>
                    </a:xfrm>
                    <a:prstGeom prst="rect">
                      <a:avLst/>
                    </a:prstGeom>
                    <a:noFill/>
                  </pic:spPr>
                </pic:pic>
              </a:graphicData>
            </a:graphic>
          </wp:anchor>
        </w:drawing>
      </w:r>
    </w:p>
    <w:p>
      <w:pPr>
        <w:spacing w:after="0" w:line="127"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pacing w:after="0" w:line="154" w:lineRule="exact"/>
        <w:rPr>
          <w:sz w:val="24"/>
          <w:szCs w:val="24"/>
          <w:color w:val="auto"/>
        </w:rPr>
      </w:pPr>
    </w:p>
    <w:tbl>
      <w:tblPr>
        <w:tblLayout w:type="fixed"/>
        <w:tblInd w:w="1460" w:type="dxa"/>
        <w:tblCellMar>
          <w:top w:w="0" w:type="dxa"/>
          <w:left w:w="0" w:type="dxa"/>
          <w:bottom w:w="0" w:type="dxa"/>
          <w:right w:w="0" w:type="dxa"/>
        </w:tblCellMar>
      </w:tblPr>
      <w:tr>
        <w:trPr>
          <w:trHeight w:val="131"/>
        </w:trPr>
        <w:tc>
          <w:tcPr>
            <w:tcW w:w="2260" w:type="dxa"/>
            <w:vAlign w:val="bottom"/>
          </w:tcPr>
          <w:p>
            <w:pPr>
              <w:jc w:val="center"/>
              <w:ind w:right="305"/>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640" w:type="dxa"/>
            <w:vAlign w:val="bottom"/>
          </w:tcPr>
          <w:p>
            <w:pPr>
              <w:jc w:val="center"/>
              <w:ind w:right="5"/>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2060" w:type="dxa"/>
            <w:vAlign w:val="bottom"/>
          </w:tcPr>
          <w:p>
            <w:pPr>
              <w:jc w:val="center"/>
              <w:ind w:left="363"/>
              <w:spacing w:after="0"/>
              <w:rPr>
                <w:sz w:val="20"/>
                <w:szCs w:val="20"/>
                <w:color w:val="auto"/>
              </w:rPr>
            </w:pPr>
            <w:r>
              <w:rPr>
                <w:rFonts w:ascii="Times New Roman" w:cs="Times New Roman" w:eastAsia="Times New Roman" w:hAnsi="Times New Roman"/>
                <w:sz w:val="11"/>
                <w:szCs w:val="11"/>
                <w:b w:val="1"/>
                <w:bCs w:val="1"/>
                <w:color w:val="auto"/>
              </w:rPr>
              <w:t>Name of Each Exchange on Which</w:t>
            </w:r>
          </w:p>
        </w:tc>
      </w:tr>
      <w:tr>
        <w:trPr>
          <w:trHeight w:val="132"/>
        </w:trPr>
        <w:tc>
          <w:tcPr>
            <w:tcW w:w="2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60" w:type="dxa"/>
            <w:vAlign w:val="bottom"/>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w w:val="99"/>
              </w:rPr>
              <w:t>Registered</w:t>
            </w:r>
          </w:p>
        </w:tc>
      </w:tr>
      <w:tr>
        <w:trPr>
          <w:trHeight w:val="158"/>
        </w:trPr>
        <w:tc>
          <w:tcPr>
            <w:tcW w:w="2260" w:type="dxa"/>
            <w:vAlign w:val="bottom"/>
          </w:tcPr>
          <w:p>
            <w:pPr>
              <w:jc w:val="center"/>
              <w:ind w:right="285"/>
              <w:spacing w:after="0"/>
              <w:rPr>
                <w:sz w:val="20"/>
                <w:szCs w:val="20"/>
                <w:color w:val="auto"/>
              </w:rPr>
            </w:pPr>
            <w:r>
              <w:rPr>
                <w:rFonts w:ascii="Times New Roman" w:cs="Times New Roman" w:eastAsia="Times New Roman" w:hAnsi="Times New Roman"/>
                <w:sz w:val="11"/>
                <w:szCs w:val="11"/>
                <w:color w:val="auto"/>
              </w:rPr>
              <w:t>Common Stock, par value $0.001 per share</w:t>
            </w:r>
          </w:p>
        </w:tc>
        <w:tc>
          <w:tcPr>
            <w:tcW w:w="1640" w:type="dxa"/>
            <w:vAlign w:val="bottom"/>
          </w:tcPr>
          <w:p>
            <w:pPr>
              <w:jc w:val="center"/>
              <w:ind w:right="5"/>
              <w:spacing w:after="0"/>
              <w:rPr>
                <w:sz w:val="20"/>
                <w:szCs w:val="20"/>
                <w:color w:val="auto"/>
              </w:rPr>
            </w:pPr>
            <w:r>
              <w:rPr>
                <w:rFonts w:ascii="Times New Roman" w:cs="Times New Roman" w:eastAsia="Times New Roman" w:hAnsi="Times New Roman"/>
                <w:sz w:val="11"/>
                <w:szCs w:val="11"/>
                <w:color w:val="auto"/>
              </w:rPr>
              <w:t>PFLT</w:t>
            </w:r>
          </w:p>
        </w:tc>
        <w:tc>
          <w:tcPr>
            <w:tcW w:w="2060" w:type="dxa"/>
            <w:vAlign w:val="bottom"/>
          </w:tcPr>
          <w:p>
            <w:pPr>
              <w:jc w:val="center"/>
              <w:ind w:left="383"/>
              <w:spacing w:after="0"/>
              <w:rPr>
                <w:sz w:val="20"/>
                <w:szCs w:val="20"/>
                <w:color w:val="auto"/>
              </w:rPr>
            </w:pPr>
            <w:r>
              <w:rPr>
                <w:rFonts w:ascii="Times New Roman" w:cs="Times New Roman" w:eastAsia="Times New Roman" w:hAnsi="Times New Roman"/>
                <w:sz w:val="12"/>
                <w:szCs w:val="12"/>
                <w:color w:val="auto"/>
              </w:rPr>
              <w:t>The New York Stock Exchange</w:t>
            </w:r>
          </w:p>
        </w:tc>
      </w:tr>
    </w:tbl>
    <w:p>
      <w:pPr>
        <w:spacing w:after="0" w:line="75" w:lineRule="exact"/>
        <w:rPr>
          <w:sz w:val="24"/>
          <w:szCs w:val="24"/>
          <w:color w:val="auto"/>
        </w:rPr>
      </w:pPr>
    </w:p>
    <w:p>
      <w:pPr>
        <w:ind w:left="1360" w:right="1380" w:firstLine="303"/>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62" w:lineRule="exact"/>
        <w:rPr>
          <w:sz w:val="24"/>
          <w:szCs w:val="24"/>
          <w:color w:val="auto"/>
        </w:rPr>
      </w:pPr>
    </w:p>
    <w:p>
      <w:pPr>
        <w:jc w:val="both"/>
        <w:ind w:left="1360" w:right="1740" w:firstLine="303"/>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62" w:lineRule="exact"/>
        <w:rPr>
          <w:sz w:val="24"/>
          <w:szCs w:val="24"/>
          <w:color w:val="auto"/>
        </w:rPr>
      </w:pPr>
    </w:p>
    <w:p>
      <w:pPr>
        <w:ind w:left="1360" w:right="1500" w:firstLine="303"/>
        <w:spacing w:after="0" w:line="264"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1360" w:type="dxa"/>
        <w:tblCellMar>
          <w:top w:w="0" w:type="dxa"/>
          <w:left w:w="0" w:type="dxa"/>
          <w:bottom w:w="0" w:type="dxa"/>
          <w:right w:w="0" w:type="dxa"/>
        </w:tblCellMar>
      </w:tblPr>
      <w:tr>
        <w:trPr>
          <w:trHeight w:val="185"/>
        </w:trPr>
        <w:tc>
          <w:tcPr>
            <w:tcW w:w="138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1880" w:type="dxa"/>
            <w:vAlign w:val="bottom"/>
          </w:tcPr>
          <w:p>
            <w:pPr>
              <w:ind w:left="160"/>
              <w:spacing w:after="0" w:line="111" w:lineRule="exact"/>
              <w:rPr>
                <w:sz w:val="20"/>
                <w:szCs w:val="20"/>
                <w:color w:val="auto"/>
              </w:rPr>
            </w:pPr>
            <w:r>
              <w:rPr>
                <w:rFonts w:ascii="MS PGothic" w:cs="MS PGothic" w:eastAsia="MS PGothic" w:hAnsi="MS PGothic"/>
                <w:sz w:val="11"/>
                <w:szCs w:val="11"/>
                <w:color w:val="auto"/>
              </w:rPr>
              <w:t>☑</w:t>
            </w:r>
          </w:p>
        </w:tc>
        <w:tc>
          <w:tcPr>
            <w:tcW w:w="288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Accelerated filer</w:t>
            </w:r>
          </w:p>
        </w:tc>
        <w:tc>
          <w:tcPr>
            <w:tcW w:w="140" w:type="dxa"/>
            <w:vAlign w:val="bottom"/>
          </w:tcPr>
          <w:p>
            <w:pPr>
              <w:ind w:left="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32"/>
        </w:trPr>
        <w:tc>
          <w:tcPr>
            <w:tcW w:w="138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1880" w:type="dxa"/>
            <w:vAlign w:val="bottom"/>
          </w:tcPr>
          <w:p>
            <w:pPr>
              <w:ind w:left="160"/>
              <w:spacing w:after="0" w:line="111" w:lineRule="exact"/>
              <w:rPr>
                <w:sz w:val="20"/>
                <w:szCs w:val="20"/>
                <w:color w:val="auto"/>
              </w:rPr>
            </w:pPr>
            <w:r>
              <w:rPr>
                <w:rFonts w:ascii="MS PGothic" w:cs="MS PGothic" w:eastAsia="MS PGothic" w:hAnsi="MS PGothic"/>
                <w:sz w:val="11"/>
                <w:szCs w:val="11"/>
                <w:color w:val="auto"/>
              </w:rPr>
              <w:t>☐</w:t>
            </w:r>
          </w:p>
        </w:tc>
        <w:tc>
          <w:tcPr>
            <w:tcW w:w="288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40" w:type="dxa"/>
            <w:vAlign w:val="bottom"/>
          </w:tcPr>
          <w:p>
            <w:pPr>
              <w:ind w:left="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32"/>
        </w:trPr>
        <w:tc>
          <w:tcPr>
            <w:tcW w:w="138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1880" w:type="dxa"/>
            <w:vAlign w:val="bottom"/>
          </w:tcPr>
          <w:p>
            <w:pPr>
              <w:ind w:left="160"/>
              <w:spacing w:after="0" w:line="111" w:lineRule="exact"/>
              <w:rPr>
                <w:sz w:val="20"/>
                <w:szCs w:val="20"/>
                <w:color w:val="auto"/>
              </w:rPr>
            </w:pPr>
            <w:r>
              <w:rPr>
                <w:rFonts w:ascii="MS PGothic" w:cs="MS PGothic" w:eastAsia="MS PGothic" w:hAnsi="MS PGothic"/>
                <w:sz w:val="11"/>
                <w:szCs w:val="11"/>
                <w:color w:val="auto"/>
              </w:rPr>
              <w:t>☐</w:t>
            </w: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31" w:lineRule="exact"/>
        <w:rPr>
          <w:sz w:val="24"/>
          <w:szCs w:val="24"/>
          <w:color w:val="auto"/>
        </w:rPr>
      </w:pPr>
    </w:p>
    <w:p>
      <w:pPr>
        <w:ind w:left="1360" w:right="1660" w:firstLine="303"/>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7" w:lineRule="exact"/>
        <w:rPr>
          <w:sz w:val="24"/>
          <w:szCs w:val="24"/>
          <w:color w:val="auto"/>
        </w:rPr>
      </w:pPr>
    </w:p>
    <w:p>
      <w:pPr>
        <w:ind w:left="1660"/>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89" w:lineRule="exact"/>
        <w:rPr>
          <w:sz w:val="24"/>
          <w:szCs w:val="24"/>
          <w:color w:val="auto"/>
        </w:rPr>
      </w:pPr>
    </w:p>
    <w:p>
      <w:pPr>
        <w:ind w:left="1360" w:right="1880" w:firstLine="303"/>
        <w:spacing w:after="0" w:line="279" w:lineRule="auto"/>
        <w:rPr>
          <w:sz w:val="20"/>
          <w:szCs w:val="20"/>
          <w:color w:val="auto"/>
        </w:rPr>
      </w:pPr>
      <w:r>
        <w:rPr>
          <w:rFonts w:ascii="Times New Roman" w:cs="Times New Roman" w:eastAsia="Times New Roman" w:hAnsi="Times New Roman"/>
          <w:sz w:val="11"/>
          <w:szCs w:val="11"/>
          <w:color w:val="auto"/>
        </w:rPr>
        <w:t>The number of shares of the registrant’s common stock, $0.001 par value per share, outstanding as of February 9, 2026 was 99,217,896.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229235</wp:posOffset>
            </wp:positionH>
            <wp:positionV relativeFrom="paragraph">
              <wp:posOffset>800100</wp:posOffset>
            </wp:positionV>
            <wp:extent cx="526605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66055" cy="38100"/>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37465</wp:posOffset>
            </wp:positionV>
            <wp:extent cx="3997960"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97960" cy="127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 10-Q FOR THE QUARTER ENDED DECEMBER 31, 2025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TABLE OF CONTENTS</w:t>
      </w:r>
    </w:p>
    <w:p>
      <w:pPr>
        <w:spacing w:after="0" w:line="139" w:lineRule="exact"/>
        <w:rPr>
          <w:sz w:val="20"/>
          <w:szCs w:val="20"/>
          <w:color w:val="auto"/>
        </w:rPr>
      </w:pPr>
    </w:p>
    <w:tbl>
      <w:tblPr>
        <w:tblLayout w:type="fixed"/>
        <w:tblInd w:w="380" w:type="dxa"/>
        <w:tblCellMar>
          <w:top w:w="0" w:type="dxa"/>
          <w:left w:w="0" w:type="dxa"/>
          <w:bottom w:w="0" w:type="dxa"/>
          <w:right w:w="0" w:type="dxa"/>
        </w:tblCellMar>
      </w:tblPr>
      <w:tr>
        <w:trPr>
          <w:trHeight w:val="126"/>
        </w:trPr>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80" w:type="dxa"/>
            <w:vAlign w:val="bottom"/>
            <w:gridSpan w:val="15"/>
          </w:tcPr>
          <w:p>
            <w:pPr>
              <w:jc w:val="center"/>
              <w:ind w:right="1560"/>
              <w:spacing w:after="0"/>
              <w:rPr>
                <w:rFonts w:ascii="Times New Roman" w:cs="Times New Roman" w:eastAsia="Times New Roman" w:hAnsi="Times New Roman"/>
                <w:sz w:val="11"/>
                <w:szCs w:val="11"/>
                <w:b w:val="1"/>
                <w:bCs w:val="1"/>
                <w:color w:val="0000FF"/>
              </w:rPr>
            </w:pPr>
            <w:hyperlink w:anchor="page3">
              <w:r>
                <w:rPr>
                  <w:rFonts w:ascii="Times New Roman" w:cs="Times New Roman" w:eastAsia="Times New Roman" w:hAnsi="Times New Roman"/>
                  <w:sz w:val="11"/>
                  <w:szCs w:val="11"/>
                  <w:b w:val="1"/>
                  <w:bCs w:val="1"/>
                  <w:color w:val="0000FF"/>
                </w:rPr>
                <w:t>PART I. CONSOLIDATED FINANCIAL INFORMATION</w:t>
              </w:r>
            </w:hyperlink>
          </w:p>
        </w:tc>
        <w:tc>
          <w:tcPr>
            <w:tcW w:w="1380" w:type="dxa"/>
            <w:vAlign w:val="bottom"/>
          </w:tcPr>
          <w:p>
            <w:pPr>
              <w:spacing w:after="0"/>
              <w:rPr>
                <w:sz w:val="11"/>
                <w:szCs w:val="11"/>
                <w:color w:val="auto"/>
              </w:rPr>
            </w:pPr>
          </w:p>
        </w:tc>
      </w:tr>
      <w:tr>
        <w:trPr>
          <w:trHeight w:val="242"/>
        </w:trPr>
        <w:tc>
          <w:tcPr>
            <w:tcW w:w="2500" w:type="dxa"/>
            <w:vAlign w:val="bottom"/>
            <w:gridSpan w:val="11"/>
          </w:tcPr>
          <w:p>
            <w:pPr>
              <w:ind w:left="500"/>
              <w:spacing w:after="0"/>
              <w:rPr>
                <w:rFonts w:ascii="Times New Roman" w:cs="Times New Roman" w:eastAsia="Times New Roman" w:hAnsi="Times New Roman"/>
                <w:sz w:val="11"/>
                <w:szCs w:val="11"/>
                <w:b w:val="1"/>
                <w:bCs w:val="1"/>
                <w:color w:val="0000FF"/>
                <w:w w:val="99"/>
              </w:rPr>
            </w:pPr>
            <w:hyperlink w:anchor="page4">
              <w:r>
                <w:rPr>
                  <w:rFonts w:ascii="Times New Roman" w:cs="Times New Roman" w:eastAsia="Times New Roman" w:hAnsi="Times New Roman"/>
                  <w:sz w:val="11"/>
                  <w:szCs w:val="11"/>
                  <w:b w:val="1"/>
                  <w:bCs w:val="1"/>
                  <w:color w:val="0000FF"/>
                  <w:w w:val="99"/>
                </w:rPr>
                <w:t>Item 1. Consolidated Financial Statements</w:t>
              </w:r>
            </w:hyperlink>
          </w:p>
        </w:tc>
        <w:tc>
          <w:tcPr>
            <w:tcW w:w="2820" w:type="dxa"/>
            <w:vAlign w:val="bottom"/>
            <w:tcBorders>
              <w:top w:val="single" w:sz="8" w:color="0000EE"/>
            </w:tcBorders>
            <w:gridSpan w:val="10"/>
          </w:tcPr>
          <w:p>
            <w:pPr>
              <w:spacing w:after="0"/>
              <w:rPr>
                <w:sz w:val="21"/>
                <w:szCs w:val="21"/>
                <w:color w:val="auto"/>
              </w:rPr>
            </w:pPr>
          </w:p>
        </w:tc>
        <w:tc>
          <w:tcPr>
            <w:tcW w:w="1560" w:type="dxa"/>
            <w:vAlign w:val="bottom"/>
            <w:gridSpan w:val="5"/>
          </w:tcPr>
          <w:p>
            <w:pPr>
              <w:spacing w:after="0"/>
              <w:rPr>
                <w:sz w:val="21"/>
                <w:szCs w:val="21"/>
                <w:color w:val="auto"/>
              </w:rPr>
            </w:pPr>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4</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42"/>
        </w:trPr>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0" w:type="dxa"/>
            <w:vAlign w:val="bottom"/>
            <w:tcBorders>
              <w:bottom w:val="single" w:sz="8" w:color="0000EE"/>
            </w:tcBorders>
            <w:gridSpan w:val="22"/>
          </w:tcPr>
          <w:p>
            <w:pPr>
              <w:spacing w:after="0"/>
              <w:rPr>
                <w:rFonts w:ascii="Times New Roman" w:cs="Times New Roman" w:eastAsia="Times New Roman" w:hAnsi="Times New Roman"/>
                <w:sz w:val="11"/>
                <w:szCs w:val="11"/>
                <w:color w:val="0000FF"/>
              </w:rPr>
            </w:pPr>
            <w:hyperlink w:anchor="page4">
              <w:r>
                <w:rPr>
                  <w:rFonts w:ascii="Times New Roman" w:cs="Times New Roman" w:eastAsia="Times New Roman" w:hAnsi="Times New Roman"/>
                  <w:sz w:val="11"/>
                  <w:szCs w:val="11"/>
                  <w:color w:val="0000FF"/>
                </w:rPr>
                <w:t>Consolidated Statements of Assets and Liabilities as of December 31, 2025 (unaudited) and September 30, 2025</w:t>
              </w:r>
            </w:hyperlink>
          </w:p>
        </w:tc>
        <w:tc>
          <w:tcPr>
            <w:tcW w:w="1120" w:type="dxa"/>
            <w:vAlign w:val="bottom"/>
            <w:gridSpan w:val="2"/>
          </w:tcPr>
          <w:p>
            <w:pPr>
              <w:spacing w:after="0"/>
              <w:rPr>
                <w:sz w:val="21"/>
                <w:szCs w:val="21"/>
                <w:color w:val="auto"/>
              </w:rPr>
            </w:pPr>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4</w:t>
            </w:r>
          </w:p>
        </w:tc>
      </w:tr>
      <w:tr>
        <w:trPr>
          <w:trHeight w:val="242"/>
        </w:trPr>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40" w:type="dxa"/>
            <w:vAlign w:val="bottom"/>
            <w:tcBorders>
              <w:bottom w:val="single" w:sz="8" w:color="0000EE"/>
            </w:tcBorders>
            <w:gridSpan w:val="20"/>
          </w:tcPr>
          <w:p>
            <w:pPr>
              <w:spacing w:after="0"/>
              <w:rPr>
                <w:rFonts w:ascii="Times New Roman" w:cs="Times New Roman" w:eastAsia="Times New Roman" w:hAnsi="Times New Roman"/>
                <w:sz w:val="11"/>
                <w:szCs w:val="11"/>
                <w:color w:val="0000FF"/>
              </w:rPr>
            </w:pPr>
            <w:hyperlink w:anchor="page5">
              <w:r>
                <w:rPr>
                  <w:rFonts w:ascii="Times New Roman" w:cs="Times New Roman" w:eastAsia="Times New Roman" w:hAnsi="Times New Roman"/>
                  <w:sz w:val="11"/>
                  <w:szCs w:val="11"/>
                  <w:color w:val="0000FF"/>
                </w:rPr>
                <w:t>Consolidated Statements of Operations for the three months ended December 31, 2025 and 2024 (unaudited)</w:t>
              </w:r>
            </w:hyperlink>
          </w:p>
        </w:tc>
        <w:tc>
          <w:tcPr>
            <w:tcW w:w="1280" w:type="dxa"/>
            <w:vAlign w:val="bottom"/>
            <w:gridSpan w:val="4"/>
          </w:tcPr>
          <w:p>
            <w:pPr>
              <w:spacing w:after="0"/>
              <w:rPr>
                <w:sz w:val="21"/>
                <w:szCs w:val="21"/>
                <w:color w:val="auto"/>
              </w:rPr>
            </w:pPr>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5</w:t>
            </w:r>
          </w:p>
        </w:tc>
      </w:tr>
      <w:tr>
        <w:trPr>
          <w:trHeight w:val="242"/>
        </w:trPr>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gridSpan w:val="24"/>
          </w:tcPr>
          <w:p>
            <w:pPr>
              <w:spacing w:after="0"/>
              <w:rPr>
                <w:rFonts w:ascii="Times New Roman" w:cs="Times New Roman" w:eastAsia="Times New Roman" w:hAnsi="Times New Roman"/>
                <w:sz w:val="11"/>
                <w:szCs w:val="11"/>
                <w:color w:val="0000FF"/>
              </w:rPr>
            </w:pPr>
            <w:hyperlink w:anchor="page6">
              <w:r>
                <w:rPr>
                  <w:rFonts w:ascii="Times New Roman" w:cs="Times New Roman" w:eastAsia="Times New Roman" w:hAnsi="Times New Roman"/>
                  <w:sz w:val="11"/>
                  <w:szCs w:val="11"/>
                  <w:color w:val="0000FF"/>
                </w:rPr>
                <w:t>Consolidated Statements of Changes in Net Assets for the three months ended December 31, 2025 and 2024 (unaudited)</w:t>
              </w:r>
            </w:hyperlink>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6</w:t>
            </w:r>
          </w:p>
        </w:tc>
      </w:tr>
      <w:tr>
        <w:trPr>
          <w:trHeight w:val="242"/>
        </w:trPr>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tcBorders>
              <w:top w:val="single" w:sz="8" w:color="0000EE"/>
              <w:bottom w:val="single" w:sz="8" w:color="0000EE"/>
            </w:tcBorders>
            <w:gridSpan w:val="21"/>
          </w:tcPr>
          <w:p>
            <w:pPr>
              <w:spacing w:after="0"/>
              <w:rPr>
                <w:rFonts w:ascii="Times New Roman" w:cs="Times New Roman" w:eastAsia="Times New Roman" w:hAnsi="Times New Roman"/>
                <w:sz w:val="11"/>
                <w:szCs w:val="11"/>
                <w:color w:val="0000FF"/>
              </w:rPr>
            </w:pPr>
            <w:hyperlink w:anchor="page7">
              <w:r>
                <w:rPr>
                  <w:rFonts w:ascii="Times New Roman" w:cs="Times New Roman" w:eastAsia="Times New Roman" w:hAnsi="Times New Roman"/>
                  <w:sz w:val="11"/>
                  <w:szCs w:val="11"/>
                  <w:color w:val="0000FF"/>
                </w:rPr>
                <w:t>Consolidated Statements of Cash Flows for the three months ended December 31, 2025 and 2024 (unaudited)</w:t>
              </w:r>
            </w:hyperlink>
          </w:p>
        </w:tc>
        <w:tc>
          <w:tcPr>
            <w:tcW w:w="440" w:type="dxa"/>
            <w:vAlign w:val="bottom"/>
            <w:tcBorders>
              <w:top w:val="single" w:sz="8" w:color="0000EE"/>
            </w:tcBorders>
            <w:gridSpan w:val="2"/>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7</w:t>
            </w:r>
          </w:p>
        </w:tc>
      </w:tr>
      <w:tr>
        <w:trPr>
          <w:trHeight w:val="242"/>
        </w:trPr>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40" w:type="dxa"/>
            <w:vAlign w:val="bottom"/>
            <w:tcBorders>
              <w:bottom w:val="single" w:sz="8" w:color="0000EE"/>
            </w:tcBorders>
            <w:gridSpan w:val="18"/>
          </w:tcPr>
          <w:p>
            <w:pPr>
              <w:spacing w:after="0"/>
              <w:rPr>
                <w:rFonts w:ascii="Times New Roman" w:cs="Times New Roman" w:eastAsia="Times New Roman" w:hAnsi="Times New Roman"/>
                <w:sz w:val="11"/>
                <w:szCs w:val="11"/>
                <w:color w:val="0000FF"/>
              </w:rPr>
            </w:pPr>
            <w:hyperlink w:anchor="page8">
              <w:r>
                <w:rPr>
                  <w:rFonts w:ascii="Times New Roman" w:cs="Times New Roman" w:eastAsia="Times New Roman" w:hAnsi="Times New Roman"/>
                  <w:sz w:val="11"/>
                  <w:szCs w:val="11"/>
                  <w:color w:val="0000FF"/>
                </w:rPr>
                <w:t>Consolidated Schedules of Investments as of December 31, 2025 (unaudited) and September 30, 2025</w:t>
              </w:r>
            </w:hyperlink>
          </w:p>
        </w:tc>
        <w:tc>
          <w:tcPr>
            <w:tcW w:w="1580" w:type="dxa"/>
            <w:vAlign w:val="bottom"/>
            <w:gridSpan w:val="6"/>
          </w:tcPr>
          <w:p>
            <w:pPr>
              <w:spacing w:after="0"/>
              <w:rPr>
                <w:sz w:val="21"/>
                <w:szCs w:val="21"/>
                <w:color w:val="auto"/>
              </w:rPr>
            </w:pPr>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8</w:t>
            </w:r>
          </w:p>
        </w:tc>
      </w:tr>
      <w:tr>
        <w:trPr>
          <w:trHeight w:val="242"/>
        </w:trPr>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gridSpan w:val="24"/>
          </w:tcPr>
          <w:p>
            <w:pPr>
              <w:spacing w:after="0"/>
              <w:rPr>
                <w:rFonts w:ascii="Times New Roman" w:cs="Times New Roman" w:eastAsia="Times New Roman" w:hAnsi="Times New Roman"/>
                <w:sz w:val="11"/>
                <w:szCs w:val="11"/>
                <w:color w:val="0000FF"/>
              </w:rPr>
            </w:pPr>
            <w:hyperlink w:anchor="page27">
              <w:r>
                <w:rPr>
                  <w:rFonts w:ascii="Times New Roman" w:cs="Times New Roman" w:eastAsia="Times New Roman" w:hAnsi="Times New Roman"/>
                  <w:sz w:val="11"/>
                  <w:szCs w:val="11"/>
                  <w:color w:val="0000FF"/>
                </w:rPr>
                <w:t>Notes to Consolidated Financial Statements (unaudited)</w:t>
              </w:r>
            </w:hyperlink>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27</w:t>
            </w: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62"/>
        </w:trPr>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120" w:type="dxa"/>
            <w:vAlign w:val="bottom"/>
            <w:gridSpan w:val="24"/>
          </w:tcPr>
          <w:p>
            <w:pPr>
              <w:spacing w:after="0"/>
              <w:rPr>
                <w:rFonts w:ascii="Times New Roman" w:cs="Times New Roman" w:eastAsia="Times New Roman" w:hAnsi="Times New Roman"/>
                <w:sz w:val="11"/>
                <w:szCs w:val="11"/>
                <w:color w:val="0000FF"/>
              </w:rPr>
            </w:pPr>
            <w:hyperlink w:anchor="page53">
              <w:r>
                <w:rPr>
                  <w:rFonts w:ascii="Times New Roman" w:cs="Times New Roman" w:eastAsia="Times New Roman" w:hAnsi="Times New Roman"/>
                  <w:sz w:val="11"/>
                  <w:szCs w:val="11"/>
                  <w:color w:val="0000FF"/>
                </w:rPr>
                <w:t>Report of Independent Registered Public Accounting Firm (PCAOB ID 49)</w:t>
              </w:r>
            </w:hyperlink>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53</w:t>
            </w: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42"/>
        </w:trPr>
        <w:tc>
          <w:tcPr>
            <w:tcW w:w="520" w:type="dxa"/>
            <w:vAlign w:val="bottom"/>
          </w:tcPr>
          <w:p>
            <w:pPr>
              <w:spacing w:after="0"/>
              <w:rPr>
                <w:sz w:val="21"/>
                <w:szCs w:val="21"/>
                <w:color w:val="auto"/>
              </w:rPr>
            </w:pPr>
          </w:p>
        </w:tc>
        <w:tc>
          <w:tcPr>
            <w:tcW w:w="4560" w:type="dxa"/>
            <w:vAlign w:val="bottom"/>
            <w:tcBorders>
              <w:bottom w:val="single" w:sz="8" w:color="0000EE"/>
            </w:tcBorders>
            <w:gridSpan w:val="18"/>
          </w:tcPr>
          <w:p>
            <w:pPr>
              <w:spacing w:after="0"/>
              <w:rPr>
                <w:rFonts w:ascii="Times New Roman" w:cs="Times New Roman" w:eastAsia="Times New Roman" w:hAnsi="Times New Roman"/>
                <w:sz w:val="11"/>
                <w:szCs w:val="11"/>
                <w:b w:val="1"/>
                <w:bCs w:val="1"/>
                <w:color w:val="0000FF"/>
              </w:rPr>
            </w:pPr>
            <w:hyperlink w:anchor="page55">
              <w:r>
                <w:rPr>
                  <w:rFonts w:ascii="Times New Roman" w:cs="Times New Roman" w:eastAsia="Times New Roman" w:hAnsi="Times New Roman"/>
                  <w:sz w:val="11"/>
                  <w:szCs w:val="11"/>
                  <w:b w:val="1"/>
                  <w:bCs w:val="1"/>
                  <w:color w:val="0000FF"/>
                </w:rPr>
                <w:t>Item 2. Management’s Discussion and Analysis of Financial Condition and Results of Operations</w:t>
              </w:r>
            </w:hyperlink>
          </w:p>
        </w:tc>
        <w:tc>
          <w:tcPr>
            <w:tcW w:w="1800" w:type="dxa"/>
            <w:vAlign w:val="bottom"/>
            <w:gridSpan w:val="7"/>
          </w:tcPr>
          <w:p>
            <w:pPr>
              <w:spacing w:after="0"/>
              <w:rPr>
                <w:sz w:val="21"/>
                <w:szCs w:val="21"/>
                <w:color w:val="auto"/>
              </w:rPr>
            </w:pPr>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55</w:t>
            </w:r>
          </w:p>
        </w:tc>
      </w:tr>
      <w:tr>
        <w:trPr>
          <w:trHeight w:val="242"/>
        </w:trPr>
        <w:tc>
          <w:tcPr>
            <w:tcW w:w="520" w:type="dxa"/>
            <w:vAlign w:val="bottom"/>
          </w:tcPr>
          <w:p>
            <w:pPr>
              <w:spacing w:after="0"/>
              <w:rPr>
                <w:sz w:val="21"/>
                <w:szCs w:val="21"/>
                <w:color w:val="auto"/>
              </w:rPr>
            </w:pPr>
          </w:p>
        </w:tc>
        <w:tc>
          <w:tcPr>
            <w:tcW w:w="6360" w:type="dxa"/>
            <w:vAlign w:val="bottom"/>
            <w:gridSpan w:val="25"/>
          </w:tcPr>
          <w:p>
            <w:pPr>
              <w:spacing w:after="0"/>
              <w:rPr>
                <w:rFonts w:ascii="Times New Roman" w:cs="Times New Roman" w:eastAsia="Times New Roman" w:hAnsi="Times New Roman"/>
                <w:sz w:val="11"/>
                <w:szCs w:val="11"/>
                <w:b w:val="1"/>
                <w:bCs w:val="1"/>
                <w:color w:val="0000FF"/>
              </w:rPr>
            </w:pPr>
            <w:hyperlink w:anchor="page76">
              <w:r>
                <w:rPr>
                  <w:rFonts w:ascii="Times New Roman" w:cs="Times New Roman" w:eastAsia="Times New Roman" w:hAnsi="Times New Roman"/>
                  <w:sz w:val="11"/>
                  <w:szCs w:val="11"/>
                  <w:b w:val="1"/>
                  <w:bCs w:val="1"/>
                  <w:color w:val="0000FF"/>
                </w:rPr>
                <w:t>Item 3. Quantitative and Qualitative Disclosures About Market Risk</w:t>
              </w:r>
            </w:hyperlink>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76</w:t>
            </w:r>
          </w:p>
        </w:tc>
      </w:tr>
      <w:tr>
        <w:trPr>
          <w:trHeight w:val="242"/>
        </w:trPr>
        <w:tc>
          <w:tcPr>
            <w:tcW w:w="520" w:type="dxa"/>
            <w:vAlign w:val="bottom"/>
          </w:tcPr>
          <w:p>
            <w:pPr>
              <w:spacing w:after="0"/>
              <w:rPr>
                <w:sz w:val="21"/>
                <w:szCs w:val="21"/>
                <w:color w:val="auto"/>
              </w:rPr>
            </w:pPr>
          </w:p>
        </w:tc>
        <w:tc>
          <w:tcPr>
            <w:tcW w:w="3220" w:type="dxa"/>
            <w:vAlign w:val="bottom"/>
            <w:tcBorders>
              <w:top w:val="single" w:sz="8" w:color="0000EE"/>
            </w:tcBorders>
            <w:gridSpan w:val="15"/>
          </w:tcPr>
          <w:p>
            <w:pPr>
              <w:spacing w:after="0"/>
              <w:rPr>
                <w:rFonts w:ascii="Times New Roman" w:cs="Times New Roman" w:eastAsia="Times New Roman" w:hAnsi="Times New Roman"/>
                <w:sz w:val="11"/>
                <w:szCs w:val="11"/>
                <w:b w:val="1"/>
                <w:bCs w:val="1"/>
                <w:color w:val="0000FF"/>
              </w:rPr>
            </w:pPr>
            <w:hyperlink w:anchor="page77">
              <w:r>
                <w:rPr>
                  <w:rFonts w:ascii="Times New Roman" w:cs="Times New Roman" w:eastAsia="Times New Roman" w:hAnsi="Times New Roman"/>
                  <w:sz w:val="11"/>
                  <w:szCs w:val="11"/>
                  <w:b w:val="1"/>
                  <w:bCs w:val="1"/>
                  <w:color w:val="0000FF"/>
                </w:rPr>
                <w:t>Item 4. Controls and Procedures</w:t>
              </w:r>
            </w:hyperlink>
          </w:p>
        </w:tc>
        <w:tc>
          <w:tcPr>
            <w:tcW w:w="3140" w:type="dxa"/>
            <w:vAlign w:val="bottom"/>
            <w:gridSpan w:val="10"/>
          </w:tcPr>
          <w:p>
            <w:pPr>
              <w:spacing w:after="0"/>
              <w:rPr>
                <w:sz w:val="21"/>
                <w:szCs w:val="21"/>
                <w:color w:val="auto"/>
              </w:rPr>
            </w:pPr>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77</w:t>
            </w:r>
          </w:p>
        </w:tc>
      </w:tr>
      <w:tr>
        <w:trPr>
          <w:trHeight w:val="242"/>
        </w:trPr>
        <w:tc>
          <w:tcPr>
            <w:tcW w:w="520" w:type="dxa"/>
            <w:vAlign w:val="bottom"/>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40" w:type="dxa"/>
            <w:vAlign w:val="bottom"/>
            <w:tcBorders>
              <w:bottom w:val="single" w:sz="8" w:color="0000EE"/>
            </w:tcBorders>
            <w:gridSpan w:val="5"/>
          </w:tcPr>
          <w:p>
            <w:pPr>
              <w:jc w:val="center"/>
              <w:spacing w:after="0"/>
              <w:rPr>
                <w:rFonts w:ascii="Times New Roman" w:cs="Times New Roman" w:eastAsia="Times New Roman" w:hAnsi="Times New Roman"/>
                <w:sz w:val="11"/>
                <w:szCs w:val="11"/>
                <w:b w:val="1"/>
                <w:bCs w:val="1"/>
                <w:color w:val="0000FF"/>
              </w:rPr>
            </w:pPr>
            <w:hyperlink w:anchor="page78">
              <w:r>
                <w:rPr>
                  <w:rFonts w:ascii="Times New Roman" w:cs="Times New Roman" w:eastAsia="Times New Roman" w:hAnsi="Times New Roman"/>
                  <w:sz w:val="11"/>
                  <w:szCs w:val="11"/>
                  <w:b w:val="1"/>
                  <w:bCs w:val="1"/>
                  <w:color w:val="0000FF"/>
                </w:rPr>
                <w:t>PART II. OTHER INFORMATION</w:t>
              </w:r>
            </w:hyperlink>
          </w:p>
        </w:tc>
        <w:tc>
          <w:tcPr>
            <w:tcW w:w="2100" w:type="dxa"/>
            <w:vAlign w:val="bottom"/>
            <w:gridSpan w:val="8"/>
          </w:tcPr>
          <w:p>
            <w:pPr>
              <w:spacing w:after="0"/>
              <w:rPr>
                <w:sz w:val="21"/>
                <w:szCs w:val="21"/>
                <w:color w:val="auto"/>
              </w:rPr>
            </w:pPr>
          </w:p>
        </w:tc>
        <w:tc>
          <w:tcPr>
            <w:tcW w:w="1380" w:type="dxa"/>
            <w:vAlign w:val="bottom"/>
          </w:tcPr>
          <w:p>
            <w:pPr>
              <w:spacing w:after="0"/>
              <w:rPr>
                <w:sz w:val="21"/>
                <w:szCs w:val="21"/>
                <w:color w:val="auto"/>
              </w:rPr>
            </w:pPr>
          </w:p>
        </w:tc>
      </w:tr>
      <w:tr>
        <w:trPr>
          <w:trHeight w:val="242"/>
        </w:trPr>
        <w:tc>
          <w:tcPr>
            <w:tcW w:w="520" w:type="dxa"/>
            <w:vAlign w:val="bottom"/>
          </w:tcPr>
          <w:p>
            <w:pPr>
              <w:spacing w:after="0"/>
              <w:rPr>
                <w:sz w:val="21"/>
                <w:szCs w:val="21"/>
                <w:color w:val="auto"/>
              </w:rPr>
            </w:pPr>
          </w:p>
        </w:tc>
        <w:tc>
          <w:tcPr>
            <w:tcW w:w="6360" w:type="dxa"/>
            <w:vAlign w:val="bottom"/>
            <w:gridSpan w:val="25"/>
          </w:tcPr>
          <w:p>
            <w:pPr>
              <w:spacing w:after="0"/>
              <w:rPr>
                <w:rFonts w:ascii="Times New Roman" w:cs="Times New Roman" w:eastAsia="Times New Roman" w:hAnsi="Times New Roman"/>
                <w:sz w:val="11"/>
                <w:szCs w:val="11"/>
                <w:b w:val="1"/>
                <w:bCs w:val="1"/>
                <w:color w:val="0000FF"/>
              </w:rPr>
            </w:pPr>
            <w:hyperlink w:anchor="page78">
              <w:r>
                <w:rPr>
                  <w:rFonts w:ascii="Times New Roman" w:cs="Times New Roman" w:eastAsia="Times New Roman" w:hAnsi="Times New Roman"/>
                  <w:sz w:val="11"/>
                  <w:szCs w:val="11"/>
                  <w:b w:val="1"/>
                  <w:bCs w:val="1"/>
                  <w:color w:val="0000FF"/>
                </w:rPr>
                <w:t>Item 1. Legal Proceedings</w:t>
              </w:r>
            </w:hyperlink>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78</w:t>
            </w:r>
          </w:p>
        </w:tc>
      </w:tr>
      <w:tr>
        <w:trPr>
          <w:trHeight w:val="242"/>
        </w:trPr>
        <w:tc>
          <w:tcPr>
            <w:tcW w:w="520" w:type="dxa"/>
            <w:vAlign w:val="bottom"/>
          </w:tcPr>
          <w:p>
            <w:pPr>
              <w:spacing w:after="0"/>
              <w:rPr>
                <w:sz w:val="21"/>
                <w:szCs w:val="21"/>
                <w:color w:val="auto"/>
              </w:rPr>
            </w:pPr>
          </w:p>
        </w:tc>
        <w:tc>
          <w:tcPr>
            <w:tcW w:w="1200" w:type="dxa"/>
            <w:vAlign w:val="bottom"/>
            <w:tcBorders>
              <w:top w:val="single" w:sz="8" w:color="0000EE"/>
            </w:tcBorders>
            <w:gridSpan w:val="5"/>
          </w:tcPr>
          <w:p>
            <w:pPr>
              <w:spacing w:after="0"/>
              <w:rPr>
                <w:rFonts w:ascii="Times New Roman" w:cs="Times New Roman" w:eastAsia="Times New Roman" w:hAnsi="Times New Roman"/>
                <w:sz w:val="11"/>
                <w:szCs w:val="11"/>
                <w:b w:val="1"/>
                <w:bCs w:val="1"/>
                <w:color w:val="0000FF"/>
              </w:rPr>
            </w:pPr>
            <w:hyperlink w:anchor="page78">
              <w:r>
                <w:rPr>
                  <w:rFonts w:ascii="Times New Roman" w:cs="Times New Roman" w:eastAsia="Times New Roman" w:hAnsi="Times New Roman"/>
                  <w:sz w:val="11"/>
                  <w:szCs w:val="11"/>
                  <w:b w:val="1"/>
                  <w:bCs w:val="1"/>
                  <w:color w:val="0000FF"/>
                </w:rPr>
                <w:t>Item 1A. Risk Factors</w:t>
              </w:r>
            </w:hyperlink>
          </w:p>
        </w:tc>
        <w:tc>
          <w:tcPr>
            <w:tcW w:w="5160" w:type="dxa"/>
            <w:vAlign w:val="bottom"/>
            <w:gridSpan w:val="20"/>
          </w:tcPr>
          <w:p>
            <w:pPr>
              <w:spacing w:after="0"/>
              <w:rPr>
                <w:sz w:val="21"/>
                <w:szCs w:val="21"/>
                <w:color w:val="auto"/>
              </w:rPr>
            </w:pPr>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78</w:t>
            </w:r>
          </w:p>
        </w:tc>
      </w:tr>
      <w:tr>
        <w:trPr>
          <w:trHeight w:val="20"/>
        </w:trPr>
        <w:tc>
          <w:tcPr>
            <w:tcW w:w="5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42"/>
        </w:trPr>
        <w:tc>
          <w:tcPr>
            <w:tcW w:w="520" w:type="dxa"/>
            <w:vAlign w:val="bottom"/>
          </w:tcPr>
          <w:p>
            <w:pPr>
              <w:spacing w:after="0"/>
              <w:rPr>
                <w:sz w:val="21"/>
                <w:szCs w:val="21"/>
                <w:color w:val="auto"/>
              </w:rPr>
            </w:pPr>
          </w:p>
        </w:tc>
        <w:tc>
          <w:tcPr>
            <w:tcW w:w="6360" w:type="dxa"/>
            <w:vAlign w:val="bottom"/>
            <w:gridSpan w:val="25"/>
          </w:tcPr>
          <w:p>
            <w:pPr>
              <w:spacing w:after="0"/>
              <w:rPr>
                <w:rFonts w:ascii="Times New Roman" w:cs="Times New Roman" w:eastAsia="Times New Roman" w:hAnsi="Times New Roman"/>
                <w:sz w:val="11"/>
                <w:szCs w:val="11"/>
                <w:b w:val="1"/>
                <w:bCs w:val="1"/>
                <w:color w:val="0000FF"/>
              </w:rPr>
            </w:pPr>
            <w:hyperlink w:anchor="page78">
              <w:r>
                <w:rPr>
                  <w:rFonts w:ascii="Times New Roman" w:cs="Times New Roman" w:eastAsia="Times New Roman" w:hAnsi="Times New Roman"/>
                  <w:sz w:val="11"/>
                  <w:szCs w:val="11"/>
                  <w:b w:val="1"/>
                  <w:bCs w:val="1"/>
                  <w:color w:val="0000FF"/>
                </w:rPr>
                <w:t>Item 2. Unregistered Sales of Equity Securities and Use of Proceeds</w:t>
              </w:r>
            </w:hyperlink>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78</w:t>
            </w:r>
          </w:p>
        </w:tc>
      </w:tr>
      <w:tr>
        <w:trPr>
          <w:trHeight w:val="242"/>
        </w:trPr>
        <w:tc>
          <w:tcPr>
            <w:tcW w:w="520" w:type="dxa"/>
            <w:vAlign w:val="bottom"/>
          </w:tcPr>
          <w:p>
            <w:pPr>
              <w:spacing w:after="0"/>
              <w:rPr>
                <w:sz w:val="21"/>
                <w:szCs w:val="21"/>
                <w:color w:val="auto"/>
              </w:rPr>
            </w:pPr>
          </w:p>
        </w:tc>
        <w:tc>
          <w:tcPr>
            <w:tcW w:w="186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1"/>
                <w:szCs w:val="11"/>
                <w:b w:val="1"/>
                <w:bCs w:val="1"/>
                <w:color w:val="0000FF"/>
                <w:w w:val="99"/>
              </w:rPr>
            </w:pPr>
            <w:hyperlink w:anchor="page78">
              <w:r>
                <w:rPr>
                  <w:rFonts w:ascii="Times New Roman" w:cs="Times New Roman" w:eastAsia="Times New Roman" w:hAnsi="Times New Roman"/>
                  <w:sz w:val="11"/>
                  <w:szCs w:val="11"/>
                  <w:b w:val="1"/>
                  <w:bCs w:val="1"/>
                  <w:color w:val="0000FF"/>
                  <w:w w:val="99"/>
                </w:rPr>
                <w:t>Item 3. Defaults Upon Senior Securities</w:t>
              </w:r>
            </w:hyperlink>
          </w:p>
        </w:tc>
        <w:tc>
          <w:tcPr>
            <w:tcW w:w="1300" w:type="dxa"/>
            <w:vAlign w:val="bottom"/>
            <w:tcBorders>
              <w:top w:val="single" w:sz="8" w:color="0000EE"/>
            </w:tcBorders>
            <w:gridSpan w:val="5"/>
          </w:tcPr>
          <w:p>
            <w:pPr>
              <w:spacing w:after="0"/>
              <w:rPr>
                <w:sz w:val="21"/>
                <w:szCs w:val="21"/>
                <w:color w:val="auto"/>
              </w:rPr>
            </w:pPr>
          </w:p>
        </w:tc>
        <w:tc>
          <w:tcPr>
            <w:tcW w:w="3200" w:type="dxa"/>
            <w:vAlign w:val="bottom"/>
            <w:gridSpan w:val="11"/>
          </w:tcPr>
          <w:p>
            <w:pPr>
              <w:spacing w:after="0"/>
              <w:rPr>
                <w:sz w:val="21"/>
                <w:szCs w:val="21"/>
                <w:color w:val="auto"/>
              </w:rPr>
            </w:pPr>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78</w:t>
            </w:r>
          </w:p>
        </w:tc>
      </w:tr>
      <w:tr>
        <w:trPr>
          <w:trHeight w:val="242"/>
        </w:trPr>
        <w:tc>
          <w:tcPr>
            <w:tcW w:w="520" w:type="dxa"/>
            <w:vAlign w:val="bottom"/>
          </w:tcPr>
          <w:p>
            <w:pPr>
              <w:spacing w:after="0"/>
              <w:rPr>
                <w:sz w:val="21"/>
                <w:szCs w:val="21"/>
                <w:color w:val="auto"/>
              </w:rPr>
            </w:pPr>
          </w:p>
        </w:tc>
        <w:tc>
          <w:tcPr>
            <w:tcW w:w="1480" w:type="dxa"/>
            <w:vAlign w:val="bottom"/>
            <w:tcBorders>
              <w:bottom w:val="single" w:sz="8" w:color="0000EE"/>
            </w:tcBorders>
            <w:gridSpan w:val="7"/>
          </w:tcPr>
          <w:p>
            <w:pPr>
              <w:spacing w:after="0"/>
              <w:rPr>
                <w:rFonts w:ascii="Times New Roman" w:cs="Times New Roman" w:eastAsia="Times New Roman" w:hAnsi="Times New Roman"/>
                <w:sz w:val="11"/>
                <w:szCs w:val="11"/>
                <w:b w:val="1"/>
                <w:bCs w:val="1"/>
                <w:color w:val="0000FF"/>
                <w:w w:val="98"/>
              </w:rPr>
            </w:pPr>
            <w:hyperlink w:anchor="page78">
              <w:r>
                <w:rPr>
                  <w:rFonts w:ascii="Times New Roman" w:cs="Times New Roman" w:eastAsia="Times New Roman" w:hAnsi="Times New Roman"/>
                  <w:sz w:val="11"/>
                  <w:szCs w:val="11"/>
                  <w:b w:val="1"/>
                  <w:bCs w:val="1"/>
                  <w:color w:val="0000FF"/>
                  <w:w w:val="98"/>
                </w:rPr>
                <w:t>Item 4. Mine Safety Disclosures</w:t>
              </w:r>
            </w:hyperlink>
          </w:p>
        </w:tc>
        <w:tc>
          <w:tcPr>
            <w:tcW w:w="4880" w:type="dxa"/>
            <w:vAlign w:val="bottom"/>
            <w:gridSpan w:val="18"/>
          </w:tcPr>
          <w:p>
            <w:pPr>
              <w:spacing w:after="0"/>
              <w:rPr>
                <w:sz w:val="21"/>
                <w:szCs w:val="21"/>
                <w:color w:val="auto"/>
              </w:rPr>
            </w:pPr>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78</w:t>
            </w:r>
          </w:p>
        </w:tc>
      </w:tr>
      <w:tr>
        <w:trPr>
          <w:trHeight w:val="242"/>
        </w:trPr>
        <w:tc>
          <w:tcPr>
            <w:tcW w:w="520" w:type="dxa"/>
            <w:vAlign w:val="bottom"/>
          </w:tcPr>
          <w:p>
            <w:pPr>
              <w:spacing w:after="0"/>
              <w:rPr>
                <w:sz w:val="21"/>
                <w:szCs w:val="21"/>
                <w:color w:val="auto"/>
              </w:rPr>
            </w:pPr>
          </w:p>
        </w:tc>
        <w:tc>
          <w:tcPr>
            <w:tcW w:w="1240" w:type="dxa"/>
            <w:vAlign w:val="bottom"/>
            <w:tcBorders>
              <w:bottom w:val="single" w:sz="8" w:color="0000EE"/>
            </w:tcBorders>
            <w:gridSpan w:val="6"/>
          </w:tcPr>
          <w:p>
            <w:pPr>
              <w:spacing w:after="0"/>
              <w:rPr>
                <w:rFonts w:ascii="Times New Roman" w:cs="Times New Roman" w:eastAsia="Times New Roman" w:hAnsi="Times New Roman"/>
                <w:sz w:val="11"/>
                <w:szCs w:val="11"/>
                <w:b w:val="1"/>
                <w:bCs w:val="1"/>
                <w:color w:val="0000FF"/>
                <w:w w:val="98"/>
              </w:rPr>
            </w:pPr>
            <w:hyperlink w:anchor="page78">
              <w:r>
                <w:rPr>
                  <w:rFonts w:ascii="Times New Roman" w:cs="Times New Roman" w:eastAsia="Times New Roman" w:hAnsi="Times New Roman"/>
                  <w:sz w:val="11"/>
                  <w:szCs w:val="11"/>
                  <w:b w:val="1"/>
                  <w:bCs w:val="1"/>
                  <w:color w:val="0000FF"/>
                  <w:w w:val="98"/>
                </w:rPr>
                <w:t>Item 5. Other Information</w:t>
              </w:r>
            </w:hyperlink>
          </w:p>
        </w:tc>
        <w:tc>
          <w:tcPr>
            <w:tcW w:w="5120" w:type="dxa"/>
            <w:vAlign w:val="bottom"/>
            <w:gridSpan w:val="19"/>
          </w:tcPr>
          <w:p>
            <w:pPr>
              <w:spacing w:after="0"/>
              <w:rPr>
                <w:sz w:val="21"/>
                <w:szCs w:val="21"/>
                <w:color w:val="auto"/>
              </w:rPr>
            </w:pPr>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78</w:t>
            </w:r>
          </w:p>
        </w:tc>
      </w:tr>
      <w:tr>
        <w:trPr>
          <w:trHeight w:val="242"/>
        </w:trPr>
        <w:tc>
          <w:tcPr>
            <w:tcW w:w="520" w:type="dxa"/>
            <w:vAlign w:val="bottom"/>
          </w:tcPr>
          <w:p>
            <w:pPr>
              <w:spacing w:after="0"/>
              <w:rPr>
                <w:sz w:val="21"/>
                <w:szCs w:val="21"/>
                <w:color w:val="auto"/>
              </w:rPr>
            </w:pPr>
          </w:p>
        </w:tc>
        <w:tc>
          <w:tcPr>
            <w:tcW w:w="740" w:type="dxa"/>
            <w:vAlign w:val="bottom"/>
            <w:tcBorders>
              <w:bottom w:val="single" w:sz="8" w:color="0000EE"/>
            </w:tcBorders>
            <w:gridSpan w:val="3"/>
          </w:tcPr>
          <w:p>
            <w:pPr>
              <w:spacing w:after="0"/>
              <w:rPr>
                <w:rFonts w:ascii="Times New Roman" w:cs="Times New Roman" w:eastAsia="Times New Roman" w:hAnsi="Times New Roman"/>
                <w:sz w:val="11"/>
                <w:szCs w:val="11"/>
                <w:b w:val="1"/>
                <w:bCs w:val="1"/>
                <w:color w:val="0000FF"/>
                <w:w w:val="96"/>
              </w:rPr>
            </w:pPr>
            <w:hyperlink w:anchor="page79">
              <w:r>
                <w:rPr>
                  <w:rFonts w:ascii="Times New Roman" w:cs="Times New Roman" w:eastAsia="Times New Roman" w:hAnsi="Times New Roman"/>
                  <w:sz w:val="11"/>
                  <w:szCs w:val="11"/>
                  <w:b w:val="1"/>
                  <w:bCs w:val="1"/>
                  <w:color w:val="0000FF"/>
                  <w:w w:val="96"/>
                </w:rPr>
                <w:t>Item 6. Exhibits</w:t>
              </w:r>
            </w:hyperlink>
          </w:p>
        </w:tc>
        <w:tc>
          <w:tcPr>
            <w:tcW w:w="5620" w:type="dxa"/>
            <w:vAlign w:val="bottom"/>
            <w:gridSpan w:val="22"/>
          </w:tcPr>
          <w:p>
            <w:pPr>
              <w:spacing w:after="0"/>
              <w:rPr>
                <w:sz w:val="21"/>
                <w:szCs w:val="21"/>
                <w:color w:val="auto"/>
              </w:rPr>
            </w:pPr>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79</w:t>
            </w:r>
          </w:p>
        </w:tc>
      </w:tr>
      <w:tr>
        <w:trPr>
          <w:trHeight w:val="242"/>
        </w:trPr>
        <w:tc>
          <w:tcPr>
            <w:tcW w:w="520" w:type="dxa"/>
            <w:vAlign w:val="bottom"/>
          </w:tcPr>
          <w:p>
            <w:pPr>
              <w:spacing w:after="0"/>
              <w:rPr>
                <w:sz w:val="21"/>
                <w:szCs w:val="21"/>
                <w:color w:val="auto"/>
              </w:rPr>
            </w:pPr>
          </w:p>
        </w:tc>
        <w:tc>
          <w:tcPr>
            <w:tcW w:w="6360" w:type="dxa"/>
            <w:vAlign w:val="bottom"/>
            <w:gridSpan w:val="25"/>
          </w:tcPr>
          <w:p>
            <w:pPr>
              <w:spacing w:after="0"/>
              <w:rPr>
                <w:rFonts w:ascii="Times New Roman" w:cs="Times New Roman" w:eastAsia="Times New Roman" w:hAnsi="Times New Roman"/>
                <w:sz w:val="11"/>
                <w:szCs w:val="11"/>
                <w:b w:val="1"/>
                <w:bCs w:val="1"/>
                <w:color w:val="0000FF"/>
              </w:rPr>
            </w:pPr>
            <w:hyperlink w:anchor="page80">
              <w:r>
                <w:rPr>
                  <w:rFonts w:ascii="Times New Roman" w:cs="Times New Roman" w:eastAsia="Times New Roman" w:hAnsi="Times New Roman"/>
                  <w:sz w:val="11"/>
                  <w:szCs w:val="11"/>
                  <w:b w:val="1"/>
                  <w:bCs w:val="1"/>
                  <w:color w:val="0000FF"/>
                </w:rPr>
                <w:t>SIGNATURES</w:t>
              </w:r>
            </w:hyperlink>
          </w:p>
        </w:tc>
        <w:tc>
          <w:tcPr>
            <w:tcW w:w="13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80</w:t>
            </w:r>
          </w:p>
        </w:tc>
      </w:tr>
      <w:tr>
        <w:trPr>
          <w:trHeight w:val="416"/>
        </w:trPr>
        <w:tc>
          <w:tcPr>
            <w:tcW w:w="520" w:type="dxa"/>
            <w:vAlign w:val="bottom"/>
          </w:tcPr>
          <w:p>
            <w:pPr>
              <w:spacing w:after="0"/>
              <w:rPr>
                <w:sz w:val="24"/>
                <w:szCs w:val="24"/>
                <w:color w:val="auto"/>
              </w:rPr>
            </w:pPr>
          </w:p>
        </w:tc>
        <w:tc>
          <w:tcPr>
            <w:tcW w:w="700" w:type="dxa"/>
            <w:vAlign w:val="bottom"/>
            <w:tcBorders>
              <w:top w:val="single" w:sz="8" w:color="0000EE"/>
            </w:tcBorders>
            <w:gridSpan w:val="2"/>
          </w:tcPr>
          <w:p>
            <w:pPr>
              <w:spacing w:after="0"/>
              <w:rPr>
                <w:sz w:val="24"/>
                <w:szCs w:val="24"/>
                <w:color w:val="auto"/>
              </w:rPr>
            </w:pPr>
          </w:p>
        </w:tc>
        <w:tc>
          <w:tcPr>
            <w:tcW w:w="3560" w:type="dxa"/>
            <w:vAlign w:val="bottom"/>
            <w:gridSpan w:val="15"/>
          </w:tcPr>
          <w:p>
            <w:pPr>
              <w:jc w:val="right"/>
              <w:ind w:right="620"/>
              <w:spacing w:after="0"/>
              <w:rPr>
                <w:sz w:val="20"/>
                <w:szCs w:val="20"/>
                <w:color w:val="auto"/>
              </w:rPr>
            </w:pPr>
            <w:r>
              <w:rPr>
                <w:rFonts w:ascii="Times New Roman" w:cs="Times New Roman" w:eastAsia="Times New Roman" w:hAnsi="Times New Roman"/>
                <w:sz w:val="11"/>
                <w:szCs w:val="11"/>
                <w:color w:val="auto"/>
              </w:rPr>
              <w:t>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73"/>
        </w:trPr>
        <w:tc>
          <w:tcPr>
            <w:tcW w:w="5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13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-24765</wp:posOffset>
            </wp:positionV>
            <wp:extent cx="526605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53" w:right="1440"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PART I—CONSOLIDATED FINANCIAL INFORMATION</w:t>
      </w:r>
    </w:p>
    <w:p>
      <w:pPr>
        <w:spacing w:after="0" w:line="18" w:lineRule="exact"/>
        <w:rPr>
          <w:sz w:val="20"/>
          <w:szCs w:val="20"/>
          <w:color w:val="auto"/>
        </w:rPr>
      </w:pPr>
    </w:p>
    <w:p>
      <w:pPr>
        <w:ind w:left="780" w:right="880" w:firstLine="282"/>
        <w:spacing w:after="0" w:line="249" w:lineRule="auto"/>
        <w:rPr>
          <w:sz w:val="20"/>
          <w:szCs w:val="20"/>
          <w:color w:val="auto"/>
        </w:rPr>
      </w:pPr>
      <w:r>
        <w:rPr>
          <w:rFonts w:ascii="Times New Roman" w:cs="Times New Roman" w:eastAsia="Times New Roman" w:hAnsi="Times New Roman"/>
          <w:sz w:val="11"/>
          <w:szCs w:val="11"/>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refers to PennantPark Floating Rate Capital Ltd. and its wholly owned consolidated subsidiaries; “Funding I” refers to PennantPark Floating Rate Funding I, LLC; “Taxable Subsidiary” refers to collectively our consolidated subsidiaries PFLT Investment Holdings II, LLC and PFLT Investment Holdings, LLC; “PSSL” refers to PennantPark Senior Secured Loan Fund I LLC, an unconsolidated joint venture; “PTSF” refers to PennantPark-TSO Senior Loan Fund, LP, a consolidated limited partnership; “PTSF’s GP” refers to PennantPark-TSO Senior Loan Fund GP, LLC a wholly owned subsidiary; "PSSL II” refers to PennantPark Senior Secured Loan Fund II LLC, an unconsolidated joint venture; "2037 Securitization Issuer" refers to PennantPark CLO 11, LLC, a consolidated Delaware limited liability company, “PennantPark Investment Advisers” or “Investment Adviser” refers to PennantPark Investment Advisers, LLC; “PennantPark Investment Administration” or “Administrator” refers to PennantPark Investment Administration, LLC; “2023 Notes” refers to our 4.3% Series A notes due 2023; “2026 Notes” refers to our 4.25% Notes due 2026; “1940 Act” refers to the Investment Company Act of 1940, as amended; “SBCAA” refers to the Small Business Credit Availability Act; “Code” refers to the Internal Revenue Code of 1986, as amended; “RIC” refers to a regulated investment company under the Code; “BDC”</w:t>
      </w:r>
    </w:p>
    <w:p>
      <w:pPr>
        <w:spacing w:after="0" w:line="8" w:lineRule="exact"/>
        <w:rPr>
          <w:sz w:val="20"/>
          <w:szCs w:val="20"/>
          <w:color w:val="auto"/>
        </w:rPr>
      </w:pPr>
    </w:p>
    <w:p>
      <w:pPr>
        <w:ind w:left="780" w:right="760"/>
        <w:spacing w:after="0" w:line="132" w:lineRule="exact"/>
        <w:rPr>
          <w:sz w:val="20"/>
          <w:szCs w:val="20"/>
          <w:color w:val="auto"/>
        </w:rPr>
      </w:pPr>
      <w:r>
        <w:rPr>
          <w:rFonts w:ascii="Times New Roman" w:cs="Times New Roman" w:eastAsia="Times New Roman" w:hAnsi="Times New Roman"/>
          <w:sz w:val="11"/>
          <w:szCs w:val="11"/>
          <w:color w:val="auto"/>
        </w:rPr>
        <w:t>refers to a business development company under the 1940 Act;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1 Senior Secured Floating Rate Notes due 2031 by the Securitization Issuers in connection with the Debt Securitization; and “Depositor” refers to PennantPark CLO I Depositor, LLC. 2036 Securitization Issuer refers to PennantPark CLO VIII, LLC; “2036-Debt Securitization” refers to the $350.6 million term debt securitization completed by the "2036 Securitization Issuers"; “2036 Asset-Backed Debt” refers to the issuance of the AAA(sf) Class A-1 Notes, AAA(sf) Class A-2 Notes, AA(sf) Class B Notes, A(sf) Class C Notes, BBB-(sf) Class D Notes, and the borrowing issuance of AAA(sf) Class A-1 floating rate loans. (the "Class A-1 Loans" with the 2036-Secured Notes.); “2036-R Securitization Issuers” refers to Securitization Issuer and PennantPark CLO I LLC; “2036-R Indenture” refers to that certain indenture, dated September 19, 2019, by and among the 2036-R Securitization Issuers and U.S. Bank Trust Company, National Association, as amended by the second supplemental indenture, dated June 25, 2024; “2036-R Asset-Backed Debt” refers to the issuance by the 2036-R Securitization Issuers of the following classes of notes pursuant the 2036-R Indenture (i) $203 million of A-1-R Notes, which bear interest at the three-month secured overnight financing rate (“SOFR”) plus 1.75%, (ii) $10.5 million of A-2-R Notes, which bear interest at three-month SOFR plus 1.90%, (iii) $12 million of Class B-R Notes, which bear interest at three-month SOFR plus 2.05%, (iv) $28.0 million of C-R Notes, which bear interest at three-month SOFR plus 2.75% and (v) $21 million of D-R Notes, which bear interest at three-month SOFR plus 4.30% (collectively, the “Secured Notes”), (B) the issuance by a 2036-R Securitization Issuer of $64 million of subordinated notes pursuant to the 2036-R Indenture (the “Subordinated Notes”), (C) the borrowing by the Securitization Issuer of $12.5 million of Class B-R Loans, which bear interest at three-month SOFR plus 2.05% (the “Class B-R Loans”); “2037 Debt Securitization” refers to the $474.6 million term debt securitization completed by 2037 Securitization Issuer; “2037 Credit Agreement” refers to that certain credit agreement, dated as of February 20,</w:t>
      </w:r>
    </w:p>
    <w:p>
      <w:pPr>
        <w:spacing w:after="0" w:line="10" w:lineRule="exact"/>
        <w:rPr>
          <w:sz w:val="20"/>
          <w:szCs w:val="20"/>
          <w:color w:val="auto"/>
        </w:rPr>
      </w:pPr>
    </w:p>
    <w:p>
      <w:pPr>
        <w:ind w:left="780" w:right="800"/>
        <w:spacing w:after="0" w:line="249" w:lineRule="auto"/>
        <w:rPr>
          <w:sz w:val="20"/>
          <w:szCs w:val="20"/>
          <w:color w:val="auto"/>
        </w:rPr>
      </w:pPr>
      <w:r>
        <w:rPr>
          <w:rFonts w:ascii="Times New Roman" w:cs="Times New Roman" w:eastAsia="Times New Roman" w:hAnsi="Times New Roman"/>
          <w:sz w:val="11"/>
          <w:szCs w:val="11"/>
          <w:color w:val="auto"/>
        </w:rPr>
        <w:t>2025 by and among 2037 Securitization Issuer, as borrower, the various financial institutions party thereto, as lenders, and Western Alliance Trust Company, National Association, as collateral agent and as loan agent; “2037 Indenture” refers to that certain indenture, dated as of February 20, 2025 by and between 2037 Securitization Issuer and Western Alliance Trust Company, National Association; “2037 Asset-Backed Debt” refers to (A) the issuance by 2037 Securitization Issuer of the following classes of notes pursuant to the 2037 Indenture: (i) $220.5 million of AAA(sf) Class A-1 Notes, which bear interest at three-month SOFR plus 1.49%, (ii) $19.0 million of AAA(sf) Class A-2 Notes, which bear interest at three-month SOFR plus 1.60%, (iii) $28.5 million of AA(sf) Class B Notes, which bear interest at three-month SOFR plus 1.75%, (iv) $38.0 million of A(sf) Class C Notes, which bear interest at three-month SOFR plus 2.20%, (v) $28.5 million of BBB-(sf) Class D Notes (the “2037 Class D Notes”), which bear interest at three-month SOFR plus 3.60%, (collectively, the “2037 Secured Notes”), and (vi) $85.1 million of subordinated notes (“2037 Subordinated Notes” and, together with the 2037 Secured Notes, the “2037 Notes”) and (B) the borrowing by the Issuers of $10.0 million under AAA(sf) Class A-1L-A floating rate loans and $45.0 million under AAA(sf) Class A-1L-B floating rate loans (together, the “2037 Asset-Backed Loans”), which bear interest at three-month SOFR plus 1.49%. References to our portfolio, our investments, our multi-currency, senior secured revolving credit facility, as amended and restated, or the Credit Facility, and our business includes investments we make through our subsidiaries.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53" w:right="1440" w:bottom="1440" w:gutter="0" w:footer="0" w:header="0"/>
        </w:sectPr>
      </w:pPr>
    </w:p>
    <w:bookmarkStart w:id="3" w:name="page4"/>
    <w:bookmarkEnd w:id="3"/>
    <w:tbl>
      <w:tblPr>
        <w:tblLayout w:type="fixed"/>
        <w:tblInd w:w="780" w:type="dxa"/>
        <w:tblCellMar>
          <w:top w:w="0" w:type="dxa"/>
          <w:left w:w="0" w:type="dxa"/>
          <w:bottom w:w="0" w:type="dxa"/>
          <w:right w:w="0" w:type="dxa"/>
        </w:tblCellMar>
      </w:tblPr>
      <w:tr>
        <w:trPr>
          <w:trHeight w:val="145"/>
        </w:trPr>
        <w:tc>
          <w:tcPr>
            <w:tcW w:w="55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Item 1. Consolidated Financial Statements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49"/>
        </w:trPr>
        <w:tc>
          <w:tcPr>
            <w:tcW w:w="5600" w:type="dxa"/>
            <w:vAlign w:val="bottom"/>
            <w:gridSpan w:val="2"/>
          </w:tcPr>
          <w:p>
            <w:pPr>
              <w:jc w:val="center"/>
              <w:ind w:left="1785"/>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31"/>
        </w:trPr>
        <w:tc>
          <w:tcPr>
            <w:tcW w:w="5500" w:type="dxa"/>
            <w:vAlign w:val="bottom"/>
          </w:tcPr>
          <w:p>
            <w:pPr>
              <w:jc w:val="center"/>
              <w:ind w:left="1885"/>
              <w:spacing w:after="0"/>
              <w:rPr>
                <w:sz w:val="20"/>
                <w:szCs w:val="20"/>
                <w:color w:val="auto"/>
              </w:rPr>
            </w:pPr>
            <w:r>
              <w:rPr>
                <w:rFonts w:ascii="Times New Roman" w:cs="Times New Roman" w:eastAsia="Times New Roman" w:hAnsi="Times New Roman"/>
                <w:sz w:val="11"/>
                <w:szCs w:val="11"/>
                <w:b w:val="1"/>
                <w:bCs w:val="1"/>
                <w:color w:val="auto"/>
              </w:rPr>
              <w:t>CONSOLIDATED STATEMENTS OF ASSETS AND LIABILITIES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5500" w:type="dxa"/>
            <w:vAlign w:val="bottom"/>
          </w:tcPr>
          <w:p>
            <w:pPr>
              <w:jc w:val="center"/>
              <w:ind w:left="1885"/>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69"/>
        </w:trPr>
        <w:tc>
          <w:tcPr>
            <w:tcW w:w="5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31"/>
        </w:trPr>
        <w:tc>
          <w:tcPr>
            <w:tcW w:w="5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65"/>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r>
      <w:tr>
        <w:trPr>
          <w:trHeight w:val="143"/>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55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31"/>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Investments at fair value</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1"/>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Non-controlled, non-affiliated investments (amortized cost— $2,226,700 and $2,458,018, respectively)</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2,238,775</w:t>
            </w:r>
          </w:p>
        </w:tc>
        <w:tc>
          <w:tcPr>
            <w:tcW w:w="80" w:type="dxa"/>
            <w:vAlign w:val="bottom"/>
            <w:shd w:val="clear" w:color="auto" w:fill="CCECFF"/>
          </w:tcPr>
          <w:p>
            <w:pPr>
              <w:spacing w:after="0"/>
              <w:rPr>
                <w:sz w:val="11"/>
                <w:szCs w:val="11"/>
                <w:color w:val="auto"/>
              </w:rPr>
            </w:pPr>
          </w:p>
        </w:tc>
        <w:tc>
          <w:tcPr>
            <w:tcW w:w="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2,491,360</w:t>
            </w:r>
          </w:p>
        </w:tc>
        <w:tc>
          <w:tcPr>
            <w:tcW w:w="80" w:type="dxa"/>
            <w:vAlign w:val="bottom"/>
            <w:shd w:val="clear" w:color="auto" w:fill="CCECFF"/>
          </w:tcPr>
          <w:p>
            <w:pPr>
              <w:spacing w:after="0"/>
              <w:rPr>
                <w:sz w:val="11"/>
                <w:szCs w:val="11"/>
                <w:color w:val="auto"/>
              </w:rPr>
            </w:pPr>
          </w:p>
        </w:tc>
      </w:tr>
      <w:tr>
        <w:trPr>
          <w:trHeight w:val="131"/>
        </w:trPr>
        <w:tc>
          <w:tcPr>
            <w:tcW w:w="55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Controlled, affiliated investments (amortized cost— $457,000 and $361,375, respectively)</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366,572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281,968</w:t>
            </w:r>
          </w:p>
        </w:tc>
        <w:tc>
          <w:tcPr>
            <w:tcW w:w="80" w:type="dxa"/>
            <w:vAlign w:val="bottom"/>
          </w:tcPr>
          <w:p>
            <w:pPr>
              <w:spacing w:after="0"/>
              <w:rPr>
                <w:sz w:val="11"/>
                <w:szCs w:val="11"/>
                <w:color w:val="auto"/>
              </w:rPr>
            </w:pPr>
          </w:p>
        </w:tc>
      </w:tr>
      <w:tr>
        <w:trPr>
          <w:trHeight w:val="131"/>
        </w:trPr>
        <w:tc>
          <w:tcPr>
            <w:tcW w:w="55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1"/>
                <w:szCs w:val="11"/>
                <w:color w:val="auto"/>
              </w:rPr>
              <w:t>Total investments (amortized cost— $2,683,700 and $2,819,393, respectively)</w:t>
            </w:r>
          </w:p>
        </w:tc>
        <w:tc>
          <w:tcPr>
            <w:tcW w:w="10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2,605,347</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2,773,328</w:t>
            </w:r>
          </w:p>
        </w:tc>
        <w:tc>
          <w:tcPr>
            <w:tcW w:w="80" w:type="dxa"/>
            <w:vAlign w:val="bottom"/>
            <w:shd w:val="clear" w:color="auto" w:fill="CCECFF"/>
          </w:tcPr>
          <w:p>
            <w:pPr>
              <w:spacing w:after="0"/>
              <w:rPr>
                <w:sz w:val="11"/>
                <w:szCs w:val="11"/>
                <w:color w:val="auto"/>
              </w:rPr>
            </w:pPr>
          </w:p>
        </w:tc>
      </w:tr>
      <w:tr>
        <w:trPr>
          <w:trHeight w:val="131"/>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Cash equivalents (cost— $40,143 and $40,729, respectively)</w:t>
            </w:r>
          </w:p>
        </w:tc>
        <w:tc>
          <w:tcPr>
            <w:tcW w:w="10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40,143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40,729</w:t>
            </w:r>
          </w:p>
        </w:tc>
      </w:tr>
      <w:tr>
        <w:trPr>
          <w:trHeight w:val="131"/>
        </w:trPr>
        <w:tc>
          <w:tcPr>
            <w:tcW w:w="55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Cash (cost— $55,121 and $81,955, respectively)</w:t>
            </w: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55,125</w:t>
            </w: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81,959</w:t>
            </w:r>
          </w:p>
        </w:tc>
      </w:tr>
      <w:tr>
        <w:trPr>
          <w:trHeight w:val="131"/>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Interest receivable</w:t>
            </w:r>
          </w:p>
        </w:tc>
        <w:tc>
          <w:tcPr>
            <w:tcW w:w="10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13,017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13,832</w:t>
            </w:r>
          </w:p>
        </w:tc>
      </w:tr>
      <w:tr>
        <w:trPr>
          <w:trHeight w:val="131"/>
        </w:trPr>
        <w:tc>
          <w:tcPr>
            <w:tcW w:w="55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Receivable for investments sold</w:t>
            </w:r>
          </w:p>
        </w:tc>
        <w:tc>
          <w:tcPr>
            <w:tcW w:w="10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1,369</w:t>
            </w:r>
          </w:p>
        </w:tc>
        <w:tc>
          <w:tcPr>
            <w:tcW w:w="80" w:type="dxa"/>
            <w:vAlign w:val="bottom"/>
            <w:shd w:val="clear" w:color="auto" w:fill="CCECFF"/>
          </w:tcPr>
          <w:p>
            <w:pPr>
              <w:spacing w:after="0"/>
              <w:rPr>
                <w:sz w:val="11"/>
                <w:szCs w:val="11"/>
                <w:color w:val="auto"/>
              </w:rPr>
            </w:pPr>
          </w:p>
        </w:tc>
      </w:tr>
      <w:tr>
        <w:trPr>
          <w:trHeight w:val="131"/>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Due from affiliate</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w:t>
            </w:r>
          </w:p>
        </w:tc>
        <w:tc>
          <w:tcPr>
            <w:tcW w:w="80" w:type="dxa"/>
            <w:vAlign w:val="bottom"/>
          </w:tcPr>
          <w:p>
            <w:pPr>
              <w:spacing w:after="0"/>
              <w:rPr>
                <w:sz w:val="11"/>
                <w:szCs w:val="11"/>
                <w:color w:val="auto"/>
              </w:rPr>
            </w:pPr>
          </w:p>
        </w:tc>
      </w:tr>
      <w:tr>
        <w:trPr>
          <w:trHeight w:val="131"/>
        </w:trPr>
        <w:tc>
          <w:tcPr>
            <w:tcW w:w="55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0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2,174</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2,143</w:t>
            </w:r>
          </w:p>
        </w:tc>
        <w:tc>
          <w:tcPr>
            <w:tcW w:w="80" w:type="dxa"/>
            <w:vAlign w:val="bottom"/>
            <w:shd w:val="clear" w:color="auto" w:fill="CCECFF"/>
          </w:tcPr>
          <w:p>
            <w:pPr>
              <w:spacing w:after="0"/>
              <w:rPr>
                <w:sz w:val="11"/>
                <w:szCs w:val="11"/>
                <w:color w:val="auto"/>
              </w:rPr>
            </w:pPr>
          </w:p>
        </w:tc>
      </w:tr>
      <w:tr>
        <w:trPr>
          <w:trHeight w:val="131"/>
        </w:trPr>
        <w:tc>
          <w:tcPr>
            <w:tcW w:w="55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2,716,082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2,913,681</w:t>
            </w:r>
          </w:p>
        </w:tc>
        <w:tc>
          <w:tcPr>
            <w:tcW w:w="80" w:type="dxa"/>
            <w:vAlign w:val="bottom"/>
          </w:tcPr>
          <w:p>
            <w:pPr>
              <w:spacing w:after="0"/>
              <w:rPr>
                <w:sz w:val="11"/>
                <w:szCs w:val="11"/>
                <w:color w:val="auto"/>
              </w:rPr>
            </w:pPr>
          </w:p>
        </w:tc>
      </w:tr>
      <w:tr>
        <w:trPr>
          <w:trHeight w:val="131"/>
        </w:trPr>
        <w:tc>
          <w:tcPr>
            <w:tcW w:w="55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0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31"/>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Credit Facility payable, at fair value (cost— $488,855 and $683,855, respectively)</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488,859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683,837</w:t>
            </w:r>
          </w:p>
        </w:tc>
        <w:tc>
          <w:tcPr>
            <w:tcW w:w="80" w:type="dxa"/>
            <w:vAlign w:val="bottom"/>
          </w:tcPr>
          <w:p>
            <w:pPr>
              <w:spacing w:after="0"/>
              <w:rPr>
                <w:sz w:val="11"/>
                <w:szCs w:val="11"/>
                <w:color w:val="auto"/>
              </w:rPr>
            </w:pPr>
          </w:p>
        </w:tc>
      </w:tr>
      <w:tr>
        <w:trPr>
          <w:trHeight w:val="131"/>
        </w:trPr>
        <w:tc>
          <w:tcPr>
            <w:tcW w:w="55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2026 Notes payable, net (par—$185,000) (unamortized deferred financing costs of $197 and $391, respectively)</w:t>
            </w:r>
          </w:p>
        </w:tc>
        <w:tc>
          <w:tcPr>
            <w:tcW w:w="10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184,803</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184,609</w:t>
            </w:r>
          </w:p>
        </w:tc>
        <w:tc>
          <w:tcPr>
            <w:tcW w:w="80" w:type="dxa"/>
            <w:vAlign w:val="bottom"/>
            <w:shd w:val="clear" w:color="auto" w:fill="CCECFF"/>
          </w:tcPr>
          <w:p>
            <w:pPr>
              <w:spacing w:after="0"/>
              <w:rPr>
                <w:sz w:val="11"/>
                <w:szCs w:val="11"/>
                <w:color w:val="auto"/>
              </w:rPr>
            </w:pPr>
          </w:p>
        </w:tc>
      </w:tr>
      <w:tr>
        <w:trPr>
          <w:trHeight w:val="131"/>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2036 Asset-Backed Debt, net (par—$287,000) (unamortized deferred financing costs of $2,238 and $2,373, respectively)</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284,762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284,627</w:t>
            </w:r>
          </w:p>
        </w:tc>
        <w:tc>
          <w:tcPr>
            <w:tcW w:w="80" w:type="dxa"/>
            <w:vAlign w:val="bottom"/>
          </w:tcPr>
          <w:p>
            <w:pPr>
              <w:spacing w:after="0"/>
              <w:rPr>
                <w:sz w:val="11"/>
                <w:szCs w:val="11"/>
                <w:color w:val="auto"/>
              </w:rPr>
            </w:pPr>
          </w:p>
        </w:tc>
      </w:tr>
      <w:tr>
        <w:trPr>
          <w:trHeight w:val="121"/>
        </w:trPr>
        <w:tc>
          <w:tcPr>
            <w:tcW w:w="5500" w:type="dxa"/>
            <w:vAlign w:val="bottom"/>
            <w:shd w:val="clear" w:color="auto" w:fill="CCECFF"/>
          </w:tcPr>
          <w:p>
            <w:pPr>
              <w:spacing w:after="0" w:line="121" w:lineRule="exact"/>
              <w:rPr>
                <w:sz w:val="20"/>
                <w:szCs w:val="20"/>
                <w:color w:val="auto"/>
              </w:rPr>
            </w:pPr>
            <w:r>
              <w:rPr>
                <w:rFonts w:ascii="Times New Roman" w:cs="Times New Roman" w:eastAsia="Times New Roman" w:hAnsi="Times New Roman"/>
                <w:sz w:val="11"/>
                <w:szCs w:val="11"/>
                <w:color w:val="auto"/>
              </w:rPr>
              <w:t>2036-R Asset-Backed Debt, net (par— $287,000 and $266,000) (unamortized deferred financing costs of $439 and $634,</w:t>
            </w: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41"/>
        </w:trPr>
        <w:tc>
          <w:tcPr>
            <w:tcW w:w="55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respectively)</w:t>
            </w: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286,561</w:t>
            </w: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265,366</w:t>
            </w:r>
          </w:p>
        </w:tc>
        <w:tc>
          <w:tcPr>
            <w:tcW w:w="80" w:type="dxa"/>
            <w:vAlign w:val="bottom"/>
            <w:shd w:val="clear" w:color="auto" w:fill="CCECFF"/>
          </w:tcPr>
          <w:p>
            <w:pPr>
              <w:spacing w:after="0"/>
              <w:rPr>
                <w:sz w:val="12"/>
                <w:szCs w:val="12"/>
                <w:color w:val="auto"/>
              </w:rPr>
            </w:pPr>
          </w:p>
        </w:tc>
      </w:tr>
      <w:tr>
        <w:trPr>
          <w:trHeight w:val="121"/>
        </w:trPr>
        <w:tc>
          <w:tcPr>
            <w:tcW w:w="550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2037 Asset-Backed Debt, net (par— $389,500 and $361,000) (unamortized deferred financing costs of $2,475 and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1"/>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$2,669, respectively)</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387,025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358,331</w:t>
            </w:r>
          </w:p>
        </w:tc>
        <w:tc>
          <w:tcPr>
            <w:tcW w:w="80" w:type="dxa"/>
            <w:vAlign w:val="bottom"/>
          </w:tcPr>
          <w:p>
            <w:pPr>
              <w:spacing w:after="0"/>
              <w:rPr>
                <w:sz w:val="12"/>
                <w:szCs w:val="12"/>
                <w:color w:val="auto"/>
              </w:rPr>
            </w:pPr>
          </w:p>
        </w:tc>
      </w:tr>
      <w:tr>
        <w:trPr>
          <w:trHeight w:val="131"/>
        </w:trPr>
        <w:tc>
          <w:tcPr>
            <w:tcW w:w="55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Payable for investments purchased</w:t>
            </w: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14,852</w:t>
            </w:r>
          </w:p>
        </w:tc>
      </w:tr>
      <w:tr>
        <w:trPr>
          <w:trHeight w:val="131"/>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Interest payable on debt</w:t>
            </w:r>
          </w:p>
        </w:tc>
        <w:tc>
          <w:tcPr>
            <w:tcW w:w="10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16,109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19,172</w:t>
            </w:r>
          </w:p>
        </w:tc>
      </w:tr>
      <w:tr>
        <w:trPr>
          <w:trHeight w:val="131"/>
        </w:trPr>
        <w:tc>
          <w:tcPr>
            <w:tcW w:w="55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Distributions payable</w:t>
            </w:r>
          </w:p>
        </w:tc>
        <w:tc>
          <w:tcPr>
            <w:tcW w:w="10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10,170</w:t>
            </w: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10,170</w:t>
            </w:r>
          </w:p>
        </w:tc>
      </w:tr>
      <w:tr>
        <w:trPr>
          <w:trHeight w:val="131"/>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Base management fee payable</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6,549</w:t>
            </w:r>
          </w:p>
        </w:tc>
        <w:tc>
          <w:tcPr>
            <w:tcW w:w="80" w:type="dxa"/>
            <w:vAlign w:val="bottom"/>
          </w:tcPr>
          <w:p>
            <w:pPr>
              <w:spacing w:after="0"/>
              <w:rPr>
                <w:sz w:val="11"/>
                <w:szCs w:val="11"/>
                <w:color w:val="auto"/>
              </w:rPr>
            </w:pPr>
          </w:p>
        </w:tc>
      </w:tr>
      <w:tr>
        <w:trPr>
          <w:trHeight w:val="131"/>
        </w:trPr>
        <w:tc>
          <w:tcPr>
            <w:tcW w:w="55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Incentive fee payable</w:t>
            </w:r>
          </w:p>
        </w:tc>
        <w:tc>
          <w:tcPr>
            <w:tcW w:w="10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6,660</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6,883</w:t>
            </w:r>
          </w:p>
        </w:tc>
        <w:tc>
          <w:tcPr>
            <w:tcW w:w="80" w:type="dxa"/>
            <w:vAlign w:val="bottom"/>
            <w:shd w:val="clear" w:color="auto" w:fill="CCECFF"/>
          </w:tcPr>
          <w:p>
            <w:pPr>
              <w:spacing w:after="0"/>
              <w:rPr>
                <w:sz w:val="11"/>
                <w:szCs w:val="11"/>
                <w:color w:val="auto"/>
              </w:rPr>
            </w:pPr>
          </w:p>
        </w:tc>
      </w:tr>
      <w:tr>
        <w:trPr>
          <w:trHeight w:val="131"/>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Accounts payable and accrued expenses</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2,166</w:t>
            </w:r>
          </w:p>
        </w:tc>
        <w:tc>
          <w:tcPr>
            <w:tcW w:w="80" w:type="dxa"/>
            <w:vAlign w:val="bottom"/>
          </w:tcPr>
          <w:p>
            <w:pPr>
              <w:spacing w:after="0"/>
              <w:rPr>
                <w:sz w:val="11"/>
                <w:szCs w:val="11"/>
                <w:color w:val="auto"/>
              </w:rPr>
            </w:pPr>
          </w:p>
        </w:tc>
      </w:tr>
      <w:tr>
        <w:trPr>
          <w:trHeight w:val="131"/>
        </w:trPr>
        <w:tc>
          <w:tcPr>
            <w:tcW w:w="55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Deferred tax liability</w:t>
            </w:r>
          </w:p>
        </w:tc>
        <w:tc>
          <w:tcPr>
            <w:tcW w:w="10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1,228</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1,864</w:t>
            </w:r>
          </w:p>
        </w:tc>
        <w:tc>
          <w:tcPr>
            <w:tcW w:w="80" w:type="dxa"/>
            <w:vAlign w:val="bottom"/>
            <w:shd w:val="clear" w:color="auto" w:fill="CCECFF"/>
          </w:tcPr>
          <w:p>
            <w:pPr>
              <w:spacing w:after="0"/>
              <w:rPr>
                <w:sz w:val="11"/>
                <w:szCs w:val="11"/>
                <w:color w:val="auto"/>
              </w:rPr>
            </w:pPr>
          </w:p>
        </w:tc>
      </w:tr>
      <w:tr>
        <w:trPr>
          <w:trHeight w:val="131"/>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Due to affiliate</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w:t>
            </w:r>
          </w:p>
        </w:tc>
        <w:tc>
          <w:tcPr>
            <w:tcW w:w="80" w:type="dxa"/>
            <w:vAlign w:val="bottom"/>
          </w:tcPr>
          <w:p>
            <w:pPr>
              <w:spacing w:after="0"/>
              <w:rPr>
                <w:sz w:val="11"/>
                <w:szCs w:val="11"/>
                <w:color w:val="auto"/>
              </w:rPr>
            </w:pPr>
          </w:p>
        </w:tc>
      </w:tr>
      <w:tr>
        <w:trPr>
          <w:trHeight w:val="131"/>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0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1,675,653</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1,839,165</w:t>
            </w:r>
          </w:p>
        </w:tc>
        <w:tc>
          <w:tcPr>
            <w:tcW w:w="80" w:type="dxa"/>
            <w:vAlign w:val="bottom"/>
            <w:shd w:val="clear" w:color="auto" w:fill="CCECFF"/>
          </w:tcPr>
          <w:p>
            <w:pPr>
              <w:spacing w:after="0"/>
              <w:rPr>
                <w:sz w:val="11"/>
                <w:szCs w:val="11"/>
                <w:color w:val="auto"/>
              </w:rPr>
            </w:pPr>
          </w:p>
        </w:tc>
      </w:tr>
      <w:tr>
        <w:trPr>
          <w:trHeight w:val="131"/>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Commitments and contingencies (See Note 11)</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1"/>
        </w:trPr>
        <w:tc>
          <w:tcPr>
            <w:tcW w:w="55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Net assets</w:t>
            </w:r>
          </w:p>
        </w:tc>
        <w:tc>
          <w:tcPr>
            <w:tcW w:w="10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21"/>
        </w:trPr>
        <w:tc>
          <w:tcPr>
            <w:tcW w:w="550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Common stock, 99,217,896 and 99,217,896 shares issued and outstanding, respectively</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1"/>
        </w:trPr>
        <w:tc>
          <w:tcPr>
            <w:tcW w:w="5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Par value $0.001 per share and 200,000,000 shares authorized</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80" w:type="dxa"/>
            <w:vAlign w:val="bottom"/>
          </w:tcPr>
          <w:p>
            <w:pPr>
              <w:spacing w:after="0"/>
              <w:rPr>
                <w:sz w:val="12"/>
                <w:szCs w:val="12"/>
                <w:color w:val="auto"/>
              </w:rPr>
            </w:pPr>
          </w:p>
        </w:tc>
      </w:tr>
      <w:tr>
        <w:trPr>
          <w:trHeight w:val="131"/>
        </w:trPr>
        <w:tc>
          <w:tcPr>
            <w:tcW w:w="55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Paid-in capital in excess of par value</w:t>
            </w:r>
          </w:p>
        </w:tc>
        <w:tc>
          <w:tcPr>
            <w:tcW w:w="10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1,219,502</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1,219,502</w:t>
            </w:r>
          </w:p>
        </w:tc>
        <w:tc>
          <w:tcPr>
            <w:tcW w:w="80" w:type="dxa"/>
            <w:vAlign w:val="bottom"/>
            <w:shd w:val="clear" w:color="auto" w:fill="CCECFF"/>
          </w:tcPr>
          <w:p>
            <w:pPr>
              <w:spacing w:after="0"/>
              <w:rPr>
                <w:sz w:val="11"/>
                <w:szCs w:val="11"/>
                <w:color w:val="auto"/>
              </w:rPr>
            </w:pPr>
          </w:p>
        </w:tc>
      </w:tr>
      <w:tr>
        <w:trPr>
          <w:trHeight w:val="131"/>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Accumulated deficit</w:t>
            </w:r>
          </w:p>
        </w:tc>
        <w:tc>
          <w:tcPr>
            <w:tcW w:w="10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(179,172)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(145,085)</w:t>
            </w:r>
          </w:p>
        </w:tc>
      </w:tr>
      <w:tr>
        <w:trPr>
          <w:trHeight w:val="131"/>
        </w:trPr>
        <w:tc>
          <w:tcPr>
            <w:tcW w:w="55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1"/>
                <w:szCs w:val="11"/>
                <w:b w:val="1"/>
                <w:bCs w:val="1"/>
                <w:color w:val="auto"/>
              </w:rPr>
              <w:t>Total net assets</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1,040,429</w:t>
            </w:r>
          </w:p>
        </w:tc>
        <w:tc>
          <w:tcPr>
            <w:tcW w:w="80" w:type="dxa"/>
            <w:vAlign w:val="bottom"/>
            <w:shd w:val="clear" w:color="auto" w:fill="CCECFF"/>
          </w:tcPr>
          <w:p>
            <w:pPr>
              <w:spacing w:after="0"/>
              <w:rPr>
                <w:sz w:val="11"/>
                <w:szCs w:val="11"/>
                <w:color w:val="auto"/>
              </w:rPr>
            </w:pPr>
          </w:p>
        </w:tc>
        <w:tc>
          <w:tcPr>
            <w:tcW w:w="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1,074,516</w:t>
            </w:r>
          </w:p>
        </w:tc>
        <w:tc>
          <w:tcPr>
            <w:tcW w:w="80" w:type="dxa"/>
            <w:vAlign w:val="bottom"/>
            <w:shd w:val="clear" w:color="auto" w:fill="CCECFF"/>
          </w:tcPr>
          <w:p>
            <w:pPr>
              <w:spacing w:after="0"/>
              <w:rPr>
                <w:sz w:val="11"/>
                <w:szCs w:val="11"/>
                <w:color w:val="auto"/>
              </w:rPr>
            </w:pPr>
          </w:p>
        </w:tc>
      </w:tr>
      <w:tr>
        <w:trPr>
          <w:trHeight w:val="131"/>
        </w:trPr>
        <w:tc>
          <w:tcPr>
            <w:tcW w:w="550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b w:val="1"/>
                <w:bCs w:val="1"/>
                <w:color w:val="auto"/>
              </w:rPr>
              <w:t>Total liabilities and net assets</w:t>
            </w:r>
          </w:p>
        </w:tc>
        <w:tc>
          <w:tcPr>
            <w:tcW w:w="1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2,716,082</w:t>
            </w:r>
          </w:p>
        </w:tc>
        <w:tc>
          <w:tcPr>
            <w:tcW w:w="80" w:type="dxa"/>
            <w:vAlign w:val="bottom"/>
          </w:tcPr>
          <w:p>
            <w:pPr>
              <w:spacing w:after="0"/>
              <w:rPr>
                <w:sz w:val="11"/>
                <w:szCs w:val="11"/>
                <w:color w:val="auto"/>
              </w:rPr>
            </w:pPr>
          </w:p>
        </w:tc>
        <w:tc>
          <w:tcPr>
            <w:tcW w:w="14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2,913,681</w:t>
            </w:r>
          </w:p>
        </w:tc>
        <w:tc>
          <w:tcPr>
            <w:tcW w:w="80" w:type="dxa"/>
            <w:vAlign w:val="bottom"/>
          </w:tcPr>
          <w:p>
            <w:pPr>
              <w:spacing w:after="0"/>
              <w:rPr>
                <w:sz w:val="11"/>
                <w:szCs w:val="1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1"/>
        </w:trPr>
        <w:tc>
          <w:tcPr>
            <w:tcW w:w="5500" w:type="dxa"/>
            <w:vAlign w:val="bottom"/>
            <w:tcBorders>
              <w:bottom w:val="single" w:sz="8" w:color="CCECFF"/>
            </w:tcBorders>
            <w:shd w:val="clear" w:color="auto" w:fill="CCEC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Net asset value per share</w:t>
            </w:r>
          </w:p>
        </w:tc>
        <w:tc>
          <w:tcPr>
            <w:tcW w:w="100" w:type="dxa"/>
            <w:vAlign w:val="bottom"/>
            <w:tcBorders>
              <w:bottom w:val="single" w:sz="8" w:color="auto"/>
            </w:tcBorders>
            <w:shd w:val="clear" w:color="auto" w:fill="CCECFF"/>
          </w:tcPr>
          <w:p>
            <w:pPr>
              <w:jc w:val="right"/>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CFF"/>
          </w:tcPr>
          <w:p>
            <w:pPr>
              <w:jc w:val="right"/>
              <w:spacing w:after="0" w:line="102" w:lineRule="exact"/>
              <w:rPr>
                <w:sz w:val="20"/>
                <w:szCs w:val="20"/>
                <w:color w:val="auto"/>
              </w:rPr>
            </w:pPr>
            <w:r>
              <w:rPr>
                <w:rFonts w:ascii="Times New Roman" w:cs="Times New Roman" w:eastAsia="Times New Roman" w:hAnsi="Times New Roman"/>
                <w:sz w:val="11"/>
                <w:szCs w:val="11"/>
                <w:color w:val="auto"/>
              </w:rPr>
              <w:t>10.49</w:t>
            </w:r>
          </w:p>
        </w:tc>
        <w:tc>
          <w:tcPr>
            <w:tcW w:w="8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780" w:type="dxa"/>
            <w:vAlign w:val="bottom"/>
            <w:tcBorders>
              <w:bottom w:val="single" w:sz="8" w:color="auto"/>
            </w:tcBorders>
            <w:shd w:val="clear" w:color="auto" w:fill="CCECFF"/>
          </w:tcPr>
          <w:p>
            <w:pPr>
              <w:jc w:val="right"/>
              <w:spacing w:after="0" w:line="102" w:lineRule="exact"/>
              <w:rPr>
                <w:sz w:val="20"/>
                <w:szCs w:val="20"/>
                <w:color w:val="auto"/>
              </w:rPr>
            </w:pPr>
            <w:r>
              <w:rPr>
                <w:rFonts w:ascii="Times New Roman" w:cs="Times New Roman" w:eastAsia="Times New Roman" w:hAnsi="Times New Roman"/>
                <w:sz w:val="11"/>
                <w:szCs w:val="11"/>
                <w:color w:val="auto"/>
              </w:rPr>
              <w:t>10.83</w:t>
            </w:r>
          </w:p>
        </w:tc>
        <w:tc>
          <w:tcPr>
            <w:tcW w:w="80" w:type="dxa"/>
            <w:vAlign w:val="bottom"/>
            <w:tcBorders>
              <w:bottom w:val="single" w:sz="8" w:color="CCECFF"/>
            </w:tcBorders>
            <w:shd w:val="clear" w:color="auto" w:fill="CCECFF"/>
          </w:tcPr>
          <w:p>
            <w:pPr>
              <w:spacing w:after="0"/>
              <w:rPr>
                <w:sz w:val="12"/>
                <w:szCs w:val="12"/>
                <w:color w:val="auto"/>
              </w:rPr>
            </w:pPr>
          </w:p>
        </w:tc>
      </w:tr>
    </w:tbl>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93" w:right="1440"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STATEMENTS OF OPERATIONS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42" w:lineRule="exact"/>
        <w:rPr>
          <w:sz w:val="20"/>
          <w:szCs w:val="20"/>
          <w:color w:val="auto"/>
        </w:rPr>
      </w:pPr>
    </w:p>
    <w:tbl>
      <w:tblPr>
        <w:tblLayout w:type="fixed"/>
        <w:tblInd w:w="780" w:type="dxa"/>
        <w:tblCellMar>
          <w:top w:w="0" w:type="dxa"/>
          <w:left w:w="0" w:type="dxa"/>
          <w:bottom w:w="0" w:type="dxa"/>
          <w:right w:w="0" w:type="dxa"/>
        </w:tblCellMar>
      </w:tblPr>
      <w:tr>
        <w:trPr>
          <w:trHeight w:val="131"/>
        </w:trPr>
        <w:tc>
          <w:tcPr>
            <w:tcW w:w="5100" w:type="dxa"/>
            <w:vAlign w:val="bottom"/>
          </w:tcPr>
          <w:p>
            <w:pPr>
              <w:spacing w:after="0"/>
              <w:rPr>
                <w:sz w:val="11"/>
                <w:szCs w:val="11"/>
                <w:color w:val="auto"/>
              </w:rPr>
            </w:pPr>
          </w:p>
        </w:tc>
        <w:tc>
          <w:tcPr>
            <w:tcW w:w="2360" w:type="dxa"/>
            <w:vAlign w:val="bottom"/>
            <w:gridSpan w:val="6"/>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0" w:type="dxa"/>
            <w:vAlign w:val="bottom"/>
          </w:tcPr>
          <w:p>
            <w:pPr>
              <w:spacing w:after="0"/>
              <w:rPr>
                <w:sz w:val="1"/>
                <w:szCs w:val="1"/>
                <w:color w:val="auto"/>
              </w:rPr>
            </w:pPr>
          </w:p>
        </w:tc>
      </w:tr>
      <w:tr>
        <w:trPr>
          <w:trHeight w:val="145"/>
        </w:trPr>
        <w:tc>
          <w:tcPr>
            <w:tcW w:w="51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Investment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4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10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From non-controlled, non-affiliated investments:</w:t>
            </w:r>
          </w:p>
        </w:tc>
        <w:tc>
          <w:tcPr>
            <w:tcW w:w="680" w:type="dxa"/>
            <w:vAlign w:val="bottom"/>
            <w:shd w:val="clear" w:color="auto" w:fill="CCECFF"/>
          </w:tcPr>
          <w:p>
            <w:pPr>
              <w:spacing w:after="0"/>
              <w:rPr>
                <w:sz w:val="11"/>
                <w:szCs w:val="11"/>
                <w:color w:val="auto"/>
              </w:rPr>
            </w:pPr>
          </w:p>
        </w:tc>
        <w:tc>
          <w:tcPr>
            <w:tcW w:w="3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w:t>
            </w:r>
          </w:p>
        </w:tc>
        <w:tc>
          <w:tcPr>
            <w:tcW w:w="680" w:type="dxa"/>
            <w:vAlign w:val="bottom"/>
          </w:tcPr>
          <w:p>
            <w:pPr>
              <w:jc w:val="right"/>
              <w:ind w:right="565"/>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56,531</w:t>
            </w:r>
          </w:p>
        </w:tc>
        <w:tc>
          <w:tcPr>
            <w:tcW w:w="180" w:type="dxa"/>
            <w:vAlign w:val="bottom"/>
          </w:tcPr>
          <w:p>
            <w:pPr>
              <w:spacing w:after="0"/>
              <w:rPr>
                <w:sz w:val="11"/>
                <w:szCs w:val="11"/>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47,463</w:t>
            </w:r>
          </w:p>
        </w:tc>
        <w:tc>
          <w:tcPr>
            <w:tcW w:w="0" w:type="dxa"/>
            <w:vAlign w:val="bottom"/>
          </w:tcPr>
          <w:p>
            <w:pPr>
              <w:spacing w:after="0"/>
              <w:rPr>
                <w:sz w:val="1"/>
                <w:szCs w:val="1"/>
                <w:color w:val="auto"/>
              </w:rPr>
            </w:pPr>
          </w:p>
        </w:tc>
      </w:tr>
      <w:tr>
        <w:trPr>
          <w:trHeight w:val="131"/>
        </w:trPr>
        <w:tc>
          <w:tcPr>
            <w:tcW w:w="51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Dividend</w:t>
            </w:r>
          </w:p>
        </w:tc>
        <w:tc>
          <w:tcPr>
            <w:tcW w:w="680" w:type="dxa"/>
            <w:vAlign w:val="bottom"/>
            <w:shd w:val="clear" w:color="auto" w:fill="CCECFF"/>
          </w:tcPr>
          <w:p>
            <w:pPr>
              <w:spacing w:after="0"/>
              <w:rPr>
                <w:sz w:val="11"/>
                <w:szCs w:val="11"/>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577</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income</w:t>
            </w:r>
          </w:p>
        </w:tc>
        <w:tc>
          <w:tcPr>
            <w:tcW w:w="6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761</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From controlled, affiliated investments:</w:t>
            </w:r>
          </w:p>
        </w:tc>
        <w:tc>
          <w:tcPr>
            <w:tcW w:w="680" w:type="dxa"/>
            <w:vAlign w:val="bottom"/>
            <w:shd w:val="clear" w:color="auto" w:fill="CCECFF"/>
          </w:tcPr>
          <w:p>
            <w:pPr>
              <w:spacing w:after="0"/>
              <w:rPr>
                <w:sz w:val="11"/>
                <w:szCs w:val="11"/>
                <w:color w:val="auto"/>
              </w:rPr>
            </w:pPr>
          </w:p>
        </w:tc>
        <w:tc>
          <w:tcPr>
            <w:tcW w:w="3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w:t>
            </w:r>
          </w:p>
        </w:tc>
        <w:tc>
          <w:tcPr>
            <w:tcW w:w="6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7,845</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12,808</w:t>
            </w:r>
          </w:p>
        </w:tc>
        <w:tc>
          <w:tcPr>
            <w:tcW w:w="0" w:type="dxa"/>
            <w:vAlign w:val="bottom"/>
          </w:tcPr>
          <w:p>
            <w:pPr>
              <w:spacing w:after="0"/>
              <w:rPr>
                <w:sz w:val="1"/>
                <w:szCs w:val="1"/>
                <w:color w:val="auto"/>
              </w:rPr>
            </w:pPr>
          </w:p>
        </w:tc>
      </w:tr>
      <w:tr>
        <w:trPr>
          <w:trHeight w:val="131"/>
        </w:trPr>
        <w:tc>
          <w:tcPr>
            <w:tcW w:w="51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Dividend</w:t>
            </w:r>
          </w:p>
        </w:tc>
        <w:tc>
          <w:tcPr>
            <w:tcW w:w="680" w:type="dxa"/>
            <w:vAlign w:val="bottom"/>
            <w:shd w:val="clear" w:color="auto" w:fill="CCECFF"/>
          </w:tcPr>
          <w:p>
            <w:pPr>
              <w:spacing w:after="0"/>
              <w:rPr>
                <w:sz w:val="11"/>
                <w:szCs w:val="11"/>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4,944</w:t>
            </w: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4,375</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income</w:t>
            </w:r>
          </w:p>
        </w:tc>
        <w:tc>
          <w:tcPr>
            <w:tcW w:w="680" w:type="dxa"/>
            <w:vAlign w:val="bottom"/>
          </w:tcPr>
          <w:p>
            <w:pPr>
              <w:spacing w:after="0"/>
              <w:rPr>
                <w:sz w:val="11"/>
                <w:szCs w:val="11"/>
                <w:color w:val="auto"/>
              </w:rPr>
            </w:pPr>
          </w:p>
        </w:tc>
        <w:tc>
          <w:tcPr>
            <w:tcW w:w="560" w:type="dxa"/>
            <w:vAlign w:val="bottom"/>
            <w:gridSpan w:val="2"/>
          </w:tcPr>
          <w:p>
            <w:pPr>
              <w:jc w:val="right"/>
              <w:ind w:right="141"/>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investment income</w:t>
            </w:r>
          </w:p>
        </w:tc>
        <w:tc>
          <w:tcPr>
            <w:tcW w:w="680" w:type="dxa"/>
            <w:vAlign w:val="bottom"/>
            <w:shd w:val="clear" w:color="auto" w:fill="CCECFF"/>
          </w:tcPr>
          <w:p>
            <w:pPr>
              <w:spacing w:after="0"/>
              <w:rPr>
                <w:sz w:val="11"/>
                <w:szCs w:val="11"/>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70,089</w:t>
            </w: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67,009</w:t>
            </w:r>
          </w:p>
        </w:tc>
        <w:tc>
          <w:tcPr>
            <w:tcW w:w="0" w:type="dxa"/>
            <w:vAlign w:val="bottom"/>
          </w:tcPr>
          <w:p>
            <w:pPr>
              <w:spacing w:after="0"/>
              <w:rPr>
                <w:sz w:val="1"/>
                <w:szCs w:val="1"/>
                <w:color w:val="auto"/>
              </w:rPr>
            </w:pPr>
          </w:p>
        </w:tc>
      </w:tr>
      <w:tr>
        <w:trPr>
          <w:trHeight w:val="131"/>
        </w:trPr>
        <w:tc>
          <w:tcPr>
            <w:tcW w:w="5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Interest and expenses on debt</w:t>
            </w:r>
          </w:p>
        </w:tc>
        <w:tc>
          <w:tcPr>
            <w:tcW w:w="680" w:type="dxa"/>
            <w:vAlign w:val="bottom"/>
            <w:shd w:val="clear" w:color="auto" w:fill="CCECFF"/>
          </w:tcPr>
          <w:p>
            <w:pPr>
              <w:spacing w:after="0"/>
              <w:rPr>
                <w:sz w:val="11"/>
                <w:szCs w:val="11"/>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27,154</w:t>
            </w: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22,361</w:t>
            </w:r>
          </w:p>
        </w:tc>
        <w:tc>
          <w:tcPr>
            <w:tcW w:w="0" w:type="dxa"/>
            <w:vAlign w:val="bottom"/>
          </w:tcPr>
          <w:p>
            <w:pPr>
              <w:spacing w:after="0"/>
              <w:rPr>
                <w:sz w:val="1"/>
                <w:szCs w:val="1"/>
                <w:color w:val="auto"/>
              </w:rPr>
            </w:pPr>
          </w:p>
        </w:tc>
      </w:tr>
      <w:tr>
        <w:trPr>
          <w:trHeight w:val="131"/>
        </w:trPr>
        <w:tc>
          <w:tcPr>
            <w:tcW w:w="51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Performance-based incentive fee</w:t>
            </w:r>
          </w:p>
        </w:tc>
        <w:tc>
          <w:tcPr>
            <w:tcW w:w="6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6,660</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7,492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Base management fee</w:t>
            </w:r>
          </w:p>
        </w:tc>
        <w:tc>
          <w:tcPr>
            <w:tcW w:w="680" w:type="dxa"/>
            <w:vAlign w:val="bottom"/>
            <w:shd w:val="clear" w:color="auto" w:fill="CCECFF"/>
          </w:tcPr>
          <w:p>
            <w:pPr>
              <w:spacing w:after="0"/>
              <w:rPr>
                <w:sz w:val="11"/>
                <w:szCs w:val="11"/>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6,814</w:t>
            </w: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5,264</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General and administrative expenses</w:t>
            </w:r>
          </w:p>
        </w:tc>
        <w:tc>
          <w:tcPr>
            <w:tcW w:w="6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Administrative services expenses</w:t>
            </w:r>
          </w:p>
        </w:tc>
        <w:tc>
          <w:tcPr>
            <w:tcW w:w="680" w:type="dxa"/>
            <w:vAlign w:val="bottom"/>
            <w:shd w:val="clear" w:color="auto" w:fill="CCECFF"/>
          </w:tcPr>
          <w:p>
            <w:pPr>
              <w:spacing w:after="0"/>
              <w:rPr>
                <w:sz w:val="11"/>
                <w:szCs w:val="11"/>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Expenses before amendment costs and provision for taxes</w:t>
            </w:r>
          </w:p>
        </w:tc>
        <w:tc>
          <w:tcPr>
            <w:tcW w:w="6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42,728</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36,817</w:t>
            </w:r>
          </w:p>
        </w:tc>
        <w:tc>
          <w:tcPr>
            <w:tcW w:w="0" w:type="dxa"/>
            <w:vAlign w:val="bottom"/>
          </w:tcPr>
          <w:p>
            <w:pPr>
              <w:spacing w:after="0"/>
              <w:rPr>
                <w:sz w:val="1"/>
                <w:szCs w:val="1"/>
                <w:color w:val="auto"/>
              </w:rPr>
            </w:pPr>
          </w:p>
        </w:tc>
      </w:tr>
      <w:tr>
        <w:trPr>
          <w:trHeight w:val="131"/>
        </w:trPr>
        <w:tc>
          <w:tcPr>
            <w:tcW w:w="51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Provision for taxes on net investment income</w:t>
            </w:r>
          </w:p>
        </w:tc>
        <w:tc>
          <w:tcPr>
            <w:tcW w:w="680" w:type="dxa"/>
            <w:vAlign w:val="bottom"/>
            <w:shd w:val="clear" w:color="auto" w:fill="CCECFF"/>
          </w:tcPr>
          <w:p>
            <w:pPr>
              <w:spacing w:after="0"/>
              <w:rPr>
                <w:sz w:val="11"/>
                <w:szCs w:val="11"/>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Credit Facility amendment costs</w:t>
            </w:r>
          </w:p>
        </w:tc>
        <w:tc>
          <w:tcPr>
            <w:tcW w:w="6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51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expenses</w:t>
            </w:r>
          </w:p>
        </w:tc>
        <w:tc>
          <w:tcPr>
            <w:tcW w:w="680" w:type="dxa"/>
            <w:vAlign w:val="bottom"/>
            <w:shd w:val="clear" w:color="auto" w:fill="CCECFF"/>
          </w:tcPr>
          <w:p>
            <w:pPr>
              <w:spacing w:after="0"/>
              <w:rPr>
                <w:sz w:val="11"/>
                <w:szCs w:val="11"/>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43,451</w:t>
            </w: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37,042</w:t>
            </w:r>
          </w:p>
        </w:tc>
        <w:tc>
          <w:tcPr>
            <w:tcW w:w="0" w:type="dxa"/>
            <w:vAlign w:val="bottom"/>
          </w:tcPr>
          <w:p>
            <w:pPr>
              <w:spacing w:after="0"/>
              <w:rPr>
                <w:sz w:val="1"/>
                <w:szCs w:val="1"/>
                <w:color w:val="auto"/>
              </w:rPr>
            </w:pPr>
          </w:p>
        </w:tc>
      </w:tr>
      <w:tr>
        <w:trPr>
          <w:trHeight w:val="131"/>
        </w:trPr>
        <w:tc>
          <w:tcPr>
            <w:tcW w:w="51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Net investment income</w:t>
            </w:r>
          </w:p>
        </w:tc>
        <w:tc>
          <w:tcPr>
            <w:tcW w:w="6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26,638</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29,967</w:t>
            </w:r>
          </w:p>
        </w:tc>
        <w:tc>
          <w:tcPr>
            <w:tcW w:w="0" w:type="dxa"/>
            <w:vAlign w:val="bottom"/>
          </w:tcPr>
          <w:p>
            <w:pPr>
              <w:spacing w:after="0"/>
              <w:rPr>
                <w:sz w:val="1"/>
                <w:szCs w:val="1"/>
                <w:color w:val="auto"/>
              </w:rPr>
            </w:pPr>
          </w:p>
        </w:tc>
      </w:tr>
      <w:tr>
        <w:trPr>
          <w:trHeight w:val="131"/>
        </w:trPr>
        <w:tc>
          <w:tcPr>
            <w:tcW w:w="51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Realized and unrealized gain (loss) on investments and debt:</w:t>
            </w:r>
          </w:p>
        </w:tc>
        <w:tc>
          <w:tcPr>
            <w:tcW w:w="680" w:type="dxa"/>
            <w:vAlign w:val="bottom"/>
            <w:shd w:val="clear" w:color="auto" w:fill="CCECFF"/>
          </w:tcPr>
          <w:p>
            <w:pPr>
              <w:spacing w:after="0"/>
              <w:rPr>
                <w:sz w:val="11"/>
                <w:szCs w:val="11"/>
                <w:color w:val="auto"/>
              </w:rPr>
            </w:pPr>
          </w:p>
        </w:tc>
        <w:tc>
          <w:tcPr>
            <w:tcW w:w="3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20"/>
                <w:szCs w:val="20"/>
                <w:color w:val="auto"/>
              </w:rPr>
            </w:pPr>
            <w:r>
              <w:rPr>
                <w:rFonts w:ascii="Times New Roman" w:cs="Times New Roman" w:eastAsia="Times New Roman" w:hAnsi="Times New Roman"/>
                <w:sz w:val="11"/>
                <w:szCs w:val="11"/>
                <w:color w:val="auto"/>
              </w:rPr>
              <w:t>Net realized gain (loss) on:</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Non-controlled, non-affiliated investments</w:t>
            </w:r>
          </w:p>
        </w:tc>
        <w:tc>
          <w:tcPr>
            <w:tcW w:w="680" w:type="dxa"/>
            <w:vAlign w:val="bottom"/>
            <w:shd w:val="clear" w:color="auto" w:fill="CCECFF"/>
          </w:tcPr>
          <w:p>
            <w:pPr>
              <w:spacing w:after="0"/>
              <w:rPr>
                <w:sz w:val="11"/>
                <w:szCs w:val="11"/>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1,457</w:t>
            </w: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1,181</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Non-controlled and controlled, affiliated investments</w:t>
            </w:r>
          </w:p>
        </w:tc>
        <w:tc>
          <w:tcPr>
            <w:tcW w:w="680" w:type="dxa"/>
            <w:vAlign w:val="bottom"/>
          </w:tcPr>
          <w:p>
            <w:pPr>
              <w:spacing w:after="0"/>
              <w:rPr>
                <w:sz w:val="11"/>
                <w:szCs w:val="11"/>
                <w:color w:val="auto"/>
              </w:rPr>
            </w:pPr>
          </w:p>
        </w:tc>
        <w:tc>
          <w:tcPr>
            <w:tcW w:w="560" w:type="dxa"/>
            <w:vAlign w:val="bottom"/>
            <w:gridSpan w:val="2"/>
          </w:tcPr>
          <w:p>
            <w:pPr>
              <w:jc w:val="right"/>
              <w:ind w:right="141"/>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25,493</w:t>
            </w:r>
          </w:p>
        </w:tc>
        <w:tc>
          <w:tcPr>
            <w:tcW w:w="0" w:type="dxa"/>
            <w:vAlign w:val="bottom"/>
          </w:tcPr>
          <w:p>
            <w:pPr>
              <w:spacing w:after="0"/>
              <w:rPr>
                <w:sz w:val="1"/>
                <w:szCs w:val="1"/>
                <w:color w:val="auto"/>
              </w:rPr>
            </w:pPr>
          </w:p>
        </w:tc>
      </w:tr>
      <w:tr>
        <w:trPr>
          <w:trHeight w:val="131"/>
        </w:trPr>
        <w:tc>
          <w:tcPr>
            <w:tcW w:w="51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Provision for taxes on realized gain (loss) on investments</w:t>
            </w:r>
          </w:p>
        </w:tc>
        <w:tc>
          <w:tcPr>
            <w:tcW w:w="68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141"/>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(73)</w:t>
            </w:r>
          </w:p>
        </w:tc>
        <w:tc>
          <w:tcPr>
            <w:tcW w:w="0" w:type="dxa"/>
            <w:vAlign w:val="bottom"/>
          </w:tcPr>
          <w:p>
            <w:pPr>
              <w:spacing w:after="0"/>
              <w:rPr>
                <w:sz w:val="1"/>
                <w:szCs w:val="1"/>
                <w:color w:val="auto"/>
              </w:rPr>
            </w:pPr>
          </w:p>
        </w:tc>
      </w:tr>
      <w:tr>
        <w:trPr>
          <w:trHeight w:val="131"/>
        </w:trPr>
        <w:tc>
          <w:tcPr>
            <w:tcW w:w="51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Net realized gain (loss) on investments</w:t>
            </w:r>
          </w:p>
        </w:tc>
        <w:tc>
          <w:tcPr>
            <w:tcW w:w="6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1,457</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26,601</w:t>
            </w:r>
          </w:p>
        </w:tc>
        <w:tc>
          <w:tcPr>
            <w:tcW w:w="0" w:type="dxa"/>
            <w:vAlign w:val="bottom"/>
          </w:tcPr>
          <w:p>
            <w:pPr>
              <w:spacing w:after="0"/>
              <w:rPr>
                <w:sz w:val="1"/>
                <w:szCs w:val="1"/>
                <w:color w:val="auto"/>
              </w:rPr>
            </w:pPr>
          </w:p>
        </w:tc>
      </w:tr>
      <w:tr>
        <w:trPr>
          <w:trHeight w:val="131"/>
        </w:trPr>
        <w:tc>
          <w:tcPr>
            <w:tcW w:w="51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Net change in unrealized appreciation (depreciation) on:</w:t>
            </w:r>
          </w:p>
        </w:tc>
        <w:tc>
          <w:tcPr>
            <w:tcW w:w="680" w:type="dxa"/>
            <w:vAlign w:val="bottom"/>
            <w:shd w:val="clear" w:color="auto" w:fill="CCECFF"/>
          </w:tcPr>
          <w:p>
            <w:pPr>
              <w:spacing w:after="0"/>
              <w:rPr>
                <w:sz w:val="11"/>
                <w:szCs w:val="11"/>
                <w:color w:val="auto"/>
              </w:rPr>
            </w:pPr>
          </w:p>
        </w:tc>
        <w:tc>
          <w:tcPr>
            <w:tcW w:w="3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Non-controlled, non-affiliated investments</w:t>
            </w:r>
          </w:p>
        </w:tc>
        <w:tc>
          <w:tcPr>
            <w:tcW w:w="680" w:type="dxa"/>
            <w:vAlign w:val="bottom"/>
          </w:tcPr>
          <w:p>
            <w:pPr>
              <w:spacing w:after="0"/>
              <w:rPr>
                <w:sz w:val="11"/>
                <w:szCs w:val="11"/>
                <w:color w:val="auto"/>
              </w:rPr>
            </w:pPr>
          </w:p>
        </w:tc>
        <w:tc>
          <w:tcPr>
            <w:tcW w:w="560" w:type="dxa"/>
            <w:vAlign w:val="bottom"/>
            <w:gridSpan w:val="2"/>
          </w:tcPr>
          <w:p>
            <w:pPr>
              <w:jc w:val="right"/>
              <w:ind w:right="101"/>
              <w:spacing w:after="0"/>
              <w:rPr>
                <w:sz w:val="20"/>
                <w:szCs w:val="20"/>
                <w:color w:val="auto"/>
              </w:rPr>
            </w:pPr>
            <w:r>
              <w:rPr>
                <w:rFonts w:ascii="Times New Roman" w:cs="Times New Roman" w:eastAsia="Times New Roman" w:hAnsi="Times New Roman"/>
                <w:sz w:val="11"/>
                <w:szCs w:val="11"/>
                <w:color w:val="auto"/>
              </w:rPr>
              <w:t>(21,266)</w:t>
            </w: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Non-controlled and controlled, affiliated investments</w:t>
            </w:r>
          </w:p>
        </w:tc>
        <w:tc>
          <w:tcPr>
            <w:tcW w:w="68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101"/>
              <w:spacing w:after="0"/>
              <w:rPr>
                <w:sz w:val="20"/>
                <w:szCs w:val="20"/>
                <w:color w:val="auto"/>
              </w:rPr>
            </w:pPr>
            <w:r>
              <w:rPr>
                <w:rFonts w:ascii="Times New Roman" w:cs="Times New Roman" w:eastAsia="Times New Roman" w:hAnsi="Times New Roman"/>
                <w:sz w:val="11"/>
                <w:szCs w:val="11"/>
                <w:color w:val="auto"/>
              </w:rPr>
              <w:t>(11,021)</w:t>
            </w:r>
          </w:p>
        </w:tc>
        <w:tc>
          <w:tcPr>
            <w:tcW w:w="2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(31,904)</w:t>
            </w:r>
          </w:p>
        </w:tc>
        <w:tc>
          <w:tcPr>
            <w:tcW w:w="0" w:type="dxa"/>
            <w:vAlign w:val="bottom"/>
          </w:tcPr>
          <w:p>
            <w:pPr>
              <w:spacing w:after="0"/>
              <w:rPr>
                <w:sz w:val="1"/>
                <w:szCs w:val="1"/>
                <w:color w:val="auto"/>
              </w:rPr>
            </w:pPr>
          </w:p>
        </w:tc>
      </w:tr>
      <w:tr>
        <w:trPr>
          <w:trHeight w:val="131"/>
        </w:trPr>
        <w:tc>
          <w:tcPr>
            <w:tcW w:w="51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Provision for taxes on unrealized appreciation (depreciation) on investments</w:t>
            </w:r>
          </w:p>
        </w:tc>
        <w:tc>
          <w:tcPr>
            <w:tcW w:w="6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636</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Debt appreciation (depreciation)</w:t>
            </w:r>
          </w:p>
        </w:tc>
        <w:tc>
          <w:tcPr>
            <w:tcW w:w="68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101"/>
              <w:spacing w:after="0"/>
              <w:rPr>
                <w:sz w:val="20"/>
                <w:szCs w:val="20"/>
                <w:color w:val="auto"/>
              </w:rPr>
            </w:pPr>
            <w:r>
              <w:rPr>
                <w:rFonts w:ascii="Times New Roman" w:cs="Times New Roman" w:eastAsia="Times New Roman" w:hAnsi="Times New Roman"/>
                <w:sz w:val="11"/>
                <w:szCs w:val="11"/>
                <w:color w:val="auto"/>
              </w:rPr>
              <w:t>(22)</w:t>
            </w:r>
          </w:p>
        </w:tc>
        <w:tc>
          <w:tcPr>
            <w:tcW w:w="2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Net change in unrealized appreciation (depreciation) on investments and debt</w:t>
            </w:r>
          </w:p>
        </w:tc>
        <w:tc>
          <w:tcPr>
            <w:tcW w:w="680" w:type="dxa"/>
            <w:vAlign w:val="bottom"/>
          </w:tcPr>
          <w:p>
            <w:pPr>
              <w:spacing w:after="0"/>
              <w:rPr>
                <w:sz w:val="11"/>
                <w:szCs w:val="11"/>
                <w:color w:val="auto"/>
              </w:rPr>
            </w:pPr>
          </w:p>
        </w:tc>
        <w:tc>
          <w:tcPr>
            <w:tcW w:w="560" w:type="dxa"/>
            <w:vAlign w:val="bottom"/>
            <w:gridSpan w:val="2"/>
          </w:tcPr>
          <w:p>
            <w:pPr>
              <w:jc w:val="right"/>
              <w:ind w:right="101"/>
              <w:spacing w:after="0"/>
              <w:rPr>
                <w:sz w:val="20"/>
                <w:szCs w:val="20"/>
                <w:color w:val="auto"/>
              </w:rPr>
            </w:pPr>
            <w:r>
              <w:rPr>
                <w:rFonts w:ascii="Times New Roman" w:cs="Times New Roman" w:eastAsia="Times New Roman" w:hAnsi="Times New Roman"/>
                <w:sz w:val="11"/>
                <w:szCs w:val="11"/>
                <w:color w:val="auto"/>
              </w:rPr>
              <w:t>(31,673)</w:t>
            </w:r>
          </w:p>
        </w:tc>
        <w:tc>
          <w:tcPr>
            <w:tcW w:w="24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(28,239)</w:t>
            </w:r>
          </w:p>
        </w:tc>
        <w:tc>
          <w:tcPr>
            <w:tcW w:w="0" w:type="dxa"/>
            <w:vAlign w:val="bottom"/>
          </w:tcPr>
          <w:p>
            <w:pPr>
              <w:spacing w:after="0"/>
              <w:rPr>
                <w:sz w:val="1"/>
                <w:szCs w:val="1"/>
                <w:color w:val="auto"/>
              </w:rPr>
            </w:pPr>
          </w:p>
        </w:tc>
      </w:tr>
      <w:tr>
        <w:trPr>
          <w:trHeight w:val="131"/>
        </w:trPr>
        <w:tc>
          <w:tcPr>
            <w:tcW w:w="51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Net realized and unrealized gain (loss) from investments and debt</w:t>
            </w:r>
          </w:p>
        </w:tc>
        <w:tc>
          <w:tcPr>
            <w:tcW w:w="68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101"/>
              <w:spacing w:after="0"/>
              <w:rPr>
                <w:sz w:val="20"/>
                <w:szCs w:val="20"/>
                <w:color w:val="auto"/>
              </w:rPr>
            </w:pPr>
            <w:r>
              <w:rPr>
                <w:rFonts w:ascii="Times New Roman" w:cs="Times New Roman" w:eastAsia="Times New Roman" w:hAnsi="Times New Roman"/>
                <w:sz w:val="11"/>
                <w:szCs w:val="11"/>
                <w:color w:val="auto"/>
              </w:rPr>
              <w:t>(30,216)</w:t>
            </w:r>
          </w:p>
        </w:tc>
        <w:tc>
          <w:tcPr>
            <w:tcW w:w="2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(1,638)</w:t>
            </w:r>
          </w:p>
        </w:tc>
        <w:tc>
          <w:tcPr>
            <w:tcW w:w="0" w:type="dxa"/>
            <w:vAlign w:val="bottom"/>
          </w:tcPr>
          <w:p>
            <w:pPr>
              <w:spacing w:after="0"/>
              <w:rPr>
                <w:sz w:val="1"/>
                <w:szCs w:val="1"/>
                <w:color w:val="auto"/>
              </w:rPr>
            </w:pPr>
          </w:p>
        </w:tc>
      </w:tr>
      <w:tr>
        <w:trPr>
          <w:trHeight w:val="131"/>
        </w:trPr>
        <w:tc>
          <w:tcPr>
            <w:tcW w:w="5100" w:type="dxa"/>
            <w:vAlign w:val="bottom"/>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Net increase (decrease) in net assets resulting from operations</w:t>
            </w:r>
          </w:p>
        </w:tc>
        <w:tc>
          <w:tcPr>
            <w:tcW w:w="680" w:type="dxa"/>
            <w:vAlign w:val="bottom"/>
          </w:tcPr>
          <w:p>
            <w:pPr>
              <w:jc w:val="right"/>
              <w:ind w:right="565"/>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01"/>
              <w:spacing w:after="0" w:line="111" w:lineRule="exact"/>
              <w:rPr>
                <w:sz w:val="20"/>
                <w:szCs w:val="20"/>
                <w:color w:val="auto"/>
              </w:rPr>
            </w:pPr>
            <w:r>
              <w:rPr>
                <w:rFonts w:ascii="Times New Roman" w:cs="Times New Roman" w:eastAsia="Times New Roman" w:hAnsi="Times New Roman"/>
                <w:sz w:val="8"/>
                <w:szCs w:val="8"/>
                <w:color w:val="auto"/>
              </w:rPr>
              <w:t>(3,578</w:t>
            </w:r>
            <w:r>
              <w:rPr>
                <w:rFonts w:ascii="Times New Roman" w:cs="Times New Roman" w:eastAsia="Times New Roman" w:hAnsi="Times New Roman"/>
                <w:sz w:val="12"/>
                <w:szCs w:val="12"/>
                <w:color w:val="auto"/>
                <w:vertAlign w:val="subscript"/>
              </w:rPr>
              <w:t>)</w:t>
            </w:r>
          </w:p>
        </w:tc>
        <w:tc>
          <w:tcPr>
            <w:tcW w:w="240" w:type="dxa"/>
            <w:vAlign w:val="bottom"/>
          </w:tcPr>
          <w:p>
            <w:pPr>
              <w:jc w:val="right"/>
              <w:ind w:right="125"/>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80"/>
              <w:spacing w:after="0" w:line="111" w:lineRule="exact"/>
              <w:rPr>
                <w:sz w:val="20"/>
                <w:szCs w:val="20"/>
                <w:color w:val="auto"/>
              </w:rPr>
            </w:pPr>
            <w:r>
              <w:rPr>
                <w:rFonts w:ascii="Times New Roman" w:cs="Times New Roman" w:eastAsia="Times New Roman" w:hAnsi="Times New Roman"/>
                <w:sz w:val="11"/>
                <w:szCs w:val="11"/>
                <w:color w:val="auto"/>
              </w:rPr>
              <w:t>28,329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100" w:type="dxa"/>
            <w:vAlign w:val="bottom"/>
            <w:tcBorders>
              <w:bottom w:val="single" w:sz="8" w:color="CCECFF"/>
            </w:tcBorders>
            <w:shd w:val="clear" w:color="auto" w:fill="CCEC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Net increase (decrease) in net assets resulting from operations per common share (See Note 7)</w:t>
            </w:r>
          </w:p>
        </w:tc>
        <w:tc>
          <w:tcPr>
            <w:tcW w:w="680" w:type="dxa"/>
            <w:vAlign w:val="bottom"/>
            <w:tcBorders>
              <w:bottom w:val="single" w:sz="8" w:color="auto"/>
            </w:tcBorders>
            <w:shd w:val="clear" w:color="auto" w:fill="CCECFF"/>
          </w:tcPr>
          <w:p>
            <w:pPr>
              <w:jc w:val="right"/>
              <w:ind w:right="565"/>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CFF"/>
          </w:tcPr>
          <w:p>
            <w:pPr>
              <w:jc w:val="right"/>
              <w:spacing w:after="0" w:line="102" w:lineRule="exact"/>
              <w:rPr>
                <w:sz w:val="20"/>
                <w:szCs w:val="20"/>
                <w:color w:val="auto"/>
              </w:rPr>
            </w:pPr>
            <w:r>
              <w:rPr>
                <w:rFonts w:ascii="Times New Roman" w:cs="Times New Roman" w:eastAsia="Times New Roman" w:hAnsi="Times New Roman"/>
                <w:sz w:val="11"/>
                <w:szCs w:val="11"/>
                <w:color w:val="auto"/>
              </w:rPr>
              <w:t>(0.04</w:t>
            </w:r>
          </w:p>
        </w:tc>
        <w:tc>
          <w:tcPr>
            <w:tcW w:w="180" w:type="dxa"/>
            <w:vAlign w:val="bottom"/>
            <w:tcBorders>
              <w:bottom w:val="single" w:sz="8" w:color="CCECFF"/>
            </w:tcBorders>
            <w:shd w:val="clear" w:color="auto" w:fill="CCECFF"/>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bottom w:val="single" w:sz="8" w:color="auto"/>
            </w:tcBorders>
            <w:shd w:val="clear" w:color="auto" w:fill="CCECFF"/>
          </w:tcPr>
          <w:p>
            <w:pPr>
              <w:jc w:val="right"/>
              <w:ind w:right="125"/>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CFF"/>
          </w:tcPr>
          <w:p>
            <w:pPr>
              <w:jc w:val="right"/>
              <w:spacing w:after="0" w:line="102" w:lineRule="exact"/>
              <w:rPr>
                <w:sz w:val="20"/>
                <w:szCs w:val="20"/>
                <w:color w:val="auto"/>
              </w:rPr>
            </w:pPr>
            <w:r>
              <w:rPr>
                <w:rFonts w:ascii="Times New Roman" w:cs="Times New Roman" w:eastAsia="Times New Roman" w:hAnsi="Times New Roman"/>
                <w:sz w:val="11"/>
                <w:szCs w:val="11"/>
                <w:color w:val="auto"/>
              </w:rPr>
              <w:t>0.35</w:t>
            </w:r>
          </w:p>
        </w:tc>
        <w:tc>
          <w:tcPr>
            <w:tcW w:w="8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510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Net investment income per common share</w:t>
            </w:r>
          </w:p>
        </w:tc>
        <w:tc>
          <w:tcPr>
            <w:tcW w:w="680" w:type="dxa"/>
            <w:vAlign w:val="bottom"/>
          </w:tcPr>
          <w:p>
            <w:pPr>
              <w:jc w:val="right"/>
              <w:ind w:right="565"/>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0.27</w:t>
            </w:r>
          </w:p>
        </w:tc>
        <w:tc>
          <w:tcPr>
            <w:tcW w:w="180" w:type="dxa"/>
            <w:vAlign w:val="bottom"/>
          </w:tcPr>
          <w:p>
            <w:pPr>
              <w:spacing w:after="0"/>
              <w:rPr>
                <w:sz w:val="8"/>
                <w:szCs w:val="8"/>
                <w:color w:val="auto"/>
              </w:rPr>
            </w:pPr>
          </w:p>
        </w:tc>
        <w:tc>
          <w:tcPr>
            <w:tcW w:w="240" w:type="dxa"/>
            <w:vAlign w:val="bottom"/>
          </w:tcPr>
          <w:p>
            <w:pPr>
              <w:jc w:val="right"/>
              <w:ind w:right="125"/>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80"/>
              <w:spacing w:after="0" w:line="102" w:lineRule="exact"/>
              <w:rPr>
                <w:sz w:val="20"/>
                <w:szCs w:val="20"/>
                <w:color w:val="auto"/>
              </w:rPr>
            </w:pPr>
            <w:r>
              <w:rPr>
                <w:rFonts w:ascii="Times New Roman" w:cs="Times New Roman" w:eastAsia="Times New Roman" w:hAnsi="Times New Roman"/>
                <w:sz w:val="11"/>
                <w:szCs w:val="11"/>
                <w:color w:val="auto"/>
              </w:rPr>
              <w:t>0.37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93" w:right="1440"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STATEMENTS OF CHANGES IN NET ASSETS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share issue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42" w:lineRule="exact"/>
        <w:rPr>
          <w:sz w:val="20"/>
          <w:szCs w:val="20"/>
          <w:color w:val="auto"/>
        </w:rPr>
      </w:pPr>
    </w:p>
    <w:tbl>
      <w:tblPr>
        <w:tblLayout w:type="fixed"/>
        <w:tblInd w:w="780" w:type="dxa"/>
        <w:tblCellMar>
          <w:top w:w="0" w:type="dxa"/>
          <w:left w:w="0" w:type="dxa"/>
          <w:bottom w:w="0" w:type="dxa"/>
          <w:right w:w="0" w:type="dxa"/>
        </w:tblCellMar>
      </w:tblPr>
      <w:tr>
        <w:trPr>
          <w:trHeight w:val="131"/>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60" w:type="dxa"/>
            <w:vAlign w:val="bottom"/>
            <w:gridSpan w:val="5"/>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r>
      <w:tr>
        <w:trPr>
          <w:trHeight w:val="143"/>
        </w:trPr>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34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45"/>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Pr>
          <w:p>
            <w:pPr>
              <w:spacing w:after="0"/>
              <w:rPr>
                <w:sz w:val="12"/>
                <w:szCs w:val="12"/>
                <w:color w:val="auto"/>
              </w:rPr>
            </w:pPr>
          </w:p>
        </w:tc>
      </w:tr>
      <w:tr>
        <w:trPr>
          <w:trHeight w:val="131"/>
        </w:trPr>
        <w:tc>
          <w:tcPr>
            <w:tcW w:w="5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Net increase (decrease) in net assets from operations:</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r>
      <w:tr>
        <w:trPr>
          <w:trHeight w:val="131"/>
        </w:trPr>
        <w:tc>
          <w:tcPr>
            <w:tcW w:w="5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investment income</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26,638</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29,967</w:t>
            </w:r>
          </w:p>
        </w:tc>
      </w:tr>
      <w:tr>
        <w:trPr>
          <w:trHeight w:val="131"/>
        </w:trPr>
        <w:tc>
          <w:tcPr>
            <w:tcW w:w="50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Net realized gain (loss) on investments</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1,457</w:t>
            </w: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26,674</w:t>
            </w:r>
          </w:p>
        </w:tc>
      </w:tr>
      <w:tr>
        <w:trPr>
          <w:trHeight w:val="131"/>
        </w:trPr>
        <w:tc>
          <w:tcPr>
            <w:tcW w:w="5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change in unrealized appreciation (depreciation) on investments</w:t>
            </w:r>
          </w:p>
        </w:tc>
        <w:tc>
          <w:tcPr>
            <w:tcW w:w="18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(32,287)</w:t>
            </w:r>
          </w:p>
        </w:tc>
        <w:tc>
          <w:tcPr>
            <w:tcW w:w="24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(28,961)</w:t>
            </w:r>
          </w:p>
        </w:tc>
      </w:tr>
      <w:tr>
        <w:trPr>
          <w:trHeight w:val="131"/>
        </w:trPr>
        <w:tc>
          <w:tcPr>
            <w:tcW w:w="50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Net change in provision for taxes on realized and unrealized appreciation (depreciation) on investments</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636</w:t>
            </w: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559</w:t>
            </w:r>
          </w:p>
        </w:tc>
        <w:tc>
          <w:tcPr>
            <w:tcW w:w="200" w:type="dxa"/>
            <w:vAlign w:val="bottom"/>
            <w:shd w:val="clear" w:color="auto" w:fill="CCECFF"/>
          </w:tcPr>
          <w:p>
            <w:pPr>
              <w:spacing w:after="0"/>
              <w:rPr>
                <w:sz w:val="11"/>
                <w:szCs w:val="11"/>
                <w:color w:val="auto"/>
              </w:rPr>
            </w:pPr>
          </w:p>
        </w:tc>
      </w:tr>
      <w:tr>
        <w:trPr>
          <w:trHeight w:val="131"/>
        </w:trPr>
        <w:tc>
          <w:tcPr>
            <w:tcW w:w="5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change in unrealized appreciation (depreciation) on debt</w:t>
            </w:r>
          </w:p>
        </w:tc>
        <w:tc>
          <w:tcPr>
            <w:tcW w:w="18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(22)</w:t>
            </w:r>
          </w:p>
        </w:tc>
        <w:tc>
          <w:tcPr>
            <w:tcW w:w="2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200" w:type="dxa"/>
            <w:vAlign w:val="bottom"/>
          </w:tcPr>
          <w:p>
            <w:pPr>
              <w:spacing w:after="0"/>
              <w:rPr>
                <w:sz w:val="11"/>
                <w:szCs w:val="11"/>
                <w:color w:val="auto"/>
              </w:rPr>
            </w:pPr>
          </w:p>
        </w:tc>
      </w:tr>
      <w:tr>
        <w:trPr>
          <w:trHeight w:val="131"/>
        </w:trPr>
        <w:tc>
          <w:tcPr>
            <w:tcW w:w="50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b w:val="1"/>
                <w:bCs w:val="1"/>
                <w:color w:val="auto"/>
              </w:rPr>
              <w:t>Net increase (decrease) in net assets resulting from operations</w:t>
            </w:r>
          </w:p>
        </w:tc>
        <w:tc>
          <w:tcPr>
            <w:tcW w:w="180" w:type="dxa"/>
            <w:vAlign w:val="bottom"/>
            <w:shd w:val="clear" w:color="auto" w:fill="CCECFF"/>
          </w:tcPr>
          <w:p>
            <w:pPr>
              <w:spacing w:after="0"/>
              <w:rPr>
                <w:sz w:val="11"/>
                <w:szCs w:val="11"/>
                <w:color w:val="auto"/>
              </w:rPr>
            </w:pPr>
          </w:p>
        </w:tc>
        <w:tc>
          <w:tcPr>
            <w:tcW w:w="10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(3,578)</w:t>
            </w:r>
          </w:p>
        </w:tc>
        <w:tc>
          <w:tcPr>
            <w:tcW w:w="24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28,329</w:t>
            </w:r>
          </w:p>
        </w:tc>
      </w:tr>
      <w:tr>
        <w:trPr>
          <w:trHeight w:val="131"/>
        </w:trPr>
        <w:tc>
          <w:tcPr>
            <w:tcW w:w="5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Distributions to stockholders:</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1"/>
        </w:trPr>
        <w:tc>
          <w:tcPr>
            <w:tcW w:w="50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Distribution of net investment income</w:t>
            </w:r>
          </w:p>
        </w:tc>
        <w:tc>
          <w:tcPr>
            <w:tcW w:w="180" w:type="dxa"/>
            <w:vAlign w:val="bottom"/>
            <w:shd w:val="clear" w:color="auto" w:fill="CCECFF"/>
          </w:tcPr>
          <w:p>
            <w:pPr>
              <w:spacing w:after="0"/>
              <w:rPr>
                <w:sz w:val="11"/>
                <w:szCs w:val="11"/>
                <w:color w:val="auto"/>
              </w:rPr>
            </w:pPr>
          </w:p>
        </w:tc>
        <w:tc>
          <w:tcPr>
            <w:tcW w:w="10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(30,509)</w:t>
            </w:r>
          </w:p>
        </w:tc>
        <w:tc>
          <w:tcPr>
            <w:tcW w:w="24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(25,181)</w:t>
            </w:r>
          </w:p>
        </w:tc>
      </w:tr>
      <w:tr>
        <w:trPr>
          <w:trHeight w:val="131"/>
        </w:trPr>
        <w:tc>
          <w:tcPr>
            <w:tcW w:w="50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Total distributions to stockholders</w:t>
            </w:r>
          </w:p>
        </w:tc>
        <w:tc>
          <w:tcPr>
            <w:tcW w:w="18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(30,509)</w:t>
            </w:r>
          </w:p>
        </w:tc>
        <w:tc>
          <w:tcPr>
            <w:tcW w:w="24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(25,181)</w:t>
            </w:r>
          </w:p>
        </w:tc>
      </w:tr>
      <w:tr>
        <w:trPr>
          <w:trHeight w:val="131"/>
        </w:trPr>
        <w:tc>
          <w:tcPr>
            <w:tcW w:w="5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Capital transactions</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r>
      <w:tr>
        <w:trPr>
          <w:trHeight w:val="131"/>
        </w:trPr>
        <w:tc>
          <w:tcPr>
            <w:tcW w:w="5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Public offering</w:t>
            </w:r>
          </w:p>
        </w:tc>
        <w:tc>
          <w:tcPr>
            <w:tcW w:w="180" w:type="dxa"/>
            <w:vAlign w:val="bottom"/>
          </w:tcPr>
          <w:p>
            <w:pPr>
              <w:spacing w:after="0"/>
              <w:rPr>
                <w:sz w:val="11"/>
                <w:szCs w:val="1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82,708</w:t>
            </w:r>
          </w:p>
        </w:tc>
      </w:tr>
      <w:tr>
        <w:trPr>
          <w:trHeight w:val="131"/>
        </w:trPr>
        <w:tc>
          <w:tcPr>
            <w:tcW w:w="50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Offering costs</w:t>
            </w:r>
          </w:p>
        </w:tc>
        <w:tc>
          <w:tcPr>
            <w:tcW w:w="180" w:type="dxa"/>
            <w:vAlign w:val="bottom"/>
            <w:shd w:val="clear" w:color="auto" w:fill="CCECFF"/>
          </w:tcPr>
          <w:p>
            <w:pPr>
              <w:spacing w:after="0"/>
              <w:rPr>
                <w:sz w:val="11"/>
                <w:szCs w:val="11"/>
                <w:color w:val="auto"/>
              </w:rPr>
            </w:pPr>
          </w:p>
        </w:tc>
        <w:tc>
          <w:tcPr>
            <w:tcW w:w="10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(499)</w:t>
            </w:r>
          </w:p>
        </w:tc>
      </w:tr>
      <w:tr>
        <w:trPr>
          <w:trHeight w:val="131"/>
        </w:trPr>
        <w:tc>
          <w:tcPr>
            <w:tcW w:w="50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Net increase in net assets resulting from capital transactions</w:t>
            </w:r>
          </w:p>
        </w:tc>
        <w:tc>
          <w:tcPr>
            <w:tcW w:w="180" w:type="dxa"/>
            <w:vAlign w:val="bottom"/>
          </w:tcPr>
          <w:p>
            <w:pPr>
              <w:spacing w:after="0"/>
              <w:rPr>
                <w:sz w:val="11"/>
                <w:szCs w:val="1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82,209</w:t>
            </w:r>
          </w:p>
        </w:tc>
      </w:tr>
      <w:tr>
        <w:trPr>
          <w:trHeight w:val="131"/>
        </w:trPr>
        <w:tc>
          <w:tcPr>
            <w:tcW w:w="5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Net increase (decrease) in net assets</w:t>
            </w:r>
          </w:p>
        </w:tc>
        <w:tc>
          <w:tcPr>
            <w:tcW w:w="180" w:type="dxa"/>
            <w:vAlign w:val="bottom"/>
            <w:shd w:val="clear" w:color="auto" w:fill="CCECFF"/>
          </w:tcPr>
          <w:p>
            <w:pPr>
              <w:spacing w:after="0"/>
              <w:rPr>
                <w:sz w:val="11"/>
                <w:szCs w:val="11"/>
                <w:color w:val="auto"/>
              </w:rPr>
            </w:pPr>
          </w:p>
        </w:tc>
        <w:tc>
          <w:tcPr>
            <w:tcW w:w="10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(34,087)</w:t>
            </w:r>
          </w:p>
        </w:tc>
        <w:tc>
          <w:tcPr>
            <w:tcW w:w="24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85,357</w:t>
            </w:r>
          </w:p>
        </w:tc>
      </w:tr>
      <w:tr>
        <w:trPr>
          <w:trHeight w:val="131"/>
        </w:trPr>
        <w:tc>
          <w:tcPr>
            <w:tcW w:w="5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Net assets:</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1"/>
        </w:trPr>
        <w:tc>
          <w:tcPr>
            <w:tcW w:w="50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Beginning of period</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1,074,516</w:t>
            </w: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877,294</w:t>
            </w:r>
          </w:p>
        </w:tc>
        <w:tc>
          <w:tcPr>
            <w:tcW w:w="200" w:type="dxa"/>
            <w:vAlign w:val="bottom"/>
            <w:shd w:val="clear" w:color="auto" w:fill="CCECFF"/>
          </w:tcPr>
          <w:p>
            <w:pPr>
              <w:spacing w:after="0"/>
              <w:rPr>
                <w:sz w:val="11"/>
                <w:szCs w:val="11"/>
                <w:color w:val="auto"/>
              </w:rPr>
            </w:pPr>
          </w:p>
        </w:tc>
      </w:tr>
      <w:tr>
        <w:trPr>
          <w:trHeight w:val="131"/>
        </w:trPr>
        <w:tc>
          <w:tcPr>
            <w:tcW w:w="5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End of period</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1,040,429</w:t>
            </w:r>
          </w:p>
        </w:tc>
        <w:tc>
          <w:tcPr>
            <w:tcW w:w="180" w:type="dxa"/>
            <w:vAlign w:val="bottom"/>
          </w:tcPr>
          <w:p>
            <w:pPr>
              <w:spacing w:after="0"/>
              <w:rPr>
                <w:sz w:val="11"/>
                <w:szCs w:val="11"/>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962,651</w:t>
            </w:r>
          </w:p>
        </w:tc>
        <w:tc>
          <w:tcPr>
            <w:tcW w:w="200" w:type="dxa"/>
            <w:vAlign w:val="bottom"/>
          </w:tcPr>
          <w:p>
            <w:pPr>
              <w:spacing w:after="0"/>
              <w:rPr>
                <w:sz w:val="11"/>
                <w:szCs w:val="11"/>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1"/>
        </w:trPr>
        <w:tc>
          <w:tcPr>
            <w:tcW w:w="5020" w:type="dxa"/>
            <w:vAlign w:val="bottom"/>
            <w:shd w:val="clear" w:color="auto" w:fill="CCEC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Capital share activity:</w:t>
            </w:r>
          </w:p>
        </w:tc>
        <w:tc>
          <w:tcPr>
            <w:tcW w:w="180" w:type="dxa"/>
            <w:vAlign w:val="bottom"/>
            <w:shd w:val="clear" w:color="auto" w:fill="CCECFF"/>
          </w:tcPr>
          <w:p>
            <w:pPr>
              <w:spacing w:after="0"/>
              <w:rPr>
                <w:sz w:val="8"/>
                <w:szCs w:val="8"/>
                <w:color w:val="auto"/>
              </w:rPr>
            </w:pPr>
          </w:p>
        </w:tc>
        <w:tc>
          <w:tcPr>
            <w:tcW w:w="86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r>
      <w:tr>
        <w:trPr>
          <w:trHeight w:val="131"/>
        </w:trPr>
        <w:tc>
          <w:tcPr>
            <w:tcW w:w="5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Shares issued from public offering</w:t>
            </w:r>
          </w:p>
        </w:tc>
        <w:tc>
          <w:tcPr>
            <w:tcW w:w="180" w:type="dxa"/>
            <w:vAlign w:val="bottom"/>
          </w:tcPr>
          <w:p>
            <w:pPr>
              <w:spacing w:after="0"/>
              <w:rPr>
                <w:sz w:val="11"/>
                <w:szCs w:val="1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7,276,000</w:t>
            </w:r>
          </w:p>
        </w:tc>
        <w:tc>
          <w:tcPr>
            <w:tcW w:w="200" w:type="dxa"/>
            <w:vAlign w:val="bottom"/>
          </w:tcPr>
          <w:p>
            <w:pPr>
              <w:spacing w:after="0"/>
              <w:rPr>
                <w:sz w:val="11"/>
                <w:szCs w:val="11"/>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93" w:right="1440"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42" w:lineRule="exact"/>
        <w:rPr>
          <w:sz w:val="20"/>
          <w:szCs w:val="20"/>
          <w:color w:val="auto"/>
        </w:rPr>
      </w:pPr>
    </w:p>
    <w:tbl>
      <w:tblPr>
        <w:tblLayout w:type="fixed"/>
        <w:tblInd w:w="780" w:type="dxa"/>
        <w:tblCellMar>
          <w:top w:w="0" w:type="dxa"/>
          <w:left w:w="0" w:type="dxa"/>
          <w:bottom w:w="0" w:type="dxa"/>
          <w:right w:w="0" w:type="dxa"/>
        </w:tblCellMar>
      </w:tblPr>
      <w:tr>
        <w:trPr>
          <w:trHeight w:val="131"/>
        </w:trPr>
        <w:tc>
          <w:tcPr>
            <w:tcW w:w="5160" w:type="dxa"/>
            <w:vAlign w:val="bottom"/>
          </w:tcPr>
          <w:p>
            <w:pPr>
              <w:spacing w:after="0"/>
              <w:rPr>
                <w:sz w:val="11"/>
                <w:szCs w:val="11"/>
                <w:color w:val="auto"/>
              </w:rPr>
            </w:pPr>
          </w:p>
        </w:tc>
        <w:tc>
          <w:tcPr>
            <w:tcW w:w="2300" w:type="dxa"/>
            <w:vAlign w:val="bottom"/>
            <w:gridSpan w:val="7"/>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0" w:type="dxa"/>
            <w:vAlign w:val="bottom"/>
          </w:tcPr>
          <w:p>
            <w:pPr>
              <w:spacing w:after="0"/>
              <w:rPr>
                <w:sz w:val="1"/>
                <w:szCs w:val="1"/>
                <w:color w:val="auto"/>
              </w:rPr>
            </w:pPr>
          </w:p>
        </w:tc>
      </w:tr>
      <w:tr>
        <w:trPr>
          <w:trHeight w:val="143"/>
        </w:trPr>
        <w:tc>
          <w:tcPr>
            <w:tcW w:w="5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4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1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620" w:type="dxa"/>
            <w:vAlign w:val="bottom"/>
            <w:shd w:val="clear" w:color="auto" w:fill="CCECFF"/>
          </w:tcPr>
          <w:p>
            <w:pPr>
              <w:spacing w:after="0"/>
              <w:rPr>
                <w:sz w:val="11"/>
                <w:szCs w:val="11"/>
                <w:color w:val="auto"/>
              </w:rPr>
            </w:pPr>
          </w:p>
        </w:tc>
        <w:tc>
          <w:tcPr>
            <w:tcW w:w="40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Net increase (decrease) in net assets resulting from operations</w:t>
            </w:r>
          </w:p>
        </w:tc>
        <w:tc>
          <w:tcPr>
            <w:tcW w:w="620" w:type="dxa"/>
            <w:vAlign w:val="bottom"/>
          </w:tcPr>
          <w:p>
            <w:pPr>
              <w:jc w:val="right"/>
              <w:ind w:right="50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(3,578)</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28,329</w:t>
            </w:r>
          </w:p>
        </w:tc>
        <w:tc>
          <w:tcPr>
            <w:tcW w:w="0" w:type="dxa"/>
            <w:vAlign w:val="bottom"/>
          </w:tcPr>
          <w:p>
            <w:pPr>
              <w:spacing w:after="0"/>
              <w:rPr>
                <w:sz w:val="1"/>
                <w:szCs w:val="1"/>
                <w:color w:val="auto"/>
              </w:rPr>
            </w:pPr>
          </w:p>
        </w:tc>
      </w:tr>
      <w:tr>
        <w:trPr>
          <w:trHeight w:val="121"/>
        </w:trPr>
        <w:tc>
          <w:tcPr>
            <w:tcW w:w="5160" w:type="dxa"/>
            <w:vAlign w:val="bottom"/>
            <w:shd w:val="clear" w:color="auto" w:fill="CCECFF"/>
          </w:tcPr>
          <w:p>
            <w:pPr>
              <w:ind w:left="260"/>
              <w:spacing w:after="0" w:line="121" w:lineRule="exact"/>
              <w:rPr>
                <w:sz w:val="20"/>
                <w:szCs w:val="20"/>
                <w:color w:val="auto"/>
              </w:rPr>
            </w:pPr>
            <w:r>
              <w:rPr>
                <w:rFonts w:ascii="Times New Roman" w:cs="Times New Roman" w:eastAsia="Times New Roman" w:hAnsi="Times New Roman"/>
                <w:sz w:val="11"/>
                <w:szCs w:val="11"/>
                <w:color w:val="auto"/>
              </w:rPr>
              <w:t>Adjustments to reconcile net increase (decrease) in net assets resulting from operations to net cash</w:t>
            </w:r>
          </w:p>
        </w:tc>
        <w:tc>
          <w:tcPr>
            <w:tcW w:w="6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516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1"/>
                <w:szCs w:val="11"/>
                <w:color w:val="auto"/>
              </w:rPr>
              <w:t>provided by (used in) operating activities:</w:t>
            </w:r>
          </w:p>
        </w:tc>
        <w:tc>
          <w:tcPr>
            <w:tcW w:w="620" w:type="dxa"/>
            <w:vAlign w:val="bottom"/>
            <w:shd w:val="clear" w:color="auto" w:fill="CCECFF"/>
          </w:tcPr>
          <w:p>
            <w:pPr>
              <w:spacing w:after="0"/>
              <w:rPr>
                <w:sz w:val="12"/>
                <w:szCs w:val="12"/>
                <w:color w:val="auto"/>
              </w:rPr>
            </w:pPr>
          </w:p>
        </w:tc>
        <w:tc>
          <w:tcPr>
            <w:tcW w:w="40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1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Net change in unrealized (appreciation) depreciation on investments</w:t>
            </w:r>
          </w:p>
        </w:tc>
        <w:tc>
          <w:tcPr>
            <w:tcW w:w="62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32,287</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28,961</w:t>
            </w:r>
          </w:p>
        </w:tc>
        <w:tc>
          <w:tcPr>
            <w:tcW w:w="0" w:type="dxa"/>
            <w:vAlign w:val="bottom"/>
          </w:tcPr>
          <w:p>
            <w:pPr>
              <w:spacing w:after="0"/>
              <w:rPr>
                <w:sz w:val="1"/>
                <w:szCs w:val="1"/>
                <w:color w:val="auto"/>
              </w:rPr>
            </w:pPr>
          </w:p>
        </w:tc>
      </w:tr>
      <w:tr>
        <w:trPr>
          <w:trHeight w:val="131"/>
        </w:trPr>
        <w:tc>
          <w:tcPr>
            <w:tcW w:w="51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Net change in unrealized appreciation (depreciation) on debt</w:t>
            </w:r>
          </w:p>
        </w:tc>
        <w:tc>
          <w:tcPr>
            <w:tcW w:w="620" w:type="dxa"/>
            <w:vAlign w:val="bottom"/>
            <w:shd w:val="clear" w:color="auto" w:fill="CCECFF"/>
          </w:tcPr>
          <w:p>
            <w:pPr>
              <w:spacing w:after="0"/>
              <w:rPr>
                <w:sz w:val="11"/>
                <w:szCs w:val="11"/>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(90)</w:t>
            </w:r>
          </w:p>
        </w:tc>
        <w:tc>
          <w:tcPr>
            <w:tcW w:w="0" w:type="dxa"/>
            <w:vAlign w:val="bottom"/>
          </w:tcPr>
          <w:p>
            <w:pPr>
              <w:spacing w:after="0"/>
              <w:rPr>
                <w:sz w:val="1"/>
                <w:szCs w:val="1"/>
                <w:color w:val="auto"/>
              </w:rPr>
            </w:pPr>
          </w:p>
        </w:tc>
      </w:tr>
      <w:tr>
        <w:trPr>
          <w:trHeight w:val="131"/>
        </w:trPr>
        <w:tc>
          <w:tcPr>
            <w:tcW w:w="51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Net realized (gain) loss on investments</w:t>
            </w:r>
          </w:p>
        </w:tc>
        <w:tc>
          <w:tcPr>
            <w:tcW w:w="620" w:type="dxa"/>
            <w:vAlign w:val="bottom"/>
          </w:tcPr>
          <w:p>
            <w:pPr>
              <w:spacing w:after="0"/>
              <w:rPr>
                <w:sz w:val="11"/>
                <w:szCs w:val="11"/>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(1,457)</w:t>
            </w:r>
          </w:p>
        </w:tc>
        <w:tc>
          <w:tcPr>
            <w:tcW w:w="22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(26,674)</w:t>
            </w:r>
          </w:p>
        </w:tc>
        <w:tc>
          <w:tcPr>
            <w:tcW w:w="0" w:type="dxa"/>
            <w:vAlign w:val="bottom"/>
          </w:tcPr>
          <w:p>
            <w:pPr>
              <w:spacing w:after="0"/>
              <w:rPr>
                <w:sz w:val="1"/>
                <w:szCs w:val="1"/>
                <w:color w:val="auto"/>
              </w:rPr>
            </w:pPr>
          </w:p>
        </w:tc>
      </w:tr>
      <w:tr>
        <w:trPr>
          <w:trHeight w:val="131"/>
        </w:trPr>
        <w:tc>
          <w:tcPr>
            <w:tcW w:w="51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Net accretion of discount and amortization of premium</w:t>
            </w:r>
          </w:p>
        </w:tc>
        <w:tc>
          <w:tcPr>
            <w:tcW w:w="620" w:type="dxa"/>
            <w:vAlign w:val="bottom"/>
            <w:shd w:val="clear" w:color="auto" w:fill="CCECFF"/>
          </w:tcPr>
          <w:p>
            <w:pPr>
              <w:spacing w:after="0"/>
              <w:rPr>
                <w:sz w:val="11"/>
                <w:szCs w:val="11"/>
                <w:color w:val="auto"/>
              </w:rPr>
            </w:pPr>
          </w:p>
        </w:tc>
        <w:tc>
          <w:tcPr>
            <w:tcW w:w="5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(1,632)</w:t>
            </w:r>
          </w:p>
        </w:tc>
        <w:tc>
          <w:tcPr>
            <w:tcW w:w="22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(5,687)</w:t>
            </w:r>
          </w:p>
        </w:tc>
        <w:tc>
          <w:tcPr>
            <w:tcW w:w="0" w:type="dxa"/>
            <w:vAlign w:val="bottom"/>
          </w:tcPr>
          <w:p>
            <w:pPr>
              <w:spacing w:after="0"/>
              <w:rPr>
                <w:sz w:val="1"/>
                <w:szCs w:val="1"/>
                <w:color w:val="auto"/>
              </w:rPr>
            </w:pPr>
          </w:p>
        </w:tc>
      </w:tr>
      <w:tr>
        <w:trPr>
          <w:trHeight w:val="131"/>
        </w:trPr>
        <w:tc>
          <w:tcPr>
            <w:tcW w:w="51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Purchases of investments</w:t>
            </w:r>
          </w:p>
        </w:tc>
        <w:tc>
          <w:tcPr>
            <w:tcW w:w="620" w:type="dxa"/>
            <w:vAlign w:val="bottom"/>
          </w:tcPr>
          <w:p>
            <w:pPr>
              <w:spacing w:after="0"/>
              <w:rPr>
                <w:sz w:val="11"/>
                <w:szCs w:val="11"/>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w w:val="97"/>
              </w:rPr>
              <w:t>(205,415)</w:t>
            </w:r>
          </w:p>
        </w:tc>
        <w:tc>
          <w:tcPr>
            <w:tcW w:w="22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(606,916)</w:t>
            </w:r>
          </w:p>
        </w:tc>
        <w:tc>
          <w:tcPr>
            <w:tcW w:w="0" w:type="dxa"/>
            <w:vAlign w:val="bottom"/>
          </w:tcPr>
          <w:p>
            <w:pPr>
              <w:spacing w:after="0"/>
              <w:rPr>
                <w:sz w:val="1"/>
                <w:szCs w:val="1"/>
                <w:color w:val="auto"/>
              </w:rPr>
            </w:pPr>
          </w:p>
        </w:tc>
      </w:tr>
      <w:tr>
        <w:trPr>
          <w:trHeight w:val="131"/>
        </w:trPr>
        <w:tc>
          <w:tcPr>
            <w:tcW w:w="51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Payment-in-kind interest</w:t>
            </w:r>
          </w:p>
        </w:tc>
        <w:tc>
          <w:tcPr>
            <w:tcW w:w="620" w:type="dxa"/>
            <w:vAlign w:val="bottom"/>
            <w:shd w:val="clear" w:color="auto" w:fill="CCECFF"/>
          </w:tcPr>
          <w:p>
            <w:pPr>
              <w:spacing w:after="0"/>
              <w:rPr>
                <w:sz w:val="11"/>
                <w:szCs w:val="11"/>
                <w:color w:val="auto"/>
              </w:rPr>
            </w:pPr>
          </w:p>
        </w:tc>
        <w:tc>
          <w:tcPr>
            <w:tcW w:w="5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(1,627)</w:t>
            </w:r>
          </w:p>
        </w:tc>
        <w:tc>
          <w:tcPr>
            <w:tcW w:w="22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(1,378)</w:t>
            </w:r>
          </w:p>
        </w:tc>
        <w:tc>
          <w:tcPr>
            <w:tcW w:w="0" w:type="dxa"/>
            <w:vAlign w:val="bottom"/>
          </w:tcPr>
          <w:p>
            <w:pPr>
              <w:spacing w:after="0"/>
              <w:rPr>
                <w:sz w:val="1"/>
                <w:szCs w:val="1"/>
                <w:color w:val="auto"/>
              </w:rPr>
            </w:pPr>
          </w:p>
        </w:tc>
      </w:tr>
      <w:tr>
        <w:trPr>
          <w:trHeight w:val="131"/>
        </w:trPr>
        <w:tc>
          <w:tcPr>
            <w:tcW w:w="51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Proceeds from dispositions of investments</w:t>
            </w:r>
          </w:p>
        </w:tc>
        <w:tc>
          <w:tcPr>
            <w:tcW w:w="6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345,821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401,300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Amortization of deferred financing costs</w:t>
            </w:r>
          </w:p>
        </w:tc>
        <w:tc>
          <w:tcPr>
            <w:tcW w:w="620" w:type="dxa"/>
            <w:vAlign w:val="bottom"/>
            <w:shd w:val="clear" w:color="auto" w:fill="CCECFF"/>
          </w:tcPr>
          <w:p>
            <w:pPr>
              <w:spacing w:after="0"/>
              <w:rPr>
                <w:sz w:val="11"/>
                <w:szCs w:val="11"/>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718</w:t>
            </w:r>
          </w:p>
        </w:tc>
        <w:tc>
          <w:tcPr>
            <w:tcW w:w="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362</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(Increase) decrease in:</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6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rPr>
              <w:t>Interest receivable</w:t>
            </w:r>
          </w:p>
        </w:tc>
        <w:tc>
          <w:tcPr>
            <w:tcW w:w="620" w:type="dxa"/>
            <w:vAlign w:val="bottom"/>
            <w:shd w:val="clear" w:color="auto" w:fill="CCECFF"/>
          </w:tcPr>
          <w:p>
            <w:pPr>
              <w:spacing w:after="0"/>
              <w:rPr>
                <w:sz w:val="11"/>
                <w:szCs w:val="11"/>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815</w:t>
            </w:r>
          </w:p>
        </w:tc>
        <w:tc>
          <w:tcPr>
            <w:tcW w:w="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(857)</w:t>
            </w:r>
          </w:p>
        </w:tc>
        <w:tc>
          <w:tcPr>
            <w:tcW w:w="0" w:type="dxa"/>
            <w:vAlign w:val="bottom"/>
          </w:tcPr>
          <w:p>
            <w:pPr>
              <w:spacing w:after="0"/>
              <w:rPr>
                <w:sz w:val="1"/>
                <w:szCs w:val="1"/>
                <w:color w:val="auto"/>
              </w:rPr>
            </w:pPr>
          </w:p>
        </w:tc>
      </w:tr>
      <w:tr>
        <w:trPr>
          <w:trHeight w:val="131"/>
        </w:trPr>
        <w:tc>
          <w:tcPr>
            <w:tcW w:w="516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Receivable from investment sold</w:t>
            </w:r>
          </w:p>
        </w:tc>
        <w:tc>
          <w:tcPr>
            <w:tcW w:w="6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1,332</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(29,090)</w:t>
            </w:r>
          </w:p>
        </w:tc>
        <w:tc>
          <w:tcPr>
            <w:tcW w:w="0" w:type="dxa"/>
            <w:vAlign w:val="bottom"/>
          </w:tcPr>
          <w:p>
            <w:pPr>
              <w:spacing w:after="0"/>
              <w:rPr>
                <w:sz w:val="1"/>
                <w:szCs w:val="1"/>
                <w:color w:val="auto"/>
              </w:rPr>
            </w:pPr>
          </w:p>
        </w:tc>
      </w:tr>
      <w:tr>
        <w:trPr>
          <w:trHeight w:val="131"/>
        </w:trPr>
        <w:tc>
          <w:tcPr>
            <w:tcW w:w="516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rPr>
              <w:t>Distribution receivable</w:t>
            </w:r>
          </w:p>
        </w:tc>
        <w:tc>
          <w:tcPr>
            <w:tcW w:w="620" w:type="dxa"/>
            <w:vAlign w:val="bottom"/>
            <w:shd w:val="clear" w:color="auto" w:fill="CCECFF"/>
          </w:tcPr>
          <w:p>
            <w:pPr>
              <w:spacing w:after="0"/>
              <w:rPr>
                <w:sz w:val="11"/>
                <w:szCs w:val="11"/>
                <w:color w:val="auto"/>
              </w:rPr>
            </w:pPr>
          </w:p>
        </w:tc>
        <w:tc>
          <w:tcPr>
            <w:tcW w:w="58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6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620" w:type="dxa"/>
            <w:vAlign w:val="bottom"/>
          </w:tcPr>
          <w:p>
            <w:pPr>
              <w:spacing w:after="0"/>
              <w:rPr>
                <w:sz w:val="11"/>
                <w:szCs w:val="11"/>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(31)</w:t>
            </w:r>
          </w:p>
        </w:tc>
        <w:tc>
          <w:tcPr>
            <w:tcW w:w="22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(4,828)</w:t>
            </w:r>
          </w:p>
        </w:tc>
        <w:tc>
          <w:tcPr>
            <w:tcW w:w="0" w:type="dxa"/>
            <w:vAlign w:val="bottom"/>
          </w:tcPr>
          <w:p>
            <w:pPr>
              <w:spacing w:after="0"/>
              <w:rPr>
                <w:sz w:val="1"/>
                <w:szCs w:val="1"/>
                <w:color w:val="auto"/>
              </w:rPr>
            </w:pPr>
          </w:p>
        </w:tc>
      </w:tr>
      <w:tr>
        <w:trPr>
          <w:trHeight w:val="131"/>
        </w:trPr>
        <w:tc>
          <w:tcPr>
            <w:tcW w:w="516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rPr>
              <w:t>Due from affiliate</w:t>
            </w:r>
          </w:p>
        </w:tc>
        <w:tc>
          <w:tcPr>
            <w:tcW w:w="620" w:type="dxa"/>
            <w:vAlign w:val="bottom"/>
            <w:shd w:val="clear" w:color="auto" w:fill="CCECFF"/>
          </w:tcPr>
          <w:p>
            <w:pPr>
              <w:spacing w:after="0"/>
              <w:rPr>
                <w:sz w:val="11"/>
                <w:szCs w:val="11"/>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31"/>
        </w:trPr>
        <w:tc>
          <w:tcPr>
            <w:tcW w:w="51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Increase (decrease) in:</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6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rPr>
              <w:t>Payable for investments purchased</w:t>
            </w:r>
          </w:p>
        </w:tc>
        <w:tc>
          <w:tcPr>
            <w:tcW w:w="620" w:type="dxa"/>
            <w:vAlign w:val="bottom"/>
            <w:shd w:val="clear" w:color="auto" w:fill="CCECFF"/>
          </w:tcPr>
          <w:p>
            <w:pPr>
              <w:spacing w:after="0"/>
              <w:rPr>
                <w:sz w:val="11"/>
                <w:szCs w:val="11"/>
                <w:color w:val="auto"/>
              </w:rPr>
            </w:pPr>
          </w:p>
        </w:tc>
        <w:tc>
          <w:tcPr>
            <w:tcW w:w="5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(14,852)</w:t>
            </w:r>
          </w:p>
        </w:tc>
        <w:tc>
          <w:tcPr>
            <w:tcW w:w="22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(19,892)</w:t>
            </w:r>
          </w:p>
        </w:tc>
        <w:tc>
          <w:tcPr>
            <w:tcW w:w="0" w:type="dxa"/>
            <w:vAlign w:val="bottom"/>
          </w:tcPr>
          <w:p>
            <w:pPr>
              <w:spacing w:after="0"/>
              <w:rPr>
                <w:sz w:val="1"/>
                <w:szCs w:val="1"/>
                <w:color w:val="auto"/>
              </w:rPr>
            </w:pPr>
          </w:p>
        </w:tc>
      </w:tr>
      <w:tr>
        <w:trPr>
          <w:trHeight w:val="131"/>
        </w:trPr>
        <w:tc>
          <w:tcPr>
            <w:tcW w:w="516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Interest payable on debt</w:t>
            </w:r>
          </w:p>
        </w:tc>
        <w:tc>
          <w:tcPr>
            <w:tcW w:w="620" w:type="dxa"/>
            <w:vAlign w:val="bottom"/>
          </w:tcPr>
          <w:p>
            <w:pPr>
              <w:spacing w:after="0"/>
              <w:rPr>
                <w:sz w:val="11"/>
                <w:szCs w:val="11"/>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(3,063)</w:t>
            </w:r>
          </w:p>
        </w:tc>
        <w:tc>
          <w:tcPr>
            <w:tcW w:w="22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(1,327)</w:t>
            </w:r>
          </w:p>
        </w:tc>
        <w:tc>
          <w:tcPr>
            <w:tcW w:w="0" w:type="dxa"/>
            <w:vAlign w:val="bottom"/>
          </w:tcPr>
          <w:p>
            <w:pPr>
              <w:spacing w:after="0"/>
              <w:rPr>
                <w:sz w:val="1"/>
                <w:szCs w:val="1"/>
                <w:color w:val="auto"/>
              </w:rPr>
            </w:pPr>
          </w:p>
        </w:tc>
      </w:tr>
      <w:tr>
        <w:trPr>
          <w:trHeight w:val="131"/>
        </w:trPr>
        <w:tc>
          <w:tcPr>
            <w:tcW w:w="516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rPr>
              <w:t>Base management fee payable</w:t>
            </w:r>
          </w:p>
        </w:tc>
        <w:tc>
          <w:tcPr>
            <w:tcW w:w="620" w:type="dxa"/>
            <w:vAlign w:val="bottom"/>
            <w:shd w:val="clear" w:color="auto" w:fill="CCECFF"/>
          </w:tcPr>
          <w:p>
            <w:pPr>
              <w:spacing w:after="0"/>
              <w:rPr>
                <w:sz w:val="11"/>
                <w:szCs w:val="11"/>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676</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6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Incentive fee payable</w:t>
            </w:r>
          </w:p>
        </w:tc>
        <w:tc>
          <w:tcPr>
            <w:tcW w:w="620" w:type="dxa"/>
            <w:vAlign w:val="bottom"/>
          </w:tcPr>
          <w:p>
            <w:pPr>
              <w:spacing w:after="0"/>
              <w:rPr>
                <w:sz w:val="11"/>
                <w:szCs w:val="11"/>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(223)</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6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rPr>
              <w:t>Deferred tax liability</w:t>
            </w:r>
          </w:p>
        </w:tc>
        <w:tc>
          <w:tcPr>
            <w:tcW w:w="620" w:type="dxa"/>
            <w:vAlign w:val="bottom"/>
            <w:shd w:val="clear" w:color="auto" w:fill="CCECFF"/>
          </w:tcPr>
          <w:p>
            <w:pPr>
              <w:spacing w:after="0"/>
              <w:rPr>
                <w:sz w:val="11"/>
                <w:szCs w:val="11"/>
                <w:color w:val="auto"/>
              </w:rPr>
            </w:pPr>
          </w:p>
        </w:tc>
        <w:tc>
          <w:tcPr>
            <w:tcW w:w="5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(636)</w:t>
            </w:r>
          </w:p>
        </w:tc>
        <w:tc>
          <w:tcPr>
            <w:tcW w:w="22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(632)</w:t>
            </w:r>
          </w:p>
        </w:tc>
        <w:tc>
          <w:tcPr>
            <w:tcW w:w="0" w:type="dxa"/>
            <w:vAlign w:val="bottom"/>
          </w:tcPr>
          <w:p>
            <w:pPr>
              <w:spacing w:after="0"/>
              <w:rPr>
                <w:sz w:val="1"/>
                <w:szCs w:val="1"/>
                <w:color w:val="auto"/>
              </w:rPr>
            </w:pPr>
          </w:p>
        </w:tc>
      </w:tr>
      <w:tr>
        <w:trPr>
          <w:trHeight w:val="131"/>
        </w:trPr>
        <w:tc>
          <w:tcPr>
            <w:tcW w:w="516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Due to affiliates</w:t>
            </w:r>
          </w:p>
        </w:tc>
        <w:tc>
          <w:tcPr>
            <w:tcW w:w="620" w:type="dxa"/>
            <w:vAlign w:val="bottom"/>
          </w:tcPr>
          <w:p>
            <w:pPr>
              <w:spacing w:after="0"/>
              <w:rPr>
                <w:sz w:val="11"/>
                <w:szCs w:val="11"/>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(739)</w:t>
            </w:r>
          </w:p>
        </w:tc>
        <w:tc>
          <w:tcPr>
            <w:tcW w:w="22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516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rPr>
              <w:t>Account payable and accrued expenses</w:t>
            </w:r>
          </w:p>
        </w:tc>
        <w:tc>
          <w:tcPr>
            <w:tcW w:w="620" w:type="dxa"/>
            <w:vAlign w:val="bottom"/>
            <w:shd w:val="clear" w:color="auto" w:fill="CCECFF"/>
          </w:tcPr>
          <w:p>
            <w:pPr>
              <w:spacing w:after="0"/>
              <w:rPr>
                <w:sz w:val="11"/>
                <w:szCs w:val="11"/>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6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Net cash provided by (used in) operating activities</w:t>
            </w:r>
          </w:p>
        </w:tc>
        <w:tc>
          <w:tcPr>
            <w:tcW w:w="6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148,585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(232,670)</w:t>
            </w:r>
          </w:p>
        </w:tc>
        <w:tc>
          <w:tcPr>
            <w:tcW w:w="0" w:type="dxa"/>
            <w:vAlign w:val="bottom"/>
          </w:tcPr>
          <w:p>
            <w:pPr>
              <w:spacing w:after="0"/>
              <w:rPr>
                <w:sz w:val="1"/>
                <w:szCs w:val="1"/>
                <w:color w:val="auto"/>
              </w:rPr>
            </w:pPr>
          </w:p>
        </w:tc>
      </w:tr>
      <w:tr>
        <w:trPr>
          <w:trHeight w:val="131"/>
        </w:trPr>
        <w:tc>
          <w:tcPr>
            <w:tcW w:w="51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620" w:type="dxa"/>
            <w:vAlign w:val="bottom"/>
            <w:shd w:val="clear" w:color="auto" w:fill="CCECFF"/>
          </w:tcPr>
          <w:p>
            <w:pPr>
              <w:spacing w:after="0"/>
              <w:rPr>
                <w:sz w:val="11"/>
                <w:szCs w:val="11"/>
                <w:color w:val="auto"/>
              </w:rPr>
            </w:pPr>
          </w:p>
        </w:tc>
        <w:tc>
          <w:tcPr>
            <w:tcW w:w="40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Proceeds from public offering</w:t>
            </w:r>
          </w:p>
        </w:tc>
        <w:tc>
          <w:tcPr>
            <w:tcW w:w="620" w:type="dxa"/>
            <w:vAlign w:val="bottom"/>
          </w:tcPr>
          <w:p>
            <w:pPr>
              <w:spacing w:after="0"/>
              <w:rPr>
                <w:sz w:val="11"/>
                <w:szCs w:val="11"/>
                <w:color w:val="auto"/>
              </w:rPr>
            </w:pP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82,708</w:t>
            </w:r>
          </w:p>
        </w:tc>
        <w:tc>
          <w:tcPr>
            <w:tcW w:w="0" w:type="dxa"/>
            <w:vAlign w:val="bottom"/>
          </w:tcPr>
          <w:p>
            <w:pPr>
              <w:spacing w:after="0"/>
              <w:rPr>
                <w:sz w:val="1"/>
                <w:szCs w:val="1"/>
                <w:color w:val="auto"/>
              </w:rPr>
            </w:pPr>
          </w:p>
        </w:tc>
      </w:tr>
      <w:tr>
        <w:trPr>
          <w:trHeight w:val="131"/>
        </w:trPr>
        <w:tc>
          <w:tcPr>
            <w:tcW w:w="51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Offering costs</w:t>
            </w:r>
          </w:p>
        </w:tc>
        <w:tc>
          <w:tcPr>
            <w:tcW w:w="620" w:type="dxa"/>
            <w:vAlign w:val="bottom"/>
            <w:shd w:val="clear" w:color="auto" w:fill="CCECFF"/>
          </w:tcPr>
          <w:p>
            <w:pPr>
              <w:spacing w:after="0"/>
              <w:rPr>
                <w:sz w:val="11"/>
                <w:szCs w:val="11"/>
                <w:color w:val="auto"/>
              </w:rPr>
            </w:pPr>
          </w:p>
        </w:tc>
        <w:tc>
          <w:tcPr>
            <w:tcW w:w="58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(496)</w:t>
            </w:r>
          </w:p>
        </w:tc>
        <w:tc>
          <w:tcPr>
            <w:tcW w:w="0" w:type="dxa"/>
            <w:vAlign w:val="bottom"/>
          </w:tcPr>
          <w:p>
            <w:pPr>
              <w:spacing w:after="0"/>
              <w:rPr>
                <w:sz w:val="1"/>
                <w:szCs w:val="1"/>
                <w:color w:val="auto"/>
              </w:rPr>
            </w:pPr>
          </w:p>
        </w:tc>
      </w:tr>
      <w:tr>
        <w:trPr>
          <w:trHeight w:val="131"/>
        </w:trPr>
        <w:tc>
          <w:tcPr>
            <w:tcW w:w="51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Borrowings of 2037 Asset-Backed Debt</w:t>
            </w:r>
          </w:p>
        </w:tc>
        <w:tc>
          <w:tcPr>
            <w:tcW w:w="62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28,500</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51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Borrowings of 2036-R Asset-Backed Debt</w:t>
            </w:r>
          </w:p>
        </w:tc>
        <w:tc>
          <w:tcPr>
            <w:tcW w:w="620" w:type="dxa"/>
            <w:vAlign w:val="bottom"/>
            <w:shd w:val="clear" w:color="auto" w:fill="CCECFF"/>
          </w:tcPr>
          <w:p>
            <w:pPr>
              <w:spacing w:after="0"/>
              <w:rPr>
                <w:sz w:val="11"/>
                <w:szCs w:val="11"/>
                <w:color w:val="auto"/>
              </w:rPr>
            </w:pPr>
          </w:p>
        </w:tc>
        <w:tc>
          <w:tcPr>
            <w:tcW w:w="4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21,000</w:t>
            </w:r>
          </w:p>
        </w:tc>
        <w:tc>
          <w:tcPr>
            <w:tcW w:w="1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51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Distributions paid to stockholders</w:t>
            </w:r>
          </w:p>
        </w:tc>
        <w:tc>
          <w:tcPr>
            <w:tcW w:w="620" w:type="dxa"/>
            <w:vAlign w:val="bottom"/>
          </w:tcPr>
          <w:p>
            <w:pPr>
              <w:spacing w:after="0"/>
              <w:rPr>
                <w:sz w:val="11"/>
                <w:szCs w:val="11"/>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(30,510)</w:t>
            </w:r>
          </w:p>
        </w:tc>
        <w:tc>
          <w:tcPr>
            <w:tcW w:w="22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(24,317)</w:t>
            </w:r>
          </w:p>
        </w:tc>
        <w:tc>
          <w:tcPr>
            <w:tcW w:w="0" w:type="dxa"/>
            <w:vAlign w:val="bottom"/>
          </w:tcPr>
          <w:p>
            <w:pPr>
              <w:spacing w:after="0"/>
              <w:rPr>
                <w:sz w:val="1"/>
                <w:szCs w:val="1"/>
                <w:color w:val="auto"/>
              </w:rPr>
            </w:pPr>
          </w:p>
        </w:tc>
      </w:tr>
      <w:tr>
        <w:trPr>
          <w:trHeight w:val="131"/>
        </w:trPr>
        <w:tc>
          <w:tcPr>
            <w:tcW w:w="51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Borrowings under Credit Facility</w:t>
            </w:r>
          </w:p>
        </w:tc>
        <w:tc>
          <w:tcPr>
            <w:tcW w:w="620" w:type="dxa"/>
            <w:vAlign w:val="bottom"/>
            <w:shd w:val="clear" w:color="auto" w:fill="CCECFF"/>
          </w:tcPr>
          <w:p>
            <w:pPr>
              <w:spacing w:after="0"/>
              <w:rPr>
                <w:sz w:val="11"/>
                <w:szCs w:val="11"/>
                <w:color w:val="auto"/>
              </w:rPr>
            </w:pPr>
          </w:p>
        </w:tc>
        <w:tc>
          <w:tcPr>
            <w:tcW w:w="4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27,000</w:t>
            </w:r>
          </w:p>
        </w:tc>
        <w:tc>
          <w:tcPr>
            <w:tcW w:w="1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165,001</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Repayments under Credit Facility</w:t>
            </w:r>
          </w:p>
        </w:tc>
        <w:tc>
          <w:tcPr>
            <w:tcW w:w="620" w:type="dxa"/>
            <w:vAlign w:val="bottom"/>
          </w:tcPr>
          <w:p>
            <w:pPr>
              <w:spacing w:after="0"/>
              <w:rPr>
                <w:sz w:val="11"/>
                <w:szCs w:val="11"/>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w w:val="97"/>
              </w:rPr>
              <w:t>(222,000)</w:t>
            </w:r>
          </w:p>
        </w:tc>
        <w:tc>
          <w:tcPr>
            <w:tcW w:w="22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516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rPr>
              <w:t>Net cash provided by (used in) financing activities</w:t>
            </w:r>
          </w:p>
        </w:tc>
        <w:tc>
          <w:tcPr>
            <w:tcW w:w="620" w:type="dxa"/>
            <w:vAlign w:val="bottom"/>
            <w:shd w:val="clear" w:color="auto" w:fill="CCECFF"/>
          </w:tcPr>
          <w:p>
            <w:pPr>
              <w:spacing w:after="0"/>
              <w:rPr>
                <w:sz w:val="11"/>
                <w:szCs w:val="11"/>
                <w:color w:val="auto"/>
              </w:rPr>
            </w:pPr>
          </w:p>
        </w:tc>
        <w:tc>
          <w:tcPr>
            <w:tcW w:w="5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w w:val="97"/>
              </w:rPr>
              <w:t>(176,010)</w:t>
            </w:r>
          </w:p>
        </w:tc>
        <w:tc>
          <w:tcPr>
            <w:tcW w:w="22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222,896</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Net increase (decrease) in cash and cash equivalents</w:t>
            </w:r>
          </w:p>
        </w:tc>
        <w:tc>
          <w:tcPr>
            <w:tcW w:w="620" w:type="dxa"/>
            <w:vAlign w:val="bottom"/>
          </w:tcPr>
          <w:p>
            <w:pPr>
              <w:spacing w:after="0"/>
              <w:rPr>
                <w:sz w:val="11"/>
                <w:szCs w:val="11"/>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(27,425)</w:t>
            </w:r>
          </w:p>
        </w:tc>
        <w:tc>
          <w:tcPr>
            <w:tcW w:w="22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(9,774)</w:t>
            </w:r>
          </w:p>
        </w:tc>
        <w:tc>
          <w:tcPr>
            <w:tcW w:w="0" w:type="dxa"/>
            <w:vAlign w:val="bottom"/>
          </w:tcPr>
          <w:p>
            <w:pPr>
              <w:spacing w:after="0"/>
              <w:rPr>
                <w:sz w:val="1"/>
                <w:szCs w:val="1"/>
                <w:color w:val="auto"/>
              </w:rPr>
            </w:pPr>
          </w:p>
        </w:tc>
      </w:tr>
      <w:tr>
        <w:trPr>
          <w:trHeight w:val="131"/>
        </w:trPr>
        <w:tc>
          <w:tcPr>
            <w:tcW w:w="51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Effect of exchange rate changes on cash</w:t>
            </w:r>
          </w:p>
        </w:tc>
        <w:tc>
          <w:tcPr>
            <w:tcW w:w="620" w:type="dxa"/>
            <w:vAlign w:val="bottom"/>
            <w:shd w:val="clear" w:color="auto" w:fill="CCECFF"/>
          </w:tcPr>
          <w:p>
            <w:pPr>
              <w:spacing w:after="0"/>
              <w:rPr>
                <w:sz w:val="11"/>
                <w:szCs w:val="11"/>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31"/>
        </w:trPr>
        <w:tc>
          <w:tcPr>
            <w:tcW w:w="5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 beginning of period</w:t>
            </w:r>
          </w:p>
        </w:tc>
        <w:tc>
          <w:tcPr>
            <w:tcW w:w="6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122,688</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112,050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 end of period</w:t>
            </w:r>
          </w:p>
        </w:tc>
        <w:tc>
          <w:tcPr>
            <w:tcW w:w="620" w:type="dxa"/>
            <w:vAlign w:val="bottom"/>
            <w:shd w:val="clear" w:color="auto" w:fill="CCECFF"/>
          </w:tcPr>
          <w:p>
            <w:pPr>
              <w:jc w:val="right"/>
              <w:ind w:right="50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95,268</w:t>
            </w:r>
          </w:p>
        </w:tc>
        <w:tc>
          <w:tcPr>
            <w:tcW w:w="16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102,262</w:t>
            </w:r>
          </w:p>
        </w:tc>
        <w:tc>
          <w:tcPr>
            <w:tcW w:w="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5160" w:type="dxa"/>
            <w:vAlign w:val="bottom"/>
            <w:tcBorders>
              <w:top w:val="single" w:sz="8" w:color="CCECFF"/>
            </w:tcBorders>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Supplemental disclosures:</w:t>
            </w:r>
          </w:p>
        </w:tc>
        <w:tc>
          <w:tcPr>
            <w:tcW w:w="6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Borders>
              <w:top w:val="single" w:sz="8" w:color="CCECFF"/>
            </w:tcBorders>
          </w:tcPr>
          <w:p>
            <w:pPr>
              <w:spacing w:after="0"/>
              <w:rPr>
                <w:sz w:val="8"/>
                <w:szCs w:val="8"/>
                <w:color w:val="auto"/>
              </w:rPr>
            </w:pPr>
          </w:p>
        </w:tc>
        <w:tc>
          <w:tcPr>
            <w:tcW w:w="160" w:type="dxa"/>
            <w:vAlign w:val="bottom"/>
            <w:tcBorders>
              <w:top w:val="single" w:sz="8" w:color="CCECFF"/>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Borders>
              <w:top w:val="single" w:sz="8" w:color="CCECFF"/>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51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Interest paid</w:t>
            </w:r>
          </w:p>
        </w:tc>
        <w:tc>
          <w:tcPr>
            <w:tcW w:w="620" w:type="dxa"/>
            <w:vAlign w:val="bottom"/>
            <w:shd w:val="clear" w:color="auto" w:fill="CCECFF"/>
          </w:tcPr>
          <w:p>
            <w:pPr>
              <w:jc w:val="right"/>
              <w:ind w:right="50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29,499</w:t>
            </w:r>
          </w:p>
        </w:tc>
        <w:tc>
          <w:tcPr>
            <w:tcW w:w="16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23,326</w:t>
            </w:r>
          </w:p>
        </w:tc>
        <w:tc>
          <w:tcPr>
            <w:tcW w:w="0" w:type="dxa"/>
            <w:vAlign w:val="bottom"/>
          </w:tcPr>
          <w:p>
            <w:pPr>
              <w:spacing w:after="0"/>
              <w:rPr>
                <w:sz w:val="1"/>
                <w:szCs w:val="1"/>
                <w:color w:val="auto"/>
              </w:rPr>
            </w:pPr>
          </w:p>
        </w:tc>
      </w:tr>
      <w:tr>
        <w:trPr>
          <w:trHeight w:val="101"/>
        </w:trPr>
        <w:tc>
          <w:tcPr>
            <w:tcW w:w="5160" w:type="dxa"/>
            <w:vAlign w:val="bottom"/>
            <w:tcBorders>
              <w:top w:val="single" w:sz="8" w:color="CCECFF"/>
            </w:tcBorders>
          </w:tcPr>
          <w:p>
            <w:pPr>
              <w:ind w:left="120"/>
              <w:spacing w:after="0" w:line="102" w:lineRule="exact"/>
              <w:rPr>
                <w:sz w:val="20"/>
                <w:szCs w:val="20"/>
                <w:color w:val="auto"/>
              </w:rPr>
            </w:pPr>
            <w:r>
              <w:rPr>
                <w:rFonts w:ascii="Times New Roman" w:cs="Times New Roman" w:eastAsia="Times New Roman" w:hAnsi="Times New Roman"/>
                <w:sz w:val="11"/>
                <w:szCs w:val="11"/>
                <w:color w:val="auto"/>
              </w:rPr>
              <w:t>Taxes paid</w:t>
            </w:r>
          </w:p>
        </w:tc>
        <w:tc>
          <w:tcPr>
            <w:tcW w:w="620" w:type="dxa"/>
            <w:vAlign w:val="bottom"/>
            <w:tcBorders>
              <w:top w:val="single" w:sz="8" w:color="auto"/>
              <w:bottom w:val="single" w:sz="8" w:color="auto"/>
            </w:tcBorders>
          </w:tcPr>
          <w:p>
            <w:pPr>
              <w:jc w:val="right"/>
              <w:ind w:right="505"/>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32</w:t>
            </w:r>
          </w:p>
        </w:tc>
        <w:tc>
          <w:tcPr>
            <w:tcW w:w="20" w:type="dxa"/>
            <w:vAlign w:val="bottom"/>
            <w:tcBorders>
              <w:top w:val="single" w:sz="8" w:color="CCECFF"/>
            </w:tcBorders>
          </w:tcPr>
          <w:p>
            <w:pPr>
              <w:spacing w:after="0"/>
              <w:rPr>
                <w:sz w:val="8"/>
                <w:szCs w:val="8"/>
                <w:color w:val="auto"/>
              </w:rPr>
            </w:pPr>
          </w:p>
        </w:tc>
        <w:tc>
          <w:tcPr>
            <w:tcW w:w="160" w:type="dxa"/>
            <w:vAlign w:val="bottom"/>
            <w:tcBorders>
              <w:top w:val="single" w:sz="8" w:color="CCECFF"/>
            </w:tcBorders>
          </w:tcPr>
          <w:p>
            <w:pPr>
              <w:spacing w:after="0"/>
              <w:rPr>
                <w:sz w:val="8"/>
                <w:szCs w:val="8"/>
                <w:color w:val="auto"/>
              </w:rPr>
            </w:pPr>
          </w:p>
        </w:tc>
        <w:tc>
          <w:tcPr>
            <w:tcW w:w="220" w:type="dxa"/>
            <w:vAlign w:val="bottom"/>
            <w:tcBorders>
              <w:top w:val="single" w:sz="8" w:color="auto"/>
              <w:bottom w:val="single" w:sz="8" w:color="auto"/>
            </w:tcBorders>
          </w:tcPr>
          <w:p>
            <w:pPr>
              <w:jc w:val="right"/>
              <w:ind w:right="105"/>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CFF"/>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rPr>
              <w:t>Non-cash purchases and disposition of investments</w:t>
            </w:r>
          </w:p>
        </w:tc>
        <w:tc>
          <w:tcPr>
            <w:tcW w:w="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160" w:type="dxa"/>
            <w:vAlign w:val="bottom"/>
            <w:vMerge w:val="continue"/>
          </w:tcPr>
          <w:p>
            <w:pPr>
              <w:spacing w:after="0"/>
              <w:rPr>
                <w:sz w:val="8"/>
                <w:szCs w:val="8"/>
                <w:color w:val="auto"/>
              </w:rPr>
            </w:pPr>
          </w:p>
        </w:tc>
        <w:tc>
          <w:tcPr>
            <w:tcW w:w="620" w:type="dxa"/>
            <w:vAlign w:val="bottom"/>
            <w:tcBorders>
              <w:top w:val="single" w:sz="8" w:color="auto"/>
              <w:bottom w:val="single" w:sz="8" w:color="auto"/>
            </w:tcBorders>
          </w:tcPr>
          <w:p>
            <w:pPr>
              <w:jc w:val="right"/>
              <w:ind w:right="505"/>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95,625</w:t>
            </w:r>
          </w:p>
        </w:tc>
        <w:tc>
          <w:tcPr>
            <w:tcW w:w="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top w:val="single" w:sz="8" w:color="auto"/>
              <w:bottom w:val="single" w:sz="8" w:color="auto"/>
            </w:tcBorders>
          </w:tcPr>
          <w:p>
            <w:pPr>
              <w:jc w:val="right"/>
              <w:ind w:right="105"/>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93" w:right="1440"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304"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2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vMerge w:val="restart"/>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Spread</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vMerge w:val="restart"/>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Fair</w:t>
            </w:r>
          </w:p>
        </w:tc>
        <w:tc>
          <w:tcPr>
            <w:tcW w:w="0" w:type="dxa"/>
            <w:vAlign w:val="bottom"/>
          </w:tcPr>
          <w:p>
            <w:pPr>
              <w:spacing w:after="0"/>
              <w:rPr>
                <w:sz w:val="1"/>
                <w:szCs w:val="1"/>
                <w:color w:val="auto"/>
              </w:rPr>
            </w:pPr>
          </w:p>
        </w:tc>
      </w:tr>
      <w:tr>
        <w:trPr>
          <w:trHeight w:val="82"/>
        </w:trPr>
        <w:tc>
          <w:tcPr>
            <w:tcW w:w="242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560" w:type="dxa"/>
            <w:vAlign w:val="bottom"/>
            <w:vMerge w:val="continue"/>
          </w:tcPr>
          <w:p>
            <w:pPr>
              <w:spacing w:after="0"/>
              <w:rPr>
                <w:sz w:val="7"/>
                <w:szCs w:val="7"/>
                <w:color w:val="auto"/>
              </w:rPr>
            </w:pPr>
          </w:p>
        </w:tc>
        <w:tc>
          <w:tcPr>
            <w:tcW w:w="560" w:type="dxa"/>
            <w:vAlign w:val="bottom"/>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w w:val="96"/>
              </w:rPr>
              <w:t>Above Index</w:t>
            </w:r>
          </w:p>
        </w:tc>
        <w:tc>
          <w:tcPr>
            <w:tcW w:w="640" w:type="dxa"/>
            <w:vAlign w:val="bottom"/>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Par / Shares</w:t>
            </w:r>
          </w:p>
        </w:tc>
        <w:tc>
          <w:tcPr>
            <w:tcW w:w="540" w:type="dxa"/>
            <w:vAlign w:val="bottom"/>
            <w:vMerge w:val="restart"/>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Cost</w:t>
            </w: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4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60" w:type="dxa"/>
            <w:vAlign w:val="bottom"/>
          </w:tcPr>
          <w:p>
            <w:pPr>
              <w:jc w:val="right"/>
              <w:ind w:right="140"/>
              <w:spacing w:after="0" w:line="91" w:lineRule="exact"/>
              <w:rPr>
                <w:sz w:val="20"/>
                <w:szCs w:val="20"/>
                <w:color w:val="auto"/>
              </w:rPr>
            </w:pPr>
            <w:r>
              <w:rPr>
                <w:rFonts w:ascii="Times New Roman" w:cs="Times New Roman" w:eastAsia="Times New Roman" w:hAnsi="Times New Roman"/>
                <w:sz w:val="8"/>
                <w:szCs w:val="8"/>
                <w:b w:val="1"/>
                <w:bCs w:val="1"/>
                <w:color w:val="auto"/>
              </w:rPr>
              <w:t>Coupon</w:t>
            </w:r>
          </w:p>
        </w:tc>
        <w:tc>
          <w:tcPr>
            <w:tcW w:w="560" w:type="dxa"/>
            <w:vAlign w:val="bottom"/>
          </w:tcPr>
          <w:p>
            <w:pPr>
              <w:jc w:val="center"/>
              <w:spacing w:after="0"/>
              <w:rPr>
                <w:sz w:val="20"/>
                <w:szCs w:val="20"/>
                <w:color w:val="auto"/>
              </w:rPr>
            </w:pPr>
            <w:r>
              <w:rPr>
                <w:rFonts w:ascii="Times New Roman" w:cs="Times New Roman" w:eastAsia="Times New Roman" w:hAnsi="Times New Roman"/>
                <w:sz w:val="5"/>
                <w:szCs w:val="5"/>
                <w:b w:val="1"/>
                <w:bCs w:val="1"/>
                <w:color w:val="auto"/>
              </w:rPr>
              <w:t>(1)</w:t>
            </w: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jc w:val="right"/>
              <w:ind w:right="120"/>
              <w:spacing w:after="0" w:line="91" w:lineRule="exact"/>
              <w:rPr>
                <w:sz w:val="20"/>
                <w:szCs w:val="20"/>
                <w:color w:val="auto"/>
              </w:rPr>
            </w:pPr>
            <w:r>
              <w:rPr>
                <w:rFonts w:ascii="Times New Roman" w:cs="Times New Roman" w:eastAsia="Times New Roman" w:hAnsi="Times New Roman"/>
                <w:sz w:val="8"/>
                <w:szCs w:val="8"/>
                <w:b w:val="1"/>
                <w:bCs w:val="1"/>
                <w:color w:val="auto"/>
              </w:rPr>
              <w:t xml:space="preserve">Value </w:t>
            </w:r>
            <w:r>
              <w:rPr>
                <w:rFonts w:ascii="Times New Roman" w:cs="Times New Roman" w:eastAsia="Times New Roman" w:hAnsi="Times New Roman"/>
                <w:sz w:val="10"/>
                <w:szCs w:val="10"/>
                <w:b w:val="1"/>
                <w:bCs w:val="1"/>
                <w:color w:val="auto"/>
                <w:vertAlign w:val="superscript"/>
              </w:rPr>
              <w:t>(2)</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Investments in Non-Controlled, Non-Affiliated Portfolio Companies -</w:t>
            </w:r>
          </w:p>
        </w:tc>
        <w:tc>
          <w:tcPr>
            <w:tcW w:w="56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11"/>
                <w:szCs w:val="11"/>
                <w:color w:val="auto"/>
                <w:vertAlign w:val="subscript"/>
              </w:rPr>
              <w:t>215.2%</w:t>
            </w:r>
            <w:r>
              <w:rPr>
                <w:rFonts w:ascii="Times New Roman" w:cs="Times New Roman" w:eastAsia="Times New Roman" w:hAnsi="Times New Roman"/>
                <w:sz w:val="4"/>
                <w:szCs w:val="4"/>
                <w:color w:val="auto"/>
              </w:rPr>
              <w:t xml:space="preserve"> (3), (4)</w:t>
            </w:r>
          </w:p>
        </w:tc>
        <w:tc>
          <w:tcPr>
            <w:tcW w:w="56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First Lien Secured Debt - 195.4% of Net Assets</w:t>
            </w: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ACP Avenu Buyer,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10/2/2023</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10/02/2029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8.41%</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29,965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29,672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29,891</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ACP Avenu Buyer, LLC - Unfunded Term Loan </w:t>
            </w:r>
            <w:r>
              <w:rPr>
                <w:rFonts w:ascii="Times New Roman" w:cs="Times New Roman" w:eastAsia="Times New Roman" w:hAnsi="Times New Roman"/>
                <w:sz w:val="10"/>
                <w:szCs w:val="10"/>
                <w:color w:val="auto"/>
                <w:vertAlign w:val="superscript"/>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10/2/2023</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04/21/2027</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10,872</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27</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ACP Avenu Buyer, LLC - Unfunded Revolver </w:t>
            </w:r>
            <w:r>
              <w:rPr>
                <w:rFonts w:ascii="Times New Roman" w:cs="Times New Roman" w:eastAsia="Times New Roman" w:hAnsi="Times New Roman"/>
                <w:sz w:val="10"/>
                <w:szCs w:val="10"/>
                <w:color w:val="auto"/>
                <w:vertAlign w:val="superscript"/>
              </w:rPr>
              <w:t>(6), (8)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10/2/2023</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10/02/2029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7,612</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(19)</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ACP Falcon Buyer, LLC - Unfunded Revolver </w:t>
            </w:r>
            <w:r>
              <w:rPr>
                <w:rFonts w:ascii="Times New Roman" w:cs="Times New Roman" w:eastAsia="Times New Roman" w:hAnsi="Times New Roman"/>
                <w:sz w:val="10"/>
                <w:szCs w:val="10"/>
                <w:color w:val="auto"/>
                <w:vertAlign w:val="superscript"/>
              </w:rPr>
              <w:t>(6), (8)</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7/26/2023</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08/01/2029</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3,096</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Ad.net Acquisition,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5/4/2021</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05/07/2026</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9.93%</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626</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8,135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8,117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8,135</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Ad.net Acquisition, LLC - Unfunded Revolver </w:t>
            </w:r>
            <w:r>
              <w:rPr>
                <w:rFonts w:ascii="Times New Roman" w:cs="Times New Roman" w:eastAsia="Times New Roman" w:hAnsi="Times New Roman"/>
                <w:sz w:val="10"/>
                <w:szCs w:val="10"/>
                <w:color w:val="auto"/>
                <w:vertAlign w:val="superscript"/>
              </w:rPr>
              <w:t>(6), (8)</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5/4/2021</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05/07/2026</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1,244</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Aechelon Technology, Inc.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8/16/2024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08/16/2029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9.48%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13,300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13,196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13,300</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Aechelon Technology, Inc. - Unfunded Revolver </w:t>
            </w:r>
            <w:r>
              <w:rPr>
                <w:rFonts w:ascii="Times New Roman" w:cs="Times New Roman" w:eastAsia="Times New Roman" w:hAnsi="Times New Roman"/>
                <w:sz w:val="10"/>
                <w:szCs w:val="10"/>
                <w:color w:val="auto"/>
                <w:vertAlign w:val="superscript"/>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8/16/2024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08/16/2029</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4,719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AFC-Dell Holding Corp.</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2/22/2024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04/09/2027</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8.84%</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500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20,005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19,980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20,005</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AFC-Dell Holding Corp. - Unfunded Term Loan </w:t>
            </w:r>
            <w:r>
              <w:rPr>
                <w:rFonts w:ascii="Times New Roman" w:cs="Times New Roman" w:eastAsia="Times New Roman" w:hAnsi="Times New Roman"/>
                <w:sz w:val="10"/>
                <w:szCs w:val="10"/>
                <w:color w:val="auto"/>
                <w:vertAlign w:val="superscript"/>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2/22/2024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04/09/2027</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7,213</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AFC-Dell Holding Corp. - Unfunded Revolver </w:t>
            </w:r>
            <w:r>
              <w:rPr>
                <w:rFonts w:ascii="Times New Roman" w:cs="Times New Roman" w:eastAsia="Times New Roman" w:hAnsi="Times New Roman"/>
                <w:sz w:val="10"/>
                <w:szCs w:val="10"/>
                <w:color w:val="auto"/>
                <w:vertAlign w:val="superscript"/>
              </w:rPr>
              <w:t>(8)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2/22/2024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10/09/2028</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2,095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Alpine Acquisition Corp II </w:t>
            </w:r>
            <w:r>
              <w:rPr>
                <w:rFonts w:ascii="Times New Roman" w:cs="Times New Roman" w:eastAsia="Times New Roman" w:hAnsi="Times New Roman"/>
                <w:sz w:val="10"/>
                <w:szCs w:val="10"/>
                <w:color w:val="auto"/>
                <w:vertAlign w:val="superscript"/>
              </w:rPr>
              <w:t>(10)</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8/27/2025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11/30/2026</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Containers and Packaging</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4,044</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2,903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1,860</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Amsive Holdings Corporation</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3/2/2020</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12/10/2026</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9.92%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625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19,222</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19,140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19,030</w:t>
            </w: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Aphix Buyer, Inc.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7/17/2025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07/17/2031</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8.48%</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475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9,615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9,555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9,615</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Aphix Buyer, Inc. - Unfunded Term Loan </w:t>
            </w:r>
            <w:r>
              <w:rPr>
                <w:rFonts w:ascii="Times New Roman" w:cs="Times New Roman" w:eastAsia="Times New Roman" w:hAnsi="Times New Roman"/>
                <w:sz w:val="10"/>
                <w:szCs w:val="10"/>
                <w:color w:val="auto"/>
                <w:vertAlign w:val="superscript"/>
              </w:rPr>
              <w:t>(8)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7/17/2025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07/16/2027</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15,341</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96</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Aphix Buyer, Inc. - Unfunded Revolver </w:t>
            </w:r>
            <w:r>
              <w:rPr>
                <w:rFonts w:ascii="Times New Roman" w:cs="Times New Roman" w:eastAsia="Times New Roman" w:hAnsi="Times New Roman"/>
                <w:sz w:val="10"/>
                <w:szCs w:val="10"/>
                <w:color w:val="auto"/>
                <w:vertAlign w:val="superscript"/>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7/17/2025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07/17/2031</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3,995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APT OPCO, LLC - Unfunded Term Loan </w:t>
            </w:r>
            <w:r>
              <w:rPr>
                <w:rFonts w:ascii="Times New Roman" w:cs="Times New Roman" w:eastAsia="Times New Roman" w:hAnsi="Times New Roman"/>
                <w:sz w:val="10"/>
                <w:szCs w:val="10"/>
                <w:color w:val="auto"/>
                <w:vertAlign w:val="superscript"/>
              </w:rPr>
              <w:t>(8)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9/29/2025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09/30/2027</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2,729</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(17)</w:t>
            </w: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APT OPCO, LLC - Unfunded Revolver </w:t>
            </w:r>
            <w:r>
              <w:rPr>
                <w:rFonts w:ascii="Times New Roman" w:cs="Times New Roman" w:eastAsia="Times New Roman" w:hAnsi="Times New Roman"/>
                <w:sz w:val="10"/>
                <w:szCs w:val="10"/>
                <w:color w:val="auto"/>
                <w:vertAlign w:val="superscript"/>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9/29/2025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09/30/2031</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2,729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(34)</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Anteriad, LLC (f/k/a MeritDirect,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5/21/2019</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06/30/2026</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9.57%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590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12,012</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11,982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12,012</w:t>
            </w: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Anteriad, LLC (f/k/a MeritDirect, LLC) - Incremental Term Loan</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5/21/2019</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06/30/2026</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9.57%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590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1,956</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1,952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1,956</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Anteriad, LLC (f/k/a MeritDirect, LLC) - Unfunded Revolver </w:t>
            </w:r>
            <w:r>
              <w:rPr>
                <w:rFonts w:ascii="Times New Roman" w:cs="Times New Roman" w:eastAsia="Times New Roman" w:hAnsi="Times New Roman"/>
                <w:sz w:val="10"/>
                <w:szCs w:val="10"/>
                <w:color w:val="auto"/>
                <w:vertAlign w:val="superscript"/>
              </w:rPr>
              <w:t>(8)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5/21/2019</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06/30/2026</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2,869</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Arcfield Acquisition Corp.</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10/28/2024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10/28/2031</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8.84%</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500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19,344</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19,325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19,248</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Arcfield Acquisition Corp. - Unfunded Revolver </w:t>
            </w:r>
            <w:r>
              <w:rPr>
                <w:rFonts w:ascii="Times New Roman" w:cs="Times New Roman" w:eastAsia="Times New Roman" w:hAnsi="Times New Roman"/>
                <w:sz w:val="10"/>
                <w:szCs w:val="10"/>
                <w:color w:val="auto"/>
                <w:vertAlign w:val="superscript"/>
              </w:rPr>
              <w:t>(6), (8)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10/28/2024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10/28/2031</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3,547</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(18)</w:t>
            </w: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Archer Lewis, LLC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8/28/2024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08/28/2029</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9.42%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575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26,475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26,260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26,475</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Archer Lewis, LLC - Unfunded Term Loan </w:t>
            </w:r>
            <w:r>
              <w:rPr>
                <w:rFonts w:ascii="Times New Roman" w:cs="Times New Roman" w:eastAsia="Times New Roman" w:hAnsi="Times New Roman"/>
                <w:sz w:val="10"/>
                <w:szCs w:val="10"/>
                <w:color w:val="auto"/>
                <w:vertAlign w:val="superscript"/>
              </w:rPr>
              <w:t>(8)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8/28/2024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08/28/2026</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13,292</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133</w:t>
            </w: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Archer Lewis, LLC - Funded Revolver</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8/28/2024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08/28/2029</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9.42%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575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3,252</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3,252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3,252</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Argano,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9/13/2024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09/13/2029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9.23%</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550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55,679</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55,194</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56,235</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Argano, LLC – Unfunded Revolver </w:t>
            </w:r>
            <w:r>
              <w:rPr>
                <w:rFonts w:ascii="Times New Roman" w:cs="Times New Roman" w:eastAsia="Times New Roman" w:hAnsi="Times New Roman"/>
                <w:sz w:val="10"/>
                <w:szCs w:val="10"/>
                <w:color w:val="auto"/>
                <w:vertAlign w:val="superscript"/>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9/13/2024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09/13/2029</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1,421</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Azureon, LLC (F/K/A Tpcn Midco,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6/26/2024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06/26/2029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9.43%</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22,412</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22,205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21,515</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Azureon, LLC (F/K/A Tpcn Midco, LLC) - Unfunded Term Loan </w:t>
            </w:r>
            <w:r>
              <w:rPr>
                <w:rFonts w:ascii="Times New Roman" w:cs="Times New Roman" w:eastAsia="Times New Roman" w:hAnsi="Times New Roman"/>
                <w:sz w:val="10"/>
                <w:szCs w:val="10"/>
                <w:color w:val="auto"/>
                <w:vertAlign w:val="superscript"/>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6/26/2024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11/26/2027</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spacing w:after="0"/>
              <w:rPr>
                <w:sz w:val="8"/>
                <w:szCs w:val="8"/>
                <w:color w:val="auto"/>
              </w:rPr>
            </w:pP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13,499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(439)</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Azureon, LLC (F/K/A Tpcn Midco, LLC) - Funded Revolver</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6/26/2024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06/26/2029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9.44%</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1,079</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1,079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1,035</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Azureon, LLC (F/K/A Tpcn Midco, LLC) - Unfunded Revolver </w:t>
            </w:r>
            <w:r>
              <w:rPr>
                <w:rFonts w:ascii="Times New Roman" w:cs="Times New Roman" w:eastAsia="Times New Roman" w:hAnsi="Times New Roman"/>
                <w:sz w:val="10"/>
                <w:szCs w:val="10"/>
                <w:color w:val="auto"/>
                <w:vertAlign w:val="superscript"/>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6/26/2024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06/26/2029</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2,696</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(108)</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Beacon Behavioral Support Services,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6/21/2024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06/21/2029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9.17%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550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21,335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21,103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21,335</w:t>
            </w: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Beacon Behavioral Support Services, LLC - Unfunded Term Loan </w:t>
            </w:r>
            <w:r>
              <w:rPr>
                <w:rFonts w:ascii="Times New Roman" w:cs="Times New Roman" w:eastAsia="Times New Roman" w:hAnsi="Times New Roman"/>
                <w:sz w:val="10"/>
                <w:szCs w:val="10"/>
                <w:color w:val="auto"/>
                <w:vertAlign w:val="superscript"/>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6/21/2024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12/13/2026</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5,945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Beacon Behavioral Support Services, LLC - Unfunded Term Loan - 3rd</w:t>
            </w:r>
          </w:p>
        </w:tc>
        <w:tc>
          <w:tcPr>
            <w:tcW w:w="56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Amendment </w:t>
            </w:r>
            <w:r>
              <w:rPr>
                <w:rFonts w:ascii="Times New Roman" w:cs="Times New Roman" w:eastAsia="Times New Roman" w:hAnsi="Times New Roman"/>
                <w:sz w:val="10"/>
                <w:szCs w:val="10"/>
                <w:color w:val="auto"/>
                <w:vertAlign w:val="superscript"/>
              </w:rPr>
              <w:t>(8)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6/21/2024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06/21/2027</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23,451</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235</w:t>
            </w: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Beacon Behavioral Support Services, LLC - Unfunded Revolver </w:t>
            </w:r>
            <w:r>
              <w:rPr>
                <w:rFonts w:ascii="Times New Roman" w:cs="Times New Roman" w:eastAsia="Times New Roman" w:hAnsi="Times New Roman"/>
                <w:sz w:val="10"/>
                <w:szCs w:val="10"/>
                <w:color w:val="auto"/>
                <w:vertAlign w:val="superscript"/>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6/21/2024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06/21/2029</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2,104</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Best Practice Associates,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11/7/2024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11/08/2029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10.52%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58,648</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57,916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58,208</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Best Practice Associates, LLC - Unfunded Revolver </w:t>
            </w:r>
            <w:r>
              <w:rPr>
                <w:rFonts w:ascii="Times New Roman" w:cs="Times New Roman" w:eastAsia="Times New Roman" w:hAnsi="Times New Roman"/>
                <w:sz w:val="10"/>
                <w:szCs w:val="10"/>
                <w:color w:val="auto"/>
                <w:vertAlign w:val="superscript"/>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11/7/2024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11/08/2029</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5,732</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(43)</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Beta Plus Technologies, Inc.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2/29/2024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07/02/2029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Internet Software and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9.42%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32,658</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31,979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32,331</w:t>
            </w: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Big Top Holdings, LLC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2/29/2024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03/01/2030</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8.92%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525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27,739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27,429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27,739</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Big Top Holdings, LLC - Unfunded Revolver </w:t>
            </w:r>
            <w:r>
              <w:rPr>
                <w:rFonts w:ascii="Times New Roman" w:cs="Times New Roman" w:eastAsia="Times New Roman" w:hAnsi="Times New Roman"/>
                <w:sz w:val="10"/>
                <w:szCs w:val="10"/>
                <w:color w:val="auto"/>
                <w:vertAlign w:val="superscript"/>
              </w:rPr>
              <w:t>(8)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2/29/2024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02/28/2030</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4,479</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Equipment and</w:t>
            </w: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Bioderm, Inc.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8/27/2025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01/31/2028</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Supplies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10.36%</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650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990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982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977</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Equipment and</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Bioderm, Inc. - Funded Revolver</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1/30/2023</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01/31/2028</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Supplies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10.36%</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650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1,071</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1,071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1,058</w:t>
            </w:r>
          </w:p>
        </w:tc>
        <w:tc>
          <w:tcPr>
            <w:tcW w:w="0" w:type="dxa"/>
            <w:vAlign w:val="bottom"/>
          </w:tcPr>
          <w:p>
            <w:pPr>
              <w:spacing w:after="0"/>
              <w:rPr>
                <w:sz w:val="1"/>
                <w:szCs w:val="1"/>
                <w:color w:val="auto"/>
              </w:rPr>
            </w:pPr>
          </w:p>
        </w:tc>
      </w:tr>
    </w:tbl>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53"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2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vMerge w:val="restart"/>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Spread</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vMerge w:val="restart"/>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Fair</w:t>
            </w:r>
          </w:p>
        </w:tc>
        <w:tc>
          <w:tcPr>
            <w:tcW w:w="0" w:type="dxa"/>
            <w:vAlign w:val="bottom"/>
          </w:tcPr>
          <w:p>
            <w:pPr>
              <w:spacing w:after="0"/>
              <w:rPr>
                <w:sz w:val="1"/>
                <w:szCs w:val="1"/>
                <w:color w:val="auto"/>
              </w:rPr>
            </w:pPr>
          </w:p>
        </w:tc>
      </w:tr>
      <w:tr>
        <w:trPr>
          <w:trHeight w:val="82"/>
        </w:trPr>
        <w:tc>
          <w:tcPr>
            <w:tcW w:w="238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540" w:type="dxa"/>
            <w:vAlign w:val="bottom"/>
            <w:vMerge w:val="continue"/>
          </w:tcPr>
          <w:p>
            <w:pPr>
              <w:spacing w:after="0"/>
              <w:rPr>
                <w:sz w:val="7"/>
                <w:szCs w:val="7"/>
                <w:color w:val="auto"/>
              </w:rPr>
            </w:pPr>
          </w:p>
        </w:tc>
        <w:tc>
          <w:tcPr>
            <w:tcW w:w="560" w:type="dxa"/>
            <w:vAlign w:val="bottom"/>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w w:val="96"/>
              </w:rPr>
              <w:t>Above Index</w:t>
            </w:r>
          </w:p>
        </w:tc>
        <w:tc>
          <w:tcPr>
            <w:tcW w:w="640" w:type="dxa"/>
            <w:vAlign w:val="bottom"/>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Par / Shares</w:t>
            </w:r>
          </w:p>
        </w:tc>
        <w:tc>
          <w:tcPr>
            <w:tcW w:w="540" w:type="dxa"/>
            <w:vAlign w:val="bottom"/>
            <w:vMerge w:val="restart"/>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Cost</w:t>
            </w: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3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540" w:type="dxa"/>
            <w:vAlign w:val="bottom"/>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Coupon</w:t>
            </w:r>
          </w:p>
        </w:tc>
        <w:tc>
          <w:tcPr>
            <w:tcW w:w="560" w:type="dxa"/>
            <w:vAlign w:val="bottom"/>
          </w:tcPr>
          <w:p>
            <w:pPr>
              <w:jc w:val="center"/>
              <w:spacing w:after="0"/>
              <w:rPr>
                <w:sz w:val="20"/>
                <w:szCs w:val="20"/>
                <w:color w:val="auto"/>
              </w:rPr>
            </w:pPr>
            <w:r>
              <w:rPr>
                <w:rFonts w:ascii="Times New Roman" w:cs="Times New Roman" w:eastAsia="Times New Roman" w:hAnsi="Times New Roman"/>
                <w:sz w:val="5"/>
                <w:szCs w:val="5"/>
                <w:b w:val="1"/>
                <w:bCs w:val="1"/>
                <w:color w:val="auto"/>
              </w:rPr>
              <w:t>(1)</w:t>
            </w: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jc w:val="right"/>
              <w:ind w:right="120"/>
              <w:spacing w:after="0" w:line="92" w:lineRule="exact"/>
              <w:rPr>
                <w:sz w:val="20"/>
                <w:szCs w:val="20"/>
                <w:color w:val="auto"/>
              </w:rPr>
            </w:pPr>
            <w:r>
              <w:rPr>
                <w:rFonts w:ascii="Times New Roman" w:cs="Times New Roman" w:eastAsia="Times New Roman" w:hAnsi="Times New Roman"/>
                <w:sz w:val="8"/>
                <w:szCs w:val="8"/>
                <w:b w:val="1"/>
                <w:bCs w:val="1"/>
                <w:color w:val="auto"/>
              </w:rPr>
              <w:t xml:space="preserve">Value </w:t>
            </w:r>
            <w:r>
              <w:rPr>
                <w:rFonts w:ascii="Times New Roman" w:cs="Times New Roman" w:eastAsia="Times New Roman" w:hAnsi="Times New Roman"/>
                <w:sz w:val="10"/>
                <w:szCs w:val="10"/>
                <w:b w:val="1"/>
                <w:bCs w:val="1"/>
                <w:color w:val="auto"/>
                <w:vertAlign w:val="superscript"/>
              </w:rPr>
              <w:t>(2)</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Blackhawk Industrial Distribution, Inc.</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6/27/2022</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09/17/2026</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9.07%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540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8,106</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8,084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7,944</w:t>
            </w:r>
          </w:p>
        </w:tc>
        <w:tc>
          <w:tcPr>
            <w:tcW w:w="0" w:type="dxa"/>
            <w:vAlign w:val="bottom"/>
          </w:tcPr>
          <w:p>
            <w:pPr>
              <w:spacing w:after="0"/>
              <w:rPr>
                <w:sz w:val="1"/>
                <w:szCs w:val="1"/>
                <w:color w:val="auto"/>
              </w:rPr>
            </w:pPr>
          </w:p>
        </w:tc>
      </w:tr>
      <w:tr>
        <w:trPr>
          <w:trHeight w:val="102"/>
        </w:trPr>
        <w:tc>
          <w:tcPr>
            <w:tcW w:w="238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Blackhawk Industrial Distribution, Inc. - Funded Revolver </w:t>
            </w:r>
            <w:r>
              <w:rPr>
                <w:rFonts w:ascii="Times New Roman" w:cs="Times New Roman" w:eastAsia="Times New Roman" w:hAnsi="Times New Roman"/>
                <w:sz w:val="10"/>
                <w:szCs w:val="10"/>
                <w:color w:val="auto"/>
                <w:vertAlign w:val="superscript"/>
              </w:rPr>
              <w:t>(6)</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6/27/2022</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09/17/2026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9.07%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540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1,941</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1,941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1,902</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Blackhawk Industrial Distribution, Inc. - Unfunded Revolver </w:t>
            </w:r>
            <w:r>
              <w:rPr>
                <w:rFonts w:ascii="Times New Roman" w:cs="Times New Roman" w:eastAsia="Times New Roman" w:hAnsi="Times New Roman"/>
                <w:sz w:val="10"/>
                <w:szCs w:val="10"/>
                <w:color w:val="auto"/>
                <w:vertAlign w:val="superscript"/>
              </w:rPr>
              <w:t>(8)</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6/27/2022</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09/17/2026</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1,941</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(39)</w:t>
            </w:r>
          </w:p>
        </w:tc>
        <w:tc>
          <w:tcPr>
            <w:tcW w:w="0" w:type="dxa"/>
            <w:vAlign w:val="bottom"/>
          </w:tcPr>
          <w:p>
            <w:pPr>
              <w:spacing w:after="0"/>
              <w:rPr>
                <w:sz w:val="1"/>
                <w:szCs w:val="1"/>
                <w:color w:val="auto"/>
              </w:rPr>
            </w:pPr>
          </w:p>
        </w:tc>
      </w:tr>
      <w:tr>
        <w:trPr>
          <w:trHeight w:val="102"/>
        </w:trPr>
        <w:tc>
          <w:tcPr>
            <w:tcW w:w="238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BLC Holding Company, Inc.</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11/20/2024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11/20/2030</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8.20%</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450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19,305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19,187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19,305</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BLC Holding Company, Inc. - Unfunded Term Loan </w:t>
            </w:r>
            <w:r>
              <w:rPr>
                <w:rFonts w:ascii="Times New Roman" w:cs="Times New Roman" w:eastAsia="Times New Roman" w:hAnsi="Times New Roman"/>
                <w:sz w:val="10"/>
                <w:szCs w:val="10"/>
                <w:color w:val="auto"/>
                <w:vertAlign w:val="superscript"/>
              </w:rPr>
              <w:t>(8)</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11/20/2024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11/20/2026</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10,994</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82</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BLC Holding Company, Inc. - Unfunded Revolver </w:t>
            </w:r>
            <w:r>
              <w:rPr>
                <w:rFonts w:ascii="Times New Roman" w:cs="Times New Roman" w:eastAsia="Times New Roman" w:hAnsi="Times New Roman"/>
                <w:sz w:val="10"/>
                <w:szCs w:val="10"/>
                <w:color w:val="auto"/>
                <w:vertAlign w:val="superscript"/>
              </w:rPr>
              <w:t>(8)</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11/20/2024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11/20/2030</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4,398</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Blue Cloud Pediatric Surgery Centers LLC</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8/12/2025</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01/21/2031</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8.72%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500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6,036</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5,977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5,975</w:t>
            </w:r>
          </w:p>
        </w:tc>
        <w:tc>
          <w:tcPr>
            <w:tcW w:w="0" w:type="dxa"/>
            <w:vAlign w:val="bottom"/>
          </w:tcPr>
          <w:p>
            <w:pPr>
              <w:spacing w:after="0"/>
              <w:rPr>
                <w:sz w:val="1"/>
                <w:szCs w:val="1"/>
                <w:color w:val="auto"/>
              </w:rPr>
            </w:pPr>
          </w:p>
        </w:tc>
      </w:tr>
      <w:tr>
        <w:trPr>
          <w:trHeight w:val="102"/>
        </w:trPr>
        <w:tc>
          <w:tcPr>
            <w:tcW w:w="238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Blue Cloud Pediatric Surgery Centers LLC - Unfunded Term Loan </w:t>
            </w:r>
            <w:r>
              <w:rPr>
                <w:rFonts w:ascii="Times New Roman" w:cs="Times New Roman" w:eastAsia="Times New Roman" w:hAnsi="Times New Roman"/>
                <w:sz w:val="10"/>
                <w:szCs w:val="10"/>
                <w:color w:val="auto"/>
                <w:vertAlign w:val="superscript"/>
              </w:rPr>
              <w:t>(8)</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8/12/2025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07/30/2027</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4,469</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Independent Power and</w:t>
            </w: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Boss Industries, LLC</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12/27/2024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12/27/2030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Renewable Electricity Producers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8.71%</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500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12,053</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11,977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12,053</w:t>
            </w:r>
          </w:p>
        </w:tc>
        <w:tc>
          <w:tcPr>
            <w:tcW w:w="0" w:type="dxa"/>
            <w:vAlign w:val="bottom"/>
          </w:tcPr>
          <w:p>
            <w:pPr>
              <w:spacing w:after="0"/>
              <w:rPr>
                <w:sz w:val="1"/>
                <w:szCs w:val="1"/>
                <w:color w:val="auto"/>
              </w:rPr>
            </w:pPr>
          </w:p>
        </w:tc>
      </w:tr>
      <w:tr>
        <w:trPr>
          <w:trHeight w:val="102"/>
        </w:trPr>
        <w:tc>
          <w:tcPr>
            <w:tcW w:w="238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Independent Power and</w:t>
            </w: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Boss Industries, LLC - Unfunded Revolver </w:t>
            </w:r>
            <w:r>
              <w:rPr>
                <w:rFonts w:ascii="Times New Roman" w:cs="Times New Roman" w:eastAsia="Times New Roman" w:hAnsi="Times New Roman"/>
                <w:sz w:val="10"/>
                <w:szCs w:val="10"/>
                <w:color w:val="auto"/>
                <w:vertAlign w:val="superscript"/>
              </w:rPr>
              <w:t>(8)</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12/27/2024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12/27/2030</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Renewable Electricity Producers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2,744</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Burgess Point Purchaser Corporation</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8/12/2024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07/25/2029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Auto Components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9.19%</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535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18,674</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17,589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15,766</w:t>
            </w:r>
          </w:p>
        </w:tc>
        <w:tc>
          <w:tcPr>
            <w:tcW w:w="0" w:type="dxa"/>
            <w:vAlign w:val="bottom"/>
          </w:tcPr>
          <w:p>
            <w:pPr>
              <w:spacing w:after="0"/>
              <w:rPr>
                <w:sz w:val="1"/>
                <w:szCs w:val="1"/>
                <w:color w:val="auto"/>
              </w:rPr>
            </w:pPr>
          </w:p>
        </w:tc>
      </w:tr>
      <w:tr>
        <w:trPr>
          <w:trHeight w:val="102"/>
        </w:trPr>
        <w:tc>
          <w:tcPr>
            <w:tcW w:w="238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By Light Professional IT Services, LLC</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7/15/2025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07/15/2031</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High Tech Industries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9.22%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550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21,000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20,843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20,790</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By Light Professional IT Services, LLC - Unfunded Revolver </w:t>
            </w:r>
            <w:r>
              <w:rPr>
                <w:rFonts w:ascii="Times New Roman" w:cs="Times New Roman" w:eastAsia="Times New Roman" w:hAnsi="Times New Roman"/>
                <w:sz w:val="10"/>
                <w:szCs w:val="10"/>
                <w:color w:val="auto"/>
                <w:vertAlign w:val="superscript"/>
              </w:rPr>
              <w:t>(6), (8)</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7/15/2025</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07/15/2031</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High Tech Industries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3,671</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(37)</w:t>
            </w:r>
          </w:p>
        </w:tc>
        <w:tc>
          <w:tcPr>
            <w:tcW w:w="0" w:type="dxa"/>
            <w:vAlign w:val="bottom"/>
          </w:tcPr>
          <w:p>
            <w:pPr>
              <w:spacing w:after="0"/>
              <w:rPr>
                <w:sz w:val="1"/>
                <w:szCs w:val="1"/>
                <w:color w:val="auto"/>
              </w:rPr>
            </w:pPr>
          </w:p>
        </w:tc>
      </w:tr>
      <w:tr>
        <w:trPr>
          <w:trHeight w:val="102"/>
        </w:trPr>
        <w:tc>
          <w:tcPr>
            <w:tcW w:w="238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Capital Construction, LLC</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6/30/2025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10/22/2026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9.56%</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590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7,980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7,940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7,880</w:t>
            </w: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Carisk Buyer, Inc.</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11/27/2023</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12/03/2029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8.67%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500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5,404</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5,345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5,444</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Carisk Buyer, Inc. - Unfunded Term Loan </w:t>
            </w:r>
            <w:r>
              <w:rPr>
                <w:rFonts w:ascii="Times New Roman" w:cs="Times New Roman" w:eastAsia="Times New Roman" w:hAnsi="Times New Roman"/>
                <w:sz w:val="10"/>
                <w:szCs w:val="10"/>
                <w:color w:val="auto"/>
                <w:vertAlign w:val="superscript"/>
              </w:rPr>
              <w:t>(8)</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11/27/2023</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12/03/2029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7,868</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130</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Carisk Buyer, Inc. - Unfunded Revolver </w:t>
            </w:r>
            <w:r>
              <w:rPr>
                <w:rFonts w:ascii="Times New Roman" w:cs="Times New Roman" w:eastAsia="Times New Roman" w:hAnsi="Times New Roman"/>
                <w:sz w:val="10"/>
                <w:szCs w:val="10"/>
                <w:color w:val="auto"/>
                <w:vertAlign w:val="superscript"/>
              </w:rPr>
              <w:t>(6), (8)</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11/27/2023</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12/03/2029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1,750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02"/>
        </w:trPr>
        <w:tc>
          <w:tcPr>
            <w:tcW w:w="238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Carnegie Dartlet, LLC</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2/7/2024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02/07/2030</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9.22%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550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33,721</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33,313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33,384</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Carnegie Dartlet, LLC - Unfunded Term Loan </w:t>
            </w:r>
            <w:r>
              <w:rPr>
                <w:rFonts w:ascii="Times New Roman" w:cs="Times New Roman" w:eastAsia="Times New Roman" w:hAnsi="Times New Roman"/>
                <w:sz w:val="10"/>
                <w:szCs w:val="10"/>
                <w:color w:val="auto"/>
                <w:vertAlign w:val="superscript"/>
              </w:rPr>
              <w:t>(8)</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2/7/2024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02/09/2026</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12,430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Carnegie Dartlet, LLC - Unfunded Revolver </w:t>
            </w:r>
            <w:r>
              <w:rPr>
                <w:rFonts w:ascii="Times New Roman" w:cs="Times New Roman" w:eastAsia="Times New Roman" w:hAnsi="Times New Roman"/>
                <w:sz w:val="10"/>
                <w:szCs w:val="10"/>
                <w:color w:val="auto"/>
                <w:vertAlign w:val="superscript"/>
              </w:rPr>
              <w:t>(8)</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2/7/2024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02/07/2030</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5,405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(54)</w:t>
            </w: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Cartessa Aesthetics, LLC</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6/1/2022</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06/14/2028</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9.67%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600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15,681</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15,586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15,681</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Cartessa Aesthetics, LLC - Unfunded Revolver </w:t>
            </w:r>
            <w:r>
              <w:rPr>
                <w:rFonts w:ascii="Times New Roman" w:cs="Times New Roman" w:eastAsia="Times New Roman" w:hAnsi="Times New Roman"/>
                <w:sz w:val="10"/>
                <w:szCs w:val="10"/>
                <w:color w:val="auto"/>
                <w:vertAlign w:val="superscript"/>
              </w:rPr>
              <w:t>(6), (8)</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6/1/2022</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06/14/2028</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1,438</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Case Works, LLC</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10/1/2024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10/01/2029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8.97%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525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15,954</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15,841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15,683</w:t>
            </w:r>
          </w:p>
        </w:tc>
        <w:tc>
          <w:tcPr>
            <w:tcW w:w="0" w:type="dxa"/>
            <w:vAlign w:val="bottom"/>
          </w:tcPr>
          <w:p>
            <w:pPr>
              <w:spacing w:after="0"/>
              <w:rPr>
                <w:sz w:val="1"/>
                <w:szCs w:val="1"/>
                <w:color w:val="auto"/>
              </w:rPr>
            </w:pPr>
          </w:p>
        </w:tc>
      </w:tr>
      <w:tr>
        <w:trPr>
          <w:trHeight w:val="102"/>
        </w:trPr>
        <w:tc>
          <w:tcPr>
            <w:tcW w:w="238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Case Works, LLC - Funded Revolver</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10/1/2024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10/01/2029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8.92%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525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2,383</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2,383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2,342</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Case Works, LLC - Unfunded Revolver </w:t>
            </w:r>
            <w:r>
              <w:rPr>
                <w:rFonts w:ascii="Times New Roman" w:cs="Times New Roman" w:eastAsia="Times New Roman" w:hAnsi="Times New Roman"/>
                <w:sz w:val="10"/>
                <w:szCs w:val="10"/>
                <w:color w:val="auto"/>
                <w:vertAlign w:val="superscript"/>
              </w:rPr>
              <w:t>(8)</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10/1/2024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10/01/2029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1,725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(29)</w:t>
            </w:r>
          </w:p>
        </w:tc>
        <w:tc>
          <w:tcPr>
            <w:tcW w:w="0" w:type="dxa"/>
            <w:vAlign w:val="bottom"/>
          </w:tcPr>
          <w:p>
            <w:pPr>
              <w:spacing w:after="0"/>
              <w:rPr>
                <w:sz w:val="1"/>
                <w:szCs w:val="1"/>
                <w:color w:val="auto"/>
              </w:rPr>
            </w:pPr>
          </w:p>
        </w:tc>
      </w:tr>
      <w:tr>
        <w:trPr>
          <w:trHeight w:val="102"/>
        </w:trPr>
        <w:tc>
          <w:tcPr>
            <w:tcW w:w="238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Cf512, Inc.</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8/17/2021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08/20/2026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9.98%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619</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10,273</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10,228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10,170</w:t>
            </w: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Cf512, Inc. - Funded Revolver</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8/17/2021</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08/20/2026</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9.74%</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602</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86</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86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85</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Cf512, Inc. - Unfunded Revolver </w:t>
            </w:r>
            <w:r>
              <w:rPr>
                <w:rFonts w:ascii="Times New Roman" w:cs="Times New Roman" w:eastAsia="Times New Roman" w:hAnsi="Times New Roman"/>
                <w:sz w:val="10"/>
                <w:szCs w:val="10"/>
                <w:color w:val="auto"/>
                <w:vertAlign w:val="superscript"/>
              </w:rPr>
              <w:t>(6), (8)</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8/17/2021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08/20/2026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869</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w:t>
            </w: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CJX Borrower, LLC</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7/8/2021</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07/13/2027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9.70%</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576</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8,290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8,213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8,290</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CJX Borrower, LLC - Unfunded Term Loan </w:t>
            </w:r>
            <w:r>
              <w:rPr>
                <w:rFonts w:ascii="Times New Roman" w:cs="Times New Roman" w:eastAsia="Times New Roman" w:hAnsi="Times New Roman"/>
                <w:sz w:val="10"/>
                <w:szCs w:val="10"/>
                <w:color w:val="auto"/>
                <w:vertAlign w:val="superscript"/>
              </w:rPr>
              <w:t>(8)</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7/8/2021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07/13/2027</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335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62</w:t>
            </w: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CJX Borrower, LLC - Funded Revolver</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7/8/2021</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07/13/2027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9.70%</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576</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543</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543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543</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CJX Borrower, LLC - Unfunded Revolver </w:t>
            </w:r>
            <w:r>
              <w:rPr>
                <w:rFonts w:ascii="Times New Roman" w:cs="Times New Roman" w:eastAsia="Times New Roman" w:hAnsi="Times New Roman"/>
                <w:sz w:val="10"/>
                <w:szCs w:val="10"/>
                <w:color w:val="auto"/>
                <w:vertAlign w:val="superscript"/>
              </w:rPr>
              <w:t>(8)</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7/8/2021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07/13/2027</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691</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Coolsys, Inc.</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8/27/2025</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08/11/2028</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8.63%</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501</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2,245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1,939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1,984</w:t>
            </w:r>
          </w:p>
        </w:tc>
        <w:tc>
          <w:tcPr>
            <w:tcW w:w="0" w:type="dxa"/>
            <w:vAlign w:val="bottom"/>
          </w:tcPr>
          <w:p>
            <w:pPr>
              <w:spacing w:after="0"/>
              <w:rPr>
                <w:sz w:val="1"/>
                <w:szCs w:val="1"/>
                <w:color w:val="auto"/>
              </w:rPr>
            </w:pPr>
          </w:p>
        </w:tc>
      </w:tr>
      <w:tr>
        <w:trPr>
          <w:trHeight w:val="102"/>
        </w:trPr>
        <w:tc>
          <w:tcPr>
            <w:tcW w:w="238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Commercial Fire Protection Holdings, LLC</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9/23/2024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09/23/2030</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8.22%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450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35,028</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34,801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35,028</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Commercial Fire Protection Holdings, LLC - Unfunded Term Loan </w:t>
            </w:r>
            <w:r>
              <w:rPr>
                <w:rFonts w:ascii="Times New Roman" w:cs="Times New Roman" w:eastAsia="Times New Roman" w:hAnsi="Times New Roman"/>
                <w:sz w:val="10"/>
                <w:szCs w:val="10"/>
                <w:color w:val="auto"/>
                <w:vertAlign w:val="superscript"/>
              </w:rPr>
              <w:t>(8)</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9/23/2024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09/23/2026</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9,592</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72</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Commercial Fire Protection Holdings, LLC - Unfunded Revolver </w:t>
            </w:r>
            <w:r>
              <w:rPr>
                <w:rFonts w:ascii="Times New Roman" w:cs="Times New Roman" w:eastAsia="Times New Roman" w:hAnsi="Times New Roman"/>
                <w:sz w:val="10"/>
                <w:szCs w:val="10"/>
                <w:color w:val="auto"/>
                <w:vertAlign w:val="superscript"/>
              </w:rPr>
              <w:t>(8)</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9/23/2024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09/23/2030</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5,014</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Confluent Health, LLC</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3/25/2024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11/30/2028</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7.83%</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400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11,673</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11,171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11,121</w:t>
            </w:r>
          </w:p>
        </w:tc>
        <w:tc>
          <w:tcPr>
            <w:tcW w:w="0" w:type="dxa"/>
            <w:vAlign w:val="bottom"/>
          </w:tcPr>
          <w:p>
            <w:pPr>
              <w:spacing w:after="0"/>
              <w:rPr>
                <w:sz w:val="1"/>
                <w:szCs w:val="1"/>
                <w:color w:val="auto"/>
              </w:rPr>
            </w:pPr>
          </w:p>
        </w:tc>
      </w:tr>
      <w:tr>
        <w:trPr>
          <w:trHeight w:val="102"/>
        </w:trPr>
        <w:tc>
          <w:tcPr>
            <w:tcW w:w="238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Cornerstone Advisors of Arizona, LLC</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5/13/2025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05/13/2032</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Consulting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8.42%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12,801</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12,737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12,737</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Cornerstone Advisors of Arizona, LLC - Unfunded Revolver </w:t>
            </w:r>
            <w:r>
              <w:rPr>
                <w:rFonts w:ascii="Times New Roman" w:cs="Times New Roman" w:eastAsia="Times New Roman" w:hAnsi="Times New Roman"/>
                <w:sz w:val="10"/>
                <w:szCs w:val="10"/>
                <w:color w:val="auto"/>
                <w:vertAlign w:val="superscript"/>
              </w:rPr>
              <w:t>(8)</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5/13/2025</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05/13/2032</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Consulting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1,705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w:t>
            </w:r>
          </w:p>
        </w:tc>
        <w:tc>
          <w:tcPr>
            <w:tcW w:w="0" w:type="dxa"/>
            <w:vAlign w:val="bottom"/>
          </w:tcPr>
          <w:p>
            <w:pPr>
              <w:spacing w:after="0"/>
              <w:rPr>
                <w:sz w:val="1"/>
                <w:szCs w:val="1"/>
                <w:color w:val="auto"/>
              </w:rPr>
            </w:pPr>
          </w:p>
        </w:tc>
      </w:tr>
      <w:tr>
        <w:trPr>
          <w:trHeight w:val="102"/>
        </w:trPr>
        <w:tc>
          <w:tcPr>
            <w:tcW w:w="238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Crane 1 Services, Inc.</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8/11/2021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08/16/2027</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9.08%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525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4,221</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4,191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4,189</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Crane 1 Services, Inc. - Unfunded Revolver </w:t>
            </w:r>
            <w:r>
              <w:rPr>
                <w:rFonts w:ascii="Times New Roman" w:cs="Times New Roman" w:eastAsia="Times New Roman" w:hAnsi="Times New Roman"/>
                <w:sz w:val="10"/>
                <w:szCs w:val="10"/>
                <w:color w:val="auto"/>
                <w:vertAlign w:val="superscript"/>
              </w:rPr>
              <w:t>(6), (8)</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8/11/2021</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08/16/2027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502</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w:t>
            </w:r>
          </w:p>
        </w:tc>
        <w:tc>
          <w:tcPr>
            <w:tcW w:w="0" w:type="dxa"/>
            <w:vAlign w:val="bottom"/>
          </w:tcPr>
          <w:p>
            <w:pPr>
              <w:spacing w:after="0"/>
              <w:rPr>
                <w:sz w:val="1"/>
                <w:szCs w:val="1"/>
                <w:color w:val="auto"/>
              </w:rPr>
            </w:pPr>
          </w:p>
        </w:tc>
      </w:tr>
      <w:tr>
        <w:trPr>
          <w:trHeight w:val="102"/>
        </w:trPr>
        <w:tc>
          <w:tcPr>
            <w:tcW w:w="238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C5MI Acquisition, LLC</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7/31/2024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07/31/2029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9.67%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600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28,638</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28,299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28,638</w:t>
            </w: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C5MI Acquisition, LLC - Funded Revolver</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7/31/2024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07/31/2029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9.67%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600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3,637</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3,637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3,637</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C5MI Acquisition, LLC - Unfunded Revolver </w:t>
            </w:r>
            <w:r>
              <w:rPr>
                <w:rFonts w:ascii="Times New Roman" w:cs="Times New Roman" w:eastAsia="Times New Roman" w:hAnsi="Times New Roman"/>
                <w:sz w:val="10"/>
                <w:szCs w:val="10"/>
                <w:color w:val="auto"/>
                <w:vertAlign w:val="superscript"/>
              </w:rPr>
              <w:t>(8)</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7/31/2024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07/31/2029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5,456</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DRI Holding Inc.</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5/23/2024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12/21/2028</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9.07%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535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13,134</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12,911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12,871</w:t>
            </w:r>
          </w:p>
        </w:tc>
        <w:tc>
          <w:tcPr>
            <w:tcW w:w="0" w:type="dxa"/>
            <w:vAlign w:val="bottom"/>
          </w:tcPr>
          <w:p>
            <w:pPr>
              <w:spacing w:after="0"/>
              <w:rPr>
                <w:sz w:val="1"/>
                <w:szCs w:val="1"/>
                <w:color w:val="auto"/>
              </w:rPr>
            </w:pPr>
          </w:p>
        </w:tc>
      </w:tr>
      <w:tr>
        <w:trPr>
          <w:trHeight w:val="102"/>
        </w:trPr>
        <w:tc>
          <w:tcPr>
            <w:tcW w:w="238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DRS Holdings III, Inc.</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10/29/2019</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11/01/2028</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Chemicals, Plastics and Rubber</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8.97%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525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6,613</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6,585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6,679</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DRS Holdings III, Inc. - Unfunded Revolver </w:t>
            </w:r>
            <w:r>
              <w:rPr>
                <w:rFonts w:ascii="Times New Roman" w:cs="Times New Roman" w:eastAsia="Times New Roman" w:hAnsi="Times New Roman"/>
                <w:sz w:val="10"/>
                <w:szCs w:val="10"/>
                <w:color w:val="auto"/>
                <w:vertAlign w:val="superscript"/>
              </w:rPr>
              <w:t>(6), (8)</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10/29/2019</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11/01/2028</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487</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8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Duggal Acquisition, LLC</w:t>
            </w:r>
          </w:p>
        </w:tc>
        <w:tc>
          <w:tcPr>
            <w:tcW w:w="6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9/30/2024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09/30/2030</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Marketing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8.42%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10,192</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10,107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10,192</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53"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0" w:type="dxa"/>
            <w:vAlign w:val="bottom"/>
            <w:vMerge w:val="restart"/>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Spread</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vMerge w:val="restart"/>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Fair</w:t>
            </w:r>
          </w:p>
        </w:tc>
        <w:tc>
          <w:tcPr>
            <w:tcW w:w="0" w:type="dxa"/>
            <w:vAlign w:val="bottom"/>
          </w:tcPr>
          <w:p>
            <w:pPr>
              <w:spacing w:after="0"/>
              <w:rPr>
                <w:sz w:val="1"/>
                <w:szCs w:val="1"/>
                <w:color w:val="auto"/>
              </w:rPr>
            </w:pPr>
          </w:p>
        </w:tc>
      </w:tr>
      <w:tr>
        <w:trPr>
          <w:trHeight w:val="82"/>
        </w:trPr>
        <w:tc>
          <w:tcPr>
            <w:tcW w:w="240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560" w:type="dxa"/>
            <w:vAlign w:val="bottom"/>
            <w:vMerge w:val="continue"/>
          </w:tcPr>
          <w:p>
            <w:pPr>
              <w:spacing w:after="0"/>
              <w:rPr>
                <w:sz w:val="7"/>
                <w:szCs w:val="7"/>
                <w:color w:val="auto"/>
              </w:rPr>
            </w:pPr>
          </w:p>
        </w:tc>
        <w:tc>
          <w:tcPr>
            <w:tcW w:w="560" w:type="dxa"/>
            <w:vAlign w:val="bottom"/>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w w:val="96"/>
              </w:rPr>
              <w:t>Above Index</w:t>
            </w:r>
          </w:p>
        </w:tc>
        <w:tc>
          <w:tcPr>
            <w:tcW w:w="640" w:type="dxa"/>
            <w:vAlign w:val="bottom"/>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Par / Shares</w:t>
            </w:r>
          </w:p>
        </w:tc>
        <w:tc>
          <w:tcPr>
            <w:tcW w:w="540" w:type="dxa"/>
            <w:vAlign w:val="bottom"/>
            <w:vMerge w:val="restart"/>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Cost</w:t>
            </w: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4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560" w:type="dxa"/>
            <w:vAlign w:val="bottom"/>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Coupon</w:t>
            </w:r>
          </w:p>
        </w:tc>
        <w:tc>
          <w:tcPr>
            <w:tcW w:w="560" w:type="dxa"/>
            <w:vAlign w:val="bottom"/>
          </w:tcPr>
          <w:p>
            <w:pPr>
              <w:jc w:val="center"/>
              <w:spacing w:after="0"/>
              <w:rPr>
                <w:sz w:val="20"/>
                <w:szCs w:val="20"/>
                <w:color w:val="auto"/>
              </w:rPr>
            </w:pPr>
            <w:r>
              <w:rPr>
                <w:rFonts w:ascii="Times New Roman" w:cs="Times New Roman" w:eastAsia="Times New Roman" w:hAnsi="Times New Roman"/>
                <w:sz w:val="5"/>
                <w:szCs w:val="5"/>
                <w:b w:val="1"/>
                <w:bCs w:val="1"/>
                <w:color w:val="auto"/>
              </w:rPr>
              <w:t>(1)</w:t>
            </w: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jc w:val="right"/>
              <w:ind w:right="120"/>
              <w:spacing w:after="0" w:line="92" w:lineRule="exact"/>
              <w:rPr>
                <w:sz w:val="20"/>
                <w:szCs w:val="20"/>
                <w:color w:val="auto"/>
              </w:rPr>
            </w:pPr>
            <w:r>
              <w:rPr>
                <w:rFonts w:ascii="Times New Roman" w:cs="Times New Roman" w:eastAsia="Times New Roman" w:hAnsi="Times New Roman"/>
                <w:sz w:val="8"/>
                <w:szCs w:val="8"/>
                <w:b w:val="1"/>
                <w:bCs w:val="1"/>
                <w:color w:val="auto"/>
              </w:rPr>
              <w:t xml:space="preserve">Value </w:t>
            </w:r>
            <w:r>
              <w:rPr>
                <w:rFonts w:ascii="Times New Roman" w:cs="Times New Roman" w:eastAsia="Times New Roman" w:hAnsi="Times New Roman"/>
                <w:sz w:val="10"/>
                <w:szCs w:val="10"/>
                <w:b w:val="1"/>
                <w:bCs w:val="1"/>
                <w:color w:val="auto"/>
                <w:vertAlign w:val="superscript"/>
              </w:rPr>
              <w:t>(2)</w:t>
            </w:r>
          </w:p>
        </w:tc>
        <w:tc>
          <w:tcPr>
            <w:tcW w:w="0" w:type="dxa"/>
            <w:vAlign w:val="bottom"/>
          </w:tcPr>
          <w:p>
            <w:pPr>
              <w:spacing w:after="0"/>
              <w:rPr>
                <w:sz w:val="1"/>
                <w:szCs w:val="1"/>
                <w:color w:val="auto"/>
              </w:rPr>
            </w:pPr>
          </w:p>
        </w:tc>
      </w:tr>
      <w:tr>
        <w:trPr>
          <w:trHeight w:val="100"/>
        </w:trPr>
        <w:tc>
          <w:tcPr>
            <w:tcW w:w="240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Duggal Acquisition, LLC - Unfunded Term Loan </w:t>
            </w:r>
            <w:r>
              <w:rPr>
                <w:rFonts w:ascii="Times New Roman" w:cs="Times New Roman" w:eastAsia="Times New Roman" w:hAnsi="Times New Roman"/>
                <w:sz w:val="10"/>
                <w:szCs w:val="10"/>
                <w:color w:val="auto"/>
                <w:vertAlign w:val="superscript"/>
              </w:rPr>
              <w:t>(8)</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9/30/2024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09/30/2026</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Marketing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4,470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45</w:t>
            </w:r>
          </w:p>
        </w:tc>
        <w:tc>
          <w:tcPr>
            <w:tcW w:w="0" w:type="dxa"/>
            <w:vAlign w:val="bottom"/>
          </w:tcPr>
          <w:p>
            <w:pPr>
              <w:spacing w:after="0"/>
              <w:rPr>
                <w:sz w:val="1"/>
                <w:szCs w:val="1"/>
                <w:color w:val="auto"/>
              </w:rPr>
            </w:pPr>
          </w:p>
        </w:tc>
      </w:tr>
      <w:tr>
        <w:trPr>
          <w:trHeight w:val="101"/>
        </w:trPr>
        <w:tc>
          <w:tcPr>
            <w:tcW w:w="24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Duggal Acquisition, LLC - Unfunded Revolver </w:t>
            </w:r>
            <w:r>
              <w:rPr>
                <w:rFonts w:ascii="Times New Roman" w:cs="Times New Roman" w:eastAsia="Times New Roman" w:hAnsi="Times New Roman"/>
                <w:sz w:val="10"/>
                <w:szCs w:val="10"/>
                <w:color w:val="auto"/>
                <w:vertAlign w:val="superscript"/>
              </w:rPr>
              <w:t>(8)</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9/30/2024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09/30/2030</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Marketing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5,605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tcPr>
          <w:p>
            <w:pPr>
              <w:spacing w:after="0"/>
              <w:rPr>
                <w:sz w:val="20"/>
                <w:szCs w:val="20"/>
                <w:color w:val="auto"/>
              </w:rPr>
            </w:pPr>
            <w:r>
              <w:rPr>
                <w:rFonts w:ascii="Times New Roman" w:cs="Times New Roman" w:eastAsia="Times New Roman" w:hAnsi="Times New Roman"/>
                <w:sz w:val="8"/>
                <w:szCs w:val="8"/>
                <w:color w:val="auto"/>
              </w:rPr>
              <w:t>DX Electric Company, LLC</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10/1/2025</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10/01/2031</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Instruments, and Components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8.92%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525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7,046</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6,994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6,994</w:t>
            </w:r>
          </w:p>
        </w:tc>
        <w:tc>
          <w:tcPr>
            <w:tcW w:w="0" w:type="dxa"/>
            <w:vAlign w:val="bottom"/>
          </w:tcPr>
          <w:p>
            <w:pPr>
              <w:spacing w:after="0"/>
              <w:rPr>
                <w:sz w:val="1"/>
                <w:szCs w:val="1"/>
                <w:color w:val="auto"/>
              </w:rPr>
            </w:pPr>
          </w:p>
        </w:tc>
      </w:tr>
      <w:tr>
        <w:trPr>
          <w:trHeight w:val="102"/>
        </w:trPr>
        <w:tc>
          <w:tcPr>
            <w:tcW w:w="24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DX Electric Company, LLC - Unfunded Revolver </w:t>
            </w:r>
            <w:r>
              <w:rPr>
                <w:rFonts w:ascii="Times New Roman" w:cs="Times New Roman" w:eastAsia="Times New Roman" w:hAnsi="Times New Roman"/>
                <w:sz w:val="10"/>
                <w:szCs w:val="10"/>
                <w:color w:val="auto"/>
                <w:vertAlign w:val="superscript"/>
              </w:rPr>
              <w:t>(8)</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10/1/2025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10/01/2031</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Instruments, and Components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1,257</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tcPr>
          <w:p>
            <w:pPr>
              <w:spacing w:after="0"/>
              <w:rPr>
                <w:sz w:val="20"/>
                <w:szCs w:val="20"/>
                <w:color w:val="auto"/>
              </w:rPr>
            </w:pPr>
            <w:r>
              <w:rPr>
                <w:rFonts w:ascii="Times New Roman" w:cs="Times New Roman" w:eastAsia="Times New Roman" w:hAnsi="Times New Roman"/>
                <w:sz w:val="8"/>
                <w:szCs w:val="8"/>
                <w:color w:val="auto"/>
              </w:rPr>
              <w:t>Dynata, LLC - First Out Term Loan</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7/15/2024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07/17/2028</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9.14%</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526</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2,359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2,263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2,337</w:t>
            </w:r>
          </w:p>
        </w:tc>
        <w:tc>
          <w:tcPr>
            <w:tcW w:w="0" w:type="dxa"/>
            <w:vAlign w:val="bottom"/>
          </w:tcPr>
          <w:p>
            <w:pPr>
              <w:spacing w:after="0"/>
              <w:rPr>
                <w:sz w:val="1"/>
                <w:szCs w:val="1"/>
                <w:color w:val="auto"/>
              </w:rPr>
            </w:pPr>
          </w:p>
        </w:tc>
      </w:tr>
      <w:tr>
        <w:trPr>
          <w:trHeight w:val="102"/>
        </w:trPr>
        <w:tc>
          <w:tcPr>
            <w:tcW w:w="24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Dynata, LLC - Last Out Term Loan</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7/15/2024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10/16/2028</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9.64%</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576</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14,635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14,130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8,873</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tcPr>
          <w:p>
            <w:pPr>
              <w:spacing w:after="0"/>
              <w:rPr>
                <w:sz w:val="20"/>
                <w:szCs w:val="20"/>
                <w:color w:val="auto"/>
              </w:rPr>
            </w:pPr>
            <w:r>
              <w:rPr>
                <w:rFonts w:ascii="Times New Roman" w:cs="Times New Roman" w:eastAsia="Times New Roman" w:hAnsi="Times New Roman"/>
                <w:sz w:val="8"/>
                <w:szCs w:val="8"/>
                <w:color w:val="auto"/>
              </w:rPr>
              <w:t>Emergency Care Partners, LLC</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10/18/2024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10/18/2027</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8.72%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500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7,920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7,881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7,920</w:t>
            </w:r>
          </w:p>
        </w:tc>
        <w:tc>
          <w:tcPr>
            <w:tcW w:w="0" w:type="dxa"/>
            <w:vAlign w:val="bottom"/>
          </w:tcPr>
          <w:p>
            <w:pPr>
              <w:spacing w:after="0"/>
              <w:rPr>
                <w:sz w:val="1"/>
                <w:szCs w:val="1"/>
                <w:color w:val="auto"/>
              </w:rPr>
            </w:pPr>
          </w:p>
        </w:tc>
      </w:tr>
      <w:tr>
        <w:trPr>
          <w:trHeight w:val="102"/>
        </w:trPr>
        <w:tc>
          <w:tcPr>
            <w:tcW w:w="24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Emergency Care Partners, LLC - Unfunded Term Loan </w:t>
            </w:r>
            <w:r>
              <w:rPr>
                <w:rFonts w:ascii="Times New Roman" w:cs="Times New Roman" w:eastAsia="Times New Roman" w:hAnsi="Times New Roman"/>
                <w:sz w:val="10"/>
                <w:szCs w:val="10"/>
                <w:color w:val="auto"/>
                <w:vertAlign w:val="superscript"/>
              </w:rPr>
              <w:t>(8)</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10/18/2024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10/19/2026</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4,320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Emergency Care Partners, LLC - Unfunded Revolver </w:t>
            </w:r>
            <w:r>
              <w:rPr>
                <w:rFonts w:ascii="Times New Roman" w:cs="Times New Roman" w:eastAsia="Times New Roman" w:hAnsi="Times New Roman"/>
                <w:sz w:val="10"/>
                <w:szCs w:val="10"/>
                <w:color w:val="auto"/>
                <w:vertAlign w:val="superscript"/>
              </w:rPr>
              <w:t>(8)</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10/18/2024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10/18/2027</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1,810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EDS Buyer, LLC</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12/19/2022</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01/10/2029</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Instruments, and Components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8.49%</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10,539</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10,444</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10,565</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EDS Buyer, LLC. - Unfunded Revolver </w:t>
            </w:r>
            <w:r>
              <w:rPr>
                <w:rFonts w:ascii="Times New Roman" w:cs="Times New Roman" w:eastAsia="Times New Roman" w:hAnsi="Times New Roman"/>
                <w:sz w:val="10"/>
                <w:szCs w:val="10"/>
                <w:color w:val="auto"/>
                <w:vertAlign w:val="superscript"/>
              </w:rPr>
              <w:t>(6), (8)</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12/19/2022</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01/10/2029</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Instruments, and Components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2,298</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02"/>
        </w:trPr>
        <w:tc>
          <w:tcPr>
            <w:tcW w:w="24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Media: Diversified and</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Efficient Collaborative Retail Marketing Company, LLC</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10/23/2018</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09/30/2026</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Production</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10.68%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701</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8,392</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8,413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6,713</w:t>
            </w:r>
          </w:p>
        </w:tc>
        <w:tc>
          <w:tcPr>
            <w:tcW w:w="0" w:type="dxa"/>
            <w:vAlign w:val="bottom"/>
          </w:tcPr>
          <w:p>
            <w:pPr>
              <w:spacing w:after="0"/>
              <w:rPr>
                <w:sz w:val="1"/>
                <w:szCs w:val="1"/>
                <w:color w:val="auto"/>
              </w:rPr>
            </w:pPr>
          </w:p>
        </w:tc>
      </w:tr>
      <w:tr>
        <w:trPr>
          <w:trHeight w:val="101"/>
        </w:trPr>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(PIK 2.5%)</w:t>
            </w: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ETE Intermediate II, LLC</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5/24/2023</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05/29/2029</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8.72%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500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1,651</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1,642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1,651</w:t>
            </w:r>
          </w:p>
        </w:tc>
        <w:tc>
          <w:tcPr>
            <w:tcW w:w="0" w:type="dxa"/>
            <w:vAlign w:val="bottom"/>
          </w:tcPr>
          <w:p>
            <w:pPr>
              <w:spacing w:after="0"/>
              <w:rPr>
                <w:sz w:val="1"/>
                <w:szCs w:val="1"/>
                <w:color w:val="auto"/>
              </w:rPr>
            </w:pPr>
          </w:p>
        </w:tc>
      </w:tr>
      <w:tr>
        <w:trPr>
          <w:trHeight w:val="101"/>
        </w:trPr>
        <w:tc>
          <w:tcPr>
            <w:tcW w:w="24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ETE Intermediate II, LLC - Unfunded Revolver </w:t>
            </w:r>
            <w:r>
              <w:rPr>
                <w:rFonts w:ascii="Times New Roman" w:cs="Times New Roman" w:eastAsia="Times New Roman" w:hAnsi="Times New Roman"/>
                <w:sz w:val="10"/>
                <w:szCs w:val="10"/>
                <w:color w:val="auto"/>
                <w:vertAlign w:val="superscript"/>
              </w:rPr>
              <w:t>(8)</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5/24/2023</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05/25/2029</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2,429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Education and</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Eval Home Care Solutions Intermediate, LLC</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5/10/2024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05/10/2030</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Childcare</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9.47%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17,357</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17,177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17,357</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Education and</w:t>
            </w: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Eval Home Care Solutions Intermediate, LLC - Unfunded Revolver </w:t>
            </w:r>
            <w:r>
              <w:rPr>
                <w:rFonts w:ascii="Times New Roman" w:cs="Times New Roman" w:eastAsia="Times New Roman" w:hAnsi="Times New Roman"/>
                <w:sz w:val="10"/>
                <w:szCs w:val="10"/>
                <w:color w:val="auto"/>
                <w:vertAlign w:val="superscript"/>
              </w:rPr>
              <w:t>(8)</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5/10/2024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05/10/2030</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Childcare</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2,640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Exigo Intermediate II, LLC</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8/27/2025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03/15/2027</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10.12%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635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4,775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4,775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4,751</w:t>
            </w:r>
          </w:p>
        </w:tc>
        <w:tc>
          <w:tcPr>
            <w:tcW w:w="0" w:type="dxa"/>
            <w:vAlign w:val="bottom"/>
          </w:tcPr>
          <w:p>
            <w:pPr>
              <w:spacing w:after="0"/>
              <w:rPr>
                <w:sz w:val="1"/>
                <w:szCs w:val="1"/>
                <w:color w:val="auto"/>
              </w:rPr>
            </w:pPr>
          </w:p>
        </w:tc>
      </w:tr>
      <w:tr>
        <w:trPr>
          <w:trHeight w:val="101"/>
        </w:trPr>
        <w:tc>
          <w:tcPr>
            <w:tcW w:w="24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Exigo Intermediate II, LLC - Unfunded Revolver </w:t>
            </w:r>
            <w:r>
              <w:rPr>
                <w:rFonts w:ascii="Times New Roman" w:cs="Times New Roman" w:eastAsia="Times New Roman" w:hAnsi="Times New Roman"/>
                <w:sz w:val="10"/>
                <w:szCs w:val="10"/>
                <w:color w:val="auto"/>
                <w:vertAlign w:val="superscript"/>
              </w:rPr>
              <w:t>(8)</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3/10/2022</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03/15/2027</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689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w:t>
            </w:r>
          </w:p>
        </w:tc>
        <w:tc>
          <w:tcPr>
            <w:tcW w:w="0" w:type="dxa"/>
            <w:vAlign w:val="bottom"/>
          </w:tcPr>
          <w:p>
            <w:pPr>
              <w:spacing w:after="0"/>
              <w:rPr>
                <w:sz w:val="1"/>
                <w:szCs w:val="1"/>
                <w:color w:val="auto"/>
              </w:rPr>
            </w:pPr>
          </w:p>
        </w:tc>
      </w:tr>
      <w:tr>
        <w:trPr>
          <w:trHeight w:val="102"/>
        </w:trPr>
        <w:tc>
          <w:tcPr>
            <w:tcW w:w="24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Express Wash Acquisition Company, LLC</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4/10/2025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04/10/2031</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10.18%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625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34,936</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34,769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33,363</w:t>
            </w:r>
          </w:p>
        </w:tc>
        <w:tc>
          <w:tcPr>
            <w:tcW w:w="0" w:type="dxa"/>
            <w:vAlign w:val="bottom"/>
          </w:tcPr>
          <w:p>
            <w:pPr>
              <w:spacing w:after="0"/>
              <w:rPr>
                <w:sz w:val="1"/>
                <w:szCs w:val="1"/>
                <w:color w:val="auto"/>
              </w:rPr>
            </w:pPr>
          </w:p>
        </w:tc>
      </w:tr>
      <w:tr>
        <w:trPr>
          <w:trHeight w:val="101"/>
        </w:trPr>
        <w:tc>
          <w:tcPr>
            <w:tcW w:w="24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Express Wash Acquisition Company, LLC - Unfunded Revolver </w:t>
            </w:r>
            <w:r>
              <w:rPr>
                <w:rFonts w:ascii="Times New Roman" w:cs="Times New Roman" w:eastAsia="Times New Roman" w:hAnsi="Times New Roman"/>
                <w:sz w:val="10"/>
                <w:szCs w:val="10"/>
                <w:color w:val="auto"/>
                <w:vertAlign w:val="superscript"/>
              </w:rPr>
              <w:t>(8)</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4/10/2025</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04/10/2031</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2,139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(96)</w:t>
            </w:r>
          </w:p>
        </w:tc>
        <w:tc>
          <w:tcPr>
            <w:tcW w:w="0" w:type="dxa"/>
            <w:vAlign w:val="bottom"/>
          </w:tcPr>
          <w:p>
            <w:pPr>
              <w:spacing w:after="0"/>
              <w:rPr>
                <w:sz w:val="1"/>
                <w:szCs w:val="1"/>
                <w:color w:val="auto"/>
              </w:rPr>
            </w:pPr>
          </w:p>
        </w:tc>
      </w:tr>
      <w:tr>
        <w:trPr>
          <w:trHeight w:val="102"/>
        </w:trPr>
        <w:tc>
          <w:tcPr>
            <w:tcW w:w="24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First Medical MSO, LLC</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6/13/2025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06/13/2031</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9.43%</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7,763</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7,689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7,685</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First Medical MSO, LLC - Unfunded Term Loan </w:t>
            </w:r>
            <w:r>
              <w:rPr>
                <w:rFonts w:ascii="Times New Roman" w:cs="Times New Roman" w:eastAsia="Times New Roman" w:hAnsi="Times New Roman"/>
                <w:sz w:val="10"/>
                <w:szCs w:val="10"/>
                <w:color w:val="auto"/>
                <w:vertAlign w:val="superscript"/>
              </w:rPr>
              <w:t>(8)</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6/13/2025</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06/13/2027</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4,700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First Medical MSO, LLC - Unfunded Revolver </w:t>
            </w:r>
            <w:r>
              <w:rPr>
                <w:rFonts w:ascii="Times New Roman" w:cs="Times New Roman" w:eastAsia="Times New Roman" w:hAnsi="Times New Roman"/>
                <w:sz w:val="10"/>
                <w:szCs w:val="10"/>
                <w:color w:val="auto"/>
                <w:vertAlign w:val="superscript"/>
              </w:rPr>
              <w:t>(6) (8)</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6/13/2025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06/13/2031</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1,000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tcPr>
          <w:p>
            <w:pPr>
              <w:spacing w:after="0"/>
              <w:rPr>
                <w:sz w:val="20"/>
                <w:szCs w:val="20"/>
                <w:color w:val="auto"/>
              </w:rPr>
            </w:pPr>
            <w:r>
              <w:rPr>
                <w:rFonts w:ascii="Times New Roman" w:cs="Times New Roman" w:eastAsia="Times New Roman" w:hAnsi="Times New Roman"/>
                <w:sz w:val="8"/>
                <w:szCs w:val="8"/>
                <w:color w:val="auto"/>
              </w:rPr>
              <w:t>Five Star Buyer, Inc.</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2/21/2023</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02/23/2028</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Hotels, Restaurants and Leisure</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12.98%</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915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5,199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5,147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5,069</w:t>
            </w:r>
          </w:p>
        </w:tc>
        <w:tc>
          <w:tcPr>
            <w:tcW w:w="0" w:type="dxa"/>
            <w:vAlign w:val="bottom"/>
          </w:tcPr>
          <w:p>
            <w:pPr>
              <w:spacing w:after="0"/>
              <w:rPr>
                <w:sz w:val="1"/>
                <w:szCs w:val="1"/>
                <w:color w:val="auto"/>
              </w:rPr>
            </w:pPr>
          </w:p>
        </w:tc>
      </w:tr>
      <w:tr>
        <w:trPr>
          <w:trHeight w:val="102"/>
        </w:trPr>
        <w:tc>
          <w:tcPr>
            <w:tcW w:w="24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60" w:type="dxa"/>
            <w:vAlign w:val="bottom"/>
            <w:shd w:val="clear" w:color="auto" w:fill="CCECFF"/>
          </w:tcPr>
          <w:p>
            <w:pPr>
              <w:spacing w:after="0"/>
              <w:rPr>
                <w:sz w:val="8"/>
                <w:szCs w:val="8"/>
                <w:color w:val="auto"/>
              </w:rPr>
            </w:pP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(PIK</w:t>
            </w: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60" w:type="dxa"/>
            <w:vAlign w:val="bottom"/>
            <w:shd w:val="clear" w:color="auto" w:fill="CCECFF"/>
          </w:tcPr>
          <w:p>
            <w:pPr>
              <w:spacing w:after="0"/>
              <w:rPr>
                <w:sz w:val="8"/>
                <w:szCs w:val="8"/>
                <w:color w:val="auto"/>
              </w:rPr>
            </w:pP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1.00%)</w:t>
            </w: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Five Star Buyer, Inc. - Unfunded Revolver </w:t>
            </w:r>
            <w:r>
              <w:rPr>
                <w:rFonts w:ascii="Times New Roman" w:cs="Times New Roman" w:eastAsia="Times New Roman" w:hAnsi="Times New Roman"/>
                <w:sz w:val="10"/>
                <w:szCs w:val="10"/>
                <w:color w:val="auto"/>
                <w:vertAlign w:val="superscript"/>
              </w:rPr>
              <w:t>(8)</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2/21/2023</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02/23/2028</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Hotels, Restaurants and Leisure</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370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w:t>
            </w:r>
          </w:p>
        </w:tc>
        <w:tc>
          <w:tcPr>
            <w:tcW w:w="0" w:type="dxa"/>
            <w:vAlign w:val="bottom"/>
          </w:tcPr>
          <w:p>
            <w:pPr>
              <w:spacing w:after="0"/>
              <w:rPr>
                <w:sz w:val="1"/>
                <w:szCs w:val="1"/>
                <w:color w:val="auto"/>
              </w:rPr>
            </w:pPr>
          </w:p>
        </w:tc>
      </w:tr>
      <w:tr>
        <w:trPr>
          <w:trHeight w:val="101"/>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Gauge ETE Blocker, LLC</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5/24/2023</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05/21/2029</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12.56%</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285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285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285</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tcPr>
          <w:p>
            <w:pPr>
              <w:spacing w:after="0"/>
              <w:rPr>
                <w:sz w:val="20"/>
                <w:szCs w:val="20"/>
                <w:color w:val="auto"/>
              </w:rPr>
            </w:pPr>
            <w:r>
              <w:rPr>
                <w:rFonts w:ascii="Times New Roman" w:cs="Times New Roman" w:eastAsia="Times New Roman" w:hAnsi="Times New Roman"/>
                <w:sz w:val="8"/>
                <w:szCs w:val="8"/>
                <w:color w:val="auto"/>
              </w:rPr>
              <w:t>GGG Midco, LLC</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9/27/2024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09/27/2030</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8.67%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500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24,921</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24,706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24,921</w:t>
            </w:r>
          </w:p>
        </w:tc>
        <w:tc>
          <w:tcPr>
            <w:tcW w:w="0" w:type="dxa"/>
            <w:vAlign w:val="bottom"/>
          </w:tcPr>
          <w:p>
            <w:pPr>
              <w:spacing w:after="0"/>
              <w:rPr>
                <w:sz w:val="1"/>
                <w:szCs w:val="1"/>
                <w:color w:val="auto"/>
              </w:rPr>
            </w:pPr>
          </w:p>
        </w:tc>
      </w:tr>
      <w:tr>
        <w:trPr>
          <w:trHeight w:val="101"/>
        </w:trPr>
        <w:tc>
          <w:tcPr>
            <w:tcW w:w="24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GGG Midco, LLC - Unfunded Term Loan </w:t>
            </w:r>
            <w:r>
              <w:rPr>
                <w:rFonts w:ascii="Times New Roman" w:cs="Times New Roman" w:eastAsia="Times New Roman" w:hAnsi="Times New Roman"/>
                <w:sz w:val="10"/>
                <w:szCs w:val="10"/>
                <w:color w:val="auto"/>
                <w:vertAlign w:val="superscript"/>
              </w:rPr>
              <w:t>(8)</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9/27/2024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09/27/2030</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9,574</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96</w:t>
            </w:r>
          </w:p>
        </w:tc>
        <w:tc>
          <w:tcPr>
            <w:tcW w:w="0" w:type="dxa"/>
            <w:vAlign w:val="bottom"/>
          </w:tcPr>
          <w:p>
            <w:pPr>
              <w:spacing w:after="0"/>
              <w:rPr>
                <w:sz w:val="1"/>
                <w:szCs w:val="1"/>
                <w:color w:val="auto"/>
              </w:rPr>
            </w:pPr>
          </w:p>
        </w:tc>
      </w:tr>
      <w:tr>
        <w:trPr>
          <w:trHeight w:val="101"/>
        </w:trPr>
        <w:tc>
          <w:tcPr>
            <w:tcW w:w="24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GGG Midco, LLC – Unfunded Revolver </w:t>
            </w:r>
            <w:r>
              <w:rPr>
                <w:rFonts w:ascii="Times New Roman" w:cs="Times New Roman" w:eastAsia="Times New Roman" w:hAnsi="Times New Roman"/>
                <w:sz w:val="10"/>
                <w:szCs w:val="10"/>
                <w:color w:val="auto"/>
                <w:vertAlign w:val="superscript"/>
              </w:rPr>
              <w:t>(8)</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9/27/2024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09/27/2030</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1,311</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Global Holdings InterCo, LLC</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3/11/2021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03/16/2026</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Financial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9.33%</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560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8,715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8,638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8,715</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Trading Companies &amp;</w:t>
            </w: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tcPr>
          <w:p>
            <w:pPr>
              <w:spacing w:after="0"/>
              <w:rPr>
                <w:sz w:val="20"/>
                <w:szCs w:val="20"/>
                <w:color w:val="auto"/>
              </w:rPr>
            </w:pPr>
            <w:r>
              <w:rPr>
                <w:rFonts w:ascii="Times New Roman" w:cs="Times New Roman" w:eastAsia="Times New Roman" w:hAnsi="Times New Roman"/>
                <w:sz w:val="8"/>
                <w:szCs w:val="8"/>
                <w:color w:val="auto"/>
              </w:rPr>
              <w:t>Graffiti Buyer, Inc.</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8/9/2021</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08/10/2027</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9.29%</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560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5,503</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5,428</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5,380</w:t>
            </w:r>
          </w:p>
        </w:tc>
        <w:tc>
          <w:tcPr>
            <w:tcW w:w="0" w:type="dxa"/>
            <w:vAlign w:val="bottom"/>
          </w:tcPr>
          <w:p>
            <w:pPr>
              <w:spacing w:after="0"/>
              <w:rPr>
                <w:sz w:val="1"/>
                <w:szCs w:val="1"/>
                <w:color w:val="auto"/>
              </w:rPr>
            </w:pPr>
          </w:p>
        </w:tc>
      </w:tr>
      <w:tr>
        <w:trPr>
          <w:trHeight w:val="102"/>
        </w:trPr>
        <w:tc>
          <w:tcPr>
            <w:tcW w:w="24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Trading Companies &amp;</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Graffiti Buyer, Inc. - Unfunded Term Loan </w:t>
            </w:r>
            <w:r>
              <w:rPr>
                <w:rFonts w:ascii="Times New Roman" w:cs="Times New Roman" w:eastAsia="Times New Roman" w:hAnsi="Times New Roman"/>
                <w:sz w:val="10"/>
                <w:szCs w:val="10"/>
                <w:color w:val="auto"/>
                <w:vertAlign w:val="superscript"/>
              </w:rPr>
              <w:t>(8)</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8/9/2021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08/10/2027</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984</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(15)</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Trading Companies &amp;</w:t>
            </w: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Graffiti Buyer, Inc. - Unfunded Revolver </w:t>
            </w:r>
            <w:r>
              <w:rPr>
                <w:rFonts w:ascii="Times New Roman" w:cs="Times New Roman" w:eastAsia="Times New Roman" w:hAnsi="Times New Roman"/>
                <w:sz w:val="10"/>
                <w:szCs w:val="10"/>
                <w:color w:val="auto"/>
                <w:vertAlign w:val="superscript"/>
              </w:rPr>
              <w:t>(6), (8)</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8/9/2021</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08/10/2027</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865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(19)</w:t>
            </w:r>
          </w:p>
        </w:tc>
        <w:tc>
          <w:tcPr>
            <w:tcW w:w="0" w:type="dxa"/>
            <w:vAlign w:val="bottom"/>
          </w:tcPr>
          <w:p>
            <w:pPr>
              <w:spacing w:after="0"/>
              <w:rPr>
                <w:sz w:val="1"/>
                <w:szCs w:val="1"/>
                <w:color w:val="auto"/>
              </w:rPr>
            </w:pPr>
          </w:p>
        </w:tc>
      </w:tr>
      <w:tr>
        <w:trPr>
          <w:trHeight w:val="102"/>
        </w:trPr>
        <w:tc>
          <w:tcPr>
            <w:tcW w:w="24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Hancock Roofing and Construction, LLC</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12/23/2020</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12/31/2026</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Insurance</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9.27%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560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3,916</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3,895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3,721</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Hancock Roofing and Construction, LLC - Funded Revolver </w:t>
            </w:r>
            <w:r>
              <w:rPr>
                <w:rFonts w:ascii="Times New Roman" w:cs="Times New Roman" w:eastAsia="Times New Roman" w:hAnsi="Times New Roman"/>
                <w:sz w:val="10"/>
                <w:szCs w:val="10"/>
                <w:color w:val="auto"/>
                <w:vertAlign w:val="superscript"/>
              </w:rPr>
              <w:t>(6)</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12/23/2020</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12/31/2026</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Insurance</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9.32%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560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750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750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713</w:t>
            </w:r>
          </w:p>
        </w:tc>
        <w:tc>
          <w:tcPr>
            <w:tcW w:w="0" w:type="dxa"/>
            <w:vAlign w:val="bottom"/>
          </w:tcPr>
          <w:p>
            <w:pPr>
              <w:spacing w:after="0"/>
              <w:rPr>
                <w:sz w:val="1"/>
                <w:szCs w:val="1"/>
                <w:color w:val="auto"/>
              </w:rPr>
            </w:pPr>
          </w:p>
        </w:tc>
      </w:tr>
      <w:tr>
        <w:trPr>
          <w:trHeight w:val="102"/>
        </w:trPr>
        <w:tc>
          <w:tcPr>
            <w:tcW w:w="24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Halo Buyer, Inc.</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2/7/2025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08/07/2029</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Consumer products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9.72%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600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10,572</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10,478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10,572</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tcPr>
          <w:p>
            <w:pPr>
              <w:spacing w:after="0"/>
              <w:rPr>
                <w:sz w:val="20"/>
                <w:szCs w:val="20"/>
                <w:color w:val="auto"/>
              </w:rPr>
            </w:pPr>
            <w:r>
              <w:rPr>
                <w:rFonts w:ascii="Times New Roman" w:cs="Times New Roman" w:eastAsia="Times New Roman" w:hAnsi="Times New Roman"/>
                <w:sz w:val="8"/>
                <w:szCs w:val="8"/>
                <w:color w:val="auto"/>
              </w:rPr>
              <w:t>Halo Buyer, Inc. - Funded Revolver</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8"/>
              </w:rPr>
              <w:t>2/7/2025</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08/07/2029</w:t>
            </w:r>
          </w:p>
        </w:tc>
        <w:tc>
          <w:tcPr>
            <w:tcW w:w="11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Consumer products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9.72%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600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975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975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975</w:t>
            </w:r>
          </w:p>
        </w:tc>
        <w:tc>
          <w:tcPr>
            <w:tcW w:w="0" w:type="dxa"/>
            <w:vAlign w:val="bottom"/>
          </w:tcPr>
          <w:p>
            <w:pPr>
              <w:spacing w:after="0"/>
              <w:rPr>
                <w:sz w:val="1"/>
                <w:szCs w:val="1"/>
                <w:color w:val="auto"/>
              </w:rPr>
            </w:pPr>
          </w:p>
        </w:tc>
      </w:tr>
      <w:tr>
        <w:trPr>
          <w:trHeight w:val="101"/>
        </w:trPr>
        <w:tc>
          <w:tcPr>
            <w:tcW w:w="24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Halo Buyer, Inc. - Unfunded Revolver </w:t>
            </w:r>
            <w:r>
              <w:rPr>
                <w:rFonts w:ascii="Times New Roman" w:cs="Times New Roman" w:eastAsia="Times New Roman" w:hAnsi="Times New Roman"/>
                <w:sz w:val="10"/>
                <w:szCs w:val="10"/>
                <w:color w:val="auto"/>
                <w:vertAlign w:val="superscript"/>
              </w:rPr>
              <w:t>(8)</w:t>
            </w:r>
          </w:p>
        </w:tc>
        <w:tc>
          <w:tcPr>
            <w:tcW w:w="5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8"/>
              </w:rPr>
              <w:t>2/7/2025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08/07/2029</w:t>
            </w:r>
          </w:p>
        </w:tc>
        <w:tc>
          <w:tcPr>
            <w:tcW w:w="1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Consumer products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1,747</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53"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2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vMerge w:val="restart"/>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Spread</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vMerge w:val="restart"/>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Fair</w:t>
            </w:r>
          </w:p>
        </w:tc>
        <w:tc>
          <w:tcPr>
            <w:tcW w:w="0" w:type="dxa"/>
            <w:vAlign w:val="bottom"/>
          </w:tcPr>
          <w:p>
            <w:pPr>
              <w:spacing w:after="0"/>
              <w:rPr>
                <w:sz w:val="1"/>
                <w:szCs w:val="1"/>
                <w:color w:val="auto"/>
              </w:rPr>
            </w:pPr>
          </w:p>
        </w:tc>
      </w:tr>
      <w:tr>
        <w:trPr>
          <w:trHeight w:val="82"/>
        </w:trPr>
        <w:tc>
          <w:tcPr>
            <w:tcW w:w="236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540" w:type="dxa"/>
            <w:vAlign w:val="bottom"/>
            <w:vMerge w:val="continue"/>
          </w:tcPr>
          <w:p>
            <w:pPr>
              <w:spacing w:after="0"/>
              <w:rPr>
                <w:sz w:val="7"/>
                <w:szCs w:val="7"/>
                <w:color w:val="auto"/>
              </w:rPr>
            </w:pPr>
          </w:p>
        </w:tc>
        <w:tc>
          <w:tcPr>
            <w:tcW w:w="560" w:type="dxa"/>
            <w:vAlign w:val="bottom"/>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w w:val="96"/>
              </w:rPr>
              <w:t>Above Index</w:t>
            </w:r>
          </w:p>
        </w:tc>
        <w:tc>
          <w:tcPr>
            <w:tcW w:w="640" w:type="dxa"/>
            <w:vAlign w:val="bottom"/>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Par / Shares</w:t>
            </w:r>
          </w:p>
        </w:tc>
        <w:tc>
          <w:tcPr>
            <w:tcW w:w="540" w:type="dxa"/>
            <w:vAlign w:val="bottom"/>
            <w:vMerge w:val="restart"/>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Cost</w:t>
            </w: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3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540" w:type="dxa"/>
            <w:vAlign w:val="bottom"/>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Coupon</w:t>
            </w:r>
          </w:p>
        </w:tc>
        <w:tc>
          <w:tcPr>
            <w:tcW w:w="560" w:type="dxa"/>
            <w:vAlign w:val="bottom"/>
          </w:tcPr>
          <w:p>
            <w:pPr>
              <w:jc w:val="center"/>
              <w:spacing w:after="0"/>
              <w:rPr>
                <w:sz w:val="20"/>
                <w:szCs w:val="20"/>
                <w:color w:val="auto"/>
              </w:rPr>
            </w:pPr>
            <w:r>
              <w:rPr>
                <w:rFonts w:ascii="Times New Roman" w:cs="Times New Roman" w:eastAsia="Times New Roman" w:hAnsi="Times New Roman"/>
                <w:sz w:val="5"/>
                <w:szCs w:val="5"/>
                <w:b w:val="1"/>
                <w:bCs w:val="1"/>
                <w:color w:val="auto"/>
              </w:rPr>
              <w:t>(1)</w:t>
            </w: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jc w:val="right"/>
              <w:ind w:right="120"/>
              <w:spacing w:after="0" w:line="92" w:lineRule="exact"/>
              <w:rPr>
                <w:sz w:val="20"/>
                <w:szCs w:val="20"/>
                <w:color w:val="auto"/>
              </w:rPr>
            </w:pPr>
            <w:r>
              <w:rPr>
                <w:rFonts w:ascii="Times New Roman" w:cs="Times New Roman" w:eastAsia="Times New Roman" w:hAnsi="Times New Roman"/>
                <w:sz w:val="8"/>
                <w:szCs w:val="8"/>
                <w:b w:val="1"/>
                <w:bCs w:val="1"/>
                <w:color w:val="auto"/>
              </w:rPr>
              <w:t xml:space="preserve">Value </w:t>
            </w:r>
            <w:r>
              <w:rPr>
                <w:rFonts w:ascii="Times New Roman" w:cs="Times New Roman" w:eastAsia="Times New Roman" w:hAnsi="Times New Roman"/>
                <w:sz w:val="10"/>
                <w:szCs w:val="10"/>
                <w:b w:val="1"/>
                <w:bCs w:val="1"/>
                <w:color w:val="auto"/>
                <w:vertAlign w:val="superscript"/>
              </w:rPr>
              <w:t>(2)</w:t>
            </w:r>
          </w:p>
        </w:tc>
        <w:tc>
          <w:tcPr>
            <w:tcW w:w="0" w:type="dxa"/>
            <w:vAlign w:val="bottom"/>
          </w:tcPr>
          <w:p>
            <w:pPr>
              <w:spacing w:after="0"/>
              <w:rPr>
                <w:sz w:val="1"/>
                <w:szCs w:val="1"/>
                <w:color w:val="auto"/>
              </w:rPr>
            </w:pPr>
          </w:p>
        </w:tc>
      </w:tr>
      <w:tr>
        <w:trPr>
          <w:trHeight w:val="101"/>
        </w:trPr>
        <w:tc>
          <w:tcPr>
            <w:tcW w:w="2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tcPr>
          <w:p>
            <w:pPr>
              <w:spacing w:after="0"/>
              <w:rPr>
                <w:sz w:val="20"/>
                <w:szCs w:val="20"/>
                <w:color w:val="auto"/>
              </w:rPr>
            </w:pPr>
            <w:r>
              <w:rPr>
                <w:rFonts w:ascii="Times New Roman" w:cs="Times New Roman" w:eastAsia="Times New Roman" w:hAnsi="Times New Roman"/>
                <w:sz w:val="8"/>
                <w:szCs w:val="8"/>
                <w:color w:val="auto"/>
              </w:rPr>
              <w:t>Harris &amp; Co. LLC</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8/9/2024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08/09/2030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8.72%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500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88,129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87,407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87,468</w:t>
            </w:r>
          </w:p>
        </w:tc>
        <w:tc>
          <w:tcPr>
            <w:tcW w:w="0" w:type="dxa"/>
            <w:vAlign w:val="bottom"/>
          </w:tcPr>
          <w:p>
            <w:pPr>
              <w:spacing w:after="0"/>
              <w:rPr>
                <w:sz w:val="1"/>
                <w:szCs w:val="1"/>
                <w:color w:val="auto"/>
              </w:rPr>
            </w:pPr>
          </w:p>
        </w:tc>
      </w:tr>
      <w:tr>
        <w:trPr>
          <w:trHeight w:val="101"/>
        </w:trPr>
        <w:tc>
          <w:tcPr>
            <w:tcW w:w="236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Harris &amp; Co. LLC. - Unfunded Term Loan B </w:t>
            </w:r>
            <w:r>
              <w:rPr>
                <w:rFonts w:ascii="Times New Roman" w:cs="Times New Roman" w:eastAsia="Times New Roman" w:hAnsi="Times New Roman"/>
                <w:sz w:val="10"/>
                <w:szCs w:val="10"/>
                <w:color w:val="auto"/>
                <w:vertAlign w:val="superscript"/>
              </w:rPr>
              <w:t>(8)</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8/9/2024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02/09/2026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1,542</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101"/>
        </w:trPr>
        <w:tc>
          <w:tcPr>
            <w:tcW w:w="236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Harris &amp; Co. LLC - Unfunded Term Loan C </w:t>
            </w:r>
            <w:r>
              <w:rPr>
                <w:rFonts w:ascii="Times New Roman" w:cs="Times New Roman" w:eastAsia="Times New Roman" w:hAnsi="Times New Roman"/>
                <w:sz w:val="10"/>
                <w:szCs w:val="10"/>
                <w:color w:val="auto"/>
                <w:vertAlign w:val="superscript"/>
              </w:rPr>
              <w:t>(8)</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8/9/2024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08/18/2027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4,192</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w:t>
            </w:r>
          </w:p>
        </w:tc>
        <w:tc>
          <w:tcPr>
            <w:tcW w:w="0" w:type="dxa"/>
            <w:vAlign w:val="bottom"/>
          </w:tcPr>
          <w:p>
            <w:pPr>
              <w:spacing w:after="0"/>
              <w:rPr>
                <w:sz w:val="1"/>
                <w:szCs w:val="1"/>
                <w:color w:val="auto"/>
              </w:rPr>
            </w:pPr>
          </w:p>
        </w:tc>
      </w:tr>
      <w:tr>
        <w:trPr>
          <w:trHeight w:val="102"/>
        </w:trPr>
        <w:tc>
          <w:tcPr>
            <w:tcW w:w="23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Harris &amp; Co. LLC - Funded Revolver</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8/9/2024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08/09/2030</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8.72%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500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1,924</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1,924</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1,910</w:t>
            </w:r>
          </w:p>
        </w:tc>
        <w:tc>
          <w:tcPr>
            <w:tcW w:w="0" w:type="dxa"/>
            <w:vAlign w:val="bottom"/>
          </w:tcPr>
          <w:p>
            <w:pPr>
              <w:spacing w:after="0"/>
              <w:rPr>
                <w:sz w:val="1"/>
                <w:szCs w:val="1"/>
                <w:color w:val="auto"/>
              </w:rPr>
            </w:pPr>
          </w:p>
        </w:tc>
      </w:tr>
      <w:tr>
        <w:trPr>
          <w:trHeight w:val="101"/>
        </w:trPr>
        <w:tc>
          <w:tcPr>
            <w:tcW w:w="236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Harris &amp; Co. LLC - Unfunded Revolver </w:t>
            </w:r>
            <w:r>
              <w:rPr>
                <w:rFonts w:ascii="Times New Roman" w:cs="Times New Roman" w:eastAsia="Times New Roman" w:hAnsi="Times New Roman"/>
                <w:sz w:val="10"/>
                <w:szCs w:val="10"/>
                <w:color w:val="auto"/>
                <w:vertAlign w:val="superscript"/>
              </w:rPr>
              <w:t>(8)</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8/9/2024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08/09/2030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7,696</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(58)</w:t>
            </w:r>
          </w:p>
        </w:tc>
        <w:tc>
          <w:tcPr>
            <w:tcW w:w="0" w:type="dxa"/>
            <w:vAlign w:val="bottom"/>
          </w:tcPr>
          <w:p>
            <w:pPr>
              <w:spacing w:after="0"/>
              <w:rPr>
                <w:sz w:val="1"/>
                <w:szCs w:val="1"/>
                <w:color w:val="auto"/>
              </w:rPr>
            </w:pPr>
          </w:p>
        </w:tc>
      </w:tr>
      <w:tr>
        <w:trPr>
          <w:trHeight w:val="102"/>
        </w:trPr>
        <w:tc>
          <w:tcPr>
            <w:tcW w:w="23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Education and</w:t>
            </w: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HEC Purchaser Corp.</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7/25/2024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06/17/2029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Childcare</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8.67%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500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9,430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9,344</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9,430</w:t>
            </w:r>
          </w:p>
        </w:tc>
        <w:tc>
          <w:tcPr>
            <w:tcW w:w="0" w:type="dxa"/>
            <w:vAlign w:val="bottom"/>
          </w:tcPr>
          <w:p>
            <w:pPr>
              <w:spacing w:after="0"/>
              <w:rPr>
                <w:sz w:val="1"/>
                <w:szCs w:val="1"/>
                <w:color w:val="auto"/>
              </w:rPr>
            </w:pPr>
          </w:p>
        </w:tc>
      </w:tr>
      <w:tr>
        <w:trPr>
          <w:trHeight w:val="102"/>
        </w:trPr>
        <w:tc>
          <w:tcPr>
            <w:tcW w:w="2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tcPr>
          <w:p>
            <w:pPr>
              <w:spacing w:after="0"/>
              <w:rPr>
                <w:sz w:val="20"/>
                <w:szCs w:val="20"/>
                <w:color w:val="auto"/>
              </w:rPr>
            </w:pPr>
            <w:r>
              <w:rPr>
                <w:rFonts w:ascii="Times New Roman" w:cs="Times New Roman" w:eastAsia="Times New Roman" w:hAnsi="Times New Roman"/>
                <w:sz w:val="8"/>
                <w:szCs w:val="8"/>
                <w:color w:val="auto"/>
              </w:rPr>
              <w:t>Help/Systems Holdings, Inc.</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8/27/2025</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11/30/2026</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9.97%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610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1,440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1,357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1,299</w:t>
            </w:r>
          </w:p>
        </w:tc>
        <w:tc>
          <w:tcPr>
            <w:tcW w:w="0" w:type="dxa"/>
            <w:vAlign w:val="bottom"/>
          </w:tcPr>
          <w:p>
            <w:pPr>
              <w:spacing w:after="0"/>
              <w:rPr>
                <w:sz w:val="1"/>
                <w:szCs w:val="1"/>
                <w:color w:val="auto"/>
              </w:rPr>
            </w:pPr>
          </w:p>
        </w:tc>
      </w:tr>
      <w:tr>
        <w:trPr>
          <w:trHeight w:val="102"/>
        </w:trPr>
        <w:tc>
          <w:tcPr>
            <w:tcW w:w="23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Hills Distribution, Inc.</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11/2/2023</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11/08/2029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9.19%</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550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18,613</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18,438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18,427</w:t>
            </w:r>
          </w:p>
        </w:tc>
        <w:tc>
          <w:tcPr>
            <w:tcW w:w="0" w:type="dxa"/>
            <w:vAlign w:val="bottom"/>
          </w:tcPr>
          <w:p>
            <w:pPr>
              <w:spacing w:after="0"/>
              <w:rPr>
                <w:sz w:val="1"/>
                <w:szCs w:val="1"/>
                <w:color w:val="auto"/>
              </w:rPr>
            </w:pPr>
          </w:p>
        </w:tc>
      </w:tr>
      <w:tr>
        <w:trPr>
          <w:trHeight w:val="101"/>
        </w:trPr>
        <w:tc>
          <w:tcPr>
            <w:tcW w:w="236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Hills Distribution, Inc. - Unfunded Term Loan </w:t>
            </w:r>
            <w:r>
              <w:rPr>
                <w:rFonts w:ascii="Times New Roman" w:cs="Times New Roman" w:eastAsia="Times New Roman" w:hAnsi="Times New Roman"/>
                <w:sz w:val="10"/>
                <w:szCs w:val="10"/>
                <w:color w:val="auto"/>
                <w:vertAlign w:val="superscript"/>
              </w:rPr>
              <w:t>(8)</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11/2/2023</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12/05/2027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2,384</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w:t>
            </w:r>
          </w:p>
        </w:tc>
        <w:tc>
          <w:tcPr>
            <w:tcW w:w="0" w:type="dxa"/>
            <w:vAlign w:val="bottom"/>
          </w:tcPr>
          <w:p>
            <w:pPr>
              <w:spacing w:after="0"/>
              <w:rPr>
                <w:sz w:val="1"/>
                <w:szCs w:val="1"/>
                <w:color w:val="auto"/>
              </w:rPr>
            </w:pPr>
          </w:p>
        </w:tc>
      </w:tr>
      <w:tr>
        <w:trPr>
          <w:trHeight w:val="102"/>
        </w:trPr>
        <w:tc>
          <w:tcPr>
            <w:tcW w:w="23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HW Holdco, LLC</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1/9/2019</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05/11/2026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9.62%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590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12,177</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12,165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12,177</w:t>
            </w:r>
          </w:p>
        </w:tc>
        <w:tc>
          <w:tcPr>
            <w:tcW w:w="0" w:type="dxa"/>
            <w:vAlign w:val="bottom"/>
          </w:tcPr>
          <w:p>
            <w:pPr>
              <w:spacing w:after="0"/>
              <w:rPr>
                <w:sz w:val="1"/>
                <w:szCs w:val="1"/>
                <w:color w:val="auto"/>
              </w:rPr>
            </w:pPr>
          </w:p>
        </w:tc>
      </w:tr>
      <w:tr>
        <w:trPr>
          <w:trHeight w:val="101"/>
        </w:trPr>
        <w:tc>
          <w:tcPr>
            <w:tcW w:w="236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HW Holdco, LLC - Unfunded Revolver </w:t>
            </w:r>
            <w:r>
              <w:rPr>
                <w:rFonts w:ascii="Times New Roman" w:cs="Times New Roman" w:eastAsia="Times New Roman" w:hAnsi="Times New Roman"/>
                <w:sz w:val="10"/>
                <w:szCs w:val="10"/>
                <w:color w:val="auto"/>
                <w:vertAlign w:val="superscript"/>
              </w:rPr>
              <w:t>(6), (8)</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1/9/2019</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05/11/2026</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1,452</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IG Investments Holdings, LLC </w:t>
            </w:r>
            <w:r>
              <w:rPr>
                <w:rFonts w:ascii="Times New Roman" w:cs="Times New Roman" w:eastAsia="Times New Roman" w:hAnsi="Times New Roman"/>
                <w:sz w:val="10"/>
                <w:szCs w:val="10"/>
                <w:color w:val="auto"/>
                <w:vertAlign w:val="superscript"/>
              </w:rPr>
              <w:t>(6)</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11/23/2021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09/22/2028</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8.84%</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500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9,533</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9,462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9,485</w:t>
            </w:r>
          </w:p>
        </w:tc>
        <w:tc>
          <w:tcPr>
            <w:tcW w:w="0" w:type="dxa"/>
            <w:vAlign w:val="bottom"/>
          </w:tcPr>
          <w:p>
            <w:pPr>
              <w:spacing w:after="0"/>
              <w:rPr>
                <w:sz w:val="1"/>
                <w:szCs w:val="1"/>
                <w:color w:val="auto"/>
              </w:rPr>
            </w:pPr>
          </w:p>
        </w:tc>
      </w:tr>
      <w:tr>
        <w:trPr>
          <w:trHeight w:val="101"/>
        </w:trPr>
        <w:tc>
          <w:tcPr>
            <w:tcW w:w="236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IG Investments Holdings, LLC - Unfunded Revolver </w:t>
            </w:r>
            <w:r>
              <w:rPr>
                <w:rFonts w:ascii="Times New Roman" w:cs="Times New Roman" w:eastAsia="Times New Roman" w:hAnsi="Times New Roman"/>
                <w:sz w:val="10"/>
                <w:szCs w:val="10"/>
                <w:color w:val="auto"/>
                <w:vertAlign w:val="superscript"/>
              </w:rPr>
              <w:t>(6), (8)</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11/23/2021</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09/22/2028</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722</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w:t>
            </w:r>
          </w:p>
        </w:tc>
        <w:tc>
          <w:tcPr>
            <w:tcW w:w="0" w:type="dxa"/>
            <w:vAlign w:val="bottom"/>
          </w:tcPr>
          <w:p>
            <w:pPr>
              <w:spacing w:after="0"/>
              <w:rPr>
                <w:sz w:val="1"/>
                <w:szCs w:val="1"/>
                <w:color w:val="auto"/>
              </w:rPr>
            </w:pPr>
          </w:p>
        </w:tc>
      </w:tr>
      <w:tr>
        <w:trPr>
          <w:trHeight w:val="101"/>
        </w:trPr>
        <w:tc>
          <w:tcPr>
            <w:tcW w:w="236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Imagine Acquisitionco, Inc. - Unfunded Revolver </w:t>
            </w:r>
            <w:r>
              <w:rPr>
                <w:rFonts w:ascii="Times New Roman" w:cs="Times New Roman" w:eastAsia="Times New Roman" w:hAnsi="Times New Roman"/>
                <w:sz w:val="10"/>
                <w:szCs w:val="10"/>
                <w:color w:val="auto"/>
                <w:vertAlign w:val="superscript"/>
              </w:rPr>
              <w:t>(8)</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11/4/2021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11/16/2027</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1,193</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tcPr>
          <w:p>
            <w:pPr>
              <w:spacing w:after="0"/>
              <w:rPr>
                <w:sz w:val="20"/>
                <w:szCs w:val="20"/>
                <w:color w:val="auto"/>
              </w:rPr>
            </w:pPr>
            <w:r>
              <w:rPr>
                <w:rFonts w:ascii="Times New Roman" w:cs="Times New Roman" w:eastAsia="Times New Roman" w:hAnsi="Times New Roman"/>
                <w:sz w:val="8"/>
                <w:szCs w:val="8"/>
                <w:color w:val="auto"/>
              </w:rPr>
              <w:t>Impact Advisors, LLC</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3/21/2025</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03/19/2032</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8.17%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450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16,476</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16,397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16,476</w:t>
            </w:r>
          </w:p>
        </w:tc>
        <w:tc>
          <w:tcPr>
            <w:tcW w:w="0" w:type="dxa"/>
            <w:vAlign w:val="bottom"/>
          </w:tcPr>
          <w:p>
            <w:pPr>
              <w:spacing w:after="0"/>
              <w:rPr>
                <w:sz w:val="1"/>
                <w:szCs w:val="1"/>
                <w:color w:val="auto"/>
              </w:rPr>
            </w:pPr>
          </w:p>
        </w:tc>
      </w:tr>
      <w:tr>
        <w:trPr>
          <w:trHeight w:val="101"/>
        </w:trPr>
        <w:tc>
          <w:tcPr>
            <w:tcW w:w="236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Impact Advisors, LLC - Unfunded Term Loan </w:t>
            </w:r>
            <w:r>
              <w:rPr>
                <w:rFonts w:ascii="Times New Roman" w:cs="Times New Roman" w:eastAsia="Times New Roman" w:hAnsi="Times New Roman"/>
                <w:sz w:val="10"/>
                <w:szCs w:val="10"/>
                <w:color w:val="auto"/>
                <w:vertAlign w:val="superscript"/>
              </w:rPr>
              <w:t>(8)</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3/21/2025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03/21/2027</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9,723</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w:t>
            </w:r>
          </w:p>
        </w:tc>
        <w:tc>
          <w:tcPr>
            <w:tcW w:w="0" w:type="dxa"/>
            <w:vAlign w:val="bottom"/>
          </w:tcPr>
          <w:p>
            <w:pPr>
              <w:spacing w:after="0"/>
              <w:rPr>
                <w:sz w:val="1"/>
                <w:szCs w:val="1"/>
                <w:color w:val="auto"/>
              </w:rPr>
            </w:pPr>
          </w:p>
        </w:tc>
      </w:tr>
      <w:tr>
        <w:trPr>
          <w:trHeight w:val="101"/>
        </w:trPr>
        <w:tc>
          <w:tcPr>
            <w:tcW w:w="236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Impact Advisors, LLC - Unfunded Revolver </w:t>
            </w:r>
            <w:r>
              <w:rPr>
                <w:rFonts w:ascii="Times New Roman" w:cs="Times New Roman" w:eastAsia="Times New Roman" w:hAnsi="Times New Roman"/>
                <w:sz w:val="10"/>
                <w:szCs w:val="10"/>
                <w:color w:val="auto"/>
                <w:vertAlign w:val="superscript"/>
              </w:rPr>
              <w:t>(8)</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3/21/2025</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03/19/2032</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1,945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Infinity Home Services Holdco, Inc.</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12/21/2022</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12/28/2028</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9.17%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550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14,818</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14,738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14,818</w:t>
            </w:r>
          </w:p>
        </w:tc>
        <w:tc>
          <w:tcPr>
            <w:tcW w:w="0" w:type="dxa"/>
            <w:vAlign w:val="bottom"/>
          </w:tcPr>
          <w:p>
            <w:pPr>
              <w:spacing w:after="0"/>
              <w:rPr>
                <w:sz w:val="1"/>
                <w:szCs w:val="1"/>
                <w:color w:val="auto"/>
              </w:rPr>
            </w:pPr>
          </w:p>
        </w:tc>
      </w:tr>
      <w:tr>
        <w:trPr>
          <w:trHeight w:val="102"/>
        </w:trPr>
        <w:tc>
          <w:tcPr>
            <w:tcW w:w="2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CAD</w:t>
            </w: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tcPr>
          <w:p>
            <w:pPr>
              <w:spacing w:after="0"/>
              <w:rPr>
                <w:sz w:val="20"/>
                <w:szCs w:val="20"/>
                <w:color w:val="auto"/>
              </w:rPr>
            </w:pPr>
            <w:r>
              <w:rPr>
                <w:rFonts w:ascii="Times New Roman" w:cs="Times New Roman" w:eastAsia="Times New Roman" w:hAnsi="Times New Roman"/>
                <w:sz w:val="8"/>
                <w:szCs w:val="8"/>
                <w:color w:val="auto"/>
              </w:rPr>
              <w:t>Infinity Home Services Holdco, Inc. (CAD)</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12/21/2022</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12/28/2028</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9.17%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550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1,700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1,229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1,240</w:t>
            </w:r>
          </w:p>
        </w:tc>
        <w:tc>
          <w:tcPr>
            <w:tcW w:w="0" w:type="dxa"/>
            <w:vAlign w:val="bottom"/>
          </w:tcPr>
          <w:p>
            <w:pPr>
              <w:spacing w:after="0"/>
              <w:rPr>
                <w:sz w:val="1"/>
                <w:szCs w:val="1"/>
                <w:color w:val="auto"/>
              </w:rPr>
            </w:pPr>
          </w:p>
        </w:tc>
      </w:tr>
      <w:tr>
        <w:trPr>
          <w:trHeight w:val="101"/>
        </w:trPr>
        <w:tc>
          <w:tcPr>
            <w:tcW w:w="236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Infinity Home Services Holdco, Inc. - Unfunded Term Loan </w:t>
            </w:r>
            <w:r>
              <w:rPr>
                <w:rFonts w:ascii="Times New Roman" w:cs="Times New Roman" w:eastAsia="Times New Roman" w:hAnsi="Times New Roman"/>
                <w:sz w:val="10"/>
                <w:szCs w:val="10"/>
                <w:color w:val="auto"/>
                <w:vertAlign w:val="superscript"/>
              </w:rPr>
              <w:t>(8)</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12/21/2022</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10/30/2026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7,069</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35</w:t>
            </w:r>
          </w:p>
        </w:tc>
        <w:tc>
          <w:tcPr>
            <w:tcW w:w="0" w:type="dxa"/>
            <w:vAlign w:val="bottom"/>
          </w:tcPr>
          <w:p>
            <w:pPr>
              <w:spacing w:after="0"/>
              <w:rPr>
                <w:sz w:val="1"/>
                <w:szCs w:val="1"/>
                <w:color w:val="auto"/>
              </w:rPr>
            </w:pPr>
          </w:p>
        </w:tc>
      </w:tr>
      <w:tr>
        <w:trPr>
          <w:trHeight w:val="101"/>
        </w:trPr>
        <w:tc>
          <w:tcPr>
            <w:tcW w:w="236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Infinity Home Services Holdco, Inc. - Unfunded Revolver </w:t>
            </w:r>
            <w:r>
              <w:rPr>
                <w:rFonts w:ascii="Times New Roman" w:cs="Times New Roman" w:eastAsia="Times New Roman" w:hAnsi="Times New Roman"/>
                <w:sz w:val="10"/>
                <w:szCs w:val="10"/>
                <w:color w:val="auto"/>
                <w:vertAlign w:val="superscript"/>
              </w:rPr>
              <w:t>(8)</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12/21/2022</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12/28/2028</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1,292</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Inovex Information Systems Incorporated</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12/17/2024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12/17/2030</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8.92%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525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7,920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7,868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7,920</w:t>
            </w:r>
          </w:p>
        </w:tc>
        <w:tc>
          <w:tcPr>
            <w:tcW w:w="0" w:type="dxa"/>
            <w:vAlign w:val="bottom"/>
          </w:tcPr>
          <w:p>
            <w:pPr>
              <w:spacing w:after="0"/>
              <w:rPr>
                <w:sz w:val="1"/>
                <w:szCs w:val="1"/>
                <w:color w:val="auto"/>
              </w:rPr>
            </w:pPr>
          </w:p>
        </w:tc>
      </w:tr>
      <w:tr>
        <w:trPr>
          <w:trHeight w:val="101"/>
        </w:trPr>
        <w:tc>
          <w:tcPr>
            <w:tcW w:w="236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Inovex Information Systems Incorporated - Unfunded Term Loan </w:t>
            </w:r>
            <w:r>
              <w:rPr>
                <w:rFonts w:ascii="Times New Roman" w:cs="Times New Roman" w:eastAsia="Times New Roman" w:hAnsi="Times New Roman"/>
                <w:sz w:val="10"/>
                <w:szCs w:val="10"/>
                <w:color w:val="auto"/>
                <w:vertAlign w:val="superscript"/>
              </w:rPr>
              <w:t>(8)</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12/17/2024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12/17/2026</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2,800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Inovex Information Systems Incorporated - Funded Revolver</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12/17/2024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12/17/2030</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11.25%</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425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2,695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2,695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2,695</w:t>
            </w:r>
          </w:p>
        </w:tc>
        <w:tc>
          <w:tcPr>
            <w:tcW w:w="0" w:type="dxa"/>
            <w:vAlign w:val="bottom"/>
          </w:tcPr>
          <w:p>
            <w:pPr>
              <w:spacing w:after="0"/>
              <w:rPr>
                <w:sz w:val="1"/>
                <w:szCs w:val="1"/>
                <w:color w:val="auto"/>
              </w:rPr>
            </w:pPr>
          </w:p>
        </w:tc>
      </w:tr>
      <w:tr>
        <w:trPr>
          <w:trHeight w:val="101"/>
        </w:trPr>
        <w:tc>
          <w:tcPr>
            <w:tcW w:w="236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Inovex Information Systems Incorporated - Unfunded Revolver </w:t>
            </w:r>
            <w:r>
              <w:rPr>
                <w:rFonts w:ascii="Times New Roman" w:cs="Times New Roman" w:eastAsia="Times New Roman" w:hAnsi="Times New Roman"/>
                <w:sz w:val="10"/>
                <w:szCs w:val="10"/>
                <w:color w:val="auto"/>
                <w:vertAlign w:val="superscript"/>
              </w:rPr>
              <w:t>(8)</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12/17/2024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12/17/2030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805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Infolinks Media Buyco, LLC</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2/22/2024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11/02/2026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9.42%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10,153</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10,129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9,849</w:t>
            </w:r>
          </w:p>
        </w:tc>
        <w:tc>
          <w:tcPr>
            <w:tcW w:w="0" w:type="dxa"/>
            <w:vAlign w:val="bottom"/>
          </w:tcPr>
          <w:p>
            <w:pPr>
              <w:spacing w:after="0"/>
              <w:rPr>
                <w:sz w:val="1"/>
                <w:szCs w:val="1"/>
                <w:color w:val="auto"/>
              </w:rPr>
            </w:pPr>
          </w:p>
        </w:tc>
      </w:tr>
      <w:tr>
        <w:trPr>
          <w:trHeight w:val="102"/>
        </w:trPr>
        <w:tc>
          <w:tcPr>
            <w:tcW w:w="2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tcPr>
          <w:p>
            <w:pPr>
              <w:spacing w:after="0"/>
              <w:rPr>
                <w:sz w:val="20"/>
                <w:szCs w:val="20"/>
                <w:color w:val="auto"/>
              </w:rPr>
            </w:pPr>
            <w:r>
              <w:rPr>
                <w:rFonts w:ascii="Times New Roman" w:cs="Times New Roman" w:eastAsia="Times New Roman" w:hAnsi="Times New Roman"/>
                <w:sz w:val="8"/>
                <w:szCs w:val="8"/>
                <w:color w:val="auto"/>
              </w:rPr>
              <w:t>Inventus Power, Inc.</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6/29/2023</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01/15/2026</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Instruments, and Components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11.33%</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761</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4,875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4,874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4,875</w:t>
            </w:r>
          </w:p>
        </w:tc>
        <w:tc>
          <w:tcPr>
            <w:tcW w:w="0" w:type="dxa"/>
            <w:vAlign w:val="bottom"/>
          </w:tcPr>
          <w:p>
            <w:pPr>
              <w:spacing w:after="0"/>
              <w:rPr>
                <w:sz w:val="1"/>
                <w:szCs w:val="1"/>
                <w:color w:val="auto"/>
              </w:rPr>
            </w:pPr>
          </w:p>
        </w:tc>
      </w:tr>
      <w:tr>
        <w:trPr>
          <w:trHeight w:val="102"/>
        </w:trPr>
        <w:tc>
          <w:tcPr>
            <w:tcW w:w="23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Inventus Power, Inc. - Unfunded Revolver </w:t>
            </w:r>
            <w:r>
              <w:rPr>
                <w:rFonts w:ascii="Times New Roman" w:cs="Times New Roman" w:eastAsia="Times New Roman" w:hAnsi="Times New Roman"/>
                <w:sz w:val="10"/>
                <w:szCs w:val="10"/>
                <w:color w:val="auto"/>
                <w:vertAlign w:val="superscript"/>
              </w:rPr>
              <w:t>(8)</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6/29/2023</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01/15/2026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Instruments, and Components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1,729</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tcPr>
          <w:p>
            <w:pPr>
              <w:spacing w:after="0"/>
              <w:rPr>
                <w:sz w:val="20"/>
                <w:szCs w:val="20"/>
                <w:color w:val="auto"/>
              </w:rPr>
            </w:pPr>
            <w:r>
              <w:rPr>
                <w:rFonts w:ascii="Times New Roman" w:cs="Times New Roman" w:eastAsia="Times New Roman" w:hAnsi="Times New Roman"/>
                <w:sz w:val="8"/>
                <w:szCs w:val="8"/>
                <w:color w:val="auto"/>
              </w:rPr>
              <w:t>Keel Platform, LLC</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1/26/2024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01/20/2031</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Metals and Mining</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8.42%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475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14,601</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14,440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14,455</w:t>
            </w:r>
          </w:p>
        </w:tc>
        <w:tc>
          <w:tcPr>
            <w:tcW w:w="0" w:type="dxa"/>
            <w:vAlign w:val="bottom"/>
          </w:tcPr>
          <w:p>
            <w:pPr>
              <w:spacing w:after="0"/>
              <w:rPr>
                <w:sz w:val="1"/>
                <w:szCs w:val="1"/>
                <w:color w:val="auto"/>
              </w:rPr>
            </w:pPr>
          </w:p>
        </w:tc>
      </w:tr>
      <w:tr>
        <w:trPr>
          <w:trHeight w:val="101"/>
        </w:trPr>
        <w:tc>
          <w:tcPr>
            <w:tcW w:w="236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Keel Platform, LLC - Unfunded Term Loan </w:t>
            </w:r>
            <w:r>
              <w:rPr>
                <w:rFonts w:ascii="Times New Roman" w:cs="Times New Roman" w:eastAsia="Times New Roman" w:hAnsi="Times New Roman"/>
                <w:sz w:val="10"/>
                <w:szCs w:val="10"/>
                <w:color w:val="auto"/>
                <w:vertAlign w:val="superscript"/>
              </w:rPr>
              <w:t>(8)</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1/26/2024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01/20/2031</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Metals and Mining</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3,260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w:t>
            </w:r>
          </w:p>
        </w:tc>
        <w:tc>
          <w:tcPr>
            <w:tcW w:w="0" w:type="dxa"/>
            <w:vAlign w:val="bottom"/>
          </w:tcPr>
          <w:p>
            <w:pPr>
              <w:spacing w:after="0"/>
              <w:rPr>
                <w:sz w:val="1"/>
                <w:szCs w:val="1"/>
                <w:color w:val="auto"/>
              </w:rPr>
            </w:pPr>
          </w:p>
        </w:tc>
      </w:tr>
      <w:tr>
        <w:trPr>
          <w:trHeight w:val="102"/>
        </w:trPr>
        <w:tc>
          <w:tcPr>
            <w:tcW w:w="2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tcPr>
          <w:p>
            <w:pPr>
              <w:spacing w:after="0"/>
              <w:rPr>
                <w:sz w:val="20"/>
                <w:szCs w:val="20"/>
                <w:color w:val="auto"/>
              </w:rPr>
            </w:pPr>
            <w:r>
              <w:rPr>
                <w:rFonts w:ascii="Times New Roman" w:cs="Times New Roman" w:eastAsia="Times New Roman" w:hAnsi="Times New Roman"/>
                <w:sz w:val="8"/>
                <w:szCs w:val="8"/>
                <w:color w:val="auto"/>
              </w:rPr>
              <w:t>Kinetic Purchaser, LLC</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11/8/2021</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11/10/2027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9.82%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615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17,955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17,672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14,589</w:t>
            </w:r>
          </w:p>
        </w:tc>
        <w:tc>
          <w:tcPr>
            <w:tcW w:w="0" w:type="dxa"/>
            <w:vAlign w:val="bottom"/>
          </w:tcPr>
          <w:p>
            <w:pPr>
              <w:spacing w:after="0"/>
              <w:rPr>
                <w:sz w:val="1"/>
                <w:szCs w:val="1"/>
                <w:color w:val="auto"/>
              </w:rPr>
            </w:pPr>
          </w:p>
        </w:tc>
      </w:tr>
      <w:tr>
        <w:trPr>
          <w:trHeight w:val="102"/>
        </w:trPr>
        <w:tc>
          <w:tcPr>
            <w:tcW w:w="23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Kinetic Purchaser, LLC - Funded Revolver</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11/8/2021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11/10/2026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9.82%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615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2,172</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2,172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1,765</w:t>
            </w:r>
          </w:p>
        </w:tc>
        <w:tc>
          <w:tcPr>
            <w:tcW w:w="0" w:type="dxa"/>
            <w:vAlign w:val="bottom"/>
          </w:tcPr>
          <w:p>
            <w:pPr>
              <w:spacing w:after="0"/>
              <w:rPr>
                <w:sz w:val="1"/>
                <w:szCs w:val="1"/>
                <w:color w:val="auto"/>
              </w:rPr>
            </w:pPr>
          </w:p>
        </w:tc>
      </w:tr>
      <w:tr>
        <w:trPr>
          <w:trHeight w:val="101"/>
        </w:trPr>
        <w:tc>
          <w:tcPr>
            <w:tcW w:w="236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Kinetic Purchaser, LLC - Unfunded Revolver </w:t>
            </w:r>
            <w:r>
              <w:rPr>
                <w:rFonts w:ascii="Times New Roman" w:cs="Times New Roman" w:eastAsia="Times New Roman" w:hAnsi="Times New Roman"/>
                <w:sz w:val="10"/>
                <w:szCs w:val="10"/>
                <w:color w:val="auto"/>
                <w:vertAlign w:val="superscript"/>
              </w:rPr>
              <w:t>(6), (8)</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11/8/2021</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11/10/2026</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1,262</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(237)</w:t>
            </w:r>
          </w:p>
        </w:tc>
        <w:tc>
          <w:tcPr>
            <w:tcW w:w="0" w:type="dxa"/>
            <w:vAlign w:val="bottom"/>
          </w:tcPr>
          <w:p>
            <w:pPr>
              <w:spacing w:after="0"/>
              <w:rPr>
                <w:sz w:val="1"/>
                <w:szCs w:val="1"/>
                <w:color w:val="auto"/>
              </w:rPr>
            </w:pPr>
          </w:p>
        </w:tc>
      </w:tr>
      <w:tr>
        <w:trPr>
          <w:trHeight w:val="102"/>
        </w:trPr>
        <w:tc>
          <w:tcPr>
            <w:tcW w:w="23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Lash OpCo, LLC</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8/16/2021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02/18/2027</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8.82%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510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16,378</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16,260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15,969</w:t>
            </w:r>
          </w:p>
        </w:tc>
        <w:tc>
          <w:tcPr>
            <w:tcW w:w="0" w:type="dxa"/>
            <w:vAlign w:val="bottom"/>
          </w:tcPr>
          <w:p>
            <w:pPr>
              <w:spacing w:after="0"/>
              <w:rPr>
                <w:sz w:val="1"/>
                <w:szCs w:val="1"/>
                <w:color w:val="auto"/>
              </w:rPr>
            </w:pPr>
          </w:p>
        </w:tc>
      </w:tr>
      <w:tr>
        <w:trPr>
          <w:trHeight w:val="102"/>
        </w:trPr>
        <w:tc>
          <w:tcPr>
            <w:tcW w:w="2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(PIK</w:t>
            </w: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5.10%)</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Lash OpCo, LLC - Funded Revolver </w:t>
            </w:r>
            <w:r>
              <w:rPr>
                <w:rFonts w:ascii="Times New Roman" w:cs="Times New Roman" w:eastAsia="Times New Roman" w:hAnsi="Times New Roman"/>
                <w:sz w:val="10"/>
                <w:szCs w:val="10"/>
                <w:color w:val="auto"/>
                <w:vertAlign w:val="superscript"/>
              </w:rPr>
              <w:t>(6)</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8/16/2021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08/16/2026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8.82%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510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264</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264</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258</w:t>
            </w:r>
          </w:p>
        </w:tc>
        <w:tc>
          <w:tcPr>
            <w:tcW w:w="0" w:type="dxa"/>
            <w:vAlign w:val="bottom"/>
          </w:tcPr>
          <w:p>
            <w:pPr>
              <w:spacing w:after="0"/>
              <w:rPr>
                <w:sz w:val="1"/>
                <w:szCs w:val="1"/>
                <w:color w:val="auto"/>
              </w:rPr>
            </w:pPr>
          </w:p>
        </w:tc>
      </w:tr>
      <w:tr>
        <w:trPr>
          <w:trHeight w:val="102"/>
        </w:trPr>
        <w:tc>
          <w:tcPr>
            <w:tcW w:w="2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(PIK</w:t>
            </w: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5.10%)</w:t>
            </w: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6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Lash OpCo, LLC - Unfunded Revolver </w:t>
            </w:r>
            <w:r>
              <w:rPr>
                <w:rFonts w:ascii="Times New Roman" w:cs="Times New Roman" w:eastAsia="Times New Roman" w:hAnsi="Times New Roman"/>
                <w:sz w:val="10"/>
                <w:szCs w:val="10"/>
                <w:color w:val="auto"/>
                <w:vertAlign w:val="superscript"/>
              </w:rPr>
              <w:t>(6) (8)</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8/16/2021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08/16/2026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2,738</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(68)</w:t>
            </w:r>
          </w:p>
        </w:tc>
        <w:tc>
          <w:tcPr>
            <w:tcW w:w="0" w:type="dxa"/>
            <w:vAlign w:val="bottom"/>
          </w:tcPr>
          <w:p>
            <w:pPr>
              <w:spacing w:after="0"/>
              <w:rPr>
                <w:sz w:val="1"/>
                <w:szCs w:val="1"/>
                <w:color w:val="auto"/>
              </w:rPr>
            </w:pPr>
          </w:p>
        </w:tc>
      </w:tr>
      <w:tr>
        <w:trPr>
          <w:trHeight w:val="102"/>
        </w:trPr>
        <w:tc>
          <w:tcPr>
            <w:tcW w:w="2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tcPr>
          <w:p>
            <w:pPr>
              <w:spacing w:after="0"/>
              <w:rPr>
                <w:sz w:val="20"/>
                <w:szCs w:val="20"/>
                <w:color w:val="auto"/>
              </w:rPr>
            </w:pPr>
            <w:r>
              <w:rPr>
                <w:rFonts w:ascii="Times New Roman" w:cs="Times New Roman" w:eastAsia="Times New Roman" w:hAnsi="Times New Roman"/>
                <w:sz w:val="8"/>
                <w:szCs w:val="8"/>
                <w:color w:val="auto"/>
              </w:rPr>
              <w:t>LAV Gear Holdings, Inc.</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7/31/2025</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07/31/2029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Capital Equipment</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9.65%</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595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9,642</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9,651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9,967</w:t>
            </w:r>
          </w:p>
        </w:tc>
        <w:tc>
          <w:tcPr>
            <w:tcW w:w="0" w:type="dxa"/>
            <w:vAlign w:val="bottom"/>
          </w:tcPr>
          <w:p>
            <w:pPr>
              <w:spacing w:after="0"/>
              <w:rPr>
                <w:sz w:val="1"/>
                <w:szCs w:val="1"/>
                <w:color w:val="auto"/>
              </w:rPr>
            </w:pPr>
          </w:p>
        </w:tc>
      </w:tr>
      <w:tr>
        <w:trPr>
          <w:trHeight w:val="102"/>
        </w:trPr>
        <w:tc>
          <w:tcPr>
            <w:tcW w:w="23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LAV Gear Holdings, Inc. - Incremental TL</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7/31/2025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07/31/2029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Capital Equipment</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9.65%</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594</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1,105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1,075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1,343</w:t>
            </w:r>
          </w:p>
        </w:tc>
        <w:tc>
          <w:tcPr>
            <w:tcW w:w="0" w:type="dxa"/>
            <w:vAlign w:val="bottom"/>
          </w:tcPr>
          <w:p>
            <w:pPr>
              <w:spacing w:after="0"/>
              <w:rPr>
                <w:sz w:val="1"/>
                <w:szCs w:val="1"/>
                <w:color w:val="auto"/>
              </w:rPr>
            </w:pPr>
          </w:p>
        </w:tc>
      </w:tr>
      <w:tr>
        <w:trPr>
          <w:trHeight w:val="101"/>
        </w:trPr>
        <w:tc>
          <w:tcPr>
            <w:tcW w:w="236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LAV Gear Holdings, Inc. - Unfunded Revolver </w:t>
            </w:r>
            <w:r>
              <w:rPr>
                <w:rFonts w:ascii="Times New Roman" w:cs="Times New Roman" w:eastAsia="Times New Roman" w:hAnsi="Times New Roman"/>
                <w:sz w:val="10"/>
                <w:szCs w:val="10"/>
                <w:color w:val="auto"/>
                <w:vertAlign w:val="superscript"/>
              </w:rPr>
              <w:t>(6) (8)</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7/31/2025</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07/31/2029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Capital Equipment</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703</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Ledge Lounger, Inc.</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2/7/2022</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11/09/2026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11.32%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765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8,070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7,890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6,496</w:t>
            </w:r>
          </w:p>
        </w:tc>
        <w:tc>
          <w:tcPr>
            <w:tcW w:w="0" w:type="dxa"/>
            <w:vAlign w:val="bottom"/>
          </w:tcPr>
          <w:p>
            <w:pPr>
              <w:spacing w:after="0"/>
              <w:rPr>
                <w:sz w:val="1"/>
                <w:szCs w:val="1"/>
                <w:color w:val="auto"/>
              </w:rPr>
            </w:pPr>
          </w:p>
        </w:tc>
      </w:tr>
      <w:tr>
        <w:trPr>
          <w:trHeight w:val="102"/>
        </w:trPr>
        <w:tc>
          <w:tcPr>
            <w:tcW w:w="2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(PIK</w:t>
            </w: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1.00%)</w:t>
            </w: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Ledge Lounger, Inc. - Funded Revolver</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2/7/2022</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11/09/2026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11.32%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765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702</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702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565</w:t>
            </w:r>
          </w:p>
        </w:tc>
        <w:tc>
          <w:tcPr>
            <w:tcW w:w="0" w:type="dxa"/>
            <w:vAlign w:val="bottom"/>
          </w:tcPr>
          <w:p>
            <w:pPr>
              <w:spacing w:after="0"/>
              <w:rPr>
                <w:sz w:val="1"/>
                <w:szCs w:val="1"/>
                <w:color w:val="auto"/>
              </w:rPr>
            </w:pPr>
          </w:p>
        </w:tc>
      </w:tr>
      <w:tr>
        <w:trPr>
          <w:trHeight w:val="102"/>
        </w:trPr>
        <w:tc>
          <w:tcPr>
            <w:tcW w:w="2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(PIK</w:t>
            </w: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1.00%)</w:t>
            </w: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Lightspeed Buyer, Inc.</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1/21/2020</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02/03/2027</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8.42%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22,860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22,781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22,860</w:t>
            </w:r>
          </w:p>
        </w:tc>
        <w:tc>
          <w:tcPr>
            <w:tcW w:w="0" w:type="dxa"/>
            <w:vAlign w:val="bottom"/>
          </w:tcPr>
          <w:p>
            <w:pPr>
              <w:spacing w:after="0"/>
              <w:rPr>
                <w:sz w:val="1"/>
                <w:szCs w:val="1"/>
                <w:color w:val="auto"/>
              </w:rPr>
            </w:pPr>
          </w:p>
        </w:tc>
      </w:tr>
      <w:tr>
        <w:trPr>
          <w:trHeight w:val="101"/>
        </w:trPr>
        <w:tc>
          <w:tcPr>
            <w:tcW w:w="236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Lightspeed Buyer, Inc. - Unfunded Revolver </w:t>
            </w:r>
            <w:r>
              <w:rPr>
                <w:rFonts w:ascii="Times New Roman" w:cs="Times New Roman" w:eastAsia="Times New Roman" w:hAnsi="Times New Roman"/>
                <w:sz w:val="10"/>
                <w:szCs w:val="10"/>
                <w:color w:val="auto"/>
                <w:vertAlign w:val="superscript"/>
              </w:rPr>
              <w:t>(6), (8)</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1/21/2020</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02/03/2027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2,499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LJ Avalon Holdings, LLC</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1/18/2023</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02/01/2030</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8.29%</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450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11,785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11,741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11,785</w:t>
            </w:r>
          </w:p>
        </w:tc>
        <w:tc>
          <w:tcPr>
            <w:tcW w:w="0" w:type="dxa"/>
            <w:vAlign w:val="bottom"/>
          </w:tcPr>
          <w:p>
            <w:pPr>
              <w:spacing w:after="0"/>
              <w:rPr>
                <w:sz w:val="1"/>
                <w:szCs w:val="1"/>
                <w:color w:val="auto"/>
              </w:rPr>
            </w:pPr>
          </w:p>
        </w:tc>
      </w:tr>
      <w:tr>
        <w:trPr>
          <w:trHeight w:val="101"/>
        </w:trPr>
        <w:tc>
          <w:tcPr>
            <w:tcW w:w="236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LJ Avalon Holdings, LLC - Unfunded Term Loan </w:t>
            </w:r>
            <w:r>
              <w:rPr>
                <w:rFonts w:ascii="Times New Roman" w:cs="Times New Roman" w:eastAsia="Times New Roman" w:hAnsi="Times New Roman"/>
                <w:sz w:val="10"/>
                <w:szCs w:val="10"/>
                <w:color w:val="auto"/>
                <w:vertAlign w:val="superscript"/>
              </w:rPr>
              <w:t>(8)</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1/18/2023</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02/08/2027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4,873</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24</w:t>
            </w:r>
          </w:p>
        </w:tc>
        <w:tc>
          <w:tcPr>
            <w:tcW w:w="0" w:type="dxa"/>
            <w:vAlign w:val="bottom"/>
          </w:tcPr>
          <w:p>
            <w:pPr>
              <w:spacing w:after="0"/>
              <w:rPr>
                <w:sz w:val="1"/>
                <w:szCs w:val="1"/>
                <w:color w:val="auto"/>
              </w:rPr>
            </w:pPr>
          </w:p>
        </w:tc>
      </w:tr>
      <w:tr>
        <w:trPr>
          <w:trHeight w:val="101"/>
        </w:trPr>
        <w:tc>
          <w:tcPr>
            <w:tcW w:w="236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LJ Avalon Holdings, LLC - Unfunded Revolver </w:t>
            </w:r>
            <w:r>
              <w:rPr>
                <w:rFonts w:ascii="Times New Roman" w:cs="Times New Roman" w:eastAsia="Times New Roman" w:hAnsi="Times New Roman"/>
                <w:sz w:val="10"/>
                <w:szCs w:val="10"/>
                <w:color w:val="auto"/>
                <w:vertAlign w:val="superscript"/>
              </w:rPr>
              <w:t>(6), (8)</w:t>
            </w:r>
          </w:p>
        </w:tc>
        <w:tc>
          <w:tcPr>
            <w:tcW w:w="6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1/18/2023</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02/01/2029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2,883</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53"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2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vMerge w:val="restart"/>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Spread</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vMerge w:val="restart"/>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Fair</w:t>
            </w:r>
          </w:p>
        </w:tc>
        <w:tc>
          <w:tcPr>
            <w:tcW w:w="0" w:type="dxa"/>
            <w:vAlign w:val="bottom"/>
          </w:tcPr>
          <w:p>
            <w:pPr>
              <w:spacing w:after="0"/>
              <w:rPr>
                <w:sz w:val="1"/>
                <w:szCs w:val="1"/>
                <w:color w:val="auto"/>
              </w:rPr>
            </w:pPr>
          </w:p>
        </w:tc>
      </w:tr>
      <w:tr>
        <w:trPr>
          <w:trHeight w:val="82"/>
        </w:trPr>
        <w:tc>
          <w:tcPr>
            <w:tcW w:w="228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560" w:type="dxa"/>
            <w:vAlign w:val="bottom"/>
            <w:vMerge w:val="continue"/>
          </w:tcPr>
          <w:p>
            <w:pPr>
              <w:spacing w:after="0"/>
              <w:rPr>
                <w:sz w:val="7"/>
                <w:szCs w:val="7"/>
                <w:color w:val="auto"/>
              </w:rPr>
            </w:pPr>
          </w:p>
        </w:tc>
        <w:tc>
          <w:tcPr>
            <w:tcW w:w="560" w:type="dxa"/>
            <w:vAlign w:val="bottom"/>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w w:val="96"/>
              </w:rPr>
              <w:t>Above Index</w:t>
            </w:r>
          </w:p>
        </w:tc>
        <w:tc>
          <w:tcPr>
            <w:tcW w:w="640" w:type="dxa"/>
            <w:vAlign w:val="bottom"/>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Par / Shares</w:t>
            </w:r>
          </w:p>
        </w:tc>
        <w:tc>
          <w:tcPr>
            <w:tcW w:w="540" w:type="dxa"/>
            <w:vAlign w:val="bottom"/>
            <w:vMerge w:val="restart"/>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Cost</w:t>
            </w: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2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60" w:type="dxa"/>
            <w:vAlign w:val="bottom"/>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Coupon</w:t>
            </w:r>
          </w:p>
        </w:tc>
        <w:tc>
          <w:tcPr>
            <w:tcW w:w="560" w:type="dxa"/>
            <w:vAlign w:val="bottom"/>
          </w:tcPr>
          <w:p>
            <w:pPr>
              <w:jc w:val="center"/>
              <w:spacing w:after="0"/>
              <w:rPr>
                <w:sz w:val="20"/>
                <w:szCs w:val="20"/>
                <w:color w:val="auto"/>
              </w:rPr>
            </w:pPr>
            <w:r>
              <w:rPr>
                <w:rFonts w:ascii="Times New Roman" w:cs="Times New Roman" w:eastAsia="Times New Roman" w:hAnsi="Times New Roman"/>
                <w:sz w:val="5"/>
                <w:szCs w:val="5"/>
                <w:b w:val="1"/>
                <w:bCs w:val="1"/>
                <w:color w:val="auto"/>
              </w:rPr>
              <w:t>(1)</w:t>
            </w: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jc w:val="right"/>
              <w:ind w:right="120"/>
              <w:spacing w:after="0" w:line="92" w:lineRule="exact"/>
              <w:rPr>
                <w:sz w:val="20"/>
                <w:szCs w:val="20"/>
                <w:color w:val="auto"/>
              </w:rPr>
            </w:pPr>
            <w:r>
              <w:rPr>
                <w:rFonts w:ascii="Times New Roman" w:cs="Times New Roman" w:eastAsia="Times New Roman" w:hAnsi="Times New Roman"/>
                <w:sz w:val="8"/>
                <w:szCs w:val="8"/>
                <w:b w:val="1"/>
                <w:bCs w:val="1"/>
                <w:color w:val="auto"/>
              </w:rPr>
              <w:t xml:space="preserve">Value </w:t>
            </w:r>
            <w:r>
              <w:rPr>
                <w:rFonts w:ascii="Times New Roman" w:cs="Times New Roman" w:eastAsia="Times New Roman" w:hAnsi="Times New Roman"/>
                <w:sz w:val="10"/>
                <w:szCs w:val="10"/>
                <w:b w:val="1"/>
                <w:bCs w:val="1"/>
                <w:color w:val="auto"/>
                <w:vertAlign w:val="superscript"/>
              </w:rPr>
              <w:t>(2)</w:t>
            </w:r>
          </w:p>
        </w:tc>
        <w:tc>
          <w:tcPr>
            <w:tcW w:w="0" w:type="dxa"/>
            <w:vAlign w:val="bottom"/>
          </w:tcPr>
          <w:p>
            <w:pPr>
              <w:spacing w:after="0"/>
              <w:rPr>
                <w:sz w:val="1"/>
                <w:szCs w:val="1"/>
                <w:color w:val="auto"/>
              </w:rPr>
            </w:pPr>
          </w:p>
        </w:tc>
      </w:tr>
      <w:tr>
        <w:trPr>
          <w:trHeight w:val="101"/>
        </w:trPr>
        <w:tc>
          <w:tcPr>
            <w:tcW w:w="2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rPr>
                <w:sz w:val="20"/>
                <w:szCs w:val="20"/>
                <w:color w:val="auto"/>
              </w:rPr>
            </w:pPr>
            <w:r>
              <w:rPr>
                <w:rFonts w:ascii="Times New Roman" w:cs="Times New Roman" w:eastAsia="Times New Roman" w:hAnsi="Times New Roman"/>
                <w:sz w:val="8"/>
                <w:szCs w:val="8"/>
                <w:color w:val="auto"/>
              </w:rPr>
              <w:t>Loving Tan Intermediate II, Inc.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5/24/2023</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05/31/2028</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8.67%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500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57,803</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57,257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57,514</w:t>
            </w:r>
          </w:p>
        </w:tc>
        <w:tc>
          <w:tcPr>
            <w:tcW w:w="0" w:type="dxa"/>
            <w:vAlign w:val="bottom"/>
          </w:tcPr>
          <w:p>
            <w:pPr>
              <w:spacing w:after="0"/>
              <w:rPr>
                <w:sz w:val="1"/>
                <w:szCs w:val="1"/>
                <w:color w:val="auto"/>
              </w:rPr>
            </w:pPr>
          </w:p>
        </w:tc>
      </w:tr>
      <w:tr>
        <w:trPr>
          <w:trHeight w:val="101"/>
        </w:trPr>
        <w:tc>
          <w:tcPr>
            <w:tcW w:w="22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Loving Tan Intermediate II, Inc. - Unfunded Term Loan </w:t>
            </w:r>
            <w:r>
              <w:rPr>
                <w:rFonts w:ascii="Times New Roman" w:cs="Times New Roman" w:eastAsia="Times New Roman" w:hAnsi="Times New Roman"/>
                <w:sz w:val="10"/>
                <w:szCs w:val="10"/>
                <w:color w:val="auto"/>
                <w:vertAlign w:val="superscript"/>
              </w:rPr>
              <w:t>(8)</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5/24/2023</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12/31/2026</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6,365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32</w:t>
            </w:r>
          </w:p>
        </w:tc>
        <w:tc>
          <w:tcPr>
            <w:tcW w:w="0" w:type="dxa"/>
            <w:vAlign w:val="bottom"/>
          </w:tcPr>
          <w:p>
            <w:pPr>
              <w:spacing w:after="0"/>
              <w:rPr>
                <w:sz w:val="1"/>
                <w:szCs w:val="1"/>
                <w:color w:val="auto"/>
              </w:rPr>
            </w:pPr>
          </w:p>
        </w:tc>
      </w:tr>
      <w:tr>
        <w:trPr>
          <w:trHeight w:val="102"/>
        </w:trPr>
        <w:tc>
          <w:tcPr>
            <w:tcW w:w="2280" w:type="dxa"/>
            <w:vAlign w:val="bottom"/>
          </w:tcPr>
          <w:p>
            <w:pPr>
              <w:spacing w:after="0"/>
              <w:rPr>
                <w:sz w:val="20"/>
                <w:szCs w:val="20"/>
                <w:color w:val="auto"/>
              </w:rPr>
            </w:pPr>
            <w:r>
              <w:rPr>
                <w:rFonts w:ascii="Times New Roman" w:cs="Times New Roman" w:eastAsia="Times New Roman" w:hAnsi="Times New Roman"/>
                <w:sz w:val="8"/>
                <w:szCs w:val="8"/>
                <w:color w:val="auto"/>
              </w:rPr>
              <w:t>Loving Tan Intermediate II, Inc. - Unfunded Term Loan - 2nd</w:t>
            </w: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Amendment </w:t>
            </w:r>
            <w:r>
              <w:rPr>
                <w:rFonts w:ascii="Times New Roman" w:cs="Times New Roman" w:eastAsia="Times New Roman" w:hAnsi="Times New Roman"/>
                <w:sz w:val="10"/>
                <w:szCs w:val="10"/>
                <w:color w:val="auto"/>
                <w:vertAlign w:val="superscript"/>
              </w:rPr>
              <w:t>(8)</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5/24/2023</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12/31/2026</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9,172</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Loving Tan Intermediate II, Inc. - Funded Revolver</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5/24/2023</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05/31/2028</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8.69%</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500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2,217</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2,217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2,206</w:t>
            </w:r>
          </w:p>
        </w:tc>
        <w:tc>
          <w:tcPr>
            <w:tcW w:w="0" w:type="dxa"/>
            <w:vAlign w:val="bottom"/>
          </w:tcPr>
          <w:p>
            <w:pPr>
              <w:spacing w:after="0"/>
              <w:rPr>
                <w:sz w:val="1"/>
                <w:szCs w:val="1"/>
                <w:color w:val="auto"/>
              </w:rPr>
            </w:pPr>
          </w:p>
        </w:tc>
      </w:tr>
      <w:tr>
        <w:trPr>
          <w:trHeight w:val="101"/>
        </w:trPr>
        <w:tc>
          <w:tcPr>
            <w:tcW w:w="22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Loving Tan Intermediate II, Inc. - Unfunded Revolver </w:t>
            </w:r>
            <w:r>
              <w:rPr>
                <w:rFonts w:ascii="Times New Roman" w:cs="Times New Roman" w:eastAsia="Times New Roman" w:hAnsi="Times New Roman"/>
                <w:sz w:val="10"/>
                <w:szCs w:val="10"/>
                <w:color w:val="auto"/>
                <w:vertAlign w:val="superscript"/>
              </w:rPr>
              <w:t>(8)</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5/24/2023</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05/31/2028</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5,173</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(26)</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MAG DS Corp.</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9/21/2020</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04/01/2027</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9.27%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560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12,171</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11,984</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12,106</w:t>
            </w:r>
          </w:p>
        </w:tc>
        <w:tc>
          <w:tcPr>
            <w:tcW w:w="0" w:type="dxa"/>
            <w:vAlign w:val="bottom"/>
          </w:tcPr>
          <w:p>
            <w:pPr>
              <w:spacing w:after="0"/>
              <w:rPr>
                <w:sz w:val="1"/>
                <w:szCs w:val="1"/>
                <w:color w:val="auto"/>
              </w:rPr>
            </w:pPr>
          </w:p>
        </w:tc>
      </w:tr>
      <w:tr>
        <w:trPr>
          <w:trHeight w:val="102"/>
        </w:trPr>
        <w:tc>
          <w:tcPr>
            <w:tcW w:w="2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rPr>
                <w:sz w:val="20"/>
                <w:szCs w:val="20"/>
                <w:color w:val="auto"/>
              </w:rPr>
            </w:pPr>
            <w:r>
              <w:rPr>
                <w:rFonts w:ascii="Times New Roman" w:cs="Times New Roman" w:eastAsia="Times New Roman" w:hAnsi="Times New Roman"/>
                <w:sz w:val="8"/>
                <w:szCs w:val="8"/>
                <w:color w:val="auto"/>
              </w:rPr>
              <w:t>Marketplace Events Acquisition,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12/19/2024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12/19/2030</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8.95%</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525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64,780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64,216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64,780</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Marketplace Events Acquisition, LLC - Funded Revolver</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12/19/2024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12/19/2030</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8.99%</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525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1,939</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1,939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1,939</w:t>
            </w:r>
          </w:p>
        </w:tc>
        <w:tc>
          <w:tcPr>
            <w:tcW w:w="0" w:type="dxa"/>
            <w:vAlign w:val="bottom"/>
          </w:tcPr>
          <w:p>
            <w:pPr>
              <w:spacing w:after="0"/>
              <w:rPr>
                <w:sz w:val="1"/>
                <w:szCs w:val="1"/>
                <w:color w:val="auto"/>
              </w:rPr>
            </w:pPr>
          </w:p>
        </w:tc>
      </w:tr>
      <w:tr>
        <w:trPr>
          <w:trHeight w:val="101"/>
        </w:trPr>
        <w:tc>
          <w:tcPr>
            <w:tcW w:w="22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Marketplace Events Acquisition, LLC - Unfunded Revolver </w:t>
            </w:r>
            <w:r>
              <w:rPr>
                <w:rFonts w:ascii="Times New Roman" w:cs="Times New Roman" w:eastAsia="Times New Roman" w:hAnsi="Times New Roman"/>
                <w:sz w:val="10"/>
                <w:szCs w:val="10"/>
                <w:color w:val="auto"/>
                <w:vertAlign w:val="superscript"/>
              </w:rPr>
              <w:t>(8)</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12/19/2024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12/19/2030</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4,158</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MBS Holdings, Inc.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12/19/2024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04/16/2027</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Internet Software and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8.92%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510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499</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497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499</w:t>
            </w:r>
          </w:p>
        </w:tc>
        <w:tc>
          <w:tcPr>
            <w:tcW w:w="0" w:type="dxa"/>
            <w:vAlign w:val="bottom"/>
          </w:tcPr>
          <w:p>
            <w:pPr>
              <w:spacing w:after="0"/>
              <w:rPr>
                <w:sz w:val="1"/>
                <w:szCs w:val="1"/>
                <w:color w:val="auto"/>
              </w:rPr>
            </w:pPr>
          </w:p>
        </w:tc>
      </w:tr>
      <w:tr>
        <w:trPr>
          <w:trHeight w:val="101"/>
        </w:trPr>
        <w:tc>
          <w:tcPr>
            <w:tcW w:w="22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MBS Holdings, Inc. - Unfunded Revolver </w:t>
            </w:r>
            <w:r>
              <w:rPr>
                <w:rFonts w:ascii="Times New Roman" w:cs="Times New Roman" w:eastAsia="Times New Roman" w:hAnsi="Times New Roman"/>
                <w:sz w:val="10"/>
                <w:szCs w:val="10"/>
                <w:color w:val="auto"/>
                <w:vertAlign w:val="superscript"/>
              </w:rPr>
              <w:t>(6), (8)</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4/14/2021</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04/16/2027</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Internet Software and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1,157</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MDI Buyer, Inc.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3/16/2023</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07/25/2028</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Commodity Chemicals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8.46%</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6,650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6,597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6,650</w:t>
            </w:r>
          </w:p>
        </w:tc>
        <w:tc>
          <w:tcPr>
            <w:tcW w:w="0" w:type="dxa"/>
            <w:vAlign w:val="bottom"/>
          </w:tcPr>
          <w:p>
            <w:pPr>
              <w:spacing w:after="0"/>
              <w:rPr>
                <w:sz w:val="1"/>
                <w:szCs w:val="1"/>
                <w:color w:val="auto"/>
              </w:rPr>
            </w:pPr>
          </w:p>
        </w:tc>
      </w:tr>
      <w:tr>
        <w:trPr>
          <w:trHeight w:val="101"/>
        </w:trPr>
        <w:tc>
          <w:tcPr>
            <w:tcW w:w="22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MDI Buyer, Inc. - Unfunded Term Loan </w:t>
            </w:r>
            <w:r>
              <w:rPr>
                <w:rFonts w:ascii="Times New Roman" w:cs="Times New Roman" w:eastAsia="Times New Roman" w:hAnsi="Times New Roman"/>
                <w:sz w:val="10"/>
                <w:szCs w:val="10"/>
                <w:color w:val="auto"/>
                <w:vertAlign w:val="superscript"/>
              </w:rPr>
              <w:t>(8)</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3/16/2023</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07/25/2028</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Commodity Chemicals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2,815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MDI Buyer, Inc. - Funded Revolver</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7/19/2022</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07/25/2028</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Commodity Chemicals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11.50%</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400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1,307</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1,307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1,307</w:t>
            </w:r>
          </w:p>
        </w:tc>
        <w:tc>
          <w:tcPr>
            <w:tcW w:w="0" w:type="dxa"/>
            <w:vAlign w:val="bottom"/>
          </w:tcPr>
          <w:p>
            <w:pPr>
              <w:spacing w:after="0"/>
              <w:rPr>
                <w:sz w:val="1"/>
                <w:szCs w:val="1"/>
                <w:color w:val="auto"/>
              </w:rPr>
            </w:pPr>
          </w:p>
        </w:tc>
      </w:tr>
      <w:tr>
        <w:trPr>
          <w:trHeight w:val="101"/>
        </w:trPr>
        <w:tc>
          <w:tcPr>
            <w:tcW w:w="22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MDI Buyer, Inc. - Unfunded Revolver </w:t>
            </w:r>
            <w:r>
              <w:rPr>
                <w:rFonts w:ascii="Times New Roman" w:cs="Times New Roman" w:eastAsia="Times New Roman" w:hAnsi="Times New Roman"/>
                <w:sz w:val="10"/>
                <w:szCs w:val="10"/>
                <w:color w:val="auto"/>
                <w:vertAlign w:val="superscript"/>
              </w:rPr>
              <w:t>(6), (8)</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7/19/2022</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07/25/2028</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Commodity Chemicals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571</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Meadowlark Acquirer,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12/9/2021</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12/10/2027</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9.32%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565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4,333</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4,290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4,333</w:t>
            </w:r>
          </w:p>
        </w:tc>
        <w:tc>
          <w:tcPr>
            <w:tcW w:w="0" w:type="dxa"/>
            <w:vAlign w:val="bottom"/>
          </w:tcPr>
          <w:p>
            <w:pPr>
              <w:spacing w:after="0"/>
              <w:rPr>
                <w:sz w:val="1"/>
                <w:szCs w:val="1"/>
                <w:color w:val="auto"/>
              </w:rPr>
            </w:pPr>
          </w:p>
        </w:tc>
      </w:tr>
      <w:tr>
        <w:trPr>
          <w:trHeight w:val="102"/>
        </w:trPr>
        <w:tc>
          <w:tcPr>
            <w:tcW w:w="2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rPr>
                <w:sz w:val="20"/>
                <w:szCs w:val="20"/>
                <w:color w:val="auto"/>
              </w:rPr>
            </w:pPr>
            <w:r>
              <w:rPr>
                <w:rFonts w:ascii="Times New Roman" w:cs="Times New Roman" w:eastAsia="Times New Roman" w:hAnsi="Times New Roman"/>
                <w:sz w:val="8"/>
                <w:szCs w:val="8"/>
                <w:color w:val="auto"/>
              </w:rPr>
              <w:t>Meadowlark Acquirer, LLC - Funded Revolver</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12/9/2021</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12/10/2027</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9.32%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565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339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339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339</w:t>
            </w:r>
          </w:p>
        </w:tc>
        <w:tc>
          <w:tcPr>
            <w:tcW w:w="0" w:type="dxa"/>
            <w:vAlign w:val="bottom"/>
          </w:tcPr>
          <w:p>
            <w:pPr>
              <w:spacing w:after="0"/>
              <w:rPr>
                <w:sz w:val="1"/>
                <w:szCs w:val="1"/>
                <w:color w:val="auto"/>
              </w:rPr>
            </w:pPr>
          </w:p>
        </w:tc>
      </w:tr>
      <w:tr>
        <w:trPr>
          <w:trHeight w:val="101"/>
        </w:trPr>
        <w:tc>
          <w:tcPr>
            <w:tcW w:w="22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Meadowlark Acquirer, LLC - Unfunded Revolver </w:t>
            </w:r>
            <w:r>
              <w:rPr>
                <w:rFonts w:ascii="Times New Roman" w:cs="Times New Roman" w:eastAsia="Times New Roman" w:hAnsi="Times New Roman"/>
                <w:sz w:val="10"/>
                <w:szCs w:val="10"/>
                <w:color w:val="auto"/>
                <w:vertAlign w:val="superscript"/>
              </w:rPr>
              <w:t>(8)</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12/9/2021</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12/10/2027</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1,354</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rPr>
                <w:sz w:val="20"/>
                <w:szCs w:val="20"/>
                <w:color w:val="auto"/>
              </w:rPr>
            </w:pPr>
            <w:r>
              <w:rPr>
                <w:rFonts w:ascii="Times New Roman" w:cs="Times New Roman" w:eastAsia="Times New Roman" w:hAnsi="Times New Roman"/>
                <w:sz w:val="8"/>
                <w:szCs w:val="8"/>
                <w:color w:val="auto"/>
              </w:rPr>
              <w:t>Medina Health,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10/16/2023</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10/20/2028</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9.95%</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625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17,480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17,291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17,480</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Medina Health, LLC - Unfunded Revolver </w:t>
            </w:r>
            <w:r>
              <w:rPr>
                <w:rFonts w:ascii="Times New Roman" w:cs="Times New Roman" w:eastAsia="Times New Roman" w:hAnsi="Times New Roman"/>
                <w:sz w:val="10"/>
                <w:szCs w:val="10"/>
                <w:color w:val="auto"/>
                <w:vertAlign w:val="superscript"/>
              </w:rPr>
              <w:t>(8)</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10/16/2023</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10/20/2028</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5,187</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rPr>
                <w:sz w:val="20"/>
                <w:szCs w:val="20"/>
                <w:color w:val="auto"/>
              </w:rPr>
            </w:pPr>
            <w:r>
              <w:rPr>
                <w:rFonts w:ascii="Times New Roman" w:cs="Times New Roman" w:eastAsia="Times New Roman" w:hAnsi="Times New Roman"/>
                <w:sz w:val="8"/>
                <w:szCs w:val="8"/>
                <w:color w:val="auto"/>
              </w:rPr>
              <w:t>Megawatt Acquisitionco, Inc.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3/1/2024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03/01/2030</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Instruments, and Components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9.17%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550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9,825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9,538</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9,825</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Megawatt Acquisitionco, Inc. - Unfunded Revolver </w:t>
            </w:r>
            <w:r>
              <w:rPr>
                <w:rFonts w:ascii="Times New Roman" w:cs="Times New Roman" w:eastAsia="Times New Roman" w:hAnsi="Times New Roman"/>
                <w:sz w:val="10"/>
                <w:szCs w:val="10"/>
                <w:color w:val="auto"/>
                <w:vertAlign w:val="superscript"/>
              </w:rPr>
              <w:t>(8)</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3/1/2024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03/01/2030</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Instruments, and Components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3,250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rPr>
                <w:sz w:val="20"/>
                <w:szCs w:val="20"/>
                <w:color w:val="auto"/>
              </w:rPr>
            </w:pPr>
            <w:r>
              <w:rPr>
                <w:rFonts w:ascii="Times New Roman" w:cs="Times New Roman" w:eastAsia="Times New Roman" w:hAnsi="Times New Roman"/>
                <w:sz w:val="8"/>
                <w:szCs w:val="8"/>
                <w:color w:val="auto"/>
              </w:rPr>
              <w:t>MOREgroup Holdings, Inc.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1/9/2024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01/16/2030</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8.94%</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525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26,944</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26,657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26,944</w:t>
            </w:r>
          </w:p>
        </w:tc>
        <w:tc>
          <w:tcPr>
            <w:tcW w:w="0" w:type="dxa"/>
            <w:vAlign w:val="bottom"/>
          </w:tcPr>
          <w:p>
            <w:pPr>
              <w:spacing w:after="0"/>
              <w:rPr>
                <w:sz w:val="1"/>
                <w:szCs w:val="1"/>
                <w:color w:val="auto"/>
              </w:rPr>
            </w:pPr>
          </w:p>
        </w:tc>
      </w:tr>
      <w:tr>
        <w:trPr>
          <w:trHeight w:val="101"/>
        </w:trPr>
        <w:tc>
          <w:tcPr>
            <w:tcW w:w="22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MOREgroup Holdings, Inc. - Unfunded Term Loan </w:t>
            </w:r>
            <w:r>
              <w:rPr>
                <w:rFonts w:ascii="Times New Roman" w:cs="Times New Roman" w:eastAsia="Times New Roman" w:hAnsi="Times New Roman"/>
                <w:sz w:val="10"/>
                <w:szCs w:val="10"/>
                <w:color w:val="auto"/>
                <w:vertAlign w:val="superscript"/>
              </w:rPr>
              <w:t>(8)</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1/9/2024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01/16/2026</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11,056</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111</w:t>
            </w:r>
          </w:p>
        </w:tc>
        <w:tc>
          <w:tcPr>
            <w:tcW w:w="0" w:type="dxa"/>
            <w:vAlign w:val="bottom"/>
          </w:tcPr>
          <w:p>
            <w:pPr>
              <w:spacing w:after="0"/>
              <w:rPr>
                <w:sz w:val="1"/>
                <w:szCs w:val="1"/>
                <w:color w:val="auto"/>
              </w:rPr>
            </w:pPr>
          </w:p>
        </w:tc>
      </w:tr>
      <w:tr>
        <w:trPr>
          <w:trHeight w:val="101"/>
        </w:trPr>
        <w:tc>
          <w:tcPr>
            <w:tcW w:w="22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MOREgroup Holdings, Inc. - Unfunded Revolver </w:t>
            </w:r>
            <w:r>
              <w:rPr>
                <w:rFonts w:ascii="Times New Roman" w:cs="Times New Roman" w:eastAsia="Times New Roman" w:hAnsi="Times New Roman"/>
                <w:sz w:val="10"/>
                <w:szCs w:val="10"/>
                <w:color w:val="auto"/>
                <w:vertAlign w:val="superscript"/>
              </w:rPr>
              <w:t>(8)</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1/9/2024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01/16/2030</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6,634</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MES Intermediate, Inc.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9/23/2021</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10/01/2027</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8.42%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13,996</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13,931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13,996</w:t>
            </w:r>
          </w:p>
        </w:tc>
        <w:tc>
          <w:tcPr>
            <w:tcW w:w="0" w:type="dxa"/>
            <w:vAlign w:val="bottom"/>
          </w:tcPr>
          <w:p>
            <w:pPr>
              <w:spacing w:after="0"/>
              <w:rPr>
                <w:sz w:val="1"/>
                <w:szCs w:val="1"/>
                <w:color w:val="auto"/>
              </w:rPr>
            </w:pPr>
          </w:p>
        </w:tc>
      </w:tr>
      <w:tr>
        <w:trPr>
          <w:trHeight w:val="102"/>
        </w:trPr>
        <w:tc>
          <w:tcPr>
            <w:tcW w:w="2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rPr>
                <w:sz w:val="20"/>
                <w:szCs w:val="20"/>
                <w:color w:val="auto"/>
              </w:rPr>
            </w:pPr>
            <w:r>
              <w:rPr>
                <w:rFonts w:ascii="Times New Roman" w:cs="Times New Roman" w:eastAsia="Times New Roman" w:hAnsi="Times New Roman"/>
                <w:sz w:val="8"/>
                <w:szCs w:val="8"/>
                <w:color w:val="auto"/>
              </w:rPr>
              <w:t>MES Intermediate, Inc. - Funded Revolver</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9/23/2021</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10/01/2027</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11.50%</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400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237</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237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237</w:t>
            </w:r>
          </w:p>
        </w:tc>
        <w:tc>
          <w:tcPr>
            <w:tcW w:w="0" w:type="dxa"/>
            <w:vAlign w:val="bottom"/>
          </w:tcPr>
          <w:p>
            <w:pPr>
              <w:spacing w:after="0"/>
              <w:rPr>
                <w:sz w:val="1"/>
                <w:szCs w:val="1"/>
                <w:color w:val="auto"/>
              </w:rPr>
            </w:pPr>
          </w:p>
        </w:tc>
      </w:tr>
      <w:tr>
        <w:trPr>
          <w:trHeight w:val="101"/>
        </w:trPr>
        <w:tc>
          <w:tcPr>
            <w:tcW w:w="22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MES Intermediate, Inc. - Unfunded Revolver </w:t>
            </w:r>
            <w:r>
              <w:rPr>
                <w:rFonts w:ascii="Times New Roman" w:cs="Times New Roman" w:eastAsia="Times New Roman" w:hAnsi="Times New Roman"/>
                <w:sz w:val="10"/>
                <w:szCs w:val="10"/>
                <w:color w:val="auto"/>
                <w:vertAlign w:val="superscript"/>
              </w:rPr>
              <w:t>(6) (8)</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9/23/2021</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10/01/2027</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1,066</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Equipment and</w:t>
            </w: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rPr>
                <w:sz w:val="20"/>
                <w:szCs w:val="20"/>
                <w:color w:val="auto"/>
              </w:rPr>
            </w:pPr>
            <w:r>
              <w:rPr>
                <w:rFonts w:ascii="Times New Roman" w:cs="Times New Roman" w:eastAsia="Times New Roman" w:hAnsi="Times New Roman"/>
                <w:sz w:val="8"/>
                <w:szCs w:val="8"/>
                <w:color w:val="auto"/>
              </w:rPr>
              <w:t>NBH Group,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8/29/2025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08/19/2026</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Supplies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9.71%</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585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2,564</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2,564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2,564</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Equipment and</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NBH Group, LLC - Unfunded Revolver </w:t>
            </w:r>
            <w:r>
              <w:rPr>
                <w:rFonts w:ascii="Times New Roman" w:cs="Times New Roman" w:eastAsia="Times New Roman" w:hAnsi="Times New Roman"/>
                <w:sz w:val="10"/>
                <w:szCs w:val="10"/>
                <w:color w:val="auto"/>
                <w:vertAlign w:val="superscript"/>
              </w:rPr>
              <w:t>(6), (8)</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8/16/2021</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08/19/2026</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Supplies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1,677</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rPr>
                <w:sz w:val="20"/>
                <w:szCs w:val="20"/>
                <w:color w:val="auto"/>
              </w:rPr>
            </w:pPr>
            <w:r>
              <w:rPr>
                <w:rFonts w:ascii="Times New Roman" w:cs="Times New Roman" w:eastAsia="Times New Roman" w:hAnsi="Times New Roman"/>
                <w:sz w:val="8"/>
                <w:szCs w:val="8"/>
                <w:color w:val="auto"/>
              </w:rPr>
              <w:t>NORA Acquisition,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8/22/2023</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08/31/2029</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10.02%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635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20,691</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20,415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20,070</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NORA Acquisition, LLC - Funded Revolver</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8/22/2023</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08/31/2029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10.02%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635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2,466</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2,466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2,392</w:t>
            </w:r>
          </w:p>
        </w:tc>
        <w:tc>
          <w:tcPr>
            <w:tcW w:w="0" w:type="dxa"/>
            <w:vAlign w:val="bottom"/>
          </w:tcPr>
          <w:p>
            <w:pPr>
              <w:spacing w:after="0"/>
              <w:rPr>
                <w:sz w:val="1"/>
                <w:szCs w:val="1"/>
                <w:color w:val="auto"/>
              </w:rPr>
            </w:pPr>
          </w:p>
        </w:tc>
      </w:tr>
      <w:tr>
        <w:trPr>
          <w:trHeight w:val="102"/>
        </w:trPr>
        <w:tc>
          <w:tcPr>
            <w:tcW w:w="2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vMerge w:val="restart"/>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NORA Acquisition, LLC - Unfunded Revolver </w:t>
            </w:r>
            <w:r>
              <w:rPr>
                <w:rFonts w:ascii="Times New Roman" w:cs="Times New Roman" w:eastAsia="Times New Roman" w:hAnsi="Times New Roman"/>
                <w:sz w:val="10"/>
                <w:szCs w:val="10"/>
                <w:color w:val="auto"/>
                <w:vertAlign w:val="superscript"/>
              </w:rPr>
              <w:t>(6), (8)</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8/22/2023</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08/31/2029</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vMerge w:val="continue"/>
          </w:tcPr>
          <w:p>
            <w:pPr>
              <w:spacing w:after="0"/>
              <w:rPr>
                <w:sz w:val="8"/>
                <w:szCs w:val="8"/>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3,013</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(90)</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North American Rail Solutions,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8/29/2025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08/29/2031</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Manufacturing/Basic Industry</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8.42%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30,424</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30,272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30,272</w:t>
            </w:r>
          </w:p>
        </w:tc>
        <w:tc>
          <w:tcPr>
            <w:tcW w:w="0" w:type="dxa"/>
            <w:vAlign w:val="bottom"/>
          </w:tcPr>
          <w:p>
            <w:pPr>
              <w:spacing w:after="0"/>
              <w:rPr>
                <w:sz w:val="1"/>
                <w:szCs w:val="1"/>
                <w:color w:val="auto"/>
              </w:rPr>
            </w:pPr>
          </w:p>
        </w:tc>
      </w:tr>
      <w:tr>
        <w:trPr>
          <w:trHeight w:val="101"/>
        </w:trPr>
        <w:tc>
          <w:tcPr>
            <w:tcW w:w="22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North American Rail Solutions, LLC - Unfunded Term Loan </w:t>
            </w:r>
            <w:r>
              <w:rPr>
                <w:rFonts w:ascii="Times New Roman" w:cs="Times New Roman" w:eastAsia="Times New Roman" w:hAnsi="Times New Roman"/>
                <w:sz w:val="10"/>
                <w:szCs w:val="10"/>
                <w:color w:val="auto"/>
                <w:vertAlign w:val="superscript"/>
              </w:rPr>
              <w:t>(8)</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8/29/2025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08/29/2027</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Manufacturing/Basic Industry</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4,231</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North American Rail Solutions, LLC - Funded Revolver</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8/29/2025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08/29/2031</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Manufacturing/Basic Industry</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8.47%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1,015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1,015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1,010</w:t>
            </w:r>
          </w:p>
        </w:tc>
        <w:tc>
          <w:tcPr>
            <w:tcW w:w="0" w:type="dxa"/>
            <w:vAlign w:val="bottom"/>
          </w:tcPr>
          <w:p>
            <w:pPr>
              <w:spacing w:after="0"/>
              <w:rPr>
                <w:sz w:val="1"/>
                <w:szCs w:val="1"/>
                <w:color w:val="auto"/>
              </w:rPr>
            </w:pPr>
          </w:p>
        </w:tc>
      </w:tr>
      <w:tr>
        <w:trPr>
          <w:trHeight w:val="101"/>
        </w:trPr>
        <w:tc>
          <w:tcPr>
            <w:tcW w:w="22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North American Rail Solutions, LLC - Unfunded Revolver </w:t>
            </w:r>
            <w:r>
              <w:rPr>
                <w:rFonts w:ascii="Times New Roman" w:cs="Times New Roman" w:eastAsia="Times New Roman" w:hAnsi="Times New Roman"/>
                <w:sz w:val="10"/>
                <w:szCs w:val="10"/>
                <w:color w:val="auto"/>
                <w:vertAlign w:val="superscript"/>
              </w:rPr>
              <w:t>(8)</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8/29/2025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08/29/2031</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Manufacturing/Basic Industry</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4,908</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(25)</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Omnia Exterior Solutions,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12/29/2023</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12/31/2029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8.92%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525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23,457</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23,299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23,163</w:t>
            </w:r>
          </w:p>
        </w:tc>
        <w:tc>
          <w:tcPr>
            <w:tcW w:w="0" w:type="dxa"/>
            <w:vAlign w:val="bottom"/>
          </w:tcPr>
          <w:p>
            <w:pPr>
              <w:spacing w:after="0"/>
              <w:rPr>
                <w:sz w:val="1"/>
                <w:szCs w:val="1"/>
                <w:color w:val="auto"/>
              </w:rPr>
            </w:pPr>
          </w:p>
        </w:tc>
      </w:tr>
      <w:tr>
        <w:trPr>
          <w:trHeight w:val="101"/>
        </w:trPr>
        <w:tc>
          <w:tcPr>
            <w:tcW w:w="22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Omnia Exterior Solutions, LLC - Unfunded Term Loan </w:t>
            </w:r>
            <w:r>
              <w:rPr>
                <w:rFonts w:ascii="Times New Roman" w:cs="Times New Roman" w:eastAsia="Times New Roman" w:hAnsi="Times New Roman"/>
                <w:sz w:val="10"/>
                <w:szCs w:val="10"/>
                <w:color w:val="auto"/>
                <w:vertAlign w:val="superscript"/>
              </w:rPr>
              <w:t>(8)</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12/29/2023</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09/30/2026</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8,705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(33)</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Omnia Exterior Solutions, LLC - Funded Revolver</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12/29/2023</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12/31/2029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8.97%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525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2,240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2,240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2,212</w:t>
            </w:r>
          </w:p>
        </w:tc>
        <w:tc>
          <w:tcPr>
            <w:tcW w:w="0" w:type="dxa"/>
            <w:vAlign w:val="bottom"/>
          </w:tcPr>
          <w:p>
            <w:pPr>
              <w:spacing w:after="0"/>
              <w:rPr>
                <w:sz w:val="1"/>
                <w:szCs w:val="1"/>
                <w:color w:val="auto"/>
              </w:rPr>
            </w:pPr>
          </w:p>
        </w:tc>
      </w:tr>
      <w:tr>
        <w:trPr>
          <w:trHeight w:val="101"/>
        </w:trPr>
        <w:tc>
          <w:tcPr>
            <w:tcW w:w="22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Omnia Exterior Solutions, LLC - Unfunded Revolver </w:t>
            </w:r>
            <w:r>
              <w:rPr>
                <w:rFonts w:ascii="Times New Roman" w:cs="Times New Roman" w:eastAsia="Times New Roman" w:hAnsi="Times New Roman"/>
                <w:sz w:val="10"/>
                <w:szCs w:val="10"/>
                <w:color w:val="auto"/>
                <w:vertAlign w:val="superscript"/>
              </w:rPr>
              <w:t>(6), (8)</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12/29/2023</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12/31/2029</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1,960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(25)</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One Stop Mailing,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5/26/2021</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05/07/2027</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Air Freight and Logistics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10.08%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636</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12,866</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12,813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12,866</w:t>
            </w:r>
          </w:p>
        </w:tc>
        <w:tc>
          <w:tcPr>
            <w:tcW w:w="0" w:type="dxa"/>
            <w:vAlign w:val="bottom"/>
          </w:tcPr>
          <w:p>
            <w:pPr>
              <w:spacing w:after="0"/>
              <w:rPr>
                <w:sz w:val="1"/>
                <w:szCs w:val="1"/>
                <w:color w:val="auto"/>
              </w:rPr>
            </w:pPr>
          </w:p>
        </w:tc>
      </w:tr>
      <w:tr>
        <w:trPr>
          <w:trHeight w:val="102"/>
        </w:trPr>
        <w:tc>
          <w:tcPr>
            <w:tcW w:w="2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ORL Acquisition, Inc. </w:t>
            </w:r>
            <w:r>
              <w:rPr>
                <w:rFonts w:ascii="Times New Roman" w:cs="Times New Roman" w:eastAsia="Times New Roman" w:hAnsi="Times New Roman"/>
                <w:sz w:val="10"/>
                <w:szCs w:val="10"/>
                <w:color w:val="auto"/>
                <w:vertAlign w:val="superscript"/>
              </w:rPr>
              <w:t>(6)</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9/1/2021</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09/03/2027</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Consumer Finance</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13.07%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940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7,891</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7,629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6,155</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(PIK</w:t>
            </w: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7.50%)</w:t>
            </w: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2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ORL Acquisition, Inc. - Unfunded Revolver </w:t>
            </w:r>
            <w:r>
              <w:rPr>
                <w:rFonts w:ascii="Times New Roman" w:cs="Times New Roman" w:eastAsia="Times New Roman" w:hAnsi="Times New Roman"/>
                <w:sz w:val="10"/>
                <w:szCs w:val="10"/>
                <w:color w:val="auto"/>
                <w:vertAlign w:val="superscript"/>
              </w:rPr>
              <w:t>(6), (8)</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9/1/2021</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09/03/2027</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Consumer Finance</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215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(47)</w:t>
            </w:r>
          </w:p>
        </w:tc>
        <w:tc>
          <w:tcPr>
            <w:tcW w:w="0" w:type="dxa"/>
            <w:vAlign w:val="bottom"/>
          </w:tcPr>
          <w:p>
            <w:pPr>
              <w:spacing w:after="0"/>
              <w:rPr>
                <w:sz w:val="1"/>
                <w:szCs w:val="1"/>
                <w:color w:val="auto"/>
              </w:rPr>
            </w:pPr>
          </w:p>
        </w:tc>
      </w:tr>
      <w:tr>
        <w:trPr>
          <w:trHeight w:val="102"/>
        </w:trPr>
        <w:tc>
          <w:tcPr>
            <w:tcW w:w="22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OSP Embedded Purchaser,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12/11/2023</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12/17/2029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9.47%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29,734</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29,443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28,188</w:t>
            </w:r>
          </w:p>
        </w:tc>
        <w:tc>
          <w:tcPr>
            <w:tcW w:w="0" w:type="dxa"/>
            <w:vAlign w:val="bottom"/>
          </w:tcPr>
          <w:p>
            <w:pPr>
              <w:spacing w:after="0"/>
              <w:rPr>
                <w:sz w:val="1"/>
                <w:szCs w:val="1"/>
                <w:color w:val="auto"/>
              </w:rPr>
            </w:pPr>
          </w:p>
        </w:tc>
      </w:tr>
      <w:tr>
        <w:trPr>
          <w:trHeight w:val="102"/>
        </w:trPr>
        <w:tc>
          <w:tcPr>
            <w:tcW w:w="2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rPr>
                <w:sz w:val="20"/>
                <w:szCs w:val="20"/>
                <w:color w:val="auto"/>
              </w:rPr>
            </w:pPr>
            <w:r>
              <w:rPr>
                <w:rFonts w:ascii="Times New Roman" w:cs="Times New Roman" w:eastAsia="Times New Roman" w:hAnsi="Times New Roman"/>
                <w:sz w:val="8"/>
                <w:szCs w:val="8"/>
                <w:color w:val="auto"/>
              </w:rPr>
              <w:t>OSP Embedded Purchaser, LLC - Funded Revolver</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12/11/2023</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12/17/2029</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9.75%</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575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293</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293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278</w:t>
            </w:r>
          </w:p>
        </w:tc>
        <w:tc>
          <w:tcPr>
            <w:tcW w:w="0" w:type="dxa"/>
            <w:vAlign w:val="bottom"/>
          </w:tcPr>
          <w:p>
            <w:pPr>
              <w:spacing w:after="0"/>
              <w:rPr>
                <w:sz w:val="1"/>
                <w:szCs w:val="1"/>
                <w:color w:val="auto"/>
              </w:rPr>
            </w:pPr>
          </w:p>
        </w:tc>
      </w:tr>
      <w:tr>
        <w:trPr>
          <w:trHeight w:val="101"/>
        </w:trPr>
        <w:tc>
          <w:tcPr>
            <w:tcW w:w="22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OSP Embedded Purchaser, LLC - Unfunded Revolver </w:t>
            </w:r>
            <w:r>
              <w:rPr>
                <w:rFonts w:ascii="Times New Roman" w:cs="Times New Roman" w:eastAsia="Times New Roman" w:hAnsi="Times New Roman"/>
                <w:sz w:val="10"/>
                <w:szCs w:val="10"/>
                <w:color w:val="auto"/>
                <w:vertAlign w:val="superscript"/>
              </w:rPr>
              <w:t>(8)</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12/11/2023</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12/17/2029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2,639</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(137)</w:t>
            </w:r>
          </w:p>
        </w:tc>
        <w:tc>
          <w:tcPr>
            <w:tcW w:w="0" w:type="dxa"/>
            <w:vAlign w:val="bottom"/>
          </w:tcPr>
          <w:p>
            <w:pPr>
              <w:spacing w:after="0"/>
              <w:rPr>
                <w:sz w:val="1"/>
                <w:szCs w:val="1"/>
                <w:color w:val="auto"/>
              </w:rPr>
            </w:pPr>
          </w:p>
        </w:tc>
      </w:tr>
      <w:tr>
        <w:trPr>
          <w:trHeight w:val="102"/>
        </w:trPr>
        <w:tc>
          <w:tcPr>
            <w:tcW w:w="2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280" w:type="dxa"/>
            <w:vAlign w:val="bottom"/>
          </w:tcPr>
          <w:p>
            <w:pPr>
              <w:spacing w:after="0"/>
              <w:rPr>
                <w:sz w:val="20"/>
                <w:szCs w:val="20"/>
                <w:color w:val="auto"/>
              </w:rPr>
            </w:pPr>
            <w:r>
              <w:rPr>
                <w:rFonts w:ascii="Times New Roman" w:cs="Times New Roman" w:eastAsia="Times New Roman" w:hAnsi="Times New Roman"/>
                <w:sz w:val="8"/>
                <w:szCs w:val="8"/>
                <w:color w:val="auto"/>
              </w:rPr>
              <w:t>Output Services Group, Inc. - First-out Term Loan</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11/30/2023</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11/30/2028</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12.16%</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843</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828</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828</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828</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53"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2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vMerge w:val="restart"/>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Spread</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vMerge w:val="restart"/>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Fair</w:t>
            </w:r>
          </w:p>
        </w:tc>
        <w:tc>
          <w:tcPr>
            <w:tcW w:w="0" w:type="dxa"/>
            <w:vAlign w:val="bottom"/>
          </w:tcPr>
          <w:p>
            <w:pPr>
              <w:spacing w:after="0"/>
              <w:rPr>
                <w:sz w:val="1"/>
                <w:szCs w:val="1"/>
                <w:color w:val="auto"/>
              </w:rPr>
            </w:pPr>
          </w:p>
        </w:tc>
      </w:tr>
      <w:tr>
        <w:trPr>
          <w:trHeight w:val="82"/>
        </w:trPr>
        <w:tc>
          <w:tcPr>
            <w:tcW w:w="230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140" w:type="dxa"/>
            <w:vAlign w:val="bottom"/>
            <w:vMerge w:val="restart"/>
          </w:tcPr>
          <w:p>
            <w:pPr>
              <w:ind w:left="40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560" w:type="dxa"/>
            <w:vAlign w:val="bottom"/>
            <w:vMerge w:val="continue"/>
          </w:tcPr>
          <w:p>
            <w:pPr>
              <w:spacing w:after="0"/>
              <w:rPr>
                <w:sz w:val="7"/>
                <w:szCs w:val="7"/>
                <w:color w:val="auto"/>
              </w:rPr>
            </w:pPr>
          </w:p>
        </w:tc>
        <w:tc>
          <w:tcPr>
            <w:tcW w:w="560" w:type="dxa"/>
            <w:vAlign w:val="bottom"/>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w w:val="96"/>
              </w:rPr>
              <w:t>Above Index</w:t>
            </w:r>
          </w:p>
        </w:tc>
        <w:tc>
          <w:tcPr>
            <w:tcW w:w="640" w:type="dxa"/>
            <w:vAlign w:val="bottom"/>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Par / Shares</w:t>
            </w:r>
          </w:p>
        </w:tc>
        <w:tc>
          <w:tcPr>
            <w:tcW w:w="540" w:type="dxa"/>
            <w:vAlign w:val="bottom"/>
            <w:vMerge w:val="restart"/>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Cost</w:t>
            </w: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60" w:type="dxa"/>
            <w:vAlign w:val="bottom"/>
          </w:tcPr>
          <w:p>
            <w:pPr>
              <w:jc w:val="right"/>
              <w:ind w:right="140"/>
              <w:spacing w:after="0" w:line="91" w:lineRule="exact"/>
              <w:rPr>
                <w:sz w:val="20"/>
                <w:szCs w:val="20"/>
                <w:color w:val="auto"/>
              </w:rPr>
            </w:pPr>
            <w:r>
              <w:rPr>
                <w:rFonts w:ascii="Times New Roman" w:cs="Times New Roman" w:eastAsia="Times New Roman" w:hAnsi="Times New Roman"/>
                <w:sz w:val="8"/>
                <w:szCs w:val="8"/>
                <w:b w:val="1"/>
                <w:bCs w:val="1"/>
                <w:color w:val="auto"/>
              </w:rPr>
              <w:t>Coupon</w:t>
            </w:r>
          </w:p>
        </w:tc>
        <w:tc>
          <w:tcPr>
            <w:tcW w:w="560" w:type="dxa"/>
            <w:vAlign w:val="bottom"/>
          </w:tcPr>
          <w:p>
            <w:pPr>
              <w:jc w:val="center"/>
              <w:spacing w:after="0"/>
              <w:rPr>
                <w:sz w:val="20"/>
                <w:szCs w:val="20"/>
                <w:color w:val="auto"/>
              </w:rPr>
            </w:pPr>
            <w:r>
              <w:rPr>
                <w:rFonts w:ascii="Times New Roman" w:cs="Times New Roman" w:eastAsia="Times New Roman" w:hAnsi="Times New Roman"/>
                <w:sz w:val="5"/>
                <w:szCs w:val="5"/>
                <w:b w:val="1"/>
                <w:bCs w:val="1"/>
                <w:color w:val="auto"/>
              </w:rPr>
              <w:t>(1)</w:t>
            </w: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jc w:val="right"/>
              <w:ind w:right="120"/>
              <w:spacing w:after="0" w:line="91" w:lineRule="exact"/>
              <w:rPr>
                <w:sz w:val="20"/>
                <w:szCs w:val="20"/>
                <w:color w:val="auto"/>
              </w:rPr>
            </w:pPr>
            <w:r>
              <w:rPr>
                <w:rFonts w:ascii="Times New Roman" w:cs="Times New Roman" w:eastAsia="Times New Roman" w:hAnsi="Times New Roman"/>
                <w:sz w:val="8"/>
                <w:szCs w:val="8"/>
                <w:b w:val="1"/>
                <w:bCs w:val="1"/>
                <w:color w:val="auto"/>
              </w:rPr>
              <w:t xml:space="preserve">Value </w:t>
            </w:r>
            <w:r>
              <w:rPr>
                <w:rFonts w:ascii="Times New Roman" w:cs="Times New Roman" w:eastAsia="Times New Roman" w:hAnsi="Times New Roman"/>
                <w:sz w:val="10"/>
                <w:szCs w:val="10"/>
                <w:b w:val="1"/>
                <w:bCs w:val="1"/>
                <w:color w:val="auto"/>
                <w:vertAlign w:val="superscript"/>
              </w:rPr>
              <w:t>(2)</w:t>
            </w:r>
          </w:p>
        </w:tc>
        <w:tc>
          <w:tcPr>
            <w:tcW w:w="0" w:type="dxa"/>
            <w:vAlign w:val="bottom"/>
          </w:tcPr>
          <w:p>
            <w:pPr>
              <w:spacing w:after="0"/>
              <w:rPr>
                <w:sz w:val="1"/>
                <w:szCs w:val="1"/>
                <w:color w:val="auto"/>
              </w:rPr>
            </w:pPr>
          </w:p>
        </w:tc>
      </w:tr>
      <w:tr>
        <w:trPr>
          <w:trHeight w:val="102"/>
        </w:trPr>
        <w:tc>
          <w:tcPr>
            <w:tcW w:w="23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Output Services Group, Inc. - Last-out Term Loan</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11/30/2023</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05/30/2028</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10.41%</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668</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1,681</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1,681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1,681</w:t>
            </w: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Pacific Purchaser, LLC</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10/2/2023</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10/02/2028</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9.85%</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625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4,900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4,839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4,782</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Pacific Purchaser, LLC - Unfunded Revolver </w:t>
            </w:r>
            <w:r>
              <w:rPr>
                <w:rFonts w:ascii="Times New Roman" w:cs="Times New Roman" w:eastAsia="Times New Roman" w:hAnsi="Times New Roman"/>
                <w:sz w:val="10"/>
                <w:szCs w:val="10"/>
                <w:color w:val="auto"/>
                <w:vertAlign w:val="superscript"/>
              </w:rPr>
              <w:t>(8)</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10/2/2023</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10/02/2028</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1,799</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(43)</w:t>
            </w: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PAR Excellence Holdings, Inc.</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9/3/2024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09/03/2030</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8.74%</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500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20,379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20,212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20,023</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PAR Excellence Holdings, Inc. - Unfunded Revolver </w:t>
            </w:r>
            <w:r>
              <w:rPr>
                <w:rFonts w:ascii="Times New Roman" w:cs="Times New Roman" w:eastAsia="Times New Roman" w:hAnsi="Times New Roman"/>
                <w:sz w:val="10"/>
                <w:szCs w:val="10"/>
                <w:color w:val="auto"/>
                <w:vertAlign w:val="superscript"/>
              </w:rPr>
              <w:t>(8)</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9/3/2024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09/03/2030</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4,692</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(82)</w:t>
            </w: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Paving Lessor Corp.</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7/1/2025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07/01/2031</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8.94%</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525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11,206</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11,124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11,150</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Paving Lessor Corp. - Unfunded Term Loan </w:t>
            </w:r>
            <w:r>
              <w:rPr>
                <w:rFonts w:ascii="Times New Roman" w:cs="Times New Roman" w:eastAsia="Times New Roman" w:hAnsi="Times New Roman"/>
                <w:sz w:val="10"/>
                <w:szCs w:val="10"/>
                <w:color w:val="auto"/>
                <w:vertAlign w:val="superscript"/>
              </w:rPr>
              <w:t>(8)</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7/1/2025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07/01/2027</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8,632</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22</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Paving Lessor Corp. - Unfunded Revolver </w:t>
            </w:r>
            <w:r>
              <w:rPr>
                <w:rFonts w:ascii="Times New Roman" w:cs="Times New Roman" w:eastAsia="Times New Roman" w:hAnsi="Times New Roman"/>
                <w:sz w:val="10"/>
                <w:szCs w:val="10"/>
                <w:color w:val="auto"/>
                <w:vertAlign w:val="superscript"/>
              </w:rPr>
              <w:t>(8)</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7/1/2025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07/01/2031</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5,755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(29)</w:t>
            </w:r>
          </w:p>
        </w:tc>
        <w:tc>
          <w:tcPr>
            <w:tcW w:w="0" w:type="dxa"/>
            <w:vAlign w:val="bottom"/>
          </w:tcPr>
          <w:p>
            <w:pPr>
              <w:spacing w:after="0"/>
              <w:rPr>
                <w:sz w:val="1"/>
                <w:szCs w:val="1"/>
                <w:color w:val="auto"/>
              </w:rPr>
            </w:pPr>
          </w:p>
        </w:tc>
      </w:tr>
      <w:tr>
        <w:trPr>
          <w:trHeight w:val="102"/>
        </w:trPr>
        <w:tc>
          <w:tcPr>
            <w:tcW w:w="23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Peninsula Pacific Entertainment, LLC</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8/15/2025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08/22/2032</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Gaming</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8.42%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15,002</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14,854</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15,040</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Peninsula Pacific Entertainment, LLC - Unfunded Term Loan </w:t>
            </w:r>
            <w:r>
              <w:rPr>
                <w:rFonts w:ascii="Times New Roman" w:cs="Times New Roman" w:eastAsia="Times New Roman" w:hAnsi="Times New Roman"/>
                <w:sz w:val="10"/>
                <w:szCs w:val="10"/>
                <w:color w:val="auto"/>
                <w:vertAlign w:val="superscript"/>
              </w:rPr>
              <w:t>(8)</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8/15/2025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08/25/2027</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Gaming</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3,516</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26</w:t>
            </w:r>
          </w:p>
        </w:tc>
        <w:tc>
          <w:tcPr>
            <w:tcW w:w="0" w:type="dxa"/>
            <w:vAlign w:val="bottom"/>
          </w:tcPr>
          <w:p>
            <w:pPr>
              <w:spacing w:after="0"/>
              <w:rPr>
                <w:sz w:val="1"/>
                <w:szCs w:val="1"/>
                <w:color w:val="auto"/>
              </w:rPr>
            </w:pPr>
          </w:p>
        </w:tc>
      </w:tr>
      <w:tr>
        <w:trPr>
          <w:trHeight w:val="102"/>
        </w:trPr>
        <w:tc>
          <w:tcPr>
            <w:tcW w:w="23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Penta Group Holdings, Inc.</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7/31/2025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07/31/2031</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8.17%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450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10,000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9,950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9,950</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Penta Group Holdings, Inc. - Unfunded Term Loan </w:t>
            </w:r>
            <w:r>
              <w:rPr>
                <w:rFonts w:ascii="Times New Roman" w:cs="Times New Roman" w:eastAsia="Times New Roman" w:hAnsi="Times New Roman"/>
                <w:sz w:val="10"/>
                <w:szCs w:val="10"/>
                <w:color w:val="auto"/>
                <w:vertAlign w:val="superscript"/>
              </w:rPr>
              <w:t>(8)</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7/31/2025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07/31/2027</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6,056</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Penta Group Holdings, Inc. - Funded Revolver</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7/31/2025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07/31/2031</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8.17%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450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946</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946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942</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Penta Group Holdings, Inc. - Unfunded Revolver </w:t>
            </w:r>
            <w:r>
              <w:rPr>
                <w:rFonts w:ascii="Times New Roman" w:cs="Times New Roman" w:eastAsia="Times New Roman" w:hAnsi="Times New Roman"/>
                <w:sz w:val="10"/>
                <w:szCs w:val="10"/>
                <w:color w:val="auto"/>
                <w:vertAlign w:val="superscript"/>
              </w:rPr>
              <w:t>(8)</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7/31/2025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07/31/2031</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568</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w:t>
            </w:r>
          </w:p>
        </w:tc>
        <w:tc>
          <w:tcPr>
            <w:tcW w:w="0" w:type="dxa"/>
            <w:vAlign w:val="bottom"/>
          </w:tcPr>
          <w:p>
            <w:pPr>
              <w:spacing w:after="0"/>
              <w:rPr>
                <w:sz w:val="1"/>
                <w:szCs w:val="1"/>
                <w:color w:val="auto"/>
              </w:rPr>
            </w:pPr>
          </w:p>
        </w:tc>
      </w:tr>
      <w:tr>
        <w:trPr>
          <w:trHeight w:val="102"/>
        </w:trPr>
        <w:tc>
          <w:tcPr>
            <w:tcW w:w="23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PCS MIDCO, Inc.</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3/1/2024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03/01/2030</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9.42%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9,205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9,110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9,251</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PCS MIDCO, Inc. - Unfunded Term Loan </w:t>
            </w:r>
            <w:r>
              <w:rPr>
                <w:rFonts w:ascii="Times New Roman" w:cs="Times New Roman" w:eastAsia="Times New Roman" w:hAnsi="Times New Roman"/>
                <w:sz w:val="10"/>
                <w:szCs w:val="10"/>
                <w:color w:val="auto"/>
                <w:vertAlign w:val="superscript"/>
              </w:rPr>
              <w:t>(8)</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3/1/2024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03/02/2026</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2,087</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31</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PCS MIDCO, Inc. - Unfunded Revolver </w:t>
            </w:r>
            <w:r>
              <w:rPr>
                <w:rFonts w:ascii="Times New Roman" w:cs="Times New Roman" w:eastAsia="Times New Roman" w:hAnsi="Times New Roman"/>
                <w:sz w:val="10"/>
                <w:szCs w:val="10"/>
                <w:color w:val="auto"/>
                <w:vertAlign w:val="superscript"/>
              </w:rPr>
              <w:t>(8)</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3/1/2024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03/01/2030</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1,770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PD Tri-State Holdco, LLC - Unfunded Term Loan </w:t>
            </w:r>
            <w:r>
              <w:rPr>
                <w:rFonts w:ascii="Times New Roman" w:cs="Times New Roman" w:eastAsia="Times New Roman" w:hAnsi="Times New Roman"/>
                <w:sz w:val="10"/>
                <w:szCs w:val="10"/>
                <w:color w:val="auto"/>
                <w:vertAlign w:val="superscript"/>
              </w:rPr>
              <w:t>(8)</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10/14/2025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10/14/2027</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4,140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PD Tri-State Holdco, LLC - Unfunded Revolver </w:t>
            </w:r>
            <w:r>
              <w:rPr>
                <w:rFonts w:ascii="Times New Roman" w:cs="Times New Roman" w:eastAsia="Times New Roman" w:hAnsi="Times New Roman"/>
                <w:sz w:val="10"/>
                <w:szCs w:val="10"/>
                <w:color w:val="auto"/>
                <w:vertAlign w:val="superscript"/>
              </w:rPr>
              <w:t>(8)</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10/14/2025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10/14/2030</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276</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Textiles, Apparel and Luxury</w:t>
            </w: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Pink Lilly Holdco, LLC </w:t>
            </w:r>
            <w:r>
              <w:rPr>
                <w:rFonts w:ascii="Times New Roman" w:cs="Times New Roman" w:eastAsia="Times New Roman" w:hAnsi="Times New Roman"/>
                <w:sz w:val="10"/>
                <w:szCs w:val="10"/>
                <w:color w:val="auto"/>
                <w:vertAlign w:val="superscript"/>
              </w:rPr>
              <w:t>(10)</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11/5/2021</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11/09/2027</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Goods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9,949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8,425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1,244</w:t>
            </w:r>
          </w:p>
        </w:tc>
        <w:tc>
          <w:tcPr>
            <w:tcW w:w="0" w:type="dxa"/>
            <w:vAlign w:val="bottom"/>
          </w:tcPr>
          <w:p>
            <w:pPr>
              <w:spacing w:after="0"/>
              <w:rPr>
                <w:sz w:val="1"/>
                <w:szCs w:val="1"/>
                <w:color w:val="auto"/>
              </w:rPr>
            </w:pPr>
          </w:p>
        </w:tc>
      </w:tr>
      <w:tr>
        <w:trPr>
          <w:trHeight w:val="102"/>
        </w:trPr>
        <w:tc>
          <w:tcPr>
            <w:tcW w:w="23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Textiles, Apparel and Luxury</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Pink Lilly Holdco, LLC - Funded Revolver </w:t>
            </w:r>
            <w:r>
              <w:rPr>
                <w:rFonts w:ascii="Times New Roman" w:cs="Times New Roman" w:eastAsia="Times New Roman" w:hAnsi="Times New Roman"/>
                <w:sz w:val="10"/>
                <w:szCs w:val="10"/>
                <w:color w:val="auto"/>
                <w:vertAlign w:val="superscript"/>
              </w:rPr>
              <w:t>(10)</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11/5/2021</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11/09/2027</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Goods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611</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611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76</w:t>
            </w: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Textiles, Apparel and Luxury</w:t>
            </w: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Pink Lilly Holdco, LLC - Unfunded Revolver </w:t>
            </w:r>
            <w:r>
              <w:rPr>
                <w:rFonts w:ascii="Times New Roman" w:cs="Times New Roman" w:eastAsia="Times New Roman" w:hAnsi="Times New Roman"/>
                <w:sz w:val="10"/>
                <w:szCs w:val="10"/>
                <w:color w:val="auto"/>
                <w:vertAlign w:val="superscript"/>
              </w:rPr>
              <w:t>(8) (10)</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11/5/2021</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11/09/2027</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Goods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534</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(467)</w:t>
            </w:r>
          </w:p>
        </w:tc>
        <w:tc>
          <w:tcPr>
            <w:tcW w:w="0" w:type="dxa"/>
            <w:vAlign w:val="bottom"/>
          </w:tcPr>
          <w:p>
            <w:pPr>
              <w:spacing w:after="0"/>
              <w:rPr>
                <w:sz w:val="1"/>
                <w:szCs w:val="1"/>
                <w:color w:val="auto"/>
              </w:rPr>
            </w:pPr>
          </w:p>
        </w:tc>
      </w:tr>
      <w:tr>
        <w:trPr>
          <w:trHeight w:val="102"/>
        </w:trPr>
        <w:tc>
          <w:tcPr>
            <w:tcW w:w="23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Podean Buyer, LLC</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8/4/2025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08/04/2031</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Marketing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9.66%</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600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2,993</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2,963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2,963</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Podean Buyer, LLC - Unfunded Revolver </w:t>
            </w:r>
            <w:r>
              <w:rPr>
                <w:rFonts w:ascii="Times New Roman" w:cs="Times New Roman" w:eastAsia="Times New Roman" w:hAnsi="Times New Roman"/>
                <w:sz w:val="10"/>
                <w:szCs w:val="10"/>
                <w:color w:val="auto"/>
                <w:vertAlign w:val="superscript"/>
              </w:rPr>
              <w:t>(8)</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8/4/2025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08/04/2031</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Marketing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1,579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02"/>
        </w:trPr>
        <w:tc>
          <w:tcPr>
            <w:tcW w:w="23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Project Granite Buyer, Inc.</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12/31/2024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12/31/2030</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9.42%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7,920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7,852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7,999</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Project Granite Buyer, Inc. - Unfunded Term Loan </w:t>
            </w:r>
            <w:r>
              <w:rPr>
                <w:rFonts w:ascii="Times New Roman" w:cs="Times New Roman" w:eastAsia="Times New Roman" w:hAnsi="Times New Roman"/>
                <w:sz w:val="10"/>
                <w:szCs w:val="10"/>
                <w:color w:val="auto"/>
                <w:vertAlign w:val="superscript"/>
              </w:rPr>
              <w:t>(8)</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12/31/2024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12/31/2026</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1,708</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34</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Project Granite Buyer, Inc. - Unfunded Revolver </w:t>
            </w:r>
            <w:r>
              <w:rPr>
                <w:rFonts w:ascii="Times New Roman" w:cs="Times New Roman" w:eastAsia="Times New Roman" w:hAnsi="Times New Roman"/>
                <w:sz w:val="10"/>
                <w:szCs w:val="10"/>
                <w:color w:val="auto"/>
                <w:vertAlign w:val="superscript"/>
              </w:rPr>
              <w:t>(8)</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12/31/2024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12/31/2030</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2,846</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w:t>
            </w: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Puget Collision, LLC</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10/3/2025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10/03/2031</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8.43%</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475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6,144</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6,056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6,106</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Puget Collision, LLC - Unfunded Term Loan </w:t>
            </w:r>
            <w:r>
              <w:rPr>
                <w:rFonts w:ascii="Times New Roman" w:cs="Times New Roman" w:eastAsia="Times New Roman" w:hAnsi="Times New Roman"/>
                <w:sz w:val="10"/>
                <w:szCs w:val="10"/>
                <w:color w:val="auto"/>
                <w:vertAlign w:val="superscript"/>
              </w:rPr>
              <w:t>(8)</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10/3/2025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10/03/2027</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24,766</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Puget Collision, LLC - Funded Revolver</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10/3/2025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10/03/2031</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8.42%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475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609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609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605</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Puget Collision, LLC - Unfunded Revolver </w:t>
            </w:r>
            <w:r>
              <w:rPr>
                <w:rFonts w:ascii="Times New Roman" w:cs="Times New Roman" w:eastAsia="Times New Roman" w:hAnsi="Times New Roman"/>
                <w:sz w:val="10"/>
                <w:szCs w:val="10"/>
                <w:color w:val="auto"/>
                <w:vertAlign w:val="superscript"/>
              </w:rPr>
              <w:t>(8)</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10/3/2025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10/03/2031</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3,451</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(22)</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Pragmatic Institute, LLC </w:t>
            </w:r>
            <w:r>
              <w:rPr>
                <w:rFonts w:ascii="Times New Roman" w:cs="Times New Roman" w:eastAsia="Times New Roman" w:hAnsi="Times New Roman"/>
                <w:sz w:val="10"/>
                <w:szCs w:val="10"/>
                <w:color w:val="auto"/>
                <w:vertAlign w:val="superscript"/>
              </w:rPr>
              <w:t>(10)</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3/28/2025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03/28/2030</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587</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573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357</w:t>
            </w:r>
          </w:p>
        </w:tc>
        <w:tc>
          <w:tcPr>
            <w:tcW w:w="0" w:type="dxa"/>
            <w:vAlign w:val="bottom"/>
          </w:tcPr>
          <w:p>
            <w:pPr>
              <w:spacing w:after="0"/>
              <w:rPr>
                <w:sz w:val="1"/>
                <w:szCs w:val="1"/>
                <w:color w:val="auto"/>
              </w:rPr>
            </w:pPr>
          </w:p>
        </w:tc>
      </w:tr>
      <w:tr>
        <w:trPr>
          <w:trHeight w:val="102"/>
        </w:trPr>
        <w:tc>
          <w:tcPr>
            <w:tcW w:w="23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Equipment and</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Rancho Health MSO, Inc.</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12/20/2024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06/20/2029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Supplies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8.69%</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500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2,417</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2,409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2,417</w:t>
            </w: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Equipment and</w:t>
            </w: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Rancho Health MSO, Inc. - Unfunded Term Loan </w:t>
            </w:r>
            <w:r>
              <w:rPr>
                <w:rFonts w:ascii="Times New Roman" w:cs="Times New Roman" w:eastAsia="Times New Roman" w:hAnsi="Times New Roman"/>
                <w:sz w:val="10"/>
                <w:szCs w:val="10"/>
                <w:color w:val="auto"/>
                <w:vertAlign w:val="superscript"/>
              </w:rPr>
              <w:t>(8)</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12/20/2024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06/30/2026</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Supplies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3,034</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28</w:t>
            </w:r>
          </w:p>
        </w:tc>
        <w:tc>
          <w:tcPr>
            <w:tcW w:w="0" w:type="dxa"/>
            <w:vAlign w:val="bottom"/>
          </w:tcPr>
          <w:p>
            <w:pPr>
              <w:spacing w:after="0"/>
              <w:rPr>
                <w:sz w:val="1"/>
                <w:szCs w:val="1"/>
                <w:color w:val="auto"/>
              </w:rPr>
            </w:pPr>
          </w:p>
        </w:tc>
      </w:tr>
      <w:tr>
        <w:trPr>
          <w:trHeight w:val="102"/>
        </w:trPr>
        <w:tc>
          <w:tcPr>
            <w:tcW w:w="23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Equipment and</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Rancho Health MSO, Inc. - Unfunded Revolver </w:t>
            </w:r>
            <w:r>
              <w:rPr>
                <w:rFonts w:ascii="Times New Roman" w:cs="Times New Roman" w:eastAsia="Times New Roman" w:hAnsi="Times New Roman"/>
                <w:sz w:val="10"/>
                <w:szCs w:val="10"/>
                <w:color w:val="auto"/>
                <w:vertAlign w:val="superscript"/>
              </w:rPr>
              <w:t>(6), (8)</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12/20/2024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06/20/2029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Supplies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3,300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Recteq, LLC</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1/27/2021</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01/29/2026</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10.07%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640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3,810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3,807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3,810</w:t>
            </w:r>
          </w:p>
        </w:tc>
        <w:tc>
          <w:tcPr>
            <w:tcW w:w="0" w:type="dxa"/>
            <w:vAlign w:val="bottom"/>
          </w:tcPr>
          <w:p>
            <w:pPr>
              <w:spacing w:after="0"/>
              <w:rPr>
                <w:sz w:val="1"/>
                <w:szCs w:val="1"/>
                <w:color w:val="auto"/>
              </w:rPr>
            </w:pPr>
          </w:p>
        </w:tc>
      </w:tr>
      <w:tr>
        <w:trPr>
          <w:trHeight w:val="102"/>
        </w:trPr>
        <w:tc>
          <w:tcPr>
            <w:tcW w:w="23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Recteq, LLC - Funded Revolver</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1/27/2021</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01/29/2026</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9.84%</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625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583</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583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583</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Recteq, LLC - Unfunded Revolver </w:t>
            </w:r>
            <w:r>
              <w:rPr>
                <w:rFonts w:ascii="Times New Roman" w:cs="Times New Roman" w:eastAsia="Times New Roman" w:hAnsi="Times New Roman"/>
                <w:sz w:val="10"/>
                <w:szCs w:val="10"/>
                <w:color w:val="auto"/>
                <w:vertAlign w:val="superscript"/>
              </w:rPr>
              <w:t>(6), (8)</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1/27/2021</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01/29/2026</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713</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Rosco Parent, LLC</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9/9/2025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09/12/2031</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8.42%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11,471</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11,389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11,385</w:t>
            </w: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Rosco Parent, LLC - Funded Revolver</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9/9/2025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09/12/2031</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8.42%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475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750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750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744</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Rosco Parent, LLC - Unfunded Revolver </w:t>
            </w:r>
            <w:r>
              <w:rPr>
                <w:rFonts w:ascii="Times New Roman" w:cs="Times New Roman" w:eastAsia="Times New Roman" w:hAnsi="Times New Roman"/>
                <w:sz w:val="10"/>
                <w:szCs w:val="10"/>
                <w:color w:val="auto"/>
                <w:vertAlign w:val="superscript"/>
              </w:rPr>
              <w:t>(8)</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9/9/2025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09/12/2031</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2,133</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Equipment and</w:t>
            </w: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Riverpoint Medical, LLC</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6/19/2019</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06/21/2027</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Supplies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8.17%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450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9,278</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9,234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9,278</w:t>
            </w:r>
          </w:p>
        </w:tc>
        <w:tc>
          <w:tcPr>
            <w:tcW w:w="0" w:type="dxa"/>
            <w:vAlign w:val="bottom"/>
          </w:tcPr>
          <w:p>
            <w:pPr>
              <w:spacing w:after="0"/>
              <w:rPr>
                <w:sz w:val="1"/>
                <w:szCs w:val="1"/>
                <w:color w:val="auto"/>
              </w:rPr>
            </w:pPr>
          </w:p>
        </w:tc>
      </w:tr>
      <w:tr>
        <w:trPr>
          <w:trHeight w:val="102"/>
        </w:trPr>
        <w:tc>
          <w:tcPr>
            <w:tcW w:w="23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Equipment and</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Riverpoint Medical, LLC - Unfunded Revolver </w:t>
            </w:r>
            <w:r>
              <w:rPr>
                <w:rFonts w:ascii="Times New Roman" w:cs="Times New Roman" w:eastAsia="Times New Roman" w:hAnsi="Times New Roman"/>
                <w:sz w:val="10"/>
                <w:szCs w:val="10"/>
                <w:color w:val="auto"/>
                <w:vertAlign w:val="superscript"/>
              </w:rPr>
              <w:t>(6), (8)</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6/19/2019</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06/21/2027</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Supplies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909</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Ro Health, LLC</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1/16/2025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01/17/2031</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8.17%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450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15,295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15,196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15,295</w:t>
            </w:r>
          </w:p>
        </w:tc>
        <w:tc>
          <w:tcPr>
            <w:tcW w:w="0" w:type="dxa"/>
            <w:vAlign w:val="bottom"/>
          </w:tcPr>
          <w:p>
            <w:pPr>
              <w:spacing w:after="0"/>
              <w:rPr>
                <w:sz w:val="1"/>
                <w:szCs w:val="1"/>
                <w:color w:val="auto"/>
              </w:rPr>
            </w:pPr>
          </w:p>
        </w:tc>
      </w:tr>
      <w:tr>
        <w:trPr>
          <w:trHeight w:val="102"/>
        </w:trPr>
        <w:tc>
          <w:tcPr>
            <w:tcW w:w="23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Ro Health, LLC - Funded Revolver</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1/16/2025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01/17/2031</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8.17%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450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2,329</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2,329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2,329</w:t>
            </w: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Ro Health, LLC - Unfunded Revolver </w:t>
            </w:r>
            <w:r>
              <w:rPr>
                <w:rFonts w:ascii="Times New Roman" w:cs="Times New Roman" w:eastAsia="Times New Roman" w:hAnsi="Times New Roman"/>
                <w:sz w:val="10"/>
                <w:szCs w:val="10"/>
                <w:color w:val="auto"/>
                <w:vertAlign w:val="superscript"/>
              </w:rPr>
              <w:t>(8)</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1/16/2025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01/17/2031</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5,435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RRA Corporate, LLC</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8/15/2024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08/15/2029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8.94%</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525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25,827</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25,600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25,026</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RRA Corporate, LLC - Unfunded Term Loan </w:t>
            </w:r>
            <w:r>
              <w:rPr>
                <w:rFonts w:ascii="Times New Roman" w:cs="Times New Roman" w:eastAsia="Times New Roman" w:hAnsi="Times New Roman"/>
                <w:sz w:val="10"/>
                <w:szCs w:val="10"/>
                <w:color w:val="auto"/>
                <w:vertAlign w:val="superscript"/>
              </w:rPr>
              <w:t>(8)</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8/15/2024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08/17/2026</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7,119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(149)</w:t>
            </w:r>
          </w:p>
        </w:tc>
        <w:tc>
          <w:tcPr>
            <w:tcW w:w="0" w:type="dxa"/>
            <w:vAlign w:val="bottom"/>
          </w:tcPr>
          <w:p>
            <w:pPr>
              <w:spacing w:after="0"/>
              <w:rPr>
                <w:sz w:val="1"/>
                <w:szCs w:val="1"/>
                <w:color w:val="auto"/>
              </w:rPr>
            </w:pPr>
          </w:p>
        </w:tc>
      </w:tr>
      <w:tr>
        <w:trPr>
          <w:trHeight w:val="102"/>
        </w:trPr>
        <w:tc>
          <w:tcPr>
            <w:tcW w:w="23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RRA Corporate, LLC - Funded Revolver</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8/15/2024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08/15/2029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8.92%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525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4,265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4,265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4,133</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RRA Corporate, LLC - Unfunded Revolver </w:t>
            </w:r>
            <w:r>
              <w:rPr>
                <w:rFonts w:ascii="Times New Roman" w:cs="Times New Roman" w:eastAsia="Times New Roman" w:hAnsi="Times New Roman"/>
                <w:sz w:val="10"/>
                <w:szCs w:val="10"/>
                <w:color w:val="auto"/>
                <w:vertAlign w:val="superscript"/>
              </w:rPr>
              <w:t>(8)</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8/15/2024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08/15/2029</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2,452</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(76)</w:t>
            </w:r>
          </w:p>
        </w:tc>
        <w:tc>
          <w:tcPr>
            <w:tcW w:w="0" w:type="dxa"/>
            <w:vAlign w:val="bottom"/>
          </w:tcPr>
          <w:p>
            <w:pPr>
              <w:spacing w:after="0"/>
              <w:rPr>
                <w:sz w:val="1"/>
                <w:szCs w:val="1"/>
                <w:color w:val="auto"/>
              </w:rPr>
            </w:pPr>
          </w:p>
        </w:tc>
      </w:tr>
      <w:tr>
        <w:trPr>
          <w:trHeight w:val="102"/>
        </w:trPr>
        <w:tc>
          <w:tcPr>
            <w:tcW w:w="23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RTIC Subsidiary Holdings, LLC</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5/3/2024</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05/03/2029</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9.42%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42,233</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41,718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41,811</w:t>
            </w:r>
          </w:p>
        </w:tc>
        <w:tc>
          <w:tcPr>
            <w:tcW w:w="0" w:type="dxa"/>
            <w:vAlign w:val="bottom"/>
          </w:tcPr>
          <w:p>
            <w:pPr>
              <w:spacing w:after="0"/>
              <w:rPr>
                <w:sz w:val="1"/>
                <w:szCs w:val="1"/>
                <w:color w:val="auto"/>
              </w:rPr>
            </w:pPr>
          </w:p>
        </w:tc>
      </w:tr>
      <w:tr>
        <w:trPr>
          <w:trHeight w:val="132"/>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 xml:space="preserve">RTIC Subsidiary Holdings, LLC - Unfunded Revolver </w:t>
            </w:r>
            <w:r>
              <w:rPr>
                <w:rFonts w:ascii="Times New Roman" w:cs="Times New Roman" w:eastAsia="Times New Roman" w:hAnsi="Times New Roman"/>
                <w:sz w:val="10"/>
                <w:szCs w:val="10"/>
                <w:color w:val="auto"/>
                <w:vertAlign w:val="superscript"/>
              </w:rPr>
              <w:t>(8)</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5/3/2024</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05/03/2029</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9,417</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(94)</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53"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vMerge w:val="restart"/>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Spread</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vMerge w:val="restart"/>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Fair</w:t>
            </w:r>
          </w:p>
        </w:tc>
        <w:tc>
          <w:tcPr>
            <w:tcW w:w="0" w:type="dxa"/>
            <w:vAlign w:val="bottom"/>
          </w:tcPr>
          <w:p>
            <w:pPr>
              <w:spacing w:after="0"/>
              <w:rPr>
                <w:sz w:val="1"/>
                <w:szCs w:val="1"/>
                <w:color w:val="auto"/>
              </w:rPr>
            </w:pPr>
          </w:p>
        </w:tc>
      </w:tr>
      <w:tr>
        <w:trPr>
          <w:trHeight w:val="82"/>
        </w:trPr>
        <w:tc>
          <w:tcPr>
            <w:tcW w:w="234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540" w:type="dxa"/>
            <w:vAlign w:val="bottom"/>
            <w:vMerge w:val="continue"/>
          </w:tcPr>
          <w:p>
            <w:pPr>
              <w:spacing w:after="0"/>
              <w:rPr>
                <w:sz w:val="7"/>
                <w:szCs w:val="7"/>
                <w:color w:val="auto"/>
              </w:rPr>
            </w:pPr>
          </w:p>
        </w:tc>
        <w:tc>
          <w:tcPr>
            <w:tcW w:w="560" w:type="dxa"/>
            <w:vAlign w:val="bottom"/>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w w:val="96"/>
              </w:rPr>
              <w:t>Above Index</w:t>
            </w:r>
          </w:p>
        </w:tc>
        <w:tc>
          <w:tcPr>
            <w:tcW w:w="640" w:type="dxa"/>
            <w:vAlign w:val="bottom"/>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Par / Shares</w:t>
            </w:r>
          </w:p>
        </w:tc>
        <w:tc>
          <w:tcPr>
            <w:tcW w:w="540" w:type="dxa"/>
            <w:vAlign w:val="bottom"/>
            <w:vMerge w:val="restart"/>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Cost</w:t>
            </w: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540" w:type="dxa"/>
            <w:vAlign w:val="bottom"/>
          </w:tcPr>
          <w:p>
            <w:pPr>
              <w:jc w:val="right"/>
              <w:ind w:right="140"/>
              <w:spacing w:after="0" w:line="91" w:lineRule="exact"/>
              <w:rPr>
                <w:sz w:val="20"/>
                <w:szCs w:val="20"/>
                <w:color w:val="auto"/>
              </w:rPr>
            </w:pPr>
            <w:r>
              <w:rPr>
                <w:rFonts w:ascii="Times New Roman" w:cs="Times New Roman" w:eastAsia="Times New Roman" w:hAnsi="Times New Roman"/>
                <w:sz w:val="8"/>
                <w:szCs w:val="8"/>
                <w:b w:val="1"/>
                <w:bCs w:val="1"/>
                <w:color w:val="auto"/>
              </w:rPr>
              <w:t>Coupon</w:t>
            </w:r>
          </w:p>
        </w:tc>
        <w:tc>
          <w:tcPr>
            <w:tcW w:w="560" w:type="dxa"/>
            <w:vAlign w:val="bottom"/>
          </w:tcPr>
          <w:p>
            <w:pPr>
              <w:jc w:val="center"/>
              <w:spacing w:after="0"/>
              <w:rPr>
                <w:sz w:val="20"/>
                <w:szCs w:val="20"/>
                <w:color w:val="auto"/>
              </w:rPr>
            </w:pPr>
            <w:r>
              <w:rPr>
                <w:rFonts w:ascii="Times New Roman" w:cs="Times New Roman" w:eastAsia="Times New Roman" w:hAnsi="Times New Roman"/>
                <w:sz w:val="5"/>
                <w:szCs w:val="5"/>
                <w:b w:val="1"/>
                <w:bCs w:val="1"/>
                <w:color w:val="auto"/>
              </w:rPr>
              <w:t>(1)</w:t>
            </w: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jc w:val="right"/>
              <w:ind w:right="120"/>
              <w:spacing w:after="0" w:line="91" w:lineRule="exact"/>
              <w:rPr>
                <w:sz w:val="20"/>
                <w:szCs w:val="20"/>
                <w:color w:val="auto"/>
              </w:rPr>
            </w:pPr>
            <w:r>
              <w:rPr>
                <w:rFonts w:ascii="Times New Roman" w:cs="Times New Roman" w:eastAsia="Times New Roman" w:hAnsi="Times New Roman"/>
                <w:sz w:val="8"/>
                <w:szCs w:val="8"/>
                <w:b w:val="1"/>
                <w:bCs w:val="1"/>
                <w:color w:val="auto"/>
              </w:rPr>
              <w:t xml:space="preserve">Value </w:t>
            </w:r>
            <w:r>
              <w:rPr>
                <w:rFonts w:ascii="Times New Roman" w:cs="Times New Roman" w:eastAsia="Times New Roman" w:hAnsi="Times New Roman"/>
                <w:sz w:val="10"/>
                <w:szCs w:val="10"/>
                <w:b w:val="1"/>
                <w:bCs w:val="1"/>
                <w:color w:val="auto"/>
                <w:vertAlign w:val="superscript"/>
              </w:rPr>
              <w:t>(2)</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Rural Sourcing Holdings, Inc.</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6/8/2023</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06/15/2029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9.42%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2,224</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2,188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2,002</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Rural Sourcing Holdings, Inc. - Funded Revolver</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6/8/2023</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06/15/2029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9.42%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575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487</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487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438</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Rural Sourcing Holdings, Inc. - Unfunded Revolver </w:t>
            </w:r>
            <w:r>
              <w:rPr>
                <w:rFonts w:ascii="Times New Roman" w:cs="Times New Roman" w:eastAsia="Times New Roman" w:hAnsi="Times New Roman"/>
                <w:sz w:val="10"/>
                <w:szCs w:val="10"/>
                <w:color w:val="auto"/>
                <w:vertAlign w:val="superscript"/>
              </w:rPr>
              <w:t>(6), (8)</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6/8/2023</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06/15/2029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373</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(37)</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Sabel Systems Technology Solutions, LLC</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10/31/2024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10/31/2030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Government Services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9.72%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600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59,624</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59,064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59,624</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Sabel Systems Technology Solutions, LLC - Unfunded Revolver </w:t>
            </w:r>
            <w:r>
              <w:rPr>
                <w:rFonts w:ascii="Times New Roman" w:cs="Times New Roman" w:eastAsia="Times New Roman" w:hAnsi="Times New Roman"/>
                <w:sz w:val="10"/>
                <w:szCs w:val="10"/>
                <w:color w:val="auto"/>
                <w:vertAlign w:val="superscript"/>
              </w:rPr>
              <w:t>(8)</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10/31/2024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10/31/2030</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Government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4,978</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Safe Haven Defense US, LLC</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5/23/2024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05/23/2029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Building Products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9.28%</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550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19,790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19,635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19,296</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Safe Haven Defense US, LLC - Funded Revolver</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5/23/2024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05/23/2029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Building Products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11.25%</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450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876</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876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854</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Safe Haven Defense US, LLC - Unfunded Revolver </w:t>
            </w:r>
            <w:r>
              <w:rPr>
                <w:rFonts w:ascii="Times New Roman" w:cs="Times New Roman" w:eastAsia="Times New Roman" w:hAnsi="Times New Roman"/>
                <w:sz w:val="10"/>
                <w:szCs w:val="10"/>
                <w:color w:val="auto"/>
                <w:vertAlign w:val="superscript"/>
              </w:rPr>
              <w:t>(8)</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5/23/2024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05/23/2029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Building Products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2,044</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(51)</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Sales Benchmark Index, LLC</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12/23/2019</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07/07/2026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9.87%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620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2,497</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2,494</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2,497</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Sales Benchmark Index, LLC - Funded Revolver</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12/23/2019</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07/07/2026</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9.87%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620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431</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431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431</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Sales Benchmark Index, LLC - Unfunded Revolver </w:t>
            </w:r>
            <w:r>
              <w:rPr>
                <w:rFonts w:ascii="Times New Roman" w:cs="Times New Roman" w:eastAsia="Times New Roman" w:hAnsi="Times New Roman"/>
                <w:sz w:val="10"/>
                <w:szCs w:val="10"/>
                <w:color w:val="auto"/>
                <w:vertAlign w:val="superscript"/>
              </w:rPr>
              <w:t>(6), (8)</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12/23/2019</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07/07/2026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646</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Sath Industries, LLC</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12/17/2024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12/17/2029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Event Services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9.19%</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550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7,920</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7,856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7,920</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Sath Industries, LLC - Unfunded Revolver </w:t>
            </w:r>
            <w:r>
              <w:rPr>
                <w:rFonts w:ascii="Times New Roman" w:cs="Times New Roman" w:eastAsia="Times New Roman" w:hAnsi="Times New Roman"/>
                <w:sz w:val="10"/>
                <w:szCs w:val="10"/>
                <w:color w:val="auto"/>
                <w:vertAlign w:val="superscript"/>
              </w:rPr>
              <w:t>(8)</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12/17/2024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12/17/2029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Event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2,466</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Schlesinger Global, Inc.</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10/24/2019</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03/31/2027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9.82%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610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8,248</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8,237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7,836</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(PIK</w:t>
            </w: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5.85%)</w:t>
            </w: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Schlesinger Global, Inc. - Funded Revolver</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10/24/2019</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03/31/2027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9.82%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610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1,691</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1,691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1,606</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(PIK</w:t>
            </w: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5.85%)</w:t>
            </w:r>
          </w:p>
        </w:tc>
        <w:tc>
          <w:tcPr>
            <w:tcW w:w="56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Schlesinger Global, Inc. - Unfunded Revolver </w:t>
            </w:r>
            <w:r>
              <w:rPr>
                <w:rFonts w:ascii="Times New Roman" w:cs="Times New Roman" w:eastAsia="Times New Roman" w:hAnsi="Times New Roman"/>
                <w:sz w:val="10"/>
                <w:szCs w:val="10"/>
                <w:color w:val="auto"/>
                <w:vertAlign w:val="superscript"/>
              </w:rPr>
              <w:t>(6), (8)</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10/24/2019</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03/31/2027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401</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Seacoast Service Partners NA, LLC</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12/20/2024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12/20/2029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8.92%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525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12,122</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12,031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11,564</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Seacoast Service Partners NA, LLC - Unfunded Term Loan </w:t>
            </w:r>
            <w:r>
              <w:rPr>
                <w:rFonts w:ascii="Times New Roman" w:cs="Times New Roman" w:eastAsia="Times New Roman" w:hAnsi="Times New Roman"/>
                <w:sz w:val="10"/>
                <w:szCs w:val="10"/>
                <w:color w:val="auto"/>
                <w:vertAlign w:val="superscript"/>
              </w:rPr>
              <w:t>(8)</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12/20/2024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12/21/2026</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4,097</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(153)</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Seacoast Service Partners NA, LLC - Funded Revolver</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12/20/2024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12/20/2029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8.92%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525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1,125</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1,125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1,073</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Seacoast Service Partners NA, LLC - Unfunded Revolver </w:t>
            </w:r>
            <w:r>
              <w:rPr>
                <w:rFonts w:ascii="Times New Roman" w:cs="Times New Roman" w:eastAsia="Times New Roman" w:hAnsi="Times New Roman"/>
                <w:sz w:val="10"/>
                <w:szCs w:val="10"/>
                <w:color w:val="auto"/>
                <w:vertAlign w:val="superscript"/>
              </w:rPr>
              <w:t>(8)</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12/20/2024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12/20/2029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998</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(46)</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Seaway Buyer, LLC</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7/25/2024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06/13/2029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Chemicals, Plastics and Rubber</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9.88%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615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1,877</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1,861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1,792</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Sigma Defense Systems, LLC</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11/30/2021</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12/20/2027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10.62%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690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21,777</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21,517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21,559</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Sigma Defense Systems, LLC - Unfunded Term Loan</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11/30/2021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12/20/2027</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5,031</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Sigma Defense Systems, LLC - Unfunded Revolver </w:t>
            </w:r>
            <w:r>
              <w:rPr>
                <w:rFonts w:ascii="Times New Roman" w:cs="Times New Roman" w:eastAsia="Times New Roman" w:hAnsi="Times New Roman"/>
                <w:sz w:val="10"/>
                <w:szCs w:val="10"/>
                <w:color w:val="auto"/>
                <w:vertAlign w:val="superscript"/>
              </w:rPr>
              <w:t>(6), (8)</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11/30/2021</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12/20/2027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3,311</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(33)</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Smile Brands, Inc.</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10/4/2018</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10/12/2027</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and Pharmaceuticals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9.77%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610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4,616</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4,361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4,057</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(PIK</w:t>
            </w: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1.50%)</w:t>
            </w: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Smile Brands, Inc. - Funded Revolver</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10/4/2018</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10/12/2027</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and Pharmaceuticals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9.77%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610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1,580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1,580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1,389</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Smile Brands, Inc. - Unfunded Revolver </w:t>
            </w:r>
            <w:r>
              <w:rPr>
                <w:rFonts w:ascii="Times New Roman" w:cs="Times New Roman" w:eastAsia="Times New Roman" w:hAnsi="Times New Roman"/>
                <w:sz w:val="10"/>
                <w:szCs w:val="10"/>
                <w:color w:val="auto"/>
                <w:vertAlign w:val="superscript"/>
              </w:rPr>
              <w:t>(6), (8)</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10/4/2018</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10/12/2027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and Pharmaceuticals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Smile Brands, Inc. - Unfunded Revolver - LC </w:t>
            </w:r>
            <w:r>
              <w:rPr>
                <w:rFonts w:ascii="Times New Roman" w:cs="Times New Roman" w:eastAsia="Times New Roman" w:hAnsi="Times New Roman"/>
                <w:sz w:val="10"/>
                <w:szCs w:val="10"/>
                <w:color w:val="auto"/>
                <w:vertAlign w:val="superscript"/>
              </w:rPr>
              <w:t>(6) (8)</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10/4/2018</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10/12/2027</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and Pharmaceuticals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100</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Spendmend Holdings, LLC</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3/1/2022</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03/01/2028</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8.87%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515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3,722</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3,701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3,722</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Spendmend Holdings, LLC - Unfunded Term Loan </w:t>
            </w:r>
            <w:r>
              <w:rPr>
                <w:rFonts w:ascii="Times New Roman" w:cs="Times New Roman" w:eastAsia="Times New Roman" w:hAnsi="Times New Roman"/>
                <w:sz w:val="10"/>
                <w:szCs w:val="10"/>
                <w:color w:val="auto"/>
                <w:vertAlign w:val="superscript"/>
              </w:rPr>
              <w:t>(8)</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3/1/2022</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11/25/2026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2,139</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Spendmend Holdings, LLC - Funded Revolver</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3/1/2022</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03/01/2028</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8.82%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515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149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149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149</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Spendmend Holdings, LLC - Unfunded Revolver </w:t>
            </w:r>
            <w:r>
              <w:rPr>
                <w:rFonts w:ascii="Times New Roman" w:cs="Times New Roman" w:eastAsia="Times New Roman" w:hAnsi="Times New Roman"/>
                <w:sz w:val="10"/>
                <w:szCs w:val="10"/>
                <w:color w:val="auto"/>
                <w:vertAlign w:val="superscript"/>
              </w:rPr>
              <w:t>(8)</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3/1/2022</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03/01/2028</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743</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STG Distribution, LLC - First Out New Money Term Loans </w:t>
            </w:r>
            <w:r>
              <w:rPr>
                <w:rFonts w:ascii="Times New Roman" w:cs="Times New Roman" w:eastAsia="Times New Roman" w:hAnsi="Times New Roman"/>
                <w:sz w:val="10"/>
                <w:szCs w:val="10"/>
                <w:color w:val="auto"/>
                <w:vertAlign w:val="superscript"/>
              </w:rPr>
              <w:t>(10)</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8/27/2025</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10/03/2029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Air Freight and Logistics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789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705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671</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STG Distribution, LLC - Second Out Term Loans </w:t>
            </w:r>
            <w:r>
              <w:rPr>
                <w:rFonts w:ascii="Times New Roman" w:cs="Times New Roman" w:eastAsia="Times New Roman" w:hAnsi="Times New Roman"/>
                <w:sz w:val="10"/>
                <w:szCs w:val="10"/>
                <w:color w:val="auto"/>
                <w:vertAlign w:val="superscript"/>
              </w:rPr>
              <w:t>(10)</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8/27/2025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10/03/2029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Air Freight and Logistics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1,824</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541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137</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SV-Aero Holdings, LLC</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10/31/2024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11/01/2030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8.67%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500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15,178</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15,114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15,178</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SV-Aero Holdings, LLC - Unfunded Term Loan </w:t>
            </w:r>
            <w:r>
              <w:rPr>
                <w:rFonts w:ascii="Times New Roman" w:cs="Times New Roman" w:eastAsia="Times New Roman" w:hAnsi="Times New Roman"/>
                <w:sz w:val="10"/>
                <w:szCs w:val="10"/>
                <w:color w:val="auto"/>
                <w:vertAlign w:val="superscript"/>
              </w:rPr>
              <w:t>(8)</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10/31/2024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11/02/2026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7,259</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36</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Symplr Software, Inc.</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8/27/2025</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12/20/2027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8.44%</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460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679</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626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575</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Systems Planning And Analysis, Inc.</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10/12/2021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08/16/2027</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8.42%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475</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39,256</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39,018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39,138</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Systems Planning And Analysis, Inc. - Funded Revolver</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10/12/2021</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08/16/2027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8.50%</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475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3,098</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3,098</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3,089</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Systems Planning And Analysis, Inc. - Unfunded Term Loan </w:t>
            </w:r>
            <w:r>
              <w:rPr>
                <w:rFonts w:ascii="Times New Roman" w:cs="Times New Roman" w:eastAsia="Times New Roman" w:hAnsi="Times New Roman"/>
                <w:sz w:val="10"/>
                <w:szCs w:val="10"/>
                <w:color w:val="auto"/>
                <w:vertAlign w:val="superscript"/>
              </w:rPr>
              <w:t>(8)</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10/12/2021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06/12/2027</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2,131</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Systems Planning And Analysis, Inc. - Unfunded Revolver </w:t>
            </w:r>
            <w:r>
              <w:rPr>
                <w:rFonts w:ascii="Times New Roman" w:cs="Times New Roman" w:eastAsia="Times New Roman" w:hAnsi="Times New Roman"/>
                <w:sz w:val="10"/>
                <w:szCs w:val="10"/>
                <w:color w:val="auto"/>
                <w:vertAlign w:val="superscript"/>
              </w:rPr>
              <w:t>(8)</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10/12/2021</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08/16/2027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5,266</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TCG 3.0 Jogger Acquisitionco, Inc.</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1/23/2024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01/23/2029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10.17%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650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9,321</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9,241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9,182</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TCG 3.0 Jogger Acquisitionco, Inc. - Funded Revolver</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1/23/2024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01/23/2029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12.25%</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550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1,165</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1,165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1,147</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TCG 3.0 Jogger Acquisitionco, Inc. - Unfunded Revolver </w:t>
            </w:r>
            <w:r>
              <w:rPr>
                <w:rFonts w:ascii="Times New Roman" w:cs="Times New Roman" w:eastAsia="Times New Roman" w:hAnsi="Times New Roman"/>
                <w:sz w:val="10"/>
                <w:szCs w:val="10"/>
                <w:color w:val="auto"/>
                <w:vertAlign w:val="superscript"/>
              </w:rPr>
              <w:t>(8)</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1/23/2024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01/23/2029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1,262</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(19)</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Team Services Group, LLC</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2/23/2024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12/20/2027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9.09%</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525</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15,713</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15,568</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15,645</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The Bluebird Group, LLC</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7/22/2021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07/28/2026</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9.60%</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590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7,252</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7,227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7,252</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The Bluebird Group, LLC - Unfunded Revolver </w:t>
            </w:r>
            <w:r>
              <w:rPr>
                <w:rFonts w:ascii="Times New Roman" w:cs="Times New Roman" w:eastAsia="Times New Roman" w:hAnsi="Times New Roman"/>
                <w:sz w:val="10"/>
                <w:szCs w:val="10"/>
                <w:color w:val="auto"/>
                <w:vertAlign w:val="superscript"/>
              </w:rPr>
              <w:t>(6), (8)</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7/22/2021</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07/28/2026</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862</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The Vertex Companies, LLC </w:t>
            </w:r>
            <w:r>
              <w:rPr>
                <w:rFonts w:ascii="Times New Roman" w:cs="Times New Roman" w:eastAsia="Times New Roman" w:hAnsi="Times New Roman"/>
                <w:sz w:val="10"/>
                <w:szCs w:val="10"/>
                <w:color w:val="auto"/>
                <w:vertAlign w:val="superscript"/>
              </w:rPr>
              <w:t>(6)</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8/25/2021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08/31/2028</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8.82%</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510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15,521</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15,422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15,428</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1M SOFR+</w:t>
            </w: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The Vertex Companies, LLC - Funded Revolver</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8/25/2021</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08/31/2028</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8.82%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510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1,642</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1,642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1,632</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53"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vMerge w:val="restart"/>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Spread</w:t>
            </w: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restart"/>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Fair</w:t>
            </w:r>
          </w:p>
        </w:tc>
        <w:tc>
          <w:tcPr>
            <w:tcW w:w="0" w:type="dxa"/>
            <w:vAlign w:val="bottom"/>
          </w:tcPr>
          <w:p>
            <w:pPr>
              <w:spacing w:after="0"/>
              <w:rPr>
                <w:sz w:val="1"/>
                <w:szCs w:val="1"/>
                <w:color w:val="auto"/>
              </w:rPr>
            </w:pPr>
          </w:p>
        </w:tc>
      </w:tr>
      <w:tr>
        <w:trPr>
          <w:trHeight w:val="82"/>
        </w:trPr>
        <w:tc>
          <w:tcPr>
            <w:tcW w:w="234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540" w:type="dxa"/>
            <w:vAlign w:val="bottom"/>
            <w:vMerge w:val="continue"/>
          </w:tcPr>
          <w:p>
            <w:pPr>
              <w:spacing w:after="0"/>
              <w:rPr>
                <w:sz w:val="7"/>
                <w:szCs w:val="7"/>
                <w:color w:val="auto"/>
              </w:rPr>
            </w:pPr>
          </w:p>
        </w:tc>
        <w:tc>
          <w:tcPr>
            <w:tcW w:w="560" w:type="dxa"/>
            <w:vAlign w:val="bottom"/>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w w:val="96"/>
              </w:rPr>
              <w:t>Above Index</w:t>
            </w:r>
          </w:p>
        </w:tc>
        <w:tc>
          <w:tcPr>
            <w:tcW w:w="720" w:type="dxa"/>
            <w:vAlign w:val="bottom"/>
            <w:vMerge w:val="restart"/>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Par / Shares</w:t>
            </w:r>
          </w:p>
        </w:tc>
        <w:tc>
          <w:tcPr>
            <w:tcW w:w="420" w:type="dxa"/>
            <w:vAlign w:val="bottom"/>
            <w:vMerge w:val="restart"/>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Cost</w:t>
            </w:r>
          </w:p>
        </w:tc>
        <w:tc>
          <w:tcPr>
            <w:tcW w:w="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540" w:type="dxa"/>
            <w:vAlign w:val="bottom"/>
          </w:tcPr>
          <w:p>
            <w:pPr>
              <w:jc w:val="right"/>
              <w:ind w:right="140"/>
              <w:spacing w:after="0" w:line="91" w:lineRule="exact"/>
              <w:rPr>
                <w:sz w:val="20"/>
                <w:szCs w:val="20"/>
                <w:color w:val="auto"/>
              </w:rPr>
            </w:pPr>
            <w:r>
              <w:rPr>
                <w:rFonts w:ascii="Times New Roman" w:cs="Times New Roman" w:eastAsia="Times New Roman" w:hAnsi="Times New Roman"/>
                <w:sz w:val="8"/>
                <w:szCs w:val="8"/>
                <w:b w:val="1"/>
                <w:bCs w:val="1"/>
                <w:color w:val="auto"/>
              </w:rPr>
              <w:t>Coupon</w:t>
            </w:r>
          </w:p>
        </w:tc>
        <w:tc>
          <w:tcPr>
            <w:tcW w:w="560" w:type="dxa"/>
            <w:vAlign w:val="bottom"/>
          </w:tcPr>
          <w:p>
            <w:pPr>
              <w:jc w:val="center"/>
              <w:spacing w:after="0"/>
              <w:rPr>
                <w:sz w:val="20"/>
                <w:szCs w:val="20"/>
                <w:color w:val="auto"/>
              </w:rPr>
            </w:pPr>
            <w:r>
              <w:rPr>
                <w:rFonts w:ascii="Times New Roman" w:cs="Times New Roman" w:eastAsia="Times New Roman" w:hAnsi="Times New Roman"/>
                <w:sz w:val="5"/>
                <w:szCs w:val="5"/>
                <w:b w:val="1"/>
                <w:bCs w:val="1"/>
                <w:color w:val="auto"/>
              </w:rPr>
              <w:t>(1)</w:t>
            </w:r>
          </w:p>
        </w:tc>
        <w:tc>
          <w:tcPr>
            <w:tcW w:w="72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jc w:val="right"/>
              <w:ind w:right="120"/>
              <w:spacing w:after="0" w:line="91" w:lineRule="exact"/>
              <w:rPr>
                <w:sz w:val="20"/>
                <w:szCs w:val="20"/>
                <w:color w:val="auto"/>
              </w:rPr>
            </w:pPr>
            <w:r>
              <w:rPr>
                <w:rFonts w:ascii="Times New Roman" w:cs="Times New Roman" w:eastAsia="Times New Roman" w:hAnsi="Times New Roman"/>
                <w:sz w:val="8"/>
                <w:szCs w:val="8"/>
                <w:b w:val="1"/>
                <w:bCs w:val="1"/>
                <w:color w:val="auto"/>
                <w:w w:val="87"/>
              </w:rPr>
              <w:t xml:space="preserve">Value </w:t>
            </w:r>
            <w:r>
              <w:rPr>
                <w:rFonts w:ascii="Times New Roman" w:cs="Times New Roman" w:eastAsia="Times New Roman" w:hAnsi="Times New Roman"/>
                <w:sz w:val="10"/>
                <w:szCs w:val="10"/>
                <w:b w:val="1"/>
                <w:bCs w:val="1"/>
                <w:color w:val="auto"/>
                <w:w w:val="87"/>
                <w:vertAlign w:val="superscript"/>
              </w:rPr>
              <w:t>(2)</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The Vertex Companies, LLC - Unfunded Revolver </w:t>
            </w:r>
            <w:r>
              <w:rPr>
                <w:rFonts w:ascii="Times New Roman" w:cs="Times New Roman" w:eastAsia="Times New Roman" w:hAnsi="Times New Roman"/>
                <w:sz w:val="10"/>
                <w:szCs w:val="10"/>
                <w:color w:val="auto"/>
                <w:vertAlign w:val="superscript"/>
              </w:rPr>
              <w:t>(6), (8)</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8/25/2021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08/31/2028</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3,831</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(23)</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TMII Enterprises, LLC</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12/19/2022</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12/22/2028</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8.22%</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450</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1,559</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1,544</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1,559</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TMII Enterprises, LLC - Unfunded Revolver </w:t>
            </w:r>
            <w:r>
              <w:rPr>
                <w:rFonts w:ascii="Times New Roman" w:cs="Times New Roman" w:eastAsia="Times New Roman" w:hAnsi="Times New Roman"/>
                <w:sz w:val="10"/>
                <w:szCs w:val="10"/>
                <w:color w:val="auto"/>
                <w:vertAlign w:val="superscript"/>
              </w:rPr>
              <w:t>(6), (8)</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12/19/2022</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12/22/2028</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748</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TPC US Parent, LLC</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11/15/2019</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02/23/2026</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Food Products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9.48%</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590</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12,227</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12,220</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12,215</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TransGo, LLC</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12/29/2023</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12/29/2028</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 Components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9.51%</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575</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10,269</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10,158</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10,269</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TransGo, LLC - Unfunded Revolver </w:t>
            </w:r>
            <w:r>
              <w:rPr>
                <w:rFonts w:ascii="Times New Roman" w:cs="Times New Roman" w:eastAsia="Times New Roman" w:hAnsi="Times New Roman"/>
                <w:sz w:val="10"/>
                <w:szCs w:val="10"/>
                <w:color w:val="auto"/>
                <w:vertAlign w:val="superscript"/>
              </w:rPr>
              <w:t>(6), (8)</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12/29/2023</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12/29/2028</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Auto Components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4,440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Tyto Athene, LLC</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3/26/2021</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04/03/2028</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8.56%</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490</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11,875</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11,799</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11,400</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Walker Edison Furniture Company, LLC - New Money DIP</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8/29/2025</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03/01/2029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Wholesale</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10.00%</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243</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243</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253</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Walker Edison Furniture Company, LLC - Unfunded Term Loan </w:t>
            </w:r>
            <w:r>
              <w:rPr>
                <w:rFonts w:ascii="Times New Roman" w:cs="Times New Roman" w:eastAsia="Times New Roman" w:hAnsi="Times New Roman"/>
                <w:sz w:val="10"/>
                <w:szCs w:val="10"/>
                <w:color w:val="auto"/>
                <w:vertAlign w:val="superscript"/>
              </w:rPr>
              <w:t>(8)</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8/29/2025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03/01/2029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Wholesale</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347</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Watchtower Buyer, LLC</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11/29/2023</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12/03/2029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Instruments, and Components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9.70%</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600</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12,739</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12,622</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12,739</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Watchtower Buyer, LLC - Funded Revolver</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11/29/2023</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12/03/2029</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Instruments, and Components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9.69%</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600</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1,050</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1,050</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1,050</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Watchtower Buyer, LLC - Unfunded Revolver </w:t>
            </w:r>
            <w:r>
              <w:rPr>
                <w:rFonts w:ascii="Times New Roman" w:cs="Times New Roman" w:eastAsia="Times New Roman" w:hAnsi="Times New Roman"/>
                <w:sz w:val="10"/>
                <w:szCs w:val="10"/>
                <w:color w:val="auto"/>
                <w:vertAlign w:val="superscript"/>
              </w:rPr>
              <w:t>(8)</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11/29/2023</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12/03/2029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Instruments, and Components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5,250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Wash &amp; Wax Systems, LLC</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4/30/2025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04/30/2028</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9.34%</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550</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6,431</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6,532</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6,559</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Wash &amp; Wax Systems, LLC - Funded Revolver</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4/30/2025</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04/30/2028</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9.34%</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550</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565</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565</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564</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Wash &amp; Wax Systems, LLC - Unfunded Revolver </w:t>
            </w:r>
            <w:r>
              <w:rPr>
                <w:rFonts w:ascii="Times New Roman" w:cs="Times New Roman" w:eastAsia="Times New Roman" w:hAnsi="Times New Roman"/>
                <w:sz w:val="10"/>
                <w:szCs w:val="10"/>
                <w:color w:val="auto"/>
                <w:vertAlign w:val="superscript"/>
              </w:rPr>
              <w:t>(6) (8)</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4/30/2025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04/30/2028</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282</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First Lien Secured Debt</w:t>
            </w: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w w:val="99"/>
              </w:rPr>
              <w:t>2,058,943</w:t>
            </w: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2,033,217</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Second Lien Secured Debt - 0.1% of Net Assets</w:t>
            </w: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Team Services Group, LLC - 2nd Lien</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2/23/2024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12/18/2028</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13.10%</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926</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1,000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996</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995</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Second Lien Secured Debt</w:t>
            </w: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996</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995</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Subordinate Debt - 1.8% of Net Assets</w:t>
            </w: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Beacon Behavioral Holdings, LLC</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6/21/2024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06/21/2030</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15.00%</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5,429</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5,379</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5,429</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Integrative Nutrition, LLC - Promissory Note #1</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4/17/2025</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04/15/2030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2,623</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2,294</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2,243</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Integrative Nutrition, LLC - Promissory Note #2</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4/17/2025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04/15/2033</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5,975</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2,763</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2,763</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ORL Holdco, Inc. - Convertible Notes</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8/2/2024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03/08/2028</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Consumer Finance</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18.00%</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13</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ORL Holdco, Inc. - Unfunded Convertible Notes </w:t>
            </w:r>
            <w:r>
              <w:rPr>
                <w:rFonts w:ascii="Times New Roman" w:cs="Times New Roman" w:eastAsia="Times New Roman" w:hAnsi="Times New Roman"/>
                <w:sz w:val="10"/>
                <w:szCs w:val="10"/>
                <w:color w:val="auto"/>
                <w:vertAlign w:val="superscript"/>
              </w:rPr>
              <w:t>(8)</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8/2/2024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03/08/2028</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Consumer Finance</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13</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OSP Embedded Purchaser, LP - Convertible Note</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11/6/2024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05/08/2030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12.00%</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47</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471</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539</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Schlesinger Global, LLC - Promissory Note</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2/21/2024</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09/30/2027</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12.56%</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860</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66</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66</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136</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StoicLane, Inc. - Convertible Notes</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8/15/2024</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08/16/2027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12.00%</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3,051</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3,051</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3,585</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Wash &amp; Wax Systems, LLC - Subordinate Debt</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4/30/2025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07/30/2028</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12.00%</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4,467</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4,467</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4,467</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Subordinate Debt</w:t>
            </w: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18,504</w:t>
            </w: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19,149</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Preferred Equity - 2.1% of Net Assets</w:t>
            </w:r>
            <w:r>
              <w:rPr>
                <w:rFonts w:ascii="Times New Roman" w:cs="Times New Roman" w:eastAsia="Times New Roman" w:hAnsi="Times New Roman"/>
                <w:sz w:val="10"/>
                <w:szCs w:val="10"/>
                <w:color w:val="auto"/>
                <w:vertAlign w:val="superscript"/>
              </w:rPr>
              <w:t>(5)</w:t>
            </w: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Accounting Platform Holdings, Inc. - Preferred Equity - Series A</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8/9/2024</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1,075,900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1,076</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1,076</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Ad.Net Holdings, Inc. - Preferred Equity</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5/4/2021</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7,453</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745</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498</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AFC Acquisitions, Inc. Preferred Equity - Series F-2 </w:t>
            </w:r>
            <w:r>
              <w:rPr>
                <w:rFonts w:ascii="Times New Roman" w:cs="Times New Roman" w:eastAsia="Times New Roman" w:hAnsi="Times New Roman"/>
                <w:sz w:val="10"/>
                <w:szCs w:val="10"/>
                <w:color w:val="auto"/>
                <w:vertAlign w:val="superscript"/>
              </w:rPr>
              <w:t>(7)</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12/7/2023</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825</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1,262</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1,157</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AFC Acquisitions, Inc. Preferred Equity - Series G-2 </w:t>
            </w:r>
            <w:r>
              <w:rPr>
                <w:rFonts w:ascii="Times New Roman" w:cs="Times New Roman" w:eastAsia="Times New Roman" w:hAnsi="Times New Roman"/>
                <w:sz w:val="10"/>
                <w:szCs w:val="10"/>
                <w:color w:val="auto"/>
                <w:vertAlign w:val="superscript"/>
              </w:rPr>
              <w:t>(7)</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12/7/2023</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18</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31</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AFC Acquisitions, Inc. Preferred Equity - Series H-2 </w:t>
            </w:r>
            <w:r>
              <w:rPr>
                <w:rFonts w:ascii="Times New Roman" w:cs="Times New Roman" w:eastAsia="Times New Roman" w:hAnsi="Times New Roman"/>
                <w:sz w:val="10"/>
                <w:szCs w:val="10"/>
                <w:color w:val="auto"/>
                <w:vertAlign w:val="superscript"/>
              </w:rPr>
              <w:t>(7)</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12/7/2023</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AFC Acquisitions, Inc. Preferred Equity - Series I-2 </w:t>
            </w:r>
            <w:r>
              <w:rPr>
                <w:rFonts w:ascii="Times New Roman" w:cs="Times New Roman" w:eastAsia="Times New Roman" w:hAnsi="Times New Roman"/>
                <w:sz w:val="10"/>
                <w:szCs w:val="10"/>
                <w:color w:val="auto"/>
                <w:vertAlign w:val="superscript"/>
              </w:rPr>
              <w:t>(7)</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12/7/2023</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9</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AFC Acquisitions, Inc. Preferred Equity - Series J-2 </w:t>
            </w:r>
            <w:r>
              <w:rPr>
                <w:rFonts w:ascii="Times New Roman" w:cs="Times New Roman" w:eastAsia="Times New Roman" w:hAnsi="Times New Roman"/>
                <w:sz w:val="10"/>
                <w:szCs w:val="10"/>
                <w:color w:val="auto"/>
                <w:vertAlign w:val="superscript"/>
              </w:rPr>
              <w:t>(7)</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12/7/2023</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17</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34</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28</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Anteriad Holdings, LP (f/k/a MeritDirect Holdings, LP) - Preferred</w:t>
            </w: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11"/>
                <w:szCs w:val="11"/>
                <w:color w:val="auto"/>
                <w:vertAlign w:val="subscript"/>
              </w:rPr>
              <w:t>Equity</w:t>
            </w:r>
            <w:r>
              <w:rPr>
                <w:rFonts w:ascii="Times New Roman" w:cs="Times New Roman" w:eastAsia="Times New Roman" w:hAnsi="Times New Roman"/>
                <w:sz w:val="4"/>
                <w:szCs w:val="4"/>
                <w:color w:val="auto"/>
              </w:rPr>
              <w:t xml:space="preserve"> (6), (7)</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5/21/2019</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2,018</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2,018</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2,199</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Equipment and</w:t>
            </w: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BioDerm Holdings, LP - Preferred Equity</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1/30/2023</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Supplies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1,313</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1,313</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1,314</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Cartessa Aesthetics, LLC - Preferred Equity </w:t>
            </w:r>
            <w:r>
              <w:rPr>
                <w:rFonts w:ascii="Times New Roman" w:cs="Times New Roman" w:eastAsia="Times New Roman" w:hAnsi="Times New Roman"/>
                <w:sz w:val="10"/>
                <w:szCs w:val="10"/>
                <w:color w:val="auto"/>
                <w:vertAlign w:val="superscript"/>
              </w:rPr>
              <w:t>(7)</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6/1/2022</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1,437,500</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1,438</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4,313</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Connatix Parent, LLC</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7/8/2021</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5,311</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Consello Pacific Aggregator, LLC - Preferred Equity </w:t>
            </w:r>
            <w:r>
              <w:rPr>
                <w:rFonts w:ascii="Times New Roman" w:cs="Times New Roman" w:eastAsia="Times New Roman" w:hAnsi="Times New Roman"/>
                <w:sz w:val="10"/>
                <w:szCs w:val="10"/>
                <w:color w:val="auto"/>
                <w:vertAlign w:val="superscript"/>
              </w:rPr>
              <w:t>(7)</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10/2/2023</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1,025,476</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973</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708</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C5MI Holdco, LLC - Preferred Equity </w:t>
            </w:r>
            <w:r>
              <w:rPr>
                <w:rFonts w:ascii="Times New Roman" w:cs="Times New Roman" w:eastAsia="Times New Roman" w:hAnsi="Times New Roman"/>
                <w:sz w:val="10"/>
                <w:szCs w:val="10"/>
                <w:color w:val="auto"/>
                <w:vertAlign w:val="superscript"/>
              </w:rPr>
              <w:t>(7)</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7/31/2024</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228,900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223</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238</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Education and</w:t>
            </w: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EvAL Home Health Solutions, LLC </w:t>
            </w:r>
            <w:r>
              <w:rPr>
                <w:rFonts w:ascii="Times New Roman" w:cs="Times New Roman" w:eastAsia="Times New Roman" w:hAnsi="Times New Roman"/>
                <w:sz w:val="10"/>
                <w:szCs w:val="10"/>
                <w:color w:val="auto"/>
                <w:vertAlign w:val="superscript"/>
              </w:rPr>
              <w:t>(7)</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5/10/2024</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Childcare</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876,386</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1,455</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1,306</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Five Star Parent Holdings, LLC - Preferred (Class P)</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2/21/2023</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Hotels, Restaurants and Leisure</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384</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38</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107</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Gauge Schlesinger Coinvest, LLC - Preferred Equity</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4/22/2020</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64</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64</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Hancock Claims Consultants Investors, LLC - Preferred Equity </w:t>
            </w:r>
            <w:r>
              <w:rPr>
                <w:rFonts w:ascii="Times New Roman" w:cs="Times New Roman" w:eastAsia="Times New Roman" w:hAnsi="Times New Roman"/>
                <w:sz w:val="10"/>
                <w:szCs w:val="10"/>
                <w:color w:val="auto"/>
                <w:vertAlign w:val="superscript"/>
              </w:rPr>
              <w:t>(7)</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12/23/2020</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Insurance</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116,588</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76</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HPA SPQ Aggregator, LP - Preferred Equity</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6/8/2023</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52,353</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52</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52</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Imagine Topco. LP - Preferred Equity</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11/4/2021</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8.00%</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1,236,027</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1,236</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1,723</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Magnolia Topco, LP - Preferred Equity - Class A </w:t>
            </w:r>
            <w:r>
              <w:rPr>
                <w:rFonts w:ascii="Times New Roman" w:cs="Times New Roman" w:eastAsia="Times New Roman" w:hAnsi="Times New Roman"/>
                <w:sz w:val="10"/>
                <w:szCs w:val="10"/>
                <w:color w:val="auto"/>
                <w:vertAlign w:val="superscript"/>
              </w:rPr>
              <w:t>(7)</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7/25/2023</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47</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47</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Magnolia Topco, LP - Preferred Equity - Class A-1 </w:t>
            </w:r>
            <w:r>
              <w:rPr>
                <w:rFonts w:ascii="Times New Roman" w:cs="Times New Roman" w:eastAsia="Times New Roman" w:hAnsi="Times New Roman"/>
                <w:sz w:val="10"/>
                <w:szCs w:val="10"/>
                <w:color w:val="auto"/>
                <w:vertAlign w:val="superscript"/>
              </w:rPr>
              <w:t>(7)</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7/25/2023</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16</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32</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Magnolia Topco, LP - Preferred Equity - Class B </w:t>
            </w:r>
            <w:r>
              <w:rPr>
                <w:rFonts w:ascii="Times New Roman" w:cs="Times New Roman" w:eastAsia="Times New Roman" w:hAnsi="Times New Roman"/>
                <w:sz w:val="10"/>
                <w:szCs w:val="10"/>
                <w:color w:val="auto"/>
                <w:vertAlign w:val="superscript"/>
              </w:rPr>
              <w:t>(7)</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7/25/2023</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31</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Megawatt Acquisition Partners, LLC - Preferred Equity - Class A</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6/28/2024</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Instruments, and Components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9,360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936</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1,052</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NXOF Holdings, Inc. - Preferred Equity</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9/25/2018</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1,935</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1,935</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1,415</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ORL Holdco, Inc. - Preferred Equity</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9/1/2021</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Consumer Finance</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1,327</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133</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Textiles, Apparel and Luxury</w:t>
            </w: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Pink Lily Holdco, LLC - Preferred Equity - Class A-1 </w:t>
            </w:r>
            <w:r>
              <w:rPr>
                <w:rFonts w:ascii="Times New Roman" w:cs="Times New Roman" w:eastAsia="Times New Roman" w:hAnsi="Times New Roman"/>
                <w:sz w:val="10"/>
                <w:szCs w:val="10"/>
                <w:color w:val="auto"/>
                <w:vertAlign w:val="superscript"/>
              </w:rPr>
              <w:t>(7)</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11/5/2021</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Goods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122</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122</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Podean Intermediate II, LLC - Preferred Equity</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8/4/2025</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Marketing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570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570</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582</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RTIC Parent Holdings, LLC - Preferred Equity - Class A </w:t>
            </w:r>
            <w:r>
              <w:rPr>
                <w:rFonts w:ascii="Times New Roman" w:cs="Times New Roman" w:eastAsia="Times New Roman" w:hAnsi="Times New Roman"/>
                <w:sz w:val="10"/>
                <w:szCs w:val="10"/>
                <w:color w:val="auto"/>
                <w:vertAlign w:val="superscript"/>
              </w:rPr>
              <w:t>(7)</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5/3/2024</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9</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RTIC Parent Holdings, LLC - Preferred Equity - Class C </w:t>
            </w:r>
            <w:r>
              <w:rPr>
                <w:rFonts w:ascii="Times New Roman" w:cs="Times New Roman" w:eastAsia="Times New Roman" w:hAnsi="Times New Roman"/>
                <w:sz w:val="10"/>
                <w:szCs w:val="10"/>
                <w:color w:val="auto"/>
                <w:vertAlign w:val="superscript"/>
              </w:rPr>
              <w:t>(7)</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5/3/2024</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18,450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1,215</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2,602</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RTIC Parent Holdings, LLC - Preferred Equity - Class D </w:t>
            </w:r>
            <w:r>
              <w:rPr>
                <w:rFonts w:ascii="Times New Roman" w:cs="Times New Roman" w:eastAsia="Times New Roman" w:hAnsi="Times New Roman"/>
                <w:sz w:val="10"/>
                <w:szCs w:val="10"/>
                <w:color w:val="auto"/>
                <w:vertAlign w:val="superscript"/>
              </w:rPr>
              <w:t>(7)</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5/3/2024</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19,584</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196</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278</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SP L2 Holdings, LLC - Preferred Equity</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11/4/2021</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135,240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33</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SP L2 Holdings, LLC - Unfunded Preferred Equity </w:t>
            </w:r>
            <w:r>
              <w:rPr>
                <w:rFonts w:ascii="Times New Roman" w:cs="Times New Roman" w:eastAsia="Times New Roman" w:hAnsi="Times New Roman"/>
                <w:sz w:val="10"/>
                <w:szCs w:val="10"/>
                <w:color w:val="auto"/>
                <w:vertAlign w:val="superscript"/>
              </w:rPr>
              <w:t>(8)</w:t>
            </w:r>
          </w:p>
        </w:tc>
        <w:tc>
          <w:tcPr>
            <w:tcW w:w="6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11/4/2021</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77,280</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(19)</w:t>
            </w:r>
          </w:p>
        </w:tc>
        <w:tc>
          <w:tcPr>
            <w:tcW w:w="0" w:type="dxa"/>
            <w:vAlign w:val="bottom"/>
          </w:tcPr>
          <w:p>
            <w:pPr>
              <w:spacing w:after="0"/>
              <w:rPr>
                <w:sz w:val="1"/>
                <w:szCs w:val="1"/>
                <w:color w:val="auto"/>
              </w:rPr>
            </w:pPr>
          </w:p>
        </w:tc>
      </w:tr>
      <w:tr>
        <w:trPr>
          <w:trHeight w:val="105"/>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TPC Holding Company, LP - Preferred Equity</w:t>
            </w: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12/4/2019</w:t>
            </w:r>
          </w:p>
        </w:tc>
        <w:tc>
          <w:tcPr>
            <w:tcW w:w="500" w:type="dxa"/>
            <w:vAlign w:val="bottom"/>
          </w:tcPr>
          <w:p>
            <w:pPr>
              <w:spacing w:after="0"/>
              <w:rPr>
                <w:sz w:val="9"/>
                <w:szCs w:val="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Food Products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409</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409</w:t>
            </w:r>
          </w:p>
        </w:tc>
        <w:tc>
          <w:tcPr>
            <w:tcW w:w="120" w:type="dxa"/>
            <w:vAlign w:val="bottom"/>
          </w:tcPr>
          <w:p>
            <w:pPr>
              <w:spacing w:after="0"/>
              <w:rPr>
                <w:sz w:val="9"/>
                <w:szCs w:val="9"/>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447</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53"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2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40" w:type="dxa"/>
            <w:vAlign w:val="bottom"/>
            <w:vMerge w:val="restart"/>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Spread</w:t>
            </w: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restart"/>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Fair</w:t>
            </w:r>
          </w:p>
        </w:tc>
        <w:tc>
          <w:tcPr>
            <w:tcW w:w="0" w:type="dxa"/>
            <w:vAlign w:val="bottom"/>
          </w:tcPr>
          <w:p>
            <w:pPr>
              <w:spacing w:after="0"/>
              <w:rPr>
                <w:sz w:val="1"/>
                <w:szCs w:val="1"/>
                <w:color w:val="auto"/>
              </w:rPr>
            </w:pPr>
          </w:p>
        </w:tc>
      </w:tr>
      <w:tr>
        <w:trPr>
          <w:trHeight w:val="82"/>
        </w:trPr>
        <w:tc>
          <w:tcPr>
            <w:tcW w:w="234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540" w:type="dxa"/>
            <w:vAlign w:val="bottom"/>
            <w:vMerge w:val="continue"/>
          </w:tcPr>
          <w:p>
            <w:pPr>
              <w:spacing w:after="0"/>
              <w:rPr>
                <w:sz w:val="7"/>
                <w:szCs w:val="7"/>
                <w:color w:val="auto"/>
              </w:rPr>
            </w:pPr>
          </w:p>
        </w:tc>
        <w:tc>
          <w:tcPr>
            <w:tcW w:w="560" w:type="dxa"/>
            <w:vAlign w:val="bottom"/>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w w:val="96"/>
              </w:rPr>
              <w:t>Above Index</w:t>
            </w:r>
          </w:p>
        </w:tc>
        <w:tc>
          <w:tcPr>
            <w:tcW w:w="740" w:type="dxa"/>
            <w:vAlign w:val="bottom"/>
            <w:vMerge w:val="restart"/>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Par / Shares</w:t>
            </w:r>
          </w:p>
        </w:tc>
        <w:tc>
          <w:tcPr>
            <w:tcW w:w="400" w:type="dxa"/>
            <w:vAlign w:val="bottom"/>
            <w:vMerge w:val="restart"/>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Cost</w:t>
            </w:r>
          </w:p>
        </w:tc>
        <w:tc>
          <w:tcPr>
            <w:tcW w:w="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540" w:type="dxa"/>
            <w:vAlign w:val="bottom"/>
          </w:tcPr>
          <w:p>
            <w:pPr>
              <w:jc w:val="right"/>
              <w:ind w:right="140"/>
              <w:spacing w:after="0" w:line="91" w:lineRule="exact"/>
              <w:rPr>
                <w:sz w:val="20"/>
                <w:szCs w:val="20"/>
                <w:color w:val="auto"/>
              </w:rPr>
            </w:pPr>
            <w:r>
              <w:rPr>
                <w:rFonts w:ascii="Times New Roman" w:cs="Times New Roman" w:eastAsia="Times New Roman" w:hAnsi="Times New Roman"/>
                <w:sz w:val="8"/>
                <w:szCs w:val="8"/>
                <w:b w:val="1"/>
                <w:bCs w:val="1"/>
                <w:color w:val="auto"/>
              </w:rPr>
              <w:t>Coupon</w:t>
            </w:r>
          </w:p>
        </w:tc>
        <w:tc>
          <w:tcPr>
            <w:tcW w:w="560" w:type="dxa"/>
            <w:vAlign w:val="bottom"/>
          </w:tcPr>
          <w:p>
            <w:pPr>
              <w:jc w:val="center"/>
              <w:spacing w:after="0"/>
              <w:rPr>
                <w:sz w:val="20"/>
                <w:szCs w:val="20"/>
                <w:color w:val="auto"/>
              </w:rPr>
            </w:pPr>
            <w:r>
              <w:rPr>
                <w:rFonts w:ascii="Times New Roman" w:cs="Times New Roman" w:eastAsia="Times New Roman" w:hAnsi="Times New Roman"/>
                <w:sz w:val="5"/>
                <w:szCs w:val="5"/>
                <w:b w:val="1"/>
                <w:bCs w:val="1"/>
                <w:color w:val="auto"/>
              </w:rPr>
              <w:t>(1)</w:t>
            </w:r>
          </w:p>
        </w:tc>
        <w:tc>
          <w:tcPr>
            <w:tcW w:w="74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jc w:val="right"/>
              <w:ind w:right="120"/>
              <w:spacing w:after="0" w:line="91" w:lineRule="exact"/>
              <w:rPr>
                <w:sz w:val="20"/>
                <w:szCs w:val="20"/>
                <w:color w:val="auto"/>
              </w:rPr>
            </w:pPr>
            <w:r>
              <w:rPr>
                <w:rFonts w:ascii="Times New Roman" w:cs="Times New Roman" w:eastAsia="Times New Roman" w:hAnsi="Times New Roman"/>
                <w:sz w:val="8"/>
                <w:szCs w:val="8"/>
                <w:b w:val="1"/>
                <w:bCs w:val="1"/>
                <w:color w:val="auto"/>
                <w:w w:val="87"/>
              </w:rPr>
              <w:t xml:space="preserve">Value </w:t>
            </w:r>
            <w:r>
              <w:rPr>
                <w:rFonts w:ascii="Times New Roman" w:cs="Times New Roman" w:eastAsia="Times New Roman" w:hAnsi="Times New Roman"/>
                <w:sz w:val="10"/>
                <w:szCs w:val="10"/>
                <w:b w:val="1"/>
                <w:bCs w:val="1"/>
                <w:color w:val="auto"/>
                <w:w w:val="87"/>
                <w:vertAlign w:val="superscript"/>
              </w:rPr>
              <w:t>(2)</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TWD Parent Holdings, LLC - Preferred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8/25/2021</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41</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39</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60</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UniTek Global Services, Inc. - Super Senior Preferred Equity</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1/13/2015</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Telecommunications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20.00%</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320,711</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322</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675</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UniTek Global Services, Inc. - Senior Preferred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1/13/2015</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Telecommunications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19.00%</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448,851</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449</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UniTek Global Services, Inc. - Preferred Equity</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1/13/2015</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Telecommunications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13.50%</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1,047,317</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670</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Preferred Equity</w:t>
            </w:r>
          </w:p>
        </w:tc>
        <w:tc>
          <w:tcPr>
            <w:tcW w:w="660" w:type="dxa"/>
            <w:vAlign w:val="bottom"/>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19,199</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21,942</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Common Equity/Warrants - 15.7% of Net Assets</w:t>
            </w:r>
            <w:r>
              <w:rPr>
                <w:rFonts w:ascii="Times New Roman" w:cs="Times New Roman" w:eastAsia="Times New Roman" w:hAnsi="Times New Roman"/>
                <w:sz w:val="10"/>
                <w:szCs w:val="10"/>
                <w:color w:val="auto"/>
                <w:vertAlign w:val="superscript"/>
              </w:rPr>
              <w:t>(5)</w:t>
            </w: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A1 Garage Equity, LLC - Common Equity </w:t>
            </w:r>
            <w:r>
              <w:rPr>
                <w:rFonts w:ascii="Times New Roman" w:cs="Times New Roman" w:eastAsia="Times New Roman" w:hAnsi="Times New Roman"/>
                <w:sz w:val="10"/>
                <w:szCs w:val="10"/>
                <w:color w:val="auto"/>
                <w:vertAlign w:val="superscript"/>
              </w:rPr>
              <w:t>(7)</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12/19/2022</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647,943</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648</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1,463</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48Forty Intermediate Holdings, Inc. - Common Equity</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8/27/2025</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529</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ACP Big Top Holdings, LP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2/29/2024</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3,000,500</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2,883</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5,258</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Ad.Net Holdings, Inc. - Common Equity</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5/4/2021</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8,281</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83</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Aechelon InvestCo, LP</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8/16/2024</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29,917</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2,992</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8,204</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Aechelon InvestCo, LP - Unfunded Common Equity </w:t>
            </w:r>
            <w:r>
              <w:rPr>
                <w:rFonts w:ascii="Times New Roman" w:cs="Times New Roman" w:eastAsia="Times New Roman" w:hAnsi="Times New Roman"/>
                <w:sz w:val="10"/>
                <w:szCs w:val="10"/>
                <w:color w:val="auto"/>
                <w:vertAlign w:val="superscript"/>
              </w:rPr>
              <w:t>(8)</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8/16/2024</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33,433</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Aftermarket Drivetrain Products Holdings, LLC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12/29/2023</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 Components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2,632</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2,632</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4,518</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AG Investco - Common Equity </w:t>
            </w:r>
            <w:r>
              <w:rPr>
                <w:rFonts w:ascii="Times New Roman" w:cs="Times New Roman" w:eastAsia="Times New Roman" w:hAnsi="Times New Roman"/>
                <w:sz w:val="10"/>
                <w:szCs w:val="10"/>
                <w:color w:val="auto"/>
                <w:vertAlign w:val="superscript"/>
              </w:rPr>
              <w:t>(6), (7)</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11/5/2018</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8,052</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805</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AG Investco - Unfunded Common Equity </w:t>
            </w:r>
            <w:r>
              <w:rPr>
                <w:rFonts w:ascii="Times New Roman" w:cs="Times New Roman" w:eastAsia="Times New Roman" w:hAnsi="Times New Roman"/>
                <w:sz w:val="10"/>
                <w:szCs w:val="10"/>
                <w:color w:val="auto"/>
                <w:vertAlign w:val="superscript"/>
              </w:rPr>
              <w:t>(7), (8)</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11/5/2018</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1,948</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(179)</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Altamira Parent Holdings, LLC - Common Equity</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7/23/2019</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1,437,500</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1,438</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1,323</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Anteriad Holdings, LP (f/k/a MeritDirect Holdings, LP) - Common</w:t>
            </w:r>
          </w:p>
        </w:tc>
        <w:tc>
          <w:tcPr>
            <w:tcW w:w="660" w:type="dxa"/>
            <w:vAlign w:val="bottom"/>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Equity </w:t>
            </w:r>
            <w:r>
              <w:rPr>
                <w:rFonts w:ascii="Times New Roman" w:cs="Times New Roman" w:eastAsia="Times New Roman" w:hAnsi="Times New Roman"/>
                <w:sz w:val="10"/>
                <w:szCs w:val="10"/>
                <w:color w:val="auto"/>
                <w:vertAlign w:val="superscript"/>
              </w:rPr>
              <w:t>(7)</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5/21/2019</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2,018</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Athletico Holdings, LLC - Common Equity </w:t>
            </w:r>
            <w:r>
              <w:rPr>
                <w:rFonts w:ascii="Times New Roman" w:cs="Times New Roman" w:eastAsia="Times New Roman" w:hAnsi="Times New Roman"/>
                <w:sz w:val="10"/>
                <w:szCs w:val="10"/>
                <w:color w:val="auto"/>
                <w:vertAlign w:val="superscript"/>
              </w:rPr>
              <w:t>(7)</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2/4/2022</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4,678</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5,000</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3,546</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Aphix Topco, Inc.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7/17/2025</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819,190</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819</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786</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APT Holdings, LLC - Common Equity </w:t>
            </w:r>
            <w:r>
              <w:rPr>
                <w:rFonts w:ascii="Times New Roman" w:cs="Times New Roman" w:eastAsia="Times New Roman" w:hAnsi="Times New Roman"/>
                <w:sz w:val="10"/>
                <w:szCs w:val="10"/>
                <w:color w:val="auto"/>
                <w:vertAlign w:val="superscript"/>
              </w:rPr>
              <w:t>(7)</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9/29/2025</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855,110</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1,152</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1,261</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Azureon Holdings, LLC </w:t>
            </w:r>
            <w:r>
              <w:rPr>
                <w:rFonts w:ascii="Times New Roman" w:cs="Times New Roman" w:eastAsia="Times New Roman" w:hAnsi="Times New Roman"/>
                <w:sz w:val="10"/>
                <w:szCs w:val="10"/>
                <w:color w:val="auto"/>
                <w:vertAlign w:val="superscript"/>
              </w:rPr>
              <w:t>(7)</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6/26/2024</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1,130,707</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1,131</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825</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Equipment and</w:t>
            </w: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BioDerm Holdings, LP - Common Equity</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1/30/2023</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Supplies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1,313</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Burgess Point Holdings, LP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7/21/2022</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 Components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112</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114</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121</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By Light Investco LP - Common Equity </w:t>
            </w:r>
            <w:r>
              <w:rPr>
                <w:rFonts w:ascii="Times New Roman" w:cs="Times New Roman" w:eastAsia="Times New Roman" w:hAnsi="Times New Roman"/>
                <w:sz w:val="10"/>
                <w:szCs w:val="10"/>
                <w:color w:val="auto"/>
                <w:vertAlign w:val="superscript"/>
              </w:rPr>
              <w:t>(7)</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5/15/2017</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High Tech Industries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22,789</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13,452</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Carisk Parent, LP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11/27/2023</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239,680</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240</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295</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Carnegie HoldCo, LLC </w:t>
            </w:r>
            <w:r>
              <w:rPr>
                <w:rFonts w:ascii="Times New Roman" w:cs="Times New Roman" w:eastAsia="Times New Roman" w:hAnsi="Times New Roman"/>
                <w:sz w:val="10"/>
                <w:szCs w:val="10"/>
                <w:color w:val="auto"/>
                <w:vertAlign w:val="superscript"/>
              </w:rPr>
              <w:t>(7)</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2/7/2024</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2,719,600</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2,599</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1,958</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Connatix Parent, LLC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7/8/2021</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182,141</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421</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186</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Crane 1 Acquisition Parent Holdings, LP - Common Equity</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8/11/2021</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130</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120</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244</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C5MI Holdco, LLC - Common Equity </w:t>
            </w:r>
            <w:r>
              <w:rPr>
                <w:rFonts w:ascii="Times New Roman" w:cs="Times New Roman" w:eastAsia="Times New Roman" w:hAnsi="Times New Roman"/>
                <w:sz w:val="10"/>
                <w:szCs w:val="10"/>
                <w:color w:val="auto"/>
                <w:vertAlign w:val="superscript"/>
              </w:rPr>
              <w:t>(7)</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7/31/2024</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1,659,050</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1,659</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2,306</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Delta InvestCo, LP - Common Equity </w:t>
            </w:r>
            <w:r>
              <w:rPr>
                <w:rFonts w:ascii="Times New Roman" w:cs="Times New Roman" w:eastAsia="Times New Roman" w:hAnsi="Times New Roman"/>
                <w:sz w:val="10"/>
                <w:szCs w:val="10"/>
                <w:color w:val="auto"/>
                <w:vertAlign w:val="superscript"/>
              </w:rPr>
              <w:t>(7)</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12/16/2020</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804,615</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763</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1,712</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Delta InvestCo, LP - Unfunded Common Equity </w:t>
            </w:r>
            <w:r>
              <w:rPr>
                <w:rFonts w:ascii="Times New Roman" w:cs="Times New Roman" w:eastAsia="Times New Roman" w:hAnsi="Times New Roman"/>
                <w:sz w:val="10"/>
                <w:szCs w:val="10"/>
                <w:color w:val="auto"/>
                <w:vertAlign w:val="superscript"/>
              </w:rPr>
              <w:t>(7), (8)</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12/16/2020</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200,255</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Duggal Equity, LP - Common Equity</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9/30/2024</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Marketing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686</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686</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640</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EDS Topco, LP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12/19/2022</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Instruments, and Components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1,125,000</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1,125</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2,193</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Events TopCo, LP - Common Equity</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12/17/2024</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Event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1,016,800</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1,017</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1,219</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Exigo, LLC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3/10/2022</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541,667</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542</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226</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FedHC InvestCo, LP - Common Equity </w:t>
            </w:r>
            <w:r>
              <w:rPr>
                <w:rFonts w:ascii="Times New Roman" w:cs="Times New Roman" w:eastAsia="Times New Roman" w:hAnsi="Times New Roman"/>
                <w:sz w:val="10"/>
                <w:szCs w:val="10"/>
                <w:color w:val="auto"/>
                <w:vertAlign w:val="superscript"/>
              </w:rPr>
              <w:t>(7)</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8/26/2021</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22,671</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810</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3,137</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FedHC InvestCo, LP - Unfunded Common Equity </w:t>
            </w:r>
            <w:r>
              <w:rPr>
                <w:rFonts w:ascii="Times New Roman" w:cs="Times New Roman" w:eastAsia="Times New Roman" w:hAnsi="Times New Roman"/>
                <w:sz w:val="10"/>
                <w:szCs w:val="10"/>
                <w:color w:val="auto"/>
                <w:vertAlign w:val="superscript"/>
              </w:rPr>
              <w:t>(7), (8)</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8/26/2021</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3,665</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First Medical Holdings, LLC - Common Equity </w:t>
            </w:r>
            <w:r>
              <w:rPr>
                <w:rFonts w:ascii="Times New Roman" w:cs="Times New Roman" w:eastAsia="Times New Roman" w:hAnsi="Times New Roman"/>
                <w:sz w:val="10"/>
                <w:szCs w:val="10"/>
                <w:color w:val="auto"/>
                <w:vertAlign w:val="superscript"/>
              </w:rPr>
              <w:t>(7)</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6/13/2025</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75,000</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750</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770</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Five Star Parent Holdings, LLC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2/21/2023</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Hotels, Restaurants and Leisure</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655,714</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656</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Gauge ETE Blocker, LLC - Common Equity</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5/24/2023</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374,444</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374</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375</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Gauge Lash Coinvest, LLC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12/4/2019</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2,057,387</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1,588</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3,144</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Gauge Loving Tan, LP - Common Equity</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5/25/2023</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2,914,701</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2,915</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3,460</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Gauge Schlesinger Coinvest, LLC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4/22/2020</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465</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476</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176</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Independent Power and</w:t>
            </w: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GCP Boss Holdco, LLC</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12/27/2024</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Renewable Electricity Producers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2,194,800</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2,195</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3,292</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GCOM InvestCo, LP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6/22/2021</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19,184</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3,342</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5,122</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GGG Topco, LLC </w:t>
            </w:r>
            <w:r>
              <w:rPr>
                <w:rFonts w:ascii="Times New Roman" w:cs="Times New Roman" w:eastAsia="Times New Roman" w:hAnsi="Times New Roman"/>
                <w:sz w:val="10"/>
                <w:szCs w:val="10"/>
                <w:color w:val="auto"/>
                <w:vertAlign w:val="superscript"/>
              </w:rPr>
              <w:t>(7)</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9/27/2024</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2,759,800</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2,760</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3,664</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GMP Hills, LP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11/2/2023</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4,430,843</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4,431</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5,627</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Hancock Claims Consultants Investors, LLC - Common Equity </w:t>
            </w:r>
            <w:r>
              <w:rPr>
                <w:rFonts w:ascii="Times New Roman" w:cs="Times New Roman" w:eastAsia="Times New Roman" w:hAnsi="Times New Roman"/>
                <w:sz w:val="10"/>
                <w:szCs w:val="10"/>
                <w:color w:val="auto"/>
                <w:vertAlign w:val="superscript"/>
              </w:rPr>
              <w:t>(7)</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12/23/2020</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Insurance</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450,000</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448</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HPA SPQ Aggregator, LP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6/8/2023</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750,399</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750</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HV Watterson Holdings, LLC - Common Equity</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6/13/2022</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100,000</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100</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Icon Partners V C, LP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12/20/2021</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Internet Software and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2,002,138</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2,002</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1,490</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Icon Partners V C, LP - Unfunded Common Equity </w:t>
            </w:r>
            <w:r>
              <w:rPr>
                <w:rFonts w:ascii="Times New Roman" w:cs="Times New Roman" w:eastAsia="Times New Roman" w:hAnsi="Times New Roman"/>
                <w:sz w:val="10"/>
                <w:szCs w:val="10"/>
                <w:color w:val="auto"/>
                <w:vertAlign w:val="superscript"/>
              </w:rPr>
              <w:t>(8)</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12/20/2021</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Internet Software and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497,862</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(127)</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Imagine Topco. LP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11/4/2021</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1,236,027</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86</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IHS Parent Holdings, LP - Common Equity</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12/21/2022</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1,218,045</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1,218</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1,608</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Ironclad Holdco, LLC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12/23/2020</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6,355</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668</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1,658</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Equipment and</w:t>
            </w: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ITC Infusion Co-invest, LP - Common Equity </w:t>
            </w:r>
            <w:r>
              <w:rPr>
                <w:rFonts w:ascii="Times New Roman" w:cs="Times New Roman" w:eastAsia="Times New Roman" w:hAnsi="Times New Roman"/>
                <w:sz w:val="10"/>
                <w:szCs w:val="10"/>
                <w:color w:val="auto"/>
                <w:vertAlign w:val="superscript"/>
              </w:rPr>
              <w:t>(7)</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2/16/2022</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Supplies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116,032</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1,229</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2,992</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Kinetic Purchaser, LLC - Common Equity - Class A</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11/8/2021</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1,734,775</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1,735</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Kinetic Purchaser, LLC - Common Equity - Class AA</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11/8/2021</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153,339</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179</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KL Stockton Co-Invest, LP - Common Equity </w:t>
            </w:r>
            <w:r>
              <w:rPr>
                <w:rFonts w:ascii="Times New Roman" w:cs="Times New Roman" w:eastAsia="Times New Roman" w:hAnsi="Times New Roman"/>
                <w:sz w:val="10"/>
                <w:szCs w:val="10"/>
                <w:color w:val="auto"/>
                <w:vertAlign w:val="superscript"/>
              </w:rPr>
              <w:t>(7)</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7/16/2021</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Energy Equipment and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382,353</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386</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538</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Lightspeed Investment Holdco, LLC - Common Equity </w:t>
            </w:r>
            <w:r>
              <w:rPr>
                <w:rFonts w:ascii="Times New Roman" w:cs="Times New Roman" w:eastAsia="Times New Roman" w:hAnsi="Times New Roman"/>
                <w:sz w:val="10"/>
                <w:szCs w:val="10"/>
                <w:color w:val="auto"/>
                <w:vertAlign w:val="superscript"/>
              </w:rPr>
              <w:t>(6)</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1/21/2020</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585,587</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586</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2,466</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LJ Avalon, LP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1/18/2023</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1,638,043</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1,638</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2,752</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Media: Diversified and</w:t>
            </w: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Marketplace Events Acquisition, LLC - Common Equity</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12/19/2024</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Production</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40,990</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4,099</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5,319</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Magnolia Topco, LP - Common Equity - Class A </w:t>
            </w:r>
            <w:r>
              <w:rPr>
                <w:rFonts w:ascii="Times New Roman" w:cs="Times New Roman" w:eastAsia="Times New Roman" w:hAnsi="Times New Roman"/>
                <w:sz w:val="10"/>
                <w:szCs w:val="10"/>
                <w:color w:val="auto"/>
                <w:vertAlign w:val="superscript"/>
              </w:rPr>
              <w:t>(7)</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7/25/2023</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46,974</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Magnolia Topco, LP - Common Equity - Class B </w:t>
            </w:r>
            <w:r>
              <w:rPr>
                <w:rFonts w:ascii="Times New Roman" w:cs="Times New Roman" w:eastAsia="Times New Roman" w:hAnsi="Times New Roman"/>
                <w:sz w:val="10"/>
                <w:szCs w:val="10"/>
                <w:color w:val="auto"/>
                <w:vertAlign w:val="superscript"/>
              </w:rPr>
              <w:t>(7)</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7/25/2023</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30,926</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MDI Aggregator, LP - Common Equity</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7/19/2022</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Commodity Chemicals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11,078</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1,122</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1,084</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Meadowlark Title, LLC - Common Equity </w:t>
            </w:r>
            <w:r>
              <w:rPr>
                <w:rFonts w:ascii="Times New Roman" w:cs="Times New Roman" w:eastAsia="Times New Roman" w:hAnsi="Times New Roman"/>
                <w:sz w:val="10"/>
                <w:szCs w:val="10"/>
                <w:color w:val="auto"/>
                <w:vertAlign w:val="superscript"/>
              </w:rPr>
              <w:t>(7)</w:t>
            </w:r>
          </w:p>
        </w:tc>
        <w:tc>
          <w:tcPr>
            <w:tcW w:w="66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12/9/2021</w:t>
            </w:r>
          </w:p>
        </w:tc>
        <w:tc>
          <w:tcPr>
            <w:tcW w:w="46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rPr>
              <w:t>819,231</w:t>
            </w: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806</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328</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Megawatt Acquisition Partners, LLC - Common Equity - Class A</w:t>
            </w:r>
          </w:p>
        </w:tc>
        <w:tc>
          <w:tcPr>
            <w:tcW w:w="66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6/28/2024</w:t>
            </w:r>
          </w:p>
        </w:tc>
        <w:tc>
          <w:tcPr>
            <w:tcW w:w="460" w:type="dxa"/>
            <w:vAlign w:val="bottom"/>
            <w:shd w:val="clear" w:color="auto" w:fill="CCECFF"/>
          </w:tcPr>
          <w:p>
            <w:pPr>
              <w:spacing w:after="0"/>
              <w:rPr>
                <w:sz w:val="8"/>
                <w:szCs w:val="8"/>
                <w:color w:val="auto"/>
              </w:rPr>
            </w:pP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Instruments, and Components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8"/>
                <w:szCs w:val="8"/>
                <w:color w:val="auto"/>
              </w:rPr>
              <w:t>1,040</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104</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53"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2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vMerge w:val="restart"/>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Spread</w:t>
            </w: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restart"/>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Fair</w:t>
            </w:r>
          </w:p>
        </w:tc>
        <w:tc>
          <w:tcPr>
            <w:tcW w:w="0" w:type="dxa"/>
            <w:vAlign w:val="bottom"/>
          </w:tcPr>
          <w:p>
            <w:pPr>
              <w:spacing w:after="0"/>
              <w:rPr>
                <w:sz w:val="1"/>
                <w:szCs w:val="1"/>
                <w:color w:val="auto"/>
              </w:rPr>
            </w:pPr>
          </w:p>
        </w:tc>
      </w:tr>
      <w:tr>
        <w:trPr>
          <w:trHeight w:val="82"/>
        </w:trPr>
        <w:tc>
          <w:tcPr>
            <w:tcW w:w="244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540" w:type="dxa"/>
            <w:vAlign w:val="bottom"/>
            <w:vMerge w:val="continue"/>
          </w:tcPr>
          <w:p>
            <w:pPr>
              <w:spacing w:after="0"/>
              <w:rPr>
                <w:sz w:val="7"/>
                <w:szCs w:val="7"/>
                <w:color w:val="auto"/>
              </w:rPr>
            </w:pPr>
          </w:p>
        </w:tc>
        <w:tc>
          <w:tcPr>
            <w:tcW w:w="560" w:type="dxa"/>
            <w:vAlign w:val="bottom"/>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w w:val="96"/>
              </w:rPr>
              <w:t>Above Index</w:t>
            </w:r>
          </w:p>
        </w:tc>
        <w:tc>
          <w:tcPr>
            <w:tcW w:w="720" w:type="dxa"/>
            <w:vAlign w:val="bottom"/>
            <w:vMerge w:val="restart"/>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Par / Shares</w:t>
            </w:r>
          </w:p>
        </w:tc>
        <w:tc>
          <w:tcPr>
            <w:tcW w:w="420" w:type="dxa"/>
            <w:vAlign w:val="bottom"/>
            <w:vMerge w:val="restart"/>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Cost</w:t>
            </w:r>
          </w:p>
        </w:tc>
        <w:tc>
          <w:tcPr>
            <w:tcW w:w="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4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540" w:type="dxa"/>
            <w:vAlign w:val="bottom"/>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Coupon</w:t>
            </w:r>
          </w:p>
        </w:tc>
        <w:tc>
          <w:tcPr>
            <w:tcW w:w="560" w:type="dxa"/>
            <w:vAlign w:val="bottom"/>
          </w:tcPr>
          <w:p>
            <w:pPr>
              <w:jc w:val="center"/>
              <w:spacing w:after="0"/>
              <w:rPr>
                <w:sz w:val="20"/>
                <w:szCs w:val="20"/>
                <w:color w:val="auto"/>
              </w:rPr>
            </w:pPr>
            <w:r>
              <w:rPr>
                <w:rFonts w:ascii="Times New Roman" w:cs="Times New Roman" w:eastAsia="Times New Roman" w:hAnsi="Times New Roman"/>
                <w:sz w:val="5"/>
                <w:szCs w:val="5"/>
                <w:b w:val="1"/>
                <w:bCs w:val="1"/>
                <w:color w:val="auto"/>
              </w:rPr>
              <w:t>(1)</w:t>
            </w:r>
          </w:p>
        </w:tc>
        <w:tc>
          <w:tcPr>
            <w:tcW w:w="72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jc w:val="right"/>
              <w:ind w:right="120"/>
              <w:spacing w:after="0" w:line="92" w:lineRule="exact"/>
              <w:rPr>
                <w:sz w:val="20"/>
                <w:szCs w:val="20"/>
                <w:color w:val="auto"/>
              </w:rPr>
            </w:pPr>
            <w:r>
              <w:rPr>
                <w:rFonts w:ascii="Times New Roman" w:cs="Times New Roman" w:eastAsia="Times New Roman" w:hAnsi="Times New Roman"/>
                <w:sz w:val="8"/>
                <w:szCs w:val="8"/>
                <w:b w:val="1"/>
                <w:bCs w:val="1"/>
                <w:color w:val="auto"/>
                <w:w w:val="87"/>
              </w:rPr>
              <w:t xml:space="preserve">Value </w:t>
            </w:r>
            <w:r>
              <w:rPr>
                <w:rFonts w:ascii="Times New Roman" w:cs="Times New Roman" w:eastAsia="Times New Roman" w:hAnsi="Times New Roman"/>
                <w:sz w:val="10"/>
                <w:szCs w:val="10"/>
                <w:b w:val="1"/>
                <w:bCs w:val="1"/>
                <w:color w:val="auto"/>
                <w:w w:val="87"/>
                <w:vertAlign w:val="superscript"/>
              </w:rPr>
              <w:t>(2)</w:t>
            </w:r>
          </w:p>
        </w:tc>
        <w:tc>
          <w:tcPr>
            <w:tcW w:w="0" w:type="dxa"/>
            <w:vAlign w:val="bottom"/>
          </w:tcPr>
          <w:p>
            <w:pPr>
              <w:spacing w:after="0"/>
              <w:rPr>
                <w:sz w:val="1"/>
                <w:szCs w:val="1"/>
                <w:color w:val="auto"/>
              </w:rPr>
            </w:pPr>
          </w:p>
        </w:tc>
      </w:tr>
      <w:tr>
        <w:trPr>
          <w:trHeight w:val="100"/>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Municipal Emergency Services, Inc. - Common Equity</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9/28/2021</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1,973,370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2,005</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4,539</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NEPRT Parent Holdings, LLC - Common Equity </w:t>
            </w:r>
            <w:r>
              <w:rPr>
                <w:rFonts w:ascii="Times New Roman" w:cs="Times New Roman" w:eastAsia="Times New Roman" w:hAnsi="Times New Roman"/>
                <w:sz w:val="10"/>
                <w:szCs w:val="10"/>
                <w:color w:val="auto"/>
                <w:vertAlign w:val="superscript"/>
              </w:rPr>
              <w:t>(7)</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1/27/2021</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1,494</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1,438</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390</w:t>
            </w:r>
          </w:p>
        </w:tc>
        <w:tc>
          <w:tcPr>
            <w:tcW w:w="0" w:type="dxa"/>
            <w:vAlign w:val="bottom"/>
          </w:tcPr>
          <w:p>
            <w:pPr>
              <w:spacing w:after="0"/>
              <w:rPr>
                <w:sz w:val="1"/>
                <w:szCs w:val="1"/>
                <w:color w:val="auto"/>
              </w:rPr>
            </w:pPr>
          </w:p>
        </w:tc>
      </w:tr>
      <w:tr>
        <w:trPr>
          <w:trHeight w:val="101"/>
        </w:trPr>
        <w:tc>
          <w:tcPr>
            <w:tcW w:w="24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New Insight Holdings, Inc. </w:t>
            </w:r>
            <w:r>
              <w:rPr>
                <w:rFonts w:ascii="Times New Roman" w:cs="Times New Roman" w:eastAsia="Times New Roman" w:hAnsi="Times New Roman"/>
                <w:sz w:val="10"/>
                <w:szCs w:val="10"/>
                <w:color w:val="auto"/>
                <w:vertAlign w:val="superscript"/>
              </w:rPr>
              <w:t>(6)</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7/15/2024</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203,819</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3,565</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2,322</w:t>
            </w:r>
          </w:p>
        </w:tc>
        <w:tc>
          <w:tcPr>
            <w:tcW w:w="0" w:type="dxa"/>
            <w:vAlign w:val="bottom"/>
          </w:tcPr>
          <w:p>
            <w:pPr>
              <w:spacing w:after="0"/>
              <w:rPr>
                <w:sz w:val="1"/>
                <w:szCs w:val="1"/>
                <w:color w:val="auto"/>
              </w:rPr>
            </w:pPr>
          </w:p>
        </w:tc>
      </w:tr>
      <w:tr>
        <w:trPr>
          <w:trHeight w:val="102"/>
        </w:trPr>
        <w:tc>
          <w:tcPr>
            <w:tcW w:w="24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4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New Medina Health, LLC - Common Equity </w:t>
            </w:r>
            <w:r>
              <w:rPr>
                <w:rFonts w:ascii="Times New Roman" w:cs="Times New Roman" w:eastAsia="Times New Roman" w:hAnsi="Times New Roman"/>
                <w:sz w:val="10"/>
                <w:szCs w:val="10"/>
                <w:color w:val="auto"/>
                <w:vertAlign w:val="superscript"/>
              </w:rPr>
              <w:t>(7)</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10/16/2023</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2,672,646</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2,673</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5,263</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NFS - CFP Holdings LLC - Common Equity</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9/13/2024</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1,337,017</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1,337</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2,033</w:t>
            </w:r>
          </w:p>
        </w:tc>
        <w:tc>
          <w:tcPr>
            <w:tcW w:w="0" w:type="dxa"/>
            <w:vAlign w:val="bottom"/>
          </w:tcPr>
          <w:p>
            <w:pPr>
              <w:spacing w:after="0"/>
              <w:rPr>
                <w:sz w:val="1"/>
                <w:szCs w:val="1"/>
                <w:color w:val="auto"/>
              </w:rPr>
            </w:pPr>
          </w:p>
        </w:tc>
      </w:tr>
      <w:tr>
        <w:trPr>
          <w:trHeight w:val="102"/>
        </w:trPr>
        <w:tc>
          <w:tcPr>
            <w:tcW w:w="24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4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NORA Parent Holdings, LLC - Common Equity </w:t>
            </w:r>
            <w:r>
              <w:rPr>
                <w:rFonts w:ascii="Times New Roman" w:cs="Times New Roman" w:eastAsia="Times New Roman" w:hAnsi="Times New Roman"/>
                <w:sz w:val="10"/>
                <w:szCs w:val="10"/>
                <w:color w:val="auto"/>
                <w:vertAlign w:val="superscript"/>
              </w:rPr>
              <w:t>(7)</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8/22/2023</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2,544</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2,525</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593</w:t>
            </w:r>
          </w:p>
        </w:tc>
        <w:tc>
          <w:tcPr>
            <w:tcW w:w="0" w:type="dxa"/>
            <w:vAlign w:val="bottom"/>
          </w:tcPr>
          <w:p>
            <w:pPr>
              <w:spacing w:after="0"/>
              <w:rPr>
                <w:sz w:val="1"/>
                <w:szCs w:val="1"/>
                <w:color w:val="auto"/>
              </w:rPr>
            </w:pPr>
          </w:p>
        </w:tc>
      </w:tr>
      <w:tr>
        <w:trPr>
          <w:trHeight w:val="101"/>
        </w:trPr>
        <w:tc>
          <w:tcPr>
            <w:tcW w:w="24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North Haven Saints Equity Holdings, LP - Common Equity </w:t>
            </w:r>
            <w:r>
              <w:rPr>
                <w:rFonts w:ascii="Times New Roman" w:cs="Times New Roman" w:eastAsia="Times New Roman" w:hAnsi="Times New Roman"/>
                <w:sz w:val="10"/>
                <w:szCs w:val="10"/>
                <w:color w:val="auto"/>
                <w:vertAlign w:val="superscript"/>
              </w:rPr>
              <w:t>(7)</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2/25/2022</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223,602</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224</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264</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NXOF Holdings, Inc. - Common Equity</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9/25/2018</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37,561</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496</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OceanSound Discovery Equity, LP - Common Equity </w:t>
            </w:r>
            <w:r>
              <w:rPr>
                <w:rFonts w:ascii="Times New Roman" w:cs="Times New Roman" w:eastAsia="Times New Roman" w:hAnsi="Times New Roman"/>
                <w:sz w:val="10"/>
                <w:szCs w:val="10"/>
                <w:color w:val="auto"/>
                <w:vertAlign w:val="superscript"/>
              </w:rPr>
              <w:t>(7)</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3/28/2024</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211,940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2,119</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2,855</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OES Co-Invest, LP - Common Equity - Class A</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5/31/2024</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1,560</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1,580</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1,888</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OHCP V BC COI, LP - Common Equity</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12/13/2021</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1,178,682</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1,179</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731</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OHCP V BC COI, LP - Unfunded Common Equity </w:t>
            </w:r>
            <w:r>
              <w:rPr>
                <w:rFonts w:ascii="Times New Roman" w:cs="Times New Roman" w:eastAsia="Times New Roman" w:hAnsi="Times New Roman"/>
                <w:sz w:val="10"/>
                <w:szCs w:val="10"/>
                <w:color w:val="auto"/>
                <w:vertAlign w:val="superscript"/>
              </w:rPr>
              <w:t>(8)</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12/13/2021</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71,318</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(27)</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ORL Holdco, Inc. - Common Equity</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9/1/2021</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Consumer Finance</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1,474</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OSP Embedded Aggregator, LP - Common Equity</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12/11/2023</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1,728</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1,728</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1,978</w:t>
            </w:r>
          </w:p>
        </w:tc>
        <w:tc>
          <w:tcPr>
            <w:tcW w:w="0" w:type="dxa"/>
            <w:vAlign w:val="bottom"/>
          </w:tcPr>
          <w:p>
            <w:pPr>
              <w:spacing w:after="0"/>
              <w:rPr>
                <w:sz w:val="1"/>
                <w:szCs w:val="1"/>
                <w:color w:val="auto"/>
              </w:rPr>
            </w:pPr>
          </w:p>
        </w:tc>
      </w:tr>
      <w:tr>
        <w:trPr>
          <w:trHeight w:val="101"/>
        </w:trPr>
        <w:tc>
          <w:tcPr>
            <w:tcW w:w="24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Output Services Group, Inc. - Common Equity </w:t>
            </w:r>
            <w:r>
              <w:rPr>
                <w:rFonts w:ascii="Times New Roman" w:cs="Times New Roman" w:eastAsia="Times New Roman" w:hAnsi="Times New Roman"/>
                <w:sz w:val="10"/>
                <w:szCs w:val="10"/>
                <w:color w:val="auto"/>
                <w:vertAlign w:val="superscript"/>
              </w:rPr>
              <w:t>(6)</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11/30/2023</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127,369</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1,155</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815</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OSP PAR Aggregator, LP - Common Equity</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9/3/2024</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3,160</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3,171</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2,741</w:t>
            </w:r>
          </w:p>
        </w:tc>
        <w:tc>
          <w:tcPr>
            <w:tcW w:w="0" w:type="dxa"/>
            <w:vAlign w:val="bottom"/>
          </w:tcPr>
          <w:p>
            <w:pPr>
              <w:spacing w:after="0"/>
              <w:rPr>
                <w:sz w:val="1"/>
                <w:szCs w:val="1"/>
                <w:color w:val="auto"/>
              </w:rPr>
            </w:pPr>
          </w:p>
        </w:tc>
      </w:tr>
      <w:tr>
        <w:trPr>
          <w:trHeight w:val="101"/>
        </w:trPr>
        <w:tc>
          <w:tcPr>
            <w:tcW w:w="24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Paving Parent, LLC - Common Equity </w:t>
            </w:r>
            <w:r>
              <w:rPr>
                <w:rFonts w:ascii="Times New Roman" w:cs="Times New Roman" w:eastAsia="Times New Roman" w:hAnsi="Times New Roman"/>
                <w:sz w:val="10"/>
                <w:szCs w:val="10"/>
                <w:color w:val="auto"/>
                <w:vertAlign w:val="superscript"/>
              </w:rPr>
              <w:t>(7)</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7/1/2025</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3,057</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3,057</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3,434</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Penta Group Holdings, Inc. - Common Equity</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7/31/2025</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1,901,412</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1,901</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1,844</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PCS Parent, LP</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3/1/2024</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423,247</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423</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466</w:t>
            </w:r>
          </w:p>
        </w:tc>
        <w:tc>
          <w:tcPr>
            <w:tcW w:w="0" w:type="dxa"/>
            <w:vAlign w:val="bottom"/>
          </w:tcPr>
          <w:p>
            <w:pPr>
              <w:spacing w:after="0"/>
              <w:rPr>
                <w:sz w:val="1"/>
                <w:szCs w:val="1"/>
                <w:color w:val="auto"/>
              </w:rPr>
            </w:pPr>
          </w:p>
        </w:tc>
      </w:tr>
      <w:tr>
        <w:trPr>
          <w:trHeight w:val="102"/>
        </w:trPr>
        <w:tc>
          <w:tcPr>
            <w:tcW w:w="24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Textiles, Apparel and Luxury</w:t>
            </w: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4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Pink Lily Holdco, LLC - Common Equity </w:t>
            </w:r>
            <w:r>
              <w:rPr>
                <w:rFonts w:ascii="Times New Roman" w:cs="Times New Roman" w:eastAsia="Times New Roman" w:hAnsi="Times New Roman"/>
                <w:sz w:val="10"/>
                <w:szCs w:val="10"/>
                <w:color w:val="auto"/>
                <w:vertAlign w:val="superscript"/>
              </w:rPr>
              <w:t>(7)</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6/16/2017</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Goods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1,735</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1,735</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Podean Intermediate II, LLC - Common Equity</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11/18/2025</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Marketing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570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Pragmatic Holdco, Inc. - Common Equity</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11/5/2021</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18</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Project Granite Holdings,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8/4/2025</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1,139</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1,139</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1,210</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Quad (U.S.) Co-Invest, LP - Common Equity</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3/28/2025</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235,194</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235</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375</w:t>
            </w:r>
          </w:p>
        </w:tc>
        <w:tc>
          <w:tcPr>
            <w:tcW w:w="0" w:type="dxa"/>
            <w:vAlign w:val="bottom"/>
          </w:tcPr>
          <w:p>
            <w:pPr>
              <w:spacing w:after="0"/>
              <w:rPr>
                <w:sz w:val="1"/>
                <w:szCs w:val="1"/>
                <w:color w:val="auto"/>
              </w:rPr>
            </w:pPr>
          </w:p>
        </w:tc>
      </w:tr>
      <w:tr>
        <w:trPr>
          <w:trHeight w:val="101"/>
        </w:trPr>
        <w:tc>
          <w:tcPr>
            <w:tcW w:w="24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QuantiTech InvestCo, LP - Common Equity </w:t>
            </w:r>
            <w:r>
              <w:rPr>
                <w:rFonts w:ascii="Times New Roman" w:cs="Times New Roman" w:eastAsia="Times New Roman" w:hAnsi="Times New Roman"/>
                <w:sz w:val="10"/>
                <w:szCs w:val="10"/>
                <w:color w:val="auto"/>
                <w:vertAlign w:val="superscript"/>
              </w:rPr>
              <w:t>(7)</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12/31/2024</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700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97</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QuantiTech InvestCo, LP - Unfunded Common Equity </w:t>
            </w:r>
            <w:r>
              <w:rPr>
                <w:rFonts w:ascii="Times New Roman" w:cs="Times New Roman" w:eastAsia="Times New Roman" w:hAnsi="Times New Roman"/>
                <w:sz w:val="10"/>
                <w:szCs w:val="10"/>
                <w:color w:val="auto"/>
                <w:vertAlign w:val="superscript"/>
              </w:rPr>
              <w:t>(7) (8)</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10/3/2022</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955</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QuantiTech InvestCo II, LP - Common Equity </w:t>
            </w:r>
            <w:r>
              <w:rPr>
                <w:rFonts w:ascii="Times New Roman" w:cs="Times New Roman" w:eastAsia="Times New Roman" w:hAnsi="Times New Roman"/>
                <w:sz w:val="10"/>
                <w:szCs w:val="10"/>
                <w:color w:val="auto"/>
                <w:vertAlign w:val="superscript"/>
              </w:rPr>
              <w:t>(7)</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5/1/2020</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40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02"/>
        </w:trPr>
        <w:tc>
          <w:tcPr>
            <w:tcW w:w="24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Equipment and</w:t>
            </w: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RFMG Parent, LP - Common Equity</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5/1/2020</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Supplies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1,050,000</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1,050</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1,230</w:t>
            </w:r>
          </w:p>
        </w:tc>
        <w:tc>
          <w:tcPr>
            <w:tcW w:w="0" w:type="dxa"/>
            <w:vAlign w:val="bottom"/>
          </w:tcPr>
          <w:p>
            <w:pPr>
              <w:spacing w:after="0"/>
              <w:rPr>
                <w:sz w:val="1"/>
                <w:szCs w:val="1"/>
                <w:color w:val="auto"/>
              </w:rPr>
            </w:pPr>
          </w:p>
        </w:tc>
      </w:tr>
      <w:tr>
        <w:trPr>
          <w:trHeight w:val="102"/>
        </w:trPr>
        <w:tc>
          <w:tcPr>
            <w:tcW w:w="2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Ro Health Holdings, Inc. - Common Equity</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5/1/2020</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536,400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536</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750</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Rosco Topco, LLC - Common Equity</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12/16/2020</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1,517,241</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1,517</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1,502</w:t>
            </w:r>
          </w:p>
        </w:tc>
        <w:tc>
          <w:tcPr>
            <w:tcW w:w="0" w:type="dxa"/>
            <w:vAlign w:val="bottom"/>
          </w:tcPr>
          <w:p>
            <w:pPr>
              <w:spacing w:after="0"/>
              <w:rPr>
                <w:sz w:val="1"/>
                <w:szCs w:val="1"/>
                <w:color w:val="auto"/>
              </w:rPr>
            </w:pPr>
          </w:p>
        </w:tc>
      </w:tr>
      <w:tr>
        <w:trPr>
          <w:trHeight w:val="101"/>
        </w:trPr>
        <w:tc>
          <w:tcPr>
            <w:tcW w:w="24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Safe Haven Defense Holdco, LLC - Common Equity </w:t>
            </w:r>
            <w:r>
              <w:rPr>
                <w:rFonts w:ascii="Times New Roman" w:cs="Times New Roman" w:eastAsia="Times New Roman" w:hAnsi="Times New Roman"/>
                <w:sz w:val="10"/>
                <w:szCs w:val="10"/>
                <w:color w:val="auto"/>
                <w:vertAlign w:val="superscript"/>
              </w:rPr>
              <w:t>(7)</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1/16/2025</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Building Products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641</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641</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SBI Holdings Investments, LLC - Common Equity</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9/9/2025</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64,634</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646</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501</w:t>
            </w:r>
          </w:p>
        </w:tc>
        <w:tc>
          <w:tcPr>
            <w:tcW w:w="0" w:type="dxa"/>
            <w:vAlign w:val="bottom"/>
          </w:tcPr>
          <w:p>
            <w:pPr>
              <w:spacing w:after="0"/>
              <w:rPr>
                <w:sz w:val="1"/>
                <w:szCs w:val="1"/>
                <w:color w:val="auto"/>
              </w:rPr>
            </w:pPr>
          </w:p>
        </w:tc>
      </w:tr>
      <w:tr>
        <w:trPr>
          <w:trHeight w:val="101"/>
        </w:trPr>
        <w:tc>
          <w:tcPr>
            <w:tcW w:w="24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Sabel InvestCo, LP. - Common Equity </w:t>
            </w:r>
            <w:r>
              <w:rPr>
                <w:rFonts w:ascii="Times New Roman" w:cs="Times New Roman" w:eastAsia="Times New Roman" w:hAnsi="Times New Roman"/>
                <w:sz w:val="10"/>
                <w:szCs w:val="10"/>
                <w:color w:val="auto"/>
                <w:vertAlign w:val="superscript"/>
              </w:rPr>
              <w:t>(7)</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5/23/2024</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Government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89,712</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2,271</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2,746</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Sabel InvestCo, LP. - Unfunded Common Equity </w:t>
            </w:r>
            <w:r>
              <w:rPr>
                <w:rFonts w:ascii="Times New Roman" w:cs="Times New Roman" w:eastAsia="Times New Roman" w:hAnsi="Times New Roman"/>
                <w:sz w:val="10"/>
                <w:szCs w:val="10"/>
                <w:color w:val="auto"/>
                <w:vertAlign w:val="superscript"/>
              </w:rPr>
              <w:t>(7)</w:t>
            </w:r>
            <w:r>
              <w:rPr>
                <w:rFonts w:ascii="Times New Roman" w:cs="Times New Roman" w:eastAsia="Times New Roman" w:hAnsi="Times New Roman"/>
                <w:sz w:val="8"/>
                <w:szCs w:val="8"/>
                <w:color w:val="auto"/>
              </w:rPr>
              <w:t xml:space="preserve">, </w:t>
            </w:r>
            <w:r>
              <w:rPr>
                <w:rFonts w:ascii="Times New Roman" w:cs="Times New Roman" w:eastAsia="Times New Roman" w:hAnsi="Times New Roman"/>
                <w:sz w:val="10"/>
                <w:szCs w:val="10"/>
                <w:color w:val="auto"/>
                <w:vertAlign w:val="superscript"/>
              </w:rPr>
              <w:t>(8)</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12/23/2019</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Government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131,286</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Seaway Topco, LP - Common Equity</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10/31/2024</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Chemicals, Plastics and Rubber</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296</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296</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89</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Seacoast Service Partners, LLC - Common Equity</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10/31/2024</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429</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549</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404</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SP L2 Holdings, LLC - Common Equity</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6/8/2022</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52,821,386</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374</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4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SP DXE Holdings, LLC - Common Equity </w:t>
            </w:r>
            <w:r>
              <w:rPr>
                <w:rFonts w:ascii="Times New Roman" w:cs="Times New Roman" w:eastAsia="Times New Roman" w:hAnsi="Times New Roman"/>
                <w:sz w:val="10"/>
                <w:szCs w:val="10"/>
                <w:color w:val="auto"/>
                <w:vertAlign w:val="superscript"/>
              </w:rPr>
              <w:t>(7)</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12/20/2024</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Instruments, and Components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553,592</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554</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581</w:t>
            </w:r>
          </w:p>
        </w:tc>
        <w:tc>
          <w:tcPr>
            <w:tcW w:w="0" w:type="dxa"/>
            <w:vAlign w:val="bottom"/>
          </w:tcPr>
          <w:p>
            <w:pPr>
              <w:spacing w:after="0"/>
              <w:rPr>
                <w:sz w:val="1"/>
                <w:szCs w:val="1"/>
                <w:color w:val="auto"/>
              </w:rPr>
            </w:pPr>
          </w:p>
        </w:tc>
      </w:tr>
      <w:tr>
        <w:trPr>
          <w:trHeight w:val="102"/>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SSC Dominion Holdings, LLC - Common Equity - Class B (US</w:t>
            </w: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4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Dominion, Inc.) </w:t>
            </w:r>
            <w:r>
              <w:rPr>
                <w:rFonts w:ascii="Times New Roman" w:cs="Times New Roman" w:eastAsia="Times New Roman" w:hAnsi="Times New Roman"/>
                <w:sz w:val="10"/>
                <w:szCs w:val="10"/>
                <w:color w:val="auto"/>
                <w:vertAlign w:val="superscript"/>
              </w:rPr>
              <w:t>(6)</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11/4/2021</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Capital Equipment</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12</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807</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StellPen Holdings, LLC (CF512, Inc.) - Common Equity</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10/1/2025</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161,538</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162</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118</w:t>
            </w:r>
          </w:p>
        </w:tc>
        <w:tc>
          <w:tcPr>
            <w:tcW w:w="0" w:type="dxa"/>
            <w:vAlign w:val="bottom"/>
          </w:tcPr>
          <w:p>
            <w:pPr>
              <w:spacing w:after="0"/>
              <w:rPr>
                <w:sz w:val="1"/>
                <w:szCs w:val="1"/>
                <w:color w:val="auto"/>
              </w:rPr>
            </w:pPr>
          </w:p>
        </w:tc>
      </w:tr>
      <w:tr>
        <w:trPr>
          <w:trHeight w:val="101"/>
        </w:trPr>
        <w:tc>
          <w:tcPr>
            <w:tcW w:w="24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SV-Aero Holdings, LLC - Common Equity </w:t>
            </w:r>
            <w:r>
              <w:rPr>
                <w:rFonts w:ascii="Times New Roman" w:cs="Times New Roman" w:eastAsia="Times New Roman" w:hAnsi="Times New Roman"/>
                <w:sz w:val="10"/>
                <w:szCs w:val="10"/>
                <w:color w:val="auto"/>
                <w:vertAlign w:val="superscript"/>
              </w:rPr>
              <w:t>(7)</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7/11/2018</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61</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489</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1,460</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TAC Lifeport Holdings, LLC - Common Equity </w:t>
            </w:r>
            <w:r>
              <w:rPr>
                <w:rFonts w:ascii="Times New Roman" w:cs="Times New Roman" w:eastAsia="Times New Roman" w:hAnsi="Times New Roman"/>
                <w:sz w:val="10"/>
                <w:szCs w:val="10"/>
                <w:color w:val="auto"/>
                <w:vertAlign w:val="superscript"/>
              </w:rPr>
              <w:t>(7)</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8/17/2021</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533,833</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502</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1,036</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TCG 3.0 Jogger Co-Invest, LP - Common Equity</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12/6/2023</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9,108</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1,760</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1,023</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Tower Arch Infolinks Media, LP - Common Equity </w:t>
            </w:r>
            <w:r>
              <w:rPr>
                <w:rFonts w:ascii="Times New Roman" w:cs="Times New Roman" w:eastAsia="Times New Roman" w:hAnsi="Times New Roman"/>
                <w:sz w:val="10"/>
                <w:szCs w:val="10"/>
                <w:color w:val="auto"/>
                <w:vertAlign w:val="superscript"/>
              </w:rPr>
              <w:t>(7)</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2/24/2021</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224,698</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142</w:t>
            </w:r>
          </w:p>
        </w:tc>
        <w:tc>
          <w:tcPr>
            <w:tcW w:w="0" w:type="dxa"/>
            <w:vAlign w:val="bottom"/>
          </w:tcPr>
          <w:p>
            <w:pPr>
              <w:spacing w:after="0"/>
              <w:rPr>
                <w:sz w:val="1"/>
                <w:szCs w:val="1"/>
                <w:color w:val="auto"/>
              </w:rPr>
            </w:pPr>
          </w:p>
        </w:tc>
      </w:tr>
      <w:tr>
        <w:trPr>
          <w:trHeight w:val="101"/>
        </w:trPr>
        <w:tc>
          <w:tcPr>
            <w:tcW w:w="24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Tower Arch Infolinks Media, LP - Unfunded Common Equity </w:t>
            </w:r>
            <w:r>
              <w:rPr>
                <w:rFonts w:ascii="Times New Roman" w:cs="Times New Roman" w:eastAsia="Times New Roman" w:hAnsi="Times New Roman"/>
                <w:sz w:val="10"/>
                <w:szCs w:val="10"/>
                <w:color w:val="auto"/>
                <w:vertAlign w:val="superscript"/>
              </w:rPr>
              <w:t>(7) (8)</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1/22/2024</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140,908</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(52)</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TPC Holding Company, LP - Common Equity</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10/27/2021</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Food Products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21,527</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22</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TWD Parent Holdings, LLC - Common Equity</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10/27/2021</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824</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Tinicum Space Coast Co-Invest, LLC </w:t>
            </w:r>
            <w:r>
              <w:rPr>
                <w:rFonts w:ascii="Times New Roman" w:cs="Times New Roman" w:eastAsia="Times New Roman" w:hAnsi="Times New Roman"/>
                <w:sz w:val="10"/>
                <w:szCs w:val="10"/>
                <w:color w:val="auto"/>
                <w:vertAlign w:val="superscript"/>
              </w:rPr>
              <w:t>(7)</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12/4/2019</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466</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4,594</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4,923</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UniTek Global Services, Inc. - Common Equity</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8/25/2021</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Telecommunications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213,739</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UniVista Insurance - Common Equity </w:t>
            </w:r>
            <w:r>
              <w:rPr>
                <w:rFonts w:ascii="Times New Roman" w:cs="Times New Roman" w:eastAsia="Times New Roman" w:hAnsi="Times New Roman"/>
                <w:sz w:val="10"/>
                <w:szCs w:val="10"/>
                <w:color w:val="auto"/>
                <w:vertAlign w:val="superscript"/>
              </w:rPr>
              <w:t>(7)</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10/29/2024</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Insurance</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400</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113</w:t>
            </w:r>
          </w:p>
        </w:tc>
        <w:tc>
          <w:tcPr>
            <w:tcW w:w="0" w:type="dxa"/>
            <w:vAlign w:val="bottom"/>
          </w:tcPr>
          <w:p>
            <w:pPr>
              <w:spacing w:after="0"/>
              <w:rPr>
                <w:sz w:val="1"/>
                <w:szCs w:val="1"/>
                <w:color w:val="auto"/>
              </w:rPr>
            </w:pPr>
          </w:p>
        </w:tc>
      </w:tr>
      <w:tr>
        <w:trPr>
          <w:trHeight w:val="101"/>
        </w:trPr>
        <w:tc>
          <w:tcPr>
            <w:tcW w:w="24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Wash &amp; Wax Group, LP - Common Equity </w:t>
            </w:r>
            <w:r>
              <w:rPr>
                <w:rFonts w:ascii="Times New Roman" w:cs="Times New Roman" w:eastAsia="Times New Roman" w:hAnsi="Times New Roman"/>
                <w:sz w:val="10"/>
                <w:szCs w:val="10"/>
                <w:color w:val="auto"/>
                <w:vertAlign w:val="superscript"/>
              </w:rPr>
              <w:t>(7)</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1/13/2015</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2,747</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4,941</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3,435</w:t>
            </w:r>
          </w:p>
        </w:tc>
        <w:tc>
          <w:tcPr>
            <w:tcW w:w="0" w:type="dxa"/>
            <w:vAlign w:val="bottom"/>
          </w:tcPr>
          <w:p>
            <w:pPr>
              <w:spacing w:after="0"/>
              <w:rPr>
                <w:sz w:val="1"/>
                <w:szCs w:val="1"/>
                <w:color w:val="auto"/>
              </w:rPr>
            </w:pPr>
          </w:p>
        </w:tc>
      </w:tr>
      <w:tr>
        <w:trPr>
          <w:trHeight w:val="102"/>
        </w:trPr>
        <w:tc>
          <w:tcPr>
            <w:tcW w:w="24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4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Watchtower Holdings, LLC - Common Equity </w:t>
            </w:r>
            <w:r>
              <w:rPr>
                <w:rFonts w:ascii="Times New Roman" w:cs="Times New Roman" w:eastAsia="Times New Roman" w:hAnsi="Times New Roman"/>
                <w:sz w:val="10"/>
                <w:szCs w:val="10"/>
                <w:color w:val="auto"/>
                <w:vertAlign w:val="superscript"/>
              </w:rPr>
              <w:t>(7)</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6/14/2021</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Instruments, and Components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12,419</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1,242</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1,404</w:t>
            </w:r>
          </w:p>
        </w:tc>
        <w:tc>
          <w:tcPr>
            <w:tcW w:w="0" w:type="dxa"/>
            <w:vAlign w:val="bottom"/>
          </w:tcPr>
          <w:p>
            <w:pPr>
              <w:spacing w:after="0"/>
              <w:rPr>
                <w:sz w:val="1"/>
                <w:szCs w:val="1"/>
                <w:color w:val="auto"/>
              </w:rPr>
            </w:pPr>
          </w:p>
        </w:tc>
      </w:tr>
      <w:tr>
        <w:trPr>
          <w:trHeight w:val="102"/>
        </w:trPr>
        <w:tc>
          <w:tcPr>
            <w:tcW w:w="2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4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WCP Ivyrehab Coinvestment, LP - Common Equity - Incremental </w:t>
            </w:r>
            <w:r>
              <w:rPr>
                <w:rFonts w:ascii="Times New Roman" w:cs="Times New Roman" w:eastAsia="Times New Roman" w:hAnsi="Times New Roman"/>
                <w:sz w:val="10"/>
                <w:szCs w:val="10"/>
                <w:color w:val="auto"/>
                <w:vertAlign w:val="superscript"/>
              </w:rPr>
              <w:t>(7)</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4/30/2025</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208</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208</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293</w:t>
            </w:r>
          </w:p>
        </w:tc>
        <w:tc>
          <w:tcPr>
            <w:tcW w:w="0" w:type="dxa"/>
            <w:vAlign w:val="bottom"/>
          </w:tcPr>
          <w:p>
            <w:pPr>
              <w:spacing w:after="0"/>
              <w:rPr>
                <w:sz w:val="1"/>
                <w:szCs w:val="1"/>
                <w:color w:val="auto"/>
              </w:rPr>
            </w:pPr>
          </w:p>
        </w:tc>
      </w:tr>
      <w:tr>
        <w:trPr>
          <w:trHeight w:val="102"/>
        </w:trPr>
        <w:tc>
          <w:tcPr>
            <w:tcW w:w="24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4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WCP Ivyrehab Coinvestment, LP - Common Equity </w:t>
            </w:r>
            <w:r>
              <w:rPr>
                <w:rFonts w:ascii="Times New Roman" w:cs="Times New Roman" w:eastAsia="Times New Roman" w:hAnsi="Times New Roman"/>
                <w:sz w:val="10"/>
                <w:szCs w:val="10"/>
                <w:color w:val="auto"/>
                <w:vertAlign w:val="superscript"/>
              </w:rPr>
              <w:t>(7)</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11/29/2023</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3,754</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3,853</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5,299</w:t>
            </w:r>
          </w:p>
        </w:tc>
        <w:tc>
          <w:tcPr>
            <w:tcW w:w="0" w:type="dxa"/>
            <w:vAlign w:val="bottom"/>
          </w:tcPr>
          <w:p>
            <w:pPr>
              <w:spacing w:after="0"/>
              <w:rPr>
                <w:sz w:val="1"/>
                <w:szCs w:val="1"/>
                <w:color w:val="auto"/>
              </w:rPr>
            </w:pPr>
          </w:p>
        </w:tc>
      </w:tr>
      <w:tr>
        <w:trPr>
          <w:trHeight w:val="102"/>
        </w:trPr>
        <w:tc>
          <w:tcPr>
            <w:tcW w:w="2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4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WCP Ivyrehab Coinvestment, LP - Unfunded Common Equity </w:t>
            </w:r>
            <w:r>
              <w:rPr>
                <w:rFonts w:ascii="Times New Roman" w:cs="Times New Roman" w:eastAsia="Times New Roman" w:hAnsi="Times New Roman"/>
                <w:sz w:val="10"/>
                <w:szCs w:val="10"/>
                <w:color w:val="auto"/>
                <w:vertAlign w:val="superscript"/>
              </w:rPr>
              <w:t>(7) (8)</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6/27/2022</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246</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White Tiger Newco, LLC - Common Equity </w:t>
            </w:r>
            <w:r>
              <w:rPr>
                <w:rFonts w:ascii="Times New Roman" w:cs="Times New Roman" w:eastAsia="Times New Roman" w:hAnsi="Times New Roman"/>
                <w:sz w:val="10"/>
                <w:szCs w:val="10"/>
                <w:color w:val="auto"/>
                <w:vertAlign w:val="superscript"/>
              </w:rPr>
              <w:t>(6)</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6/27/2022</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Capital Equipment</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38,019</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2,899</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280</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Unitek Global Services, Inc. - Warrants</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6/27/2022</w:t>
            </w:r>
          </w:p>
        </w:tc>
        <w:tc>
          <w:tcPr>
            <w:tcW w:w="50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Telecommunications</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23,889</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Kentucky Racing Holdco, LLC - Warrants </w:t>
            </w:r>
            <w:r>
              <w:rPr>
                <w:rFonts w:ascii="Times New Roman" w:cs="Times New Roman" w:eastAsia="Times New Roman" w:hAnsi="Times New Roman"/>
                <w:sz w:val="10"/>
                <w:szCs w:val="10"/>
                <w:color w:val="auto"/>
                <w:vertAlign w:val="superscript"/>
              </w:rPr>
              <w:t>(7)</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7/31/2025</w:t>
            </w: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Hotels, Restaurants and Leisure</w:t>
            </w:r>
          </w:p>
        </w:tc>
        <w:tc>
          <w:tcPr>
            <w:tcW w:w="54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87,345</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949</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Common Equity/Warrants</w:t>
            </w: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129,058</w:t>
            </w: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163,472</w:t>
            </w:r>
          </w:p>
        </w:tc>
        <w:tc>
          <w:tcPr>
            <w:tcW w:w="0" w:type="dxa"/>
            <w:vAlign w:val="bottom"/>
          </w:tcPr>
          <w:p>
            <w:pPr>
              <w:spacing w:after="0"/>
              <w:rPr>
                <w:sz w:val="1"/>
                <w:szCs w:val="1"/>
                <w:color w:val="auto"/>
              </w:rPr>
            </w:pPr>
          </w:p>
        </w:tc>
      </w:tr>
      <w:tr>
        <w:trPr>
          <w:trHeight w:val="10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Investments in Non-Controlled, Non-Affiliated Portfolio</w:t>
            </w:r>
          </w:p>
        </w:tc>
        <w:tc>
          <w:tcPr>
            <w:tcW w:w="5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Companies</w:t>
            </w:r>
          </w:p>
        </w:tc>
        <w:tc>
          <w:tcPr>
            <w:tcW w:w="5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w w:val="99"/>
              </w:rPr>
              <w:t>2,226,700</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2,238,775</w:t>
            </w:r>
          </w:p>
        </w:tc>
        <w:tc>
          <w:tcPr>
            <w:tcW w:w="0" w:type="dxa"/>
            <w:vAlign w:val="bottom"/>
          </w:tcPr>
          <w:p>
            <w:pPr>
              <w:spacing w:after="0"/>
              <w:rPr>
                <w:sz w:val="1"/>
                <w:szCs w:val="1"/>
                <w:color w:val="auto"/>
              </w:rPr>
            </w:pPr>
          </w:p>
        </w:tc>
      </w:tr>
      <w:tr>
        <w:trPr>
          <w:trHeight w:val="102"/>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Investments in Controlled, Affiliated Portfolio Companies - 35.2% of Net</w:t>
            </w: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4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vertAlign w:val="subscript"/>
              </w:rPr>
              <w:t>Assets</w:t>
            </w:r>
            <w:r>
              <w:rPr>
                <w:rFonts w:ascii="Times New Roman" w:cs="Times New Roman" w:eastAsia="Times New Roman" w:hAnsi="Times New Roman"/>
                <w:sz w:val="4"/>
                <w:szCs w:val="4"/>
                <w:color w:val="auto"/>
              </w:rPr>
              <w:t xml:space="preserve"> (3), (4)</w:t>
            </w: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First Lien Secured Debt - 22.8% of Net Assets</w:t>
            </w:r>
          </w:p>
        </w:tc>
        <w:tc>
          <w:tcPr>
            <w:tcW w:w="5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4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PennantPark Senior Secured Loan Fund I, LLC </w:t>
            </w:r>
            <w:r>
              <w:rPr>
                <w:rFonts w:ascii="Times New Roman" w:cs="Times New Roman" w:eastAsia="Times New Roman" w:hAnsi="Times New Roman"/>
                <w:sz w:val="10"/>
                <w:szCs w:val="10"/>
                <w:color w:val="auto"/>
                <w:vertAlign w:val="superscript"/>
              </w:rPr>
              <w:t>(6), (9)</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8/10/2020</w:t>
            </w:r>
          </w:p>
        </w:tc>
        <w:tc>
          <w:tcPr>
            <w:tcW w:w="5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05/07/2029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Financial Services</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11.88%</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800</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237,650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237,650</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237,650</w:t>
            </w:r>
          </w:p>
        </w:tc>
        <w:tc>
          <w:tcPr>
            <w:tcW w:w="0" w:type="dxa"/>
            <w:vAlign w:val="bottom"/>
          </w:tcPr>
          <w:p>
            <w:pPr>
              <w:spacing w:after="0"/>
              <w:rPr>
                <w:sz w:val="1"/>
                <w:szCs w:val="1"/>
                <w:color w:val="auto"/>
              </w:rPr>
            </w:pPr>
          </w:p>
        </w:tc>
      </w:tr>
      <w:tr>
        <w:trPr>
          <w:trHeight w:val="102"/>
        </w:trPr>
        <w:tc>
          <w:tcPr>
            <w:tcW w:w="24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3M SOFR+</w:t>
            </w: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4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PennantPark Senior Secured Loan Fund II, LLC </w:t>
            </w:r>
            <w:r>
              <w:rPr>
                <w:rFonts w:ascii="Times New Roman" w:cs="Times New Roman" w:eastAsia="Times New Roman" w:hAnsi="Times New Roman"/>
                <w:sz w:val="10"/>
                <w:szCs w:val="10"/>
                <w:color w:val="auto"/>
                <w:vertAlign w:val="superscript"/>
              </w:rPr>
              <w:t>(6), (9)</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11/18/2025</w:t>
            </w:r>
          </w:p>
        </w:tc>
        <w:tc>
          <w:tcPr>
            <w:tcW w:w="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08/08/2032</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Financial Services</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11.89%</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800</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39,375</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39,375</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39,375</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First Lien Secured Debt</w:t>
            </w: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277,025</w:t>
            </w: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277,025</w:t>
            </w:r>
          </w:p>
        </w:tc>
        <w:tc>
          <w:tcPr>
            <w:tcW w:w="0" w:type="dxa"/>
            <w:vAlign w:val="bottom"/>
          </w:tcPr>
          <w:p>
            <w:pPr>
              <w:spacing w:after="0"/>
              <w:rPr>
                <w:sz w:val="1"/>
                <w:szCs w:val="1"/>
                <w:color w:val="auto"/>
              </w:rPr>
            </w:pPr>
          </w:p>
        </w:tc>
      </w:tr>
      <w:tr>
        <w:trPr>
          <w:trHeight w:val="101"/>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Equity Interests - 8.6% of Net Assets</w:t>
            </w:r>
          </w:p>
        </w:tc>
        <w:tc>
          <w:tcPr>
            <w:tcW w:w="5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1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53"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2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vMerge w:val="restart"/>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Spread</w:t>
            </w: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restart"/>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Fair</w:t>
            </w:r>
          </w:p>
        </w:tc>
        <w:tc>
          <w:tcPr>
            <w:tcW w:w="0" w:type="dxa"/>
            <w:vAlign w:val="bottom"/>
          </w:tcPr>
          <w:p>
            <w:pPr>
              <w:spacing w:after="0"/>
              <w:rPr>
                <w:sz w:val="1"/>
                <w:szCs w:val="1"/>
                <w:color w:val="auto"/>
              </w:rPr>
            </w:pPr>
          </w:p>
        </w:tc>
      </w:tr>
      <w:tr>
        <w:trPr>
          <w:trHeight w:val="82"/>
        </w:trPr>
        <w:tc>
          <w:tcPr>
            <w:tcW w:w="240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660" w:type="dxa"/>
            <w:vAlign w:val="bottom"/>
            <w:vMerge w:val="continue"/>
          </w:tcPr>
          <w:p>
            <w:pPr>
              <w:spacing w:after="0"/>
              <w:rPr>
                <w:sz w:val="7"/>
                <w:szCs w:val="7"/>
                <w:color w:val="auto"/>
              </w:rPr>
            </w:pPr>
          </w:p>
        </w:tc>
        <w:tc>
          <w:tcPr>
            <w:tcW w:w="560" w:type="dxa"/>
            <w:vAlign w:val="bottom"/>
          </w:tcPr>
          <w:p>
            <w:pPr>
              <w:jc w:val="center"/>
              <w:spacing w:after="0" w:line="82" w:lineRule="exact"/>
              <w:rPr>
                <w:sz w:val="20"/>
                <w:szCs w:val="20"/>
                <w:color w:val="auto"/>
              </w:rPr>
            </w:pPr>
            <w:r>
              <w:rPr>
                <w:rFonts w:ascii="Times New Roman" w:cs="Times New Roman" w:eastAsia="Times New Roman" w:hAnsi="Times New Roman"/>
                <w:sz w:val="8"/>
                <w:szCs w:val="8"/>
                <w:b w:val="1"/>
                <w:bCs w:val="1"/>
                <w:color w:val="auto"/>
                <w:w w:val="96"/>
              </w:rPr>
              <w:t>Above Index</w:t>
            </w:r>
          </w:p>
        </w:tc>
        <w:tc>
          <w:tcPr>
            <w:tcW w:w="720" w:type="dxa"/>
            <w:vAlign w:val="bottom"/>
            <w:vMerge w:val="restart"/>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Par / Shares</w:t>
            </w:r>
          </w:p>
        </w:tc>
        <w:tc>
          <w:tcPr>
            <w:tcW w:w="420" w:type="dxa"/>
            <w:vAlign w:val="bottom"/>
            <w:vMerge w:val="restart"/>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Cost</w:t>
            </w:r>
          </w:p>
        </w:tc>
        <w:tc>
          <w:tcPr>
            <w:tcW w:w="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4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660" w:type="dxa"/>
            <w:vAlign w:val="bottom"/>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Coupon</w:t>
            </w:r>
          </w:p>
        </w:tc>
        <w:tc>
          <w:tcPr>
            <w:tcW w:w="560" w:type="dxa"/>
            <w:vAlign w:val="bottom"/>
          </w:tcPr>
          <w:p>
            <w:pPr>
              <w:jc w:val="center"/>
              <w:spacing w:after="0"/>
              <w:rPr>
                <w:sz w:val="20"/>
                <w:szCs w:val="20"/>
                <w:color w:val="auto"/>
              </w:rPr>
            </w:pPr>
            <w:r>
              <w:rPr>
                <w:rFonts w:ascii="Times New Roman" w:cs="Times New Roman" w:eastAsia="Times New Roman" w:hAnsi="Times New Roman"/>
                <w:sz w:val="5"/>
                <w:szCs w:val="5"/>
                <w:b w:val="1"/>
                <w:bCs w:val="1"/>
                <w:color w:val="auto"/>
              </w:rPr>
              <w:t>(1)</w:t>
            </w:r>
          </w:p>
        </w:tc>
        <w:tc>
          <w:tcPr>
            <w:tcW w:w="72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jc w:val="right"/>
              <w:ind w:right="120"/>
              <w:spacing w:after="0" w:line="92" w:lineRule="exact"/>
              <w:rPr>
                <w:sz w:val="20"/>
                <w:szCs w:val="20"/>
                <w:color w:val="auto"/>
              </w:rPr>
            </w:pPr>
            <w:r>
              <w:rPr>
                <w:rFonts w:ascii="Times New Roman" w:cs="Times New Roman" w:eastAsia="Times New Roman" w:hAnsi="Times New Roman"/>
                <w:sz w:val="8"/>
                <w:szCs w:val="8"/>
                <w:b w:val="1"/>
                <w:bCs w:val="1"/>
                <w:color w:val="auto"/>
                <w:w w:val="87"/>
              </w:rPr>
              <w:t xml:space="preserve">Value </w:t>
            </w:r>
            <w:r>
              <w:rPr>
                <w:rFonts w:ascii="Times New Roman" w:cs="Times New Roman" w:eastAsia="Times New Roman" w:hAnsi="Times New Roman"/>
                <w:sz w:val="10"/>
                <w:szCs w:val="10"/>
                <w:b w:val="1"/>
                <w:bCs w:val="1"/>
                <w:color w:val="auto"/>
                <w:w w:val="87"/>
                <w:vertAlign w:val="superscript"/>
              </w:rPr>
              <w:t>(2)</w:t>
            </w:r>
          </w:p>
        </w:tc>
        <w:tc>
          <w:tcPr>
            <w:tcW w:w="0" w:type="dxa"/>
            <w:vAlign w:val="bottom"/>
          </w:tcPr>
          <w:p>
            <w:pPr>
              <w:spacing w:after="0"/>
              <w:rPr>
                <w:sz w:val="1"/>
                <w:szCs w:val="1"/>
                <w:color w:val="auto"/>
              </w:rPr>
            </w:pPr>
          </w:p>
        </w:tc>
      </w:tr>
      <w:tr>
        <w:trPr>
          <w:trHeight w:val="100"/>
        </w:trPr>
        <w:tc>
          <w:tcPr>
            <w:tcW w:w="240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PennantPark Senior Secured Loan Fund I LLC - Common Equity </w:t>
            </w:r>
            <w:r>
              <w:rPr>
                <w:rFonts w:ascii="Times New Roman" w:cs="Times New Roman" w:eastAsia="Times New Roman" w:hAnsi="Times New Roman"/>
                <w:sz w:val="10"/>
                <w:szCs w:val="10"/>
                <w:color w:val="auto"/>
                <w:vertAlign w:val="superscript"/>
              </w:rPr>
              <w:t>(6), (9)</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8/10/2020</w:t>
            </w:r>
          </w:p>
        </w:tc>
        <w:tc>
          <w:tcPr>
            <w:tcW w:w="580" w:type="dxa"/>
            <w:vAlign w:val="bottom"/>
          </w:tcPr>
          <w:p>
            <w:pPr>
              <w:spacing w:after="0"/>
              <w:rPr>
                <w:sz w:val="8"/>
                <w:szCs w:val="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Financial Services</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163,100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163,100</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72,690</w:t>
            </w:r>
          </w:p>
        </w:tc>
        <w:tc>
          <w:tcPr>
            <w:tcW w:w="0" w:type="dxa"/>
            <w:vAlign w:val="bottom"/>
          </w:tcPr>
          <w:p>
            <w:pPr>
              <w:spacing w:after="0"/>
              <w:rPr>
                <w:sz w:val="1"/>
                <w:szCs w:val="1"/>
                <w:color w:val="auto"/>
              </w:rPr>
            </w:pPr>
          </w:p>
        </w:tc>
      </w:tr>
      <w:tr>
        <w:trPr>
          <w:trHeight w:val="101"/>
        </w:trPr>
        <w:tc>
          <w:tcPr>
            <w:tcW w:w="24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PennantPark Senior Secured Loan Fund II LLC - Common Equity </w:t>
            </w:r>
            <w:r>
              <w:rPr>
                <w:rFonts w:ascii="Times New Roman" w:cs="Times New Roman" w:eastAsia="Times New Roman" w:hAnsi="Times New Roman"/>
                <w:sz w:val="10"/>
                <w:szCs w:val="10"/>
                <w:color w:val="auto"/>
                <w:vertAlign w:val="superscript"/>
              </w:rPr>
              <w:t>(6), (9)</w:t>
            </w:r>
          </w:p>
        </w:tc>
        <w:tc>
          <w:tcPr>
            <w:tcW w:w="600" w:type="dxa"/>
            <w:vAlign w:val="bottom"/>
            <w:shd w:val="clear" w:color="auto" w:fill="CCECFF"/>
          </w:tcPr>
          <w:p>
            <w:pPr>
              <w:jc w:val="right"/>
              <w:ind w:right="60"/>
              <w:spacing w:after="0"/>
              <w:rPr>
                <w:sz w:val="20"/>
                <w:szCs w:val="20"/>
                <w:color w:val="auto"/>
              </w:rPr>
            </w:pPr>
            <w:r>
              <w:rPr>
                <w:rFonts w:ascii="Times New Roman" w:cs="Times New Roman" w:eastAsia="Times New Roman" w:hAnsi="Times New Roman"/>
                <w:sz w:val="8"/>
                <w:szCs w:val="8"/>
                <w:color w:val="auto"/>
              </w:rPr>
              <w:t>11/18/2025</w:t>
            </w:r>
          </w:p>
        </w:tc>
        <w:tc>
          <w:tcPr>
            <w:tcW w:w="580" w:type="dxa"/>
            <w:vAlign w:val="bottom"/>
            <w:shd w:val="clear" w:color="auto" w:fill="CCECFF"/>
          </w:tcPr>
          <w:p>
            <w:pPr>
              <w:spacing w:after="0"/>
              <w:rPr>
                <w:sz w:val="8"/>
                <w:szCs w:val="8"/>
                <w:color w:val="auto"/>
              </w:rPr>
            </w:pP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Financial Services</w:t>
            </w:r>
          </w:p>
        </w:tc>
        <w:tc>
          <w:tcPr>
            <w:tcW w:w="6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16,875</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16,875</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16,857</w:t>
            </w:r>
          </w:p>
        </w:tc>
        <w:tc>
          <w:tcPr>
            <w:tcW w:w="0" w:type="dxa"/>
            <w:vAlign w:val="bottom"/>
          </w:tcPr>
          <w:p>
            <w:pPr>
              <w:spacing w:after="0"/>
              <w:rPr>
                <w:sz w:val="1"/>
                <w:szCs w:val="1"/>
                <w:color w:val="auto"/>
              </w:rPr>
            </w:pPr>
          </w:p>
        </w:tc>
      </w:tr>
      <w:tr>
        <w:trPr>
          <w:trHeight w:val="101"/>
        </w:trPr>
        <w:tc>
          <w:tcPr>
            <w:tcW w:w="24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Equity Interests</w:t>
            </w: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179,975</w:t>
            </w: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89,547</w:t>
            </w:r>
          </w:p>
        </w:tc>
        <w:tc>
          <w:tcPr>
            <w:tcW w:w="0" w:type="dxa"/>
            <w:vAlign w:val="bottom"/>
          </w:tcPr>
          <w:p>
            <w:pPr>
              <w:spacing w:after="0"/>
              <w:rPr>
                <w:sz w:val="1"/>
                <w:szCs w:val="1"/>
                <w:color w:val="auto"/>
              </w:rPr>
            </w:pPr>
          </w:p>
        </w:tc>
      </w:tr>
      <w:tr>
        <w:trPr>
          <w:trHeight w:val="101"/>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Investments in Controlled, Affiliated Portfolio Companies</w:t>
            </w:r>
          </w:p>
        </w:tc>
        <w:tc>
          <w:tcPr>
            <w:tcW w:w="6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96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457,000</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366,572</w:t>
            </w:r>
          </w:p>
        </w:tc>
        <w:tc>
          <w:tcPr>
            <w:tcW w:w="0" w:type="dxa"/>
            <w:vAlign w:val="bottom"/>
          </w:tcPr>
          <w:p>
            <w:pPr>
              <w:spacing w:after="0"/>
              <w:rPr>
                <w:sz w:val="1"/>
                <w:szCs w:val="1"/>
                <w:color w:val="auto"/>
              </w:rPr>
            </w:pPr>
          </w:p>
        </w:tc>
      </w:tr>
      <w:tr>
        <w:trPr>
          <w:trHeight w:val="101"/>
        </w:trPr>
        <w:tc>
          <w:tcPr>
            <w:tcW w:w="24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Total Investments - 250.4% of Net Assets </w:t>
            </w:r>
            <w:r>
              <w:rPr>
                <w:rFonts w:ascii="Times New Roman" w:cs="Times New Roman" w:eastAsia="Times New Roman" w:hAnsi="Times New Roman"/>
                <w:sz w:val="10"/>
                <w:szCs w:val="10"/>
                <w:color w:val="auto"/>
                <w:vertAlign w:val="superscript"/>
              </w:rPr>
              <w:t>(11), (12)</w:t>
            </w: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w w:val="99"/>
              </w:rPr>
              <w:t>2,683,700</w:t>
            </w: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2,605,347</w:t>
            </w:r>
          </w:p>
        </w:tc>
        <w:tc>
          <w:tcPr>
            <w:tcW w:w="0" w:type="dxa"/>
            <w:vAlign w:val="bottom"/>
          </w:tcPr>
          <w:p>
            <w:pPr>
              <w:spacing w:after="0"/>
              <w:rPr>
                <w:sz w:val="1"/>
                <w:szCs w:val="1"/>
                <w:color w:val="auto"/>
              </w:rPr>
            </w:pPr>
          </w:p>
        </w:tc>
      </w:tr>
      <w:tr>
        <w:trPr>
          <w:trHeight w:val="101"/>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Cash Equivalents - 3.9% of Net Assets</w:t>
            </w:r>
          </w:p>
        </w:tc>
        <w:tc>
          <w:tcPr>
            <w:tcW w:w="6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96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0" w:type="dxa"/>
            <w:vAlign w:val="bottom"/>
          </w:tcPr>
          <w:p>
            <w:pPr>
              <w:spacing w:after="0"/>
              <w:rPr>
                <w:sz w:val="20"/>
                <w:szCs w:val="20"/>
                <w:color w:val="auto"/>
              </w:rPr>
            </w:pPr>
            <w:r>
              <w:rPr>
                <w:rFonts w:ascii="Times New Roman" w:cs="Times New Roman" w:eastAsia="Times New Roman" w:hAnsi="Times New Roman"/>
                <w:sz w:val="8"/>
                <w:szCs w:val="8"/>
                <w:color w:val="auto"/>
              </w:rPr>
              <w:t>BlackRock Federal FD Institutional 30 (Money Market Fund)</w:t>
            </w: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3.69%</w:t>
            </w:r>
          </w:p>
        </w:tc>
        <w:tc>
          <w:tcPr>
            <w:tcW w:w="56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7,722</w:t>
            </w: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7,722</w:t>
            </w:r>
          </w:p>
        </w:tc>
        <w:tc>
          <w:tcPr>
            <w:tcW w:w="0" w:type="dxa"/>
            <w:vAlign w:val="bottom"/>
          </w:tcPr>
          <w:p>
            <w:pPr>
              <w:spacing w:after="0"/>
              <w:rPr>
                <w:sz w:val="1"/>
                <w:szCs w:val="1"/>
                <w:color w:val="auto"/>
              </w:rPr>
            </w:pPr>
          </w:p>
        </w:tc>
      </w:tr>
      <w:tr>
        <w:trPr>
          <w:trHeight w:val="101"/>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Blackrock Liq Fedfund Gov CL Inst (Money Market Fund)</w:t>
            </w:r>
          </w:p>
        </w:tc>
        <w:tc>
          <w:tcPr>
            <w:tcW w:w="6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960" w:type="dxa"/>
            <w:vAlign w:val="bottom"/>
            <w:shd w:val="clear" w:color="auto" w:fill="CCECFF"/>
          </w:tcPr>
          <w:p>
            <w:pPr>
              <w:spacing w:after="0"/>
              <w:rPr>
                <w:sz w:val="8"/>
                <w:szCs w:val="8"/>
                <w:color w:val="auto"/>
              </w:rPr>
            </w:pPr>
          </w:p>
        </w:tc>
        <w:tc>
          <w:tcPr>
            <w:tcW w:w="6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3.64%</w:t>
            </w: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15,536</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15,536</w:t>
            </w:r>
          </w:p>
        </w:tc>
        <w:tc>
          <w:tcPr>
            <w:tcW w:w="0" w:type="dxa"/>
            <w:vAlign w:val="bottom"/>
          </w:tcPr>
          <w:p>
            <w:pPr>
              <w:spacing w:after="0"/>
              <w:rPr>
                <w:sz w:val="1"/>
                <w:szCs w:val="1"/>
                <w:color w:val="auto"/>
              </w:rPr>
            </w:pPr>
          </w:p>
        </w:tc>
      </w:tr>
      <w:tr>
        <w:trPr>
          <w:trHeight w:val="101"/>
        </w:trPr>
        <w:tc>
          <w:tcPr>
            <w:tcW w:w="2400" w:type="dxa"/>
            <w:vAlign w:val="bottom"/>
          </w:tcPr>
          <w:p>
            <w:pPr>
              <w:spacing w:after="0"/>
              <w:rPr>
                <w:sz w:val="20"/>
                <w:szCs w:val="20"/>
                <w:color w:val="auto"/>
              </w:rPr>
            </w:pPr>
            <w:r>
              <w:rPr>
                <w:rFonts w:ascii="Times New Roman" w:cs="Times New Roman" w:eastAsia="Times New Roman" w:hAnsi="Times New Roman"/>
                <w:sz w:val="8"/>
                <w:szCs w:val="8"/>
                <w:color w:val="auto"/>
              </w:rPr>
              <w:t>JPMorgan US Dollar Liquidity Inst (Money Market Fund)</w:t>
            </w: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3.81%</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4,129</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4,129</w:t>
            </w:r>
          </w:p>
        </w:tc>
        <w:tc>
          <w:tcPr>
            <w:tcW w:w="0" w:type="dxa"/>
            <w:vAlign w:val="bottom"/>
          </w:tcPr>
          <w:p>
            <w:pPr>
              <w:spacing w:after="0"/>
              <w:rPr>
                <w:sz w:val="1"/>
                <w:szCs w:val="1"/>
                <w:color w:val="auto"/>
              </w:rPr>
            </w:pPr>
          </w:p>
        </w:tc>
      </w:tr>
      <w:tr>
        <w:trPr>
          <w:trHeight w:val="101"/>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JPMorgan U.S. Government (Money Market Fund)</w:t>
            </w:r>
          </w:p>
        </w:tc>
        <w:tc>
          <w:tcPr>
            <w:tcW w:w="6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960" w:type="dxa"/>
            <w:vAlign w:val="bottom"/>
            <w:shd w:val="clear" w:color="auto" w:fill="CCECFF"/>
          </w:tcPr>
          <w:p>
            <w:pPr>
              <w:spacing w:after="0"/>
              <w:rPr>
                <w:sz w:val="8"/>
                <w:szCs w:val="8"/>
                <w:color w:val="auto"/>
              </w:rPr>
            </w:pPr>
          </w:p>
        </w:tc>
        <w:tc>
          <w:tcPr>
            <w:tcW w:w="6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3.61%</w:t>
            </w: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3,948</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3,948</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20"/>
                <w:szCs w:val="20"/>
                <w:color w:val="auto"/>
              </w:rPr>
            </w:pPr>
            <w:r>
              <w:rPr>
                <w:rFonts w:ascii="Times New Roman" w:cs="Times New Roman" w:eastAsia="Times New Roman" w:hAnsi="Times New Roman"/>
                <w:sz w:val="8"/>
                <w:szCs w:val="8"/>
                <w:color w:val="auto"/>
              </w:rPr>
              <w:t>Goldman Sachs Financial Square Government Fund (Money Market</w:t>
            </w: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0" w:type="dxa"/>
            <w:vAlign w:val="bottom"/>
          </w:tcPr>
          <w:p>
            <w:pPr>
              <w:spacing w:after="0"/>
              <w:rPr>
                <w:sz w:val="20"/>
                <w:szCs w:val="20"/>
                <w:color w:val="auto"/>
              </w:rPr>
            </w:pPr>
            <w:r>
              <w:rPr>
                <w:rFonts w:ascii="Times New Roman" w:cs="Times New Roman" w:eastAsia="Times New Roman" w:hAnsi="Times New Roman"/>
                <w:sz w:val="8"/>
                <w:szCs w:val="8"/>
                <w:color w:val="auto"/>
              </w:rPr>
              <w:t>Fund)</w:t>
            </w: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3.71%</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8,808</w:t>
            </w: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8,808</w:t>
            </w:r>
          </w:p>
        </w:tc>
        <w:tc>
          <w:tcPr>
            <w:tcW w:w="0" w:type="dxa"/>
            <w:vAlign w:val="bottom"/>
          </w:tcPr>
          <w:p>
            <w:pPr>
              <w:spacing w:after="0"/>
              <w:rPr>
                <w:sz w:val="1"/>
                <w:szCs w:val="1"/>
                <w:color w:val="auto"/>
              </w:rPr>
            </w:pPr>
          </w:p>
        </w:tc>
      </w:tr>
      <w:tr>
        <w:trPr>
          <w:trHeight w:val="101"/>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Cash Equivalents</w:t>
            </w:r>
          </w:p>
        </w:tc>
        <w:tc>
          <w:tcPr>
            <w:tcW w:w="6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96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40,143</w:t>
            </w: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40,143</w:t>
            </w:r>
          </w:p>
        </w:tc>
        <w:tc>
          <w:tcPr>
            <w:tcW w:w="0" w:type="dxa"/>
            <w:vAlign w:val="bottom"/>
          </w:tcPr>
          <w:p>
            <w:pPr>
              <w:spacing w:after="0"/>
              <w:rPr>
                <w:sz w:val="1"/>
                <w:szCs w:val="1"/>
                <w:color w:val="auto"/>
              </w:rPr>
            </w:pPr>
          </w:p>
        </w:tc>
      </w:tr>
      <w:tr>
        <w:trPr>
          <w:trHeight w:val="101"/>
        </w:trPr>
        <w:tc>
          <w:tcPr>
            <w:tcW w:w="24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Cash - 5.3% of Net Assets</w:t>
            </w: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Cash</w:t>
            </w:r>
          </w:p>
        </w:tc>
        <w:tc>
          <w:tcPr>
            <w:tcW w:w="6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96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55,121</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55,125</w:t>
            </w:r>
          </w:p>
        </w:tc>
        <w:tc>
          <w:tcPr>
            <w:tcW w:w="0" w:type="dxa"/>
            <w:vAlign w:val="bottom"/>
          </w:tcPr>
          <w:p>
            <w:pPr>
              <w:spacing w:after="0"/>
              <w:rPr>
                <w:sz w:val="1"/>
                <w:szCs w:val="1"/>
                <w:color w:val="auto"/>
              </w:rPr>
            </w:pPr>
          </w:p>
        </w:tc>
      </w:tr>
      <w:tr>
        <w:trPr>
          <w:trHeight w:val="101"/>
        </w:trPr>
        <w:tc>
          <w:tcPr>
            <w:tcW w:w="24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Cash</w:t>
            </w: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55,121</w:t>
            </w: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55,125</w:t>
            </w:r>
          </w:p>
        </w:tc>
        <w:tc>
          <w:tcPr>
            <w:tcW w:w="0" w:type="dxa"/>
            <w:vAlign w:val="bottom"/>
          </w:tcPr>
          <w:p>
            <w:pPr>
              <w:spacing w:after="0"/>
              <w:rPr>
                <w:sz w:val="1"/>
                <w:szCs w:val="1"/>
                <w:color w:val="auto"/>
              </w:rPr>
            </w:pPr>
          </w:p>
        </w:tc>
      </w:tr>
      <w:tr>
        <w:trPr>
          <w:trHeight w:val="100"/>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Investments, Cash Equivalents, and Cash - 259.6% of Net</w:t>
            </w:r>
          </w:p>
        </w:tc>
        <w:tc>
          <w:tcPr>
            <w:tcW w:w="6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96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6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96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w w:val="99"/>
              </w:rPr>
              <w:t>2,778,964</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2,700,615</w:t>
            </w:r>
          </w:p>
        </w:tc>
        <w:tc>
          <w:tcPr>
            <w:tcW w:w="0" w:type="dxa"/>
            <w:vAlign w:val="bottom"/>
          </w:tcPr>
          <w:p>
            <w:pPr>
              <w:spacing w:after="0"/>
              <w:rPr>
                <w:sz w:val="1"/>
                <w:szCs w:val="1"/>
                <w:color w:val="auto"/>
              </w:rPr>
            </w:pPr>
          </w:p>
        </w:tc>
      </w:tr>
      <w:tr>
        <w:trPr>
          <w:trHeight w:val="102"/>
        </w:trPr>
        <w:tc>
          <w:tcPr>
            <w:tcW w:w="240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Liabilities in Excess of Other Assets - (159.6)% of Net Assets</w:t>
            </w: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(1,660,18</w:t>
            </w:r>
          </w:p>
        </w:tc>
        <w:tc>
          <w:tcPr>
            <w:tcW w:w="0" w:type="dxa"/>
            <w:vAlign w:val="bottom"/>
          </w:tcPr>
          <w:p>
            <w:pPr>
              <w:spacing w:after="0"/>
              <w:rPr>
                <w:sz w:val="1"/>
                <w:szCs w:val="1"/>
                <w:color w:val="auto"/>
              </w:rPr>
            </w:pPr>
          </w:p>
        </w:tc>
      </w:tr>
      <w:tr>
        <w:trPr>
          <w:trHeight w:val="100"/>
        </w:trPr>
        <w:tc>
          <w:tcPr>
            <w:tcW w:w="24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01"/>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Net Assets - 100%</w:t>
            </w:r>
          </w:p>
        </w:tc>
        <w:tc>
          <w:tcPr>
            <w:tcW w:w="6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96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1,040,429</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w:t>
      </w:r>
    </w:p>
    <w:p>
      <w:pPr>
        <w:spacing w:after="0" w:line="21" w:lineRule="exact"/>
        <w:rPr>
          <w:sz w:val="20"/>
          <w:szCs w:val="20"/>
          <w:color w:val="auto"/>
        </w:rPr>
      </w:pPr>
    </w:p>
    <w:p>
      <w:pPr>
        <w:ind w:left="1100" w:right="860"/>
        <w:spacing w:after="0" w:line="236"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9"/>
          <w:szCs w:val="9"/>
          <w:color w:val="auto"/>
        </w:rPr>
        <w:t>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Consolidated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payment-in-kind, or "PIK", interest and other fee rates, if any.</w:t>
      </w:r>
    </w:p>
    <w:p>
      <w:pPr>
        <w:ind w:left="1100"/>
        <w:spacing w:after="0" w:line="204" w:lineRule="auto"/>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9"/>
          <w:szCs w:val="9"/>
          <w:color w:val="auto"/>
        </w:rPr>
        <w:t>Valued based on our accounting policy (See Note 2). The value of all securities was determined using significant unobservable inputs (See Note 5).</w:t>
      </w:r>
    </w:p>
    <w:p>
      <w:pPr>
        <w:spacing w:after="0" w:line="1" w:lineRule="exact"/>
        <w:rPr>
          <w:sz w:val="20"/>
          <w:szCs w:val="20"/>
          <w:color w:val="auto"/>
        </w:rPr>
      </w:pPr>
    </w:p>
    <w:p>
      <w:pPr>
        <w:ind w:left="1100" w:right="1120"/>
        <w:spacing w:after="0" w:line="225" w:lineRule="auto"/>
        <w:rPr>
          <w:sz w:val="20"/>
          <w:szCs w:val="20"/>
          <w:color w:val="auto"/>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9"/>
          <w:szCs w:val="9"/>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sz w:val="20"/>
          <w:szCs w:val="20"/>
          <w:color w:val="auto"/>
        </w:rPr>
      </w:pPr>
    </w:p>
    <w:p>
      <w:pPr>
        <w:ind w:left="1100" w:right="900"/>
        <w:spacing w:after="0" w:line="218" w:lineRule="auto"/>
        <w:rPr>
          <w:sz w:val="20"/>
          <w:szCs w:val="20"/>
          <w:color w:val="auto"/>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9"/>
          <w:szCs w:val="9"/>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1100"/>
        <w:spacing w:after="0" w:line="204" w:lineRule="auto"/>
        <w:rPr>
          <w:sz w:val="20"/>
          <w:szCs w:val="20"/>
          <w:color w:val="auto"/>
        </w:rPr>
      </w:pP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9"/>
          <w:szCs w:val="9"/>
          <w:color w:val="auto"/>
        </w:rPr>
        <w:t>Non-income producing securities.</w:t>
      </w:r>
    </w:p>
    <w:p>
      <w:pPr>
        <w:ind w:left="1100" w:right="820"/>
        <w:spacing w:after="0" w:line="225" w:lineRule="auto"/>
        <w:rPr>
          <w:sz w:val="20"/>
          <w:szCs w:val="20"/>
          <w:color w:val="auto"/>
        </w:rPr>
      </w:pP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9"/>
          <w:szCs w:val="9"/>
          <w:color w:val="auto"/>
        </w:rPr>
        <w:t>The securities, or a portion thereof, 1) are not pledged as collateral under the Credit Facility and held through Funding I; 2) do not secure the 2036-R Asset-Backed Debt and are not held through PennantPark CLO I, Ltd; 3) do not secure the 2036 Asset-Backed Debt and are not held through PennantPark CLO VIII, Ltd. and 4) do not secure the 2037 Asset-Backed Debt and are not held through PennantPark CLO 11, LLC.</w:t>
      </w:r>
    </w:p>
    <w:p>
      <w:pPr>
        <w:ind w:left="1100"/>
        <w:spacing w:after="0" w:line="205" w:lineRule="auto"/>
        <w:rPr>
          <w:sz w:val="20"/>
          <w:szCs w:val="20"/>
          <w:color w:val="auto"/>
        </w:rPr>
      </w:pPr>
      <w:r>
        <w:rPr>
          <w:rFonts w:ascii="Times New Roman" w:cs="Times New Roman" w:eastAsia="Times New Roman" w:hAnsi="Times New Roman"/>
          <w:sz w:val="18"/>
          <w:szCs w:val="18"/>
          <w:color w:val="auto"/>
          <w:vertAlign w:val="superscript"/>
        </w:rPr>
        <w:t>(7)</w:t>
      </w:r>
      <w:r>
        <w:rPr>
          <w:rFonts w:ascii="Times New Roman" w:cs="Times New Roman" w:eastAsia="Times New Roman" w:hAnsi="Times New Roman"/>
          <w:sz w:val="9"/>
          <w:szCs w:val="9"/>
          <w:color w:val="auto"/>
        </w:rPr>
        <w:t>Investment is held through our Taxable Subsidiary.</w:t>
      </w:r>
    </w:p>
    <w:p>
      <w:pPr>
        <w:ind w:left="1100" w:right="980"/>
        <w:spacing w:after="0" w:line="215" w:lineRule="auto"/>
        <w:rPr>
          <w:sz w:val="20"/>
          <w:szCs w:val="20"/>
          <w:color w:val="auto"/>
        </w:rPr>
      </w:pPr>
      <w:r>
        <w:rPr>
          <w:rFonts w:ascii="Times New Roman" w:cs="Times New Roman" w:eastAsia="Times New Roman" w:hAnsi="Times New Roman"/>
          <w:sz w:val="18"/>
          <w:szCs w:val="18"/>
          <w:color w:val="auto"/>
          <w:vertAlign w:val="superscript"/>
        </w:rPr>
        <w:t>(8)</w:t>
      </w:r>
      <w:r>
        <w:rPr>
          <w:rFonts w:ascii="Times New Roman" w:cs="Times New Roman" w:eastAsia="Times New Roman" w:hAnsi="Times New Roman"/>
          <w:sz w:val="9"/>
          <w:szCs w:val="9"/>
          <w:color w:val="auto"/>
        </w:rPr>
        <w:t>Represents the purchase of a security with delayed settlement or a revolving line of credit that is currently an unfunded investment. This security does not earn a basis point spread above an index while it is unfunded.</w:t>
      </w:r>
    </w:p>
    <w:p>
      <w:pPr>
        <w:ind w:left="1100" w:right="860"/>
        <w:spacing w:after="0" w:line="228" w:lineRule="auto"/>
        <w:rPr>
          <w:sz w:val="20"/>
          <w:szCs w:val="20"/>
          <w:color w:val="auto"/>
        </w:rPr>
      </w:pPr>
      <w:r>
        <w:rPr>
          <w:rFonts w:ascii="Times New Roman" w:cs="Times New Roman" w:eastAsia="Times New Roman" w:hAnsi="Times New Roman"/>
          <w:sz w:val="18"/>
          <w:szCs w:val="18"/>
          <w:color w:val="auto"/>
          <w:vertAlign w:val="superscript"/>
        </w:rPr>
        <w:t>(9)</w:t>
      </w:r>
      <w:r>
        <w:rPr>
          <w:rFonts w:ascii="Times New Roman" w:cs="Times New Roman" w:eastAsia="Times New Roman" w:hAnsi="Times New Roman"/>
          <w:sz w:val="9"/>
          <w:szCs w:val="9"/>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2025, qualifying assets represented 87% of our total assets and non-qualifying assets represented 13% of our total assets.</w:t>
      </w:r>
    </w:p>
    <w:p>
      <w:pPr>
        <w:ind w:left="1100"/>
        <w:spacing w:after="0" w:line="203" w:lineRule="auto"/>
        <w:rPr>
          <w:sz w:val="20"/>
          <w:szCs w:val="20"/>
          <w:color w:val="auto"/>
        </w:rPr>
      </w:pPr>
      <w:r>
        <w:rPr>
          <w:rFonts w:ascii="Times New Roman" w:cs="Times New Roman" w:eastAsia="Times New Roman" w:hAnsi="Times New Roman"/>
          <w:sz w:val="18"/>
          <w:szCs w:val="18"/>
          <w:color w:val="auto"/>
          <w:vertAlign w:val="superscript"/>
        </w:rPr>
        <w:t>(10)</w:t>
      </w:r>
      <w:r>
        <w:rPr>
          <w:rFonts w:ascii="Times New Roman" w:cs="Times New Roman" w:eastAsia="Times New Roman" w:hAnsi="Times New Roman"/>
          <w:sz w:val="9"/>
          <w:szCs w:val="9"/>
          <w:color w:val="auto"/>
        </w:rPr>
        <w:t>Non-accrual security.</w:t>
      </w:r>
    </w:p>
    <w:p>
      <w:pPr>
        <w:ind w:left="1100"/>
        <w:spacing w:after="0" w:line="199" w:lineRule="auto"/>
        <w:rPr>
          <w:sz w:val="20"/>
          <w:szCs w:val="20"/>
          <w:color w:val="auto"/>
        </w:rPr>
      </w:pPr>
      <w:r>
        <w:rPr>
          <w:rFonts w:ascii="Times New Roman" w:cs="Times New Roman" w:eastAsia="Times New Roman" w:hAnsi="Times New Roman"/>
          <w:sz w:val="18"/>
          <w:szCs w:val="18"/>
          <w:color w:val="auto"/>
          <w:vertAlign w:val="superscript"/>
        </w:rPr>
        <w:t>(11)</w:t>
      </w:r>
      <w:r>
        <w:rPr>
          <w:rFonts w:ascii="Times New Roman" w:cs="Times New Roman" w:eastAsia="Times New Roman" w:hAnsi="Times New Roman"/>
          <w:sz w:val="9"/>
          <w:szCs w:val="9"/>
          <w:color w:val="auto"/>
        </w:rPr>
        <w:t>As of December 31, 2025, all investments were in U.S. companies and total cost, fair value, and percentage of Net Assets for the U.S companies were $2,683.7 million, $2,605.3 million, and</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9"/>
          <w:szCs w:val="9"/>
          <w:color w:val="auto"/>
        </w:rPr>
        <w:t>250.4%</w:t>
      </w:r>
    </w:p>
    <w:p>
      <w:pPr>
        <w:spacing w:after="0" w:line="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vertAlign w:val="superscript"/>
        </w:rPr>
        <w:t>(12)</w:t>
      </w:r>
      <w:r>
        <w:rPr>
          <w:rFonts w:ascii="Times New Roman" w:cs="Times New Roman" w:eastAsia="Times New Roman" w:hAnsi="Times New Roman"/>
          <w:sz w:val="9"/>
          <w:szCs w:val="9"/>
          <w:color w:val="auto"/>
        </w:rPr>
        <w:t>All of our investments are not registered under the 1933 Act and have restrictions on resale.</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September 30,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22" w:lineRule="exact"/>
        <w:rPr>
          <w:sz w:val="20"/>
          <w:szCs w:val="20"/>
          <w:color w:val="auto"/>
        </w:rPr>
      </w:pPr>
    </w:p>
    <w:tbl>
      <w:tblPr>
        <w:tblLayout w:type="fixed"/>
        <w:tblInd w:w="780" w:type="dxa"/>
        <w:tblCellMar>
          <w:top w:w="0" w:type="dxa"/>
          <w:left w:w="0" w:type="dxa"/>
          <w:bottom w:w="0" w:type="dxa"/>
          <w:right w:w="0" w:type="dxa"/>
        </w:tblCellMar>
      </w:tblPr>
      <w:tr>
        <w:trPr>
          <w:trHeight w:val="112"/>
        </w:trPr>
        <w:tc>
          <w:tcPr>
            <w:tcW w:w="238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8"/>
                <w:szCs w:val="8"/>
                <w:b w:val="1"/>
                <w:bCs w:val="1"/>
                <w:color w:val="auto"/>
                <w:w w:val="97"/>
              </w:rPr>
              <w:t>Acquisition</w:t>
            </w:r>
          </w:p>
        </w:tc>
        <w:tc>
          <w:tcPr>
            <w:tcW w:w="440" w:type="dxa"/>
            <w:vAlign w:val="bottom"/>
            <w:vMerge w:val="restart"/>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320" w:type="dxa"/>
            <w:vAlign w:val="bottom"/>
            <w:vMerge w:val="restart"/>
          </w:tcPr>
          <w:p>
            <w:pPr>
              <w:jc w:val="center"/>
              <w:ind w:right="2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580" w:type="dxa"/>
            <w:vAlign w:val="bottom"/>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b w:val="1"/>
                <w:bCs w:val="1"/>
                <w:color w:val="auto"/>
                <w:w w:val="99"/>
              </w:rPr>
              <w:t>Basis Point Spread</w:t>
            </w:r>
          </w:p>
        </w:tc>
        <w:tc>
          <w:tcPr>
            <w:tcW w:w="580" w:type="dxa"/>
            <w:vAlign w:val="bottom"/>
            <w:vMerge w:val="restart"/>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Par / Shares</w:t>
            </w:r>
          </w:p>
        </w:tc>
        <w:tc>
          <w:tcPr>
            <w:tcW w:w="380" w:type="dxa"/>
            <w:vAlign w:val="bottom"/>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Cost</w:t>
            </w: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Fair Value</w:t>
            </w:r>
          </w:p>
        </w:tc>
        <w:tc>
          <w:tcPr>
            <w:tcW w:w="0" w:type="dxa"/>
            <w:vAlign w:val="bottom"/>
          </w:tcPr>
          <w:p>
            <w:pPr>
              <w:spacing w:after="0"/>
              <w:rPr>
                <w:sz w:val="1"/>
                <w:szCs w:val="1"/>
                <w:color w:val="auto"/>
              </w:rPr>
            </w:pPr>
          </w:p>
        </w:tc>
      </w:tr>
      <w:tr>
        <w:trPr>
          <w:trHeight w:val="91"/>
        </w:trPr>
        <w:tc>
          <w:tcPr>
            <w:tcW w:w="238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580" w:type="dxa"/>
            <w:vAlign w:val="bottom"/>
          </w:tcPr>
          <w:p>
            <w:pPr>
              <w:jc w:val="right"/>
              <w:ind w:right="180"/>
              <w:spacing w:after="0" w:line="91" w:lineRule="exact"/>
              <w:rPr>
                <w:sz w:val="20"/>
                <w:szCs w:val="20"/>
                <w:color w:val="auto"/>
              </w:rPr>
            </w:pPr>
            <w:r>
              <w:rPr>
                <w:rFonts w:ascii="Times New Roman" w:cs="Times New Roman" w:eastAsia="Times New Roman" w:hAnsi="Times New Roman"/>
                <w:sz w:val="8"/>
                <w:szCs w:val="8"/>
                <w:b w:val="1"/>
                <w:bCs w:val="1"/>
                <w:color w:val="auto"/>
              </w:rPr>
              <w:t>Coupon</w:t>
            </w:r>
          </w:p>
        </w:tc>
        <w:tc>
          <w:tcPr>
            <w:tcW w:w="800" w:type="dxa"/>
            <w:vAlign w:val="bottom"/>
          </w:tcPr>
          <w:p>
            <w:pPr>
              <w:jc w:val="center"/>
              <w:ind w:right="40"/>
              <w:spacing w:after="0" w:line="91" w:lineRule="exact"/>
              <w:rPr>
                <w:sz w:val="20"/>
                <w:szCs w:val="20"/>
                <w:color w:val="auto"/>
              </w:rPr>
            </w:pPr>
            <w:r>
              <w:rPr>
                <w:rFonts w:ascii="Times New Roman" w:cs="Times New Roman" w:eastAsia="Times New Roman" w:hAnsi="Times New Roman"/>
                <w:sz w:val="8"/>
                <w:szCs w:val="8"/>
                <w:b w:val="1"/>
                <w:bCs w:val="1"/>
                <w:color w:val="auto"/>
                <w:w w:val="97"/>
              </w:rPr>
              <w:t xml:space="preserve">Above Index </w:t>
            </w:r>
            <w:r>
              <w:rPr>
                <w:rFonts w:ascii="Times New Roman" w:cs="Times New Roman" w:eastAsia="Times New Roman" w:hAnsi="Times New Roman"/>
                <w:sz w:val="10"/>
                <w:szCs w:val="10"/>
                <w:b w:val="1"/>
                <w:bCs w:val="1"/>
                <w:color w:val="auto"/>
                <w:w w:val="97"/>
                <w:vertAlign w:val="superscript"/>
              </w:rPr>
              <w:t>(1)</w:t>
            </w:r>
          </w:p>
        </w:tc>
        <w:tc>
          <w:tcPr>
            <w:tcW w:w="5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520" w:type="dxa"/>
            <w:vAlign w:val="bottom"/>
          </w:tcPr>
          <w:p>
            <w:pPr>
              <w:jc w:val="right"/>
              <w:ind w:right="220"/>
              <w:spacing w:after="0"/>
              <w:rPr>
                <w:sz w:val="20"/>
                <w:szCs w:val="20"/>
                <w:color w:val="auto"/>
              </w:rPr>
            </w:pPr>
            <w:r>
              <w:rPr>
                <w:rFonts w:ascii="Times New Roman" w:cs="Times New Roman" w:eastAsia="Times New Roman" w:hAnsi="Times New Roman"/>
                <w:sz w:val="5"/>
                <w:szCs w:val="5"/>
                <w:b w:val="1"/>
                <w:bCs w:val="1"/>
                <w:color w:val="auto"/>
              </w:rPr>
              <w:t>(2)</w:t>
            </w:r>
          </w:p>
        </w:tc>
        <w:tc>
          <w:tcPr>
            <w:tcW w:w="0" w:type="dxa"/>
            <w:vAlign w:val="bottom"/>
          </w:tcPr>
          <w:p>
            <w:pPr>
              <w:spacing w:after="0"/>
              <w:rPr>
                <w:sz w:val="1"/>
                <w:szCs w:val="1"/>
                <w:color w:val="auto"/>
              </w:rPr>
            </w:pPr>
          </w:p>
        </w:tc>
      </w:tr>
      <w:tr>
        <w:trPr>
          <w:trHeight w:val="102"/>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Investments in Non-Controlled, Non-Affiliated Portfolio Companies -</w:t>
            </w:r>
          </w:p>
        </w:tc>
        <w:tc>
          <w:tcPr>
            <w:tcW w:w="46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132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11"/>
                <w:szCs w:val="11"/>
                <w:color w:val="auto"/>
                <w:vertAlign w:val="subscript"/>
              </w:rPr>
              <w:t>231.9%</w:t>
            </w:r>
            <w:r>
              <w:rPr>
                <w:rFonts w:ascii="Times New Roman" w:cs="Times New Roman" w:eastAsia="Times New Roman" w:hAnsi="Times New Roman"/>
                <w:sz w:val="4"/>
                <w:szCs w:val="4"/>
                <w:color w:val="auto"/>
              </w:rPr>
              <w:t xml:space="preserve"> (3), (4)</w:t>
            </w:r>
          </w:p>
        </w:tc>
        <w:tc>
          <w:tcPr>
            <w:tcW w:w="46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132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First Lien Secured Debt - 211.8% of Net Assets</w:t>
            </w: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ACP Avenu Buyer, LLC</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10/2/2023</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10/02/2029</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IT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9.29%</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42,247</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41,879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41,824</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ACP Avenu Buyer, LLC - Unfunded Term Loan </w:t>
            </w:r>
            <w:r>
              <w:rPr>
                <w:rFonts w:ascii="Times New Roman" w:cs="Times New Roman" w:eastAsia="Times New Roman" w:hAnsi="Times New Roman"/>
                <w:sz w:val="10"/>
                <w:szCs w:val="10"/>
                <w:color w:val="auto"/>
                <w:vertAlign w:val="superscript"/>
              </w:rPr>
              <w:t>(8)</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10/2/2023</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04/21/2027</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IT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10,872</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(54)</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ACP Avenu Buyer, LLC - Unfunded Revolver </w:t>
            </w:r>
            <w:r>
              <w:rPr>
                <w:rFonts w:ascii="Times New Roman" w:cs="Times New Roman" w:eastAsia="Times New Roman" w:hAnsi="Times New Roman"/>
                <w:sz w:val="10"/>
                <w:szCs w:val="10"/>
                <w:color w:val="auto"/>
                <w:vertAlign w:val="superscript"/>
              </w:rPr>
              <w:t>(6), (8)</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10/2/2023</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10/02/2029</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IT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7,612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(76)</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ACP Falcon Buyer, Inc.</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8/27/2025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08/01/2029</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9.79%</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SOFR+ 550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818</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827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827</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ACP Falcon Buyer, LLC - Unfunded Revolver </w:t>
            </w:r>
            <w:r>
              <w:rPr>
                <w:rFonts w:ascii="Times New Roman" w:cs="Times New Roman" w:eastAsia="Times New Roman" w:hAnsi="Times New Roman"/>
                <w:sz w:val="10"/>
                <w:szCs w:val="10"/>
                <w:color w:val="auto"/>
                <w:vertAlign w:val="superscript"/>
              </w:rPr>
              <w:t>(6), (8)</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7/26/2023</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08/01/2029</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3,096</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Ad.net Acquisition, LLC</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5/4/2021</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05/07/2026</w:t>
            </w:r>
          </w:p>
        </w:tc>
        <w:tc>
          <w:tcPr>
            <w:tcW w:w="13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10.26%</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SOFR+ 626</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6,583</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6,570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6,583</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Ad.net Acquisition, LLC - Funded Revolver</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5/4/2021</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05/07/2026</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10.26%</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SOFR+ 626</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818</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818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818</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Ad.net Acquisition, LLC - Unfunded Revolver </w:t>
            </w:r>
            <w:r>
              <w:rPr>
                <w:rFonts w:ascii="Times New Roman" w:cs="Times New Roman" w:eastAsia="Times New Roman" w:hAnsi="Times New Roman"/>
                <w:sz w:val="10"/>
                <w:szCs w:val="10"/>
                <w:color w:val="auto"/>
                <w:vertAlign w:val="superscript"/>
              </w:rPr>
              <w:t>(6), (8)</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5/4/2021</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05/07/2026</w:t>
            </w:r>
          </w:p>
        </w:tc>
        <w:tc>
          <w:tcPr>
            <w:tcW w:w="13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426</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Aechelon Technology, Inc.</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8/16/2024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08/16/2029</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9.91%</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1M SOFR+ 575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13,440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13,331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13,440</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Aechelon Technology, Inc. - Funded Revolver</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8/16/2024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08/16/2029</w:t>
            </w:r>
          </w:p>
        </w:tc>
        <w:tc>
          <w:tcPr>
            <w:tcW w:w="13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10.66%</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1M SOFR+ 650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1,666</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1,666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1,666</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Aechelon Technology, Inc. - Unfunded Revolver </w:t>
            </w:r>
            <w:r>
              <w:rPr>
                <w:rFonts w:ascii="Times New Roman" w:cs="Times New Roman" w:eastAsia="Times New Roman" w:hAnsi="Times New Roman"/>
                <w:sz w:val="10"/>
                <w:szCs w:val="10"/>
                <w:color w:val="auto"/>
                <w:vertAlign w:val="superscript"/>
              </w:rPr>
              <w:t>(8)</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8/16/2024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08/16/2029</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3,054</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AFC-Dell Holding Corp.</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2/22/2024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04/09/2027</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9.70%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SOFR+ 550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19,768</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19,739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19,669</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AFC-Dell Holding Corp. - Unfunded Term Loan </w:t>
            </w:r>
            <w:r>
              <w:rPr>
                <w:rFonts w:ascii="Times New Roman" w:cs="Times New Roman" w:eastAsia="Times New Roman" w:hAnsi="Times New Roman"/>
                <w:sz w:val="10"/>
                <w:szCs w:val="10"/>
                <w:color w:val="auto"/>
                <w:vertAlign w:val="superscript"/>
              </w:rPr>
              <w:t>(8)</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2/22/2024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04/09/2027</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7,460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(37)</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Alpine Acquisition Corp II </w:t>
            </w:r>
            <w:r>
              <w:rPr>
                <w:rFonts w:ascii="Times New Roman" w:cs="Times New Roman" w:eastAsia="Times New Roman" w:hAnsi="Times New Roman"/>
                <w:sz w:val="10"/>
                <w:szCs w:val="10"/>
                <w:color w:val="auto"/>
                <w:vertAlign w:val="superscript"/>
              </w:rPr>
              <w:t>(10)</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8/27/2025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08/09/2025</w:t>
            </w:r>
          </w:p>
        </w:tc>
        <w:tc>
          <w:tcPr>
            <w:tcW w:w="13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Containers and Packaging</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4,044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2,903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2,103</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Amsive Holdings Corporation</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3/2/2020</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12/10/2026</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10.35%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SOFR+ 625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19,273</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19,166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19,080</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Aphix Buyer, Inc.</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7/17/2025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07/17/2031</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8.91%</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SOFR+ 475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9,639</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9,579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9,591</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Aphix Buyer, Inc. - Unfunded Term Loan </w:t>
            </w:r>
            <w:r>
              <w:rPr>
                <w:rFonts w:ascii="Times New Roman" w:cs="Times New Roman" w:eastAsia="Times New Roman" w:hAnsi="Times New Roman"/>
                <w:sz w:val="10"/>
                <w:szCs w:val="10"/>
                <w:color w:val="auto"/>
                <w:vertAlign w:val="superscript"/>
              </w:rPr>
              <w:t>(8)</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7/17/2025</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07/16/2027</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15,341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Aphix Buyer, Inc. - Unfunded Revolver </w:t>
            </w:r>
            <w:r>
              <w:rPr>
                <w:rFonts w:ascii="Times New Roman" w:cs="Times New Roman" w:eastAsia="Times New Roman" w:hAnsi="Times New Roman"/>
                <w:sz w:val="10"/>
                <w:szCs w:val="10"/>
                <w:color w:val="auto"/>
                <w:vertAlign w:val="superscript"/>
              </w:rPr>
              <w:t>(8)</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7/17/2025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07/17/2031</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3,995</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APT OPCO, LLC</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9/29/2025</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09/30/2031</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9.00%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17,500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17,391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17,391</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APT OPCO, LLC - Unfunded Term Loan </w:t>
            </w:r>
            <w:r>
              <w:rPr>
                <w:rFonts w:ascii="Times New Roman" w:cs="Times New Roman" w:eastAsia="Times New Roman" w:hAnsi="Times New Roman"/>
                <w:sz w:val="10"/>
                <w:szCs w:val="10"/>
                <w:color w:val="auto"/>
                <w:vertAlign w:val="superscript"/>
              </w:rPr>
              <w:t>(8)</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9/29/2025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09/30/2027</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2,729</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APT OPCO, LLC - Unfunded Revolver </w:t>
            </w:r>
            <w:r>
              <w:rPr>
                <w:rFonts w:ascii="Times New Roman" w:cs="Times New Roman" w:eastAsia="Times New Roman" w:hAnsi="Times New Roman"/>
                <w:sz w:val="10"/>
                <w:szCs w:val="10"/>
                <w:color w:val="auto"/>
                <w:vertAlign w:val="superscript"/>
              </w:rPr>
              <w:t>(8)</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9/29/2025</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09/30/2031</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2,729</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Anteriad, LLC (f/k/a MeritDirect, LLC)</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5/21/2019</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06/30/2026</w:t>
            </w:r>
          </w:p>
        </w:tc>
        <w:tc>
          <w:tcPr>
            <w:tcW w:w="13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9.90%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SOFR+ 590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14,707</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14,644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14,707</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Anteriad, LLC (f/k/a MeritDirect, LLC) - Incremental Term Loan</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5/21/2019</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06/30/2026</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9.90%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SOFR+ 590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1,985</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1,979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1,985</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Anteriad, LLC (f/k/a MeritDirect, LLC) - Funded Revolver </w:t>
            </w:r>
            <w:r>
              <w:rPr>
                <w:rFonts w:ascii="Times New Roman" w:cs="Times New Roman" w:eastAsia="Times New Roman" w:hAnsi="Times New Roman"/>
                <w:sz w:val="10"/>
                <w:szCs w:val="10"/>
                <w:color w:val="auto"/>
                <w:vertAlign w:val="superscript"/>
              </w:rPr>
              <w:t>(6)</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5/21/2019</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06/30/2026</w:t>
            </w:r>
          </w:p>
        </w:tc>
        <w:tc>
          <w:tcPr>
            <w:tcW w:w="13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9.90%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SOFR+ 590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410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410</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Anteriad, LLC (f/k/a MeritDirect, LLC) - Unfunded Revolver </w:t>
            </w:r>
            <w:r>
              <w:rPr>
                <w:rFonts w:ascii="Times New Roman" w:cs="Times New Roman" w:eastAsia="Times New Roman" w:hAnsi="Times New Roman"/>
                <w:sz w:val="10"/>
                <w:szCs w:val="10"/>
                <w:color w:val="auto"/>
                <w:vertAlign w:val="superscript"/>
              </w:rPr>
              <w:t>(8)</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5/21/2019</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06/30/2026</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2,460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Arcfield Acquisition Corp.</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10/28/2024 10/28/2031</w:t>
            </w:r>
          </w:p>
        </w:tc>
        <w:tc>
          <w:tcPr>
            <w:tcW w:w="13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9.31%</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19,393</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19,374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19,296</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Arcfield Acquisition Corp. - Unfunded Revolver </w:t>
            </w:r>
            <w:r>
              <w:rPr>
                <w:rFonts w:ascii="Times New Roman" w:cs="Times New Roman" w:eastAsia="Times New Roman" w:hAnsi="Times New Roman"/>
                <w:sz w:val="10"/>
                <w:szCs w:val="10"/>
                <w:color w:val="auto"/>
                <w:vertAlign w:val="superscript"/>
              </w:rPr>
              <w:t>(6), (8)</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10/28/2024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10/28/2031</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2,874</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(14)</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Archer Lewis, LLC</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8/28/2024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08/28/2029</w:t>
            </w:r>
          </w:p>
        </w:tc>
        <w:tc>
          <w:tcPr>
            <w:tcW w:w="13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9.75%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SOFR+ 575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32,675</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32,401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32,675</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Archer Lewis, LLC - Unfunded Term Loan </w:t>
            </w:r>
            <w:r>
              <w:rPr>
                <w:rFonts w:ascii="Times New Roman" w:cs="Times New Roman" w:eastAsia="Times New Roman" w:hAnsi="Times New Roman"/>
                <w:sz w:val="10"/>
                <w:szCs w:val="10"/>
                <w:color w:val="auto"/>
                <w:vertAlign w:val="superscript"/>
              </w:rPr>
              <w:t>(8)</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8/28/2024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08/28/2026</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13,292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133</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Archer Lewis, LLC - Unfunded Revolver </w:t>
            </w:r>
            <w:r>
              <w:rPr>
                <w:rFonts w:ascii="Times New Roman" w:cs="Times New Roman" w:eastAsia="Times New Roman" w:hAnsi="Times New Roman"/>
                <w:sz w:val="10"/>
                <w:szCs w:val="10"/>
                <w:color w:val="auto"/>
                <w:vertAlign w:val="superscript"/>
              </w:rPr>
              <w:t>(8)</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8/28/2024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08/28/2029</w:t>
            </w:r>
          </w:p>
        </w:tc>
        <w:tc>
          <w:tcPr>
            <w:tcW w:w="13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3,252</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Argano, LLC</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9/13/2024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09/13/2029</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9.89%</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SOFR+ 575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50,851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50,401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50,088</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Argano, LLC - Unfunded Term Loan </w:t>
            </w:r>
            <w:r>
              <w:rPr>
                <w:rFonts w:ascii="Times New Roman" w:cs="Times New Roman" w:eastAsia="Times New Roman" w:hAnsi="Times New Roman"/>
                <w:sz w:val="10"/>
                <w:szCs w:val="10"/>
                <w:color w:val="auto"/>
                <w:vertAlign w:val="superscript"/>
              </w:rPr>
              <w:t>(8)</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9/13/2024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10/02/2026</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spacing w:after="0"/>
              <w:rPr>
                <w:sz w:val="8"/>
                <w:szCs w:val="8"/>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7,449</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(37)</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Argano, LLC – Unfunded Revolver </w:t>
            </w:r>
            <w:r>
              <w:rPr>
                <w:rFonts w:ascii="Times New Roman" w:cs="Times New Roman" w:eastAsia="Times New Roman" w:hAnsi="Times New Roman"/>
                <w:sz w:val="10"/>
                <w:szCs w:val="10"/>
                <w:color w:val="auto"/>
                <w:vertAlign w:val="superscript"/>
              </w:rPr>
              <w:t>(8)</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9/13/2024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09/13/2029</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1,421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(21)</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Azureon, LLC (F/K/A Tpcn Midco, LLC)</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6/26/2024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06/26/2029</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9.75%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SOFR+ 575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16,854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16,673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16,365</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Azureon, LLC (F/K/A Tpcn Midco, LLC) - Funded Revolver</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6/26/2024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06/26/2029</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9.75%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SOFR+ 575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1,032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1,032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1,002</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Azureon, LLC (F/K/A Tpcn Midco, LLC) - Unfunded Revolver </w:t>
            </w:r>
            <w:r>
              <w:rPr>
                <w:rFonts w:ascii="Times New Roman" w:cs="Times New Roman" w:eastAsia="Times New Roman" w:hAnsi="Times New Roman"/>
                <w:sz w:val="10"/>
                <w:szCs w:val="10"/>
                <w:color w:val="auto"/>
                <w:vertAlign w:val="superscript"/>
              </w:rPr>
              <w:t>(8)</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6/26/2024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06/26/2029</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1,548</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(45)</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Beacon Behavioral Support Services, LLC</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6/21/2024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06/21/2029</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9.50%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SOFR+ 550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31,929</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31,585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31,929</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Beacon Behavioral Support Services, LLC - Unfunded Term Loan </w:t>
            </w:r>
            <w:r>
              <w:rPr>
                <w:rFonts w:ascii="Times New Roman" w:cs="Times New Roman" w:eastAsia="Times New Roman" w:hAnsi="Times New Roman"/>
                <w:sz w:val="10"/>
                <w:szCs w:val="10"/>
                <w:color w:val="auto"/>
                <w:vertAlign w:val="superscript"/>
              </w:rPr>
              <w:t>(8)</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6/21/2024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12/22/2025</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7,749</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77</w:t>
            </w:r>
          </w:p>
        </w:tc>
        <w:tc>
          <w:tcPr>
            <w:tcW w:w="0" w:type="dxa"/>
            <w:vAlign w:val="bottom"/>
          </w:tcPr>
          <w:p>
            <w:pPr>
              <w:spacing w:after="0"/>
              <w:rPr>
                <w:sz w:val="1"/>
                <w:szCs w:val="1"/>
                <w:color w:val="auto"/>
              </w:rPr>
            </w:pPr>
          </w:p>
        </w:tc>
      </w:tr>
      <w:tr>
        <w:trPr>
          <w:trHeight w:val="102"/>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Beacon Behavioral Support Services, LLC - Unfunded Term Loan - 3rd</w:t>
            </w:r>
          </w:p>
        </w:tc>
        <w:tc>
          <w:tcPr>
            <w:tcW w:w="46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132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Amendment </w:t>
            </w:r>
            <w:r>
              <w:rPr>
                <w:rFonts w:ascii="Times New Roman" w:cs="Times New Roman" w:eastAsia="Times New Roman" w:hAnsi="Times New Roman"/>
                <w:sz w:val="10"/>
                <w:szCs w:val="10"/>
                <w:color w:val="auto"/>
                <w:vertAlign w:val="superscript"/>
              </w:rPr>
              <w:t>(8)</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6/21/2024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06/21/2027</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23,451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235</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Beacon Behavioral Support Services, LLC - Unfunded Revolver </w:t>
            </w:r>
            <w:r>
              <w:rPr>
                <w:rFonts w:ascii="Times New Roman" w:cs="Times New Roman" w:eastAsia="Times New Roman" w:hAnsi="Times New Roman"/>
                <w:sz w:val="10"/>
                <w:szCs w:val="10"/>
                <w:color w:val="auto"/>
                <w:vertAlign w:val="superscript"/>
              </w:rPr>
              <w:t>(8)</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6/21/2024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06/21/2029</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2,104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Best Practice Associates, LLC</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11/7/2024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11/08/2029</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10.91%</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SOFR+ 675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58,796</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58,047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58,355</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Best Practice Associates, LLC - Unfunded Revolver </w:t>
            </w:r>
            <w:r>
              <w:rPr>
                <w:rFonts w:ascii="Times New Roman" w:cs="Times New Roman" w:eastAsia="Times New Roman" w:hAnsi="Times New Roman"/>
                <w:sz w:val="10"/>
                <w:szCs w:val="10"/>
                <w:color w:val="auto"/>
                <w:vertAlign w:val="superscript"/>
              </w:rPr>
              <w:t>(8)</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11/7/2024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11/08/2029</w:t>
            </w:r>
          </w:p>
        </w:tc>
        <w:tc>
          <w:tcPr>
            <w:tcW w:w="13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5,732</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(43)</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Beta Plus Technologies, Inc.</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2/29/2024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07/02/2029</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Internet Software and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9.75%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1M SOFR+ 575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32,742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32,027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32,415</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Big Top Holdings, LLC</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2/29/2024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03/01/2030</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9.50%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SOFR+ 550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34,812</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34,384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34,812</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Big Top Holdings, LLC - Unfunded Revolver </w:t>
            </w:r>
            <w:r>
              <w:rPr>
                <w:rFonts w:ascii="Times New Roman" w:cs="Times New Roman" w:eastAsia="Times New Roman" w:hAnsi="Times New Roman"/>
                <w:sz w:val="10"/>
                <w:szCs w:val="10"/>
                <w:color w:val="auto"/>
                <w:vertAlign w:val="superscript"/>
              </w:rPr>
              <w:t>(8)</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2/29/2024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02/28/2030</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4,479</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Bioderm, Inc.</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8/27/2025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01/31/2028</w:t>
            </w:r>
          </w:p>
        </w:tc>
        <w:tc>
          <w:tcPr>
            <w:tcW w:w="13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Equipment and Supplies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10.77%</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1M SOFR+ 650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992</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981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980</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Bioderm, Inc. - Funded Revolver</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1/30/2023</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01/31/2028</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Equipment and Supplies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10.77%</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1M SOFR+ 650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1,071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1,071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1,058</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Blackhawk Industrial Distribution, Inc.</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6/27/2022</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09/17/2026</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9.40%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SOFR+ 540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8,126</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8,095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7,984</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Blackhawk Industrial Distribution, Inc. - Funded Revolver </w:t>
            </w:r>
            <w:r>
              <w:rPr>
                <w:rFonts w:ascii="Times New Roman" w:cs="Times New Roman" w:eastAsia="Times New Roman" w:hAnsi="Times New Roman"/>
                <w:sz w:val="10"/>
                <w:szCs w:val="10"/>
                <w:color w:val="auto"/>
                <w:vertAlign w:val="superscript"/>
              </w:rPr>
              <w:t>(6)</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6/27/2022</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09/17/2026</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9.40%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SOFR+ 540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1,747</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1,747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1,717</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Blackhawk Industrial Distribution, Inc. - Unfunded Revolver </w:t>
            </w:r>
            <w:r>
              <w:rPr>
                <w:rFonts w:ascii="Times New Roman" w:cs="Times New Roman" w:eastAsia="Times New Roman" w:hAnsi="Times New Roman"/>
                <w:sz w:val="10"/>
                <w:szCs w:val="10"/>
                <w:color w:val="auto"/>
                <w:vertAlign w:val="superscript"/>
              </w:rPr>
              <w:t>(8)</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6/27/2022</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09/17/2026</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2,135</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(37)</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BLC Holding Company, Inc.</w:t>
            </w:r>
          </w:p>
        </w:tc>
        <w:tc>
          <w:tcPr>
            <w:tcW w:w="9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11/20/2024 11/20/2030</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8.50%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SOFR+ 450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23,155</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23,007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23,155</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BLC Holding Company, Inc. - Unfunded Term Loan </w:t>
            </w:r>
            <w:r>
              <w:rPr>
                <w:rFonts w:ascii="Times New Roman" w:cs="Times New Roman" w:eastAsia="Times New Roman" w:hAnsi="Times New Roman"/>
                <w:sz w:val="10"/>
                <w:szCs w:val="10"/>
                <w:color w:val="auto"/>
                <w:vertAlign w:val="superscript"/>
              </w:rPr>
              <w:t>(8)</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11/20/2024 11/20/2026</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10,994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82</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BLC Holding Company, Inc. - Funded Revolver</w:t>
            </w:r>
          </w:p>
        </w:tc>
        <w:tc>
          <w:tcPr>
            <w:tcW w:w="9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11/20/2024 11/20/2030</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8.50%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SOFR+ 450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484</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484</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484</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BLC Holding Company, Inc. - Unfunded Revolver </w:t>
            </w:r>
            <w:r>
              <w:rPr>
                <w:rFonts w:ascii="Times New Roman" w:cs="Times New Roman" w:eastAsia="Times New Roman" w:hAnsi="Times New Roman"/>
                <w:sz w:val="10"/>
                <w:szCs w:val="10"/>
                <w:color w:val="auto"/>
                <w:vertAlign w:val="superscript"/>
              </w:rPr>
              <w:t>(8)</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11/20/2024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11/20/2030</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3,914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Blue Cloud Pediatric Surgery Centers LLC</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8/12/2025</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01/21/2031</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9.48%</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SOFR+ 525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4,988</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4,938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4,938</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Blue Cloud Pediatric Surgery Centers LLC - Unfunded Term Loan </w:t>
            </w:r>
            <w:r>
              <w:rPr>
                <w:rFonts w:ascii="Times New Roman" w:cs="Times New Roman" w:eastAsia="Times New Roman" w:hAnsi="Times New Roman"/>
                <w:sz w:val="10"/>
                <w:szCs w:val="10"/>
                <w:color w:val="auto"/>
                <w:vertAlign w:val="superscript"/>
              </w:rPr>
              <w:t>(8)</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8/12/2025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07/30/2027</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5,517</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80" w:type="dxa"/>
            <w:vAlign w:val="bottom"/>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Independent Power and Renewable</w:t>
            </w:r>
          </w:p>
        </w:tc>
        <w:tc>
          <w:tcPr>
            <w:tcW w:w="58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Boss Industries, LLC</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12/27/2024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12/27/2030</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Electricity Producers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9.00%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17,952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17,833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17,952</w:t>
            </w: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Independent Power and Renewable</w:t>
            </w: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8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Boss Industries, LLC - Unfunded Revolver </w:t>
            </w:r>
            <w:r>
              <w:rPr>
                <w:rFonts w:ascii="Times New Roman" w:cs="Times New Roman" w:eastAsia="Times New Roman" w:hAnsi="Times New Roman"/>
                <w:sz w:val="10"/>
                <w:szCs w:val="10"/>
                <w:color w:val="auto"/>
                <w:vertAlign w:val="superscript"/>
              </w:rPr>
              <w:t>(8)</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12/27/2024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12/27/2030</w:t>
            </w:r>
          </w:p>
        </w:tc>
        <w:tc>
          <w:tcPr>
            <w:tcW w:w="13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Electricity Producers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2,744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Burgess Point Purchaser Corporation</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8/12/2024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07/25/2029</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 Components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9.51%</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SOFR+ 535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18,722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17,573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16,184</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By Light Professional IT Services, LLC</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7/15/2025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07/15/2031</w:t>
            </w:r>
          </w:p>
        </w:tc>
        <w:tc>
          <w:tcPr>
            <w:tcW w:w="13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High Tech Industries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9.66%</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1M SOFR+ 550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41,446</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41,135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41,135</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By Light Professional IT Services, LLC - Unfunded Revolver </w:t>
            </w:r>
            <w:r>
              <w:rPr>
                <w:rFonts w:ascii="Times New Roman" w:cs="Times New Roman" w:eastAsia="Times New Roman" w:hAnsi="Times New Roman"/>
                <w:sz w:val="10"/>
                <w:szCs w:val="10"/>
                <w:color w:val="auto"/>
                <w:vertAlign w:val="superscript"/>
              </w:rPr>
              <w:t>(6), (8)</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7/15/2025</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07/15/2031</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High Tech Industries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3,671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(28)</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Capital Construction, LLC</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6/30/2025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10/22/2026</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10.20%</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8,000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7,950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7,920</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Capital Construction, LLC - Unfunded Term Loan </w:t>
            </w:r>
            <w:r>
              <w:rPr>
                <w:rFonts w:ascii="Times New Roman" w:cs="Times New Roman" w:eastAsia="Times New Roman" w:hAnsi="Times New Roman"/>
                <w:sz w:val="10"/>
                <w:szCs w:val="10"/>
                <w:color w:val="auto"/>
                <w:vertAlign w:val="superscript"/>
              </w:rPr>
              <w:t>(8)</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6/30/2025</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12/30/2025</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14,459</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(36)</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Carisk Buyer, Inc.</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11/27/2023 12/03/2029</w:t>
            </w:r>
          </w:p>
        </w:tc>
        <w:tc>
          <w:tcPr>
            <w:tcW w:w="13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9.00%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11,309</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11,234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11,309</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Carisk Buyer, Inc. - Unfunded Term Loan </w:t>
            </w:r>
            <w:r>
              <w:rPr>
                <w:rFonts w:ascii="Times New Roman" w:cs="Times New Roman" w:eastAsia="Times New Roman" w:hAnsi="Times New Roman"/>
                <w:sz w:val="10"/>
                <w:szCs w:val="10"/>
                <w:color w:val="auto"/>
                <w:vertAlign w:val="superscript"/>
              </w:rPr>
              <w:t>(8)</w:t>
            </w:r>
          </w:p>
        </w:tc>
        <w:tc>
          <w:tcPr>
            <w:tcW w:w="9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11/27/2023 12/03/2029</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7,868</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71</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Carisk Buyer, Inc. - Unfunded Revolver </w:t>
            </w:r>
            <w:r>
              <w:rPr>
                <w:rFonts w:ascii="Times New Roman" w:cs="Times New Roman" w:eastAsia="Times New Roman" w:hAnsi="Times New Roman"/>
                <w:sz w:val="10"/>
                <w:szCs w:val="10"/>
                <w:color w:val="auto"/>
                <w:vertAlign w:val="superscript"/>
              </w:rPr>
              <w:t>(6), (8)</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11/27/2023</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12/03/2029</w:t>
            </w:r>
          </w:p>
        </w:tc>
        <w:tc>
          <w:tcPr>
            <w:tcW w:w="13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1,750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Carnegie Dartlet, LLC</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2/7/2024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02/07/2030</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9.66%</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SOFR+ 550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33,807</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33,385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33,469</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Carnegie Dartlet, LLC - Unfunded Term Loan </w:t>
            </w:r>
            <w:r>
              <w:rPr>
                <w:rFonts w:ascii="Times New Roman" w:cs="Times New Roman" w:eastAsia="Times New Roman" w:hAnsi="Times New Roman"/>
                <w:sz w:val="10"/>
                <w:szCs w:val="10"/>
                <w:color w:val="auto"/>
                <w:vertAlign w:val="superscript"/>
              </w:rPr>
              <w:t>(8)</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2/7/2024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02/09/2026</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12,430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Carnegie Dartlet, LLC - Unfunded Revolver </w:t>
            </w:r>
            <w:r>
              <w:rPr>
                <w:rFonts w:ascii="Times New Roman" w:cs="Times New Roman" w:eastAsia="Times New Roman" w:hAnsi="Times New Roman"/>
                <w:sz w:val="10"/>
                <w:szCs w:val="10"/>
                <w:color w:val="auto"/>
                <w:vertAlign w:val="superscript"/>
              </w:rPr>
              <w:t>(8)</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2/7/2024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02/07/2030</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5,405</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(54)</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Cartessa Aesthetics, LLC</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6/1/2022</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06/14/2028</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10.00%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SOFR+ 600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15,721</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15,614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15,721</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Cartessa Aesthetics, LLC - Funded Revolver </w:t>
            </w:r>
            <w:r>
              <w:rPr>
                <w:rFonts w:ascii="Times New Roman" w:cs="Times New Roman" w:eastAsia="Times New Roman" w:hAnsi="Times New Roman"/>
                <w:sz w:val="10"/>
                <w:szCs w:val="10"/>
                <w:color w:val="auto"/>
                <w:vertAlign w:val="superscript"/>
              </w:rPr>
              <w:t>(6)</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6/1/2022</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06/14/2028</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10.00%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SOFR+ 600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511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511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511</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Cartessa Aesthetics, LLC - Unfunded Revolver </w:t>
            </w:r>
            <w:r>
              <w:rPr>
                <w:rFonts w:ascii="Times New Roman" w:cs="Times New Roman" w:eastAsia="Times New Roman" w:hAnsi="Times New Roman"/>
                <w:sz w:val="10"/>
                <w:szCs w:val="10"/>
                <w:color w:val="auto"/>
                <w:vertAlign w:val="superscript"/>
              </w:rPr>
              <w:t>(6), (8)</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6/1/2022</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06/14/2028</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927</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Case Works, LLC</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10/1/2024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10/01/2029</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9.25%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SOFR+ 525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20,486</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20,336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19,564</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Case Works, LLC - Funded Revolver</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10/1/2024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10/01/2029</w:t>
            </w: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9.25%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SOFR+ 525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3,903</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3,903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3,727</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Case Works, LLC - Unfunded Revolver </w:t>
            </w:r>
            <w:r>
              <w:rPr>
                <w:rFonts w:ascii="Times New Roman" w:cs="Times New Roman" w:eastAsia="Times New Roman" w:hAnsi="Times New Roman"/>
                <w:sz w:val="10"/>
                <w:szCs w:val="10"/>
                <w:color w:val="auto"/>
                <w:vertAlign w:val="superscript"/>
              </w:rPr>
              <w:t>(8)</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10/1/2024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10/01/2029</w:t>
            </w:r>
          </w:p>
        </w:tc>
        <w:tc>
          <w:tcPr>
            <w:tcW w:w="13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205</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w:t>
            </w: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Cf512, Inc.</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8/17/2021</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08/20/2026</w:t>
            </w:r>
          </w:p>
        </w:tc>
        <w:tc>
          <w:tcPr>
            <w:tcW w:w="13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10.19%</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SOFR+ 619</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10,300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10,240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10,197</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Cf512, Inc. - Funded Revolver</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8/17/2021</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08/20/2026</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10.18%</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SOFR+ 602</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86</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85</w:t>
            </w:r>
          </w:p>
        </w:tc>
        <w:tc>
          <w:tcPr>
            <w:tcW w:w="0" w:type="dxa"/>
            <w:vAlign w:val="bottom"/>
          </w:tcPr>
          <w:p>
            <w:pPr>
              <w:spacing w:after="0"/>
              <w:rPr>
                <w:sz w:val="1"/>
                <w:szCs w:val="1"/>
                <w:color w:val="auto"/>
              </w:rPr>
            </w:pPr>
          </w:p>
        </w:tc>
      </w:tr>
      <w:tr>
        <w:trPr>
          <w:trHeight w:val="101"/>
        </w:trPr>
        <w:tc>
          <w:tcPr>
            <w:tcW w:w="23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Cf512, Inc. - Unfunded Revolver </w:t>
            </w:r>
            <w:r>
              <w:rPr>
                <w:rFonts w:ascii="Times New Roman" w:cs="Times New Roman" w:eastAsia="Times New Roman" w:hAnsi="Times New Roman"/>
                <w:sz w:val="10"/>
                <w:szCs w:val="10"/>
                <w:color w:val="auto"/>
                <w:vertAlign w:val="superscript"/>
              </w:rPr>
              <w:t>(6), (8)</w:t>
            </w:r>
          </w:p>
        </w:tc>
        <w:tc>
          <w:tcPr>
            <w:tcW w:w="4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8/17/2021</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08/20/2026</w:t>
            </w:r>
          </w:p>
        </w:tc>
        <w:tc>
          <w:tcPr>
            <w:tcW w:w="13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869</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w:t>
            </w:r>
          </w:p>
        </w:tc>
        <w:tc>
          <w:tcPr>
            <w:tcW w:w="0" w:type="dxa"/>
            <w:vAlign w:val="bottom"/>
          </w:tcPr>
          <w:p>
            <w:pPr>
              <w:spacing w:after="0"/>
              <w:rPr>
                <w:sz w:val="1"/>
                <w:szCs w:val="1"/>
                <w:color w:val="auto"/>
              </w:rPr>
            </w:pPr>
          </w:p>
        </w:tc>
      </w:tr>
      <w:tr>
        <w:trPr>
          <w:trHeight w:val="101"/>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CJX Borrower, LLC</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7/8/2021</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07/13/2027</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10.08%</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SOFR+ 576</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8,201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8,135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8,201</w:t>
            </w:r>
          </w:p>
        </w:tc>
        <w:tc>
          <w:tcPr>
            <w:tcW w:w="0" w:type="dxa"/>
            <w:vAlign w:val="bottom"/>
          </w:tcPr>
          <w:p>
            <w:pPr>
              <w:spacing w:after="0"/>
              <w:rPr>
                <w:sz w:val="1"/>
                <w:szCs w:val="1"/>
                <w:color w:val="auto"/>
              </w:rPr>
            </w:pPr>
          </w:p>
        </w:tc>
      </w:tr>
    </w:tbl>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September 30,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22" w:lineRule="exact"/>
        <w:rPr>
          <w:sz w:val="20"/>
          <w:szCs w:val="20"/>
          <w:color w:val="auto"/>
        </w:rPr>
      </w:pPr>
    </w:p>
    <w:tbl>
      <w:tblPr>
        <w:tblLayout w:type="fixed"/>
        <w:tblInd w:w="780" w:type="dxa"/>
        <w:tblCellMar>
          <w:top w:w="0" w:type="dxa"/>
          <w:left w:w="0" w:type="dxa"/>
          <w:bottom w:w="0" w:type="dxa"/>
          <w:right w:w="0" w:type="dxa"/>
        </w:tblCellMar>
      </w:tblPr>
      <w:tr>
        <w:trPr>
          <w:trHeight w:val="112"/>
        </w:trPr>
        <w:tc>
          <w:tcPr>
            <w:tcW w:w="234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8"/>
                <w:szCs w:val="8"/>
                <w:b w:val="1"/>
                <w:bCs w:val="1"/>
                <w:color w:val="auto"/>
                <w:w w:val="97"/>
              </w:rPr>
              <w:t>Acquisition</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580" w:type="dxa"/>
            <w:vAlign w:val="bottom"/>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b w:val="1"/>
                <w:bCs w:val="1"/>
                <w:color w:val="auto"/>
                <w:w w:val="99"/>
              </w:rPr>
              <w:t>Basis Point Spread</w:t>
            </w:r>
          </w:p>
        </w:tc>
        <w:tc>
          <w:tcPr>
            <w:tcW w:w="580" w:type="dxa"/>
            <w:vAlign w:val="bottom"/>
            <w:vMerge w:val="restart"/>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Par / Shares</w:t>
            </w:r>
          </w:p>
        </w:tc>
        <w:tc>
          <w:tcPr>
            <w:tcW w:w="380" w:type="dxa"/>
            <w:vAlign w:val="bottom"/>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Cost</w:t>
            </w: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Fair Value</w:t>
            </w:r>
          </w:p>
        </w:tc>
        <w:tc>
          <w:tcPr>
            <w:tcW w:w="0" w:type="dxa"/>
            <w:vAlign w:val="bottom"/>
          </w:tcPr>
          <w:p>
            <w:pPr>
              <w:spacing w:after="0"/>
              <w:rPr>
                <w:sz w:val="1"/>
                <w:szCs w:val="1"/>
                <w:color w:val="auto"/>
              </w:rPr>
            </w:pPr>
          </w:p>
        </w:tc>
      </w:tr>
      <w:tr>
        <w:trPr>
          <w:trHeight w:val="92"/>
        </w:trPr>
        <w:tc>
          <w:tcPr>
            <w:tcW w:w="23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580" w:type="dxa"/>
            <w:vAlign w:val="bottom"/>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Coupon</w:t>
            </w:r>
          </w:p>
        </w:tc>
        <w:tc>
          <w:tcPr>
            <w:tcW w:w="800" w:type="dxa"/>
            <w:vAlign w:val="bottom"/>
          </w:tcPr>
          <w:p>
            <w:pPr>
              <w:jc w:val="center"/>
              <w:ind w:right="40"/>
              <w:spacing w:after="0" w:line="92" w:lineRule="exact"/>
              <w:rPr>
                <w:sz w:val="20"/>
                <w:szCs w:val="20"/>
                <w:color w:val="auto"/>
              </w:rPr>
            </w:pPr>
            <w:r>
              <w:rPr>
                <w:rFonts w:ascii="Times New Roman" w:cs="Times New Roman" w:eastAsia="Times New Roman" w:hAnsi="Times New Roman"/>
                <w:sz w:val="8"/>
                <w:szCs w:val="8"/>
                <w:b w:val="1"/>
                <w:bCs w:val="1"/>
                <w:color w:val="auto"/>
                <w:w w:val="97"/>
              </w:rPr>
              <w:t xml:space="preserve">Above Index </w:t>
            </w:r>
            <w:r>
              <w:rPr>
                <w:rFonts w:ascii="Times New Roman" w:cs="Times New Roman" w:eastAsia="Times New Roman" w:hAnsi="Times New Roman"/>
                <w:sz w:val="10"/>
                <w:szCs w:val="10"/>
                <w:b w:val="1"/>
                <w:bCs w:val="1"/>
                <w:color w:val="auto"/>
                <w:w w:val="97"/>
                <w:vertAlign w:val="superscript"/>
              </w:rPr>
              <w:t>(1)</w:t>
            </w:r>
          </w:p>
        </w:tc>
        <w:tc>
          <w:tcPr>
            <w:tcW w:w="5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520" w:type="dxa"/>
            <w:vAlign w:val="bottom"/>
          </w:tcPr>
          <w:p>
            <w:pPr>
              <w:jc w:val="right"/>
              <w:ind w:right="220"/>
              <w:spacing w:after="0"/>
              <w:rPr>
                <w:sz w:val="20"/>
                <w:szCs w:val="20"/>
                <w:color w:val="auto"/>
              </w:rPr>
            </w:pPr>
            <w:r>
              <w:rPr>
                <w:rFonts w:ascii="Times New Roman" w:cs="Times New Roman" w:eastAsia="Times New Roman" w:hAnsi="Times New Roman"/>
                <w:sz w:val="5"/>
                <w:szCs w:val="5"/>
                <w:b w:val="1"/>
                <w:bCs w:val="1"/>
                <w:color w:val="auto"/>
              </w:rPr>
              <w:t>(2)</w:t>
            </w:r>
          </w:p>
        </w:tc>
        <w:tc>
          <w:tcPr>
            <w:tcW w:w="0" w:type="dxa"/>
            <w:vAlign w:val="bottom"/>
          </w:tcPr>
          <w:p>
            <w:pPr>
              <w:spacing w:after="0"/>
              <w:rPr>
                <w:sz w:val="1"/>
                <w:szCs w:val="1"/>
                <w:color w:val="auto"/>
              </w:rPr>
            </w:pPr>
          </w:p>
        </w:tc>
      </w:tr>
      <w:tr>
        <w:trPr>
          <w:trHeight w:val="100"/>
        </w:trPr>
        <w:tc>
          <w:tcPr>
            <w:tcW w:w="234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CJX Borrower, LLC - Unfunded Term Loan </w:t>
            </w:r>
            <w:r>
              <w:rPr>
                <w:rFonts w:ascii="Times New Roman" w:cs="Times New Roman" w:eastAsia="Times New Roman" w:hAnsi="Times New Roman"/>
                <w:sz w:val="10"/>
                <w:szCs w:val="10"/>
                <w:color w:val="auto"/>
                <w:vertAlign w:val="superscript"/>
              </w:rPr>
              <w:t>(8)</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7/8/2021</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07/13/2027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446</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82</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CJX Borrower, LLC - Funded Revolver</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7/8/2021</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07/13/2027</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10.07%</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SOFR+ 576</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593</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593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593</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CJX Borrower, LLC - Unfunded Revolver </w:t>
            </w:r>
            <w:r>
              <w:rPr>
                <w:rFonts w:ascii="Times New Roman" w:cs="Times New Roman" w:eastAsia="Times New Roman" w:hAnsi="Times New Roman"/>
                <w:sz w:val="10"/>
                <w:szCs w:val="10"/>
                <w:color w:val="auto"/>
                <w:vertAlign w:val="superscript"/>
              </w:rPr>
              <w:t>(8)</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7/8/2021</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07/13/2027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642</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Coolsys, Inc.</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8/27/2025</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08/11/2028</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9.34%</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SOFR+ 501</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2,251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1,920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1,984</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Commercial Fire Protection Holdings, LLC</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9/23/2024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09/23/2030</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8.50%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SOFR+ 450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38,329</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38,070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38,329</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Commercial Fire Protection Holdings, LLC - Unfunded Term Loan </w:t>
            </w:r>
            <w:r>
              <w:rPr>
                <w:rFonts w:ascii="Times New Roman" w:cs="Times New Roman" w:eastAsia="Times New Roman" w:hAnsi="Times New Roman"/>
                <w:sz w:val="10"/>
                <w:szCs w:val="10"/>
                <w:color w:val="auto"/>
                <w:vertAlign w:val="superscript"/>
              </w:rPr>
              <w:t>(8)</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9/23/2024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09/23/2026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13,370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100</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Commercial Fire Protection Holdings, LLC - Unfunded Revolver </w:t>
            </w:r>
            <w:r>
              <w:rPr>
                <w:rFonts w:ascii="Times New Roman" w:cs="Times New Roman" w:eastAsia="Times New Roman" w:hAnsi="Times New Roman"/>
                <w:sz w:val="10"/>
                <w:szCs w:val="10"/>
                <w:color w:val="auto"/>
                <w:vertAlign w:val="superscript"/>
              </w:rPr>
              <w:t>(8)</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9/23/2024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09/23/2030</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5,014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Compex Legal Services, Inc.</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1/27/2020</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02/07/2026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9.55%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SOFR+ 555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10,720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10,716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10,720</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Compex Legal Services, Inc. - Funded Revolver</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1/27/2020</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02/07/2026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9.51%</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SOFR+ 555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984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984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984</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Compex Legal Services, Inc. - Unfunded Revolver </w:t>
            </w:r>
            <w:r>
              <w:rPr>
                <w:rFonts w:ascii="Times New Roman" w:cs="Times New Roman" w:eastAsia="Times New Roman" w:hAnsi="Times New Roman"/>
                <w:sz w:val="10"/>
                <w:szCs w:val="10"/>
                <w:color w:val="auto"/>
                <w:vertAlign w:val="superscript"/>
              </w:rPr>
              <w:t>(6), (8)</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1/27/2020</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02/07/2026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Confluent Health, LLC</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3/25/2024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11/30/2028</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8.28%</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1M SOFR+ 400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11,703</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11,165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11,391</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Cornerstone Advisors of Arizona, LLC</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5/13/2025</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05/13/2032</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Consulting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8.75%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SOFR+ 475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12,833</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12,769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12,769</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Cornerstone Advisors of Arizona, LLC - Unfunded Revolver </w:t>
            </w:r>
            <w:r>
              <w:rPr>
                <w:rFonts w:ascii="Times New Roman" w:cs="Times New Roman" w:eastAsia="Times New Roman" w:hAnsi="Times New Roman"/>
                <w:sz w:val="10"/>
                <w:szCs w:val="10"/>
                <w:color w:val="auto"/>
                <w:vertAlign w:val="superscript"/>
              </w:rPr>
              <w:t>(8)</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5/13/2025</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05/13/2032</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Consulting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1,705</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Crane 1 Services, Inc.</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8/11/2021</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08/16/2027</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10.03%</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SOFR+ 575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6,756</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6,703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6,705</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Crane 1 Services, Inc. - Unfunded Revolver </w:t>
            </w:r>
            <w:r>
              <w:rPr>
                <w:rFonts w:ascii="Times New Roman" w:cs="Times New Roman" w:eastAsia="Times New Roman" w:hAnsi="Times New Roman"/>
                <w:sz w:val="10"/>
                <w:szCs w:val="10"/>
                <w:color w:val="auto"/>
                <w:vertAlign w:val="superscript"/>
              </w:rPr>
              <w:t>(6), (8)</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8/11/2021</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08/16/2027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502</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C5MI Acquisition, LLC</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7/31/2024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07/31/2029</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10.00%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SOFR+ 600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28,710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28,357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28,710</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C5MI Acquisition, LLC - Unfunded Revolver </w:t>
            </w:r>
            <w:r>
              <w:rPr>
                <w:rFonts w:ascii="Times New Roman" w:cs="Times New Roman" w:eastAsia="Times New Roman" w:hAnsi="Times New Roman"/>
                <w:sz w:val="10"/>
                <w:szCs w:val="10"/>
                <w:color w:val="auto"/>
                <w:vertAlign w:val="superscript"/>
              </w:rPr>
              <w:t>(8)</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7/31/2024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07/31/2029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9,093</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DRI Holding Inc.</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5/23/2024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12/21/2028</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9.51%</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1M SOFR+ 535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13,168</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12,931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12,905</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DRS Holdings III, Inc.</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10/29/2019</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11/03/2025</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Chemicals, Plastics and Rubber</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9.41%</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SOFR+ 525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6,714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6,707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6,781</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DRS Holdings III, Inc. - Unfunded Revolver </w:t>
            </w:r>
            <w:r>
              <w:rPr>
                <w:rFonts w:ascii="Times New Roman" w:cs="Times New Roman" w:eastAsia="Times New Roman" w:hAnsi="Times New Roman"/>
                <w:sz w:val="10"/>
                <w:szCs w:val="10"/>
                <w:color w:val="auto"/>
                <w:vertAlign w:val="superscript"/>
              </w:rPr>
              <w:t>(6), (8)</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10/29/2019</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11/03/2025</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487</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Duggal Acquisition, LLC</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9/30/2024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09/30/2030</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Marketing Services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8.75%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SOFR+ 475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10,218</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10,130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10,218</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Duggal Acquisition, LLC - Unfunded Term Loan </w:t>
            </w:r>
            <w:r>
              <w:rPr>
                <w:rFonts w:ascii="Times New Roman" w:cs="Times New Roman" w:eastAsia="Times New Roman" w:hAnsi="Times New Roman"/>
                <w:sz w:val="10"/>
                <w:szCs w:val="10"/>
                <w:color w:val="auto"/>
                <w:vertAlign w:val="superscript"/>
              </w:rPr>
              <w:t>(8)</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9/30/2024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09/30/2026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Marketing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4,470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45</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Duggal Acquisition, LLC - Unfunded Revolver </w:t>
            </w:r>
            <w:r>
              <w:rPr>
                <w:rFonts w:ascii="Times New Roman" w:cs="Times New Roman" w:eastAsia="Times New Roman" w:hAnsi="Times New Roman"/>
                <w:sz w:val="10"/>
                <w:szCs w:val="10"/>
                <w:color w:val="auto"/>
                <w:vertAlign w:val="superscript"/>
              </w:rPr>
              <w:t>(8)</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9/30/2024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09/30/2030</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Marketing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5,605</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Dynata, LLC - First Out Term Loan</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7/15/2024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07/17/2028</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9.46%</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SOFR+ 526</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2,365</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2,261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2,354</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Dynata, LLC - Last Out Term Loan</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7/15/2024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10/16/2028</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9.96%</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SOFR+ 576</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14,672</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14,131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11,946</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Emergency Care Partners, LLC</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10/18/2024 10/18/2027</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9.00%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15,484</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15,412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15,484</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Emergency Care Partners, LLC - Unfunded Term Loan </w:t>
            </w:r>
            <w:r>
              <w:rPr>
                <w:rFonts w:ascii="Times New Roman" w:cs="Times New Roman" w:eastAsia="Times New Roman" w:hAnsi="Times New Roman"/>
                <w:sz w:val="10"/>
                <w:szCs w:val="10"/>
                <w:color w:val="auto"/>
                <w:vertAlign w:val="superscript"/>
              </w:rPr>
              <w:t>(8)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10/18/2024 10/19/2026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4,320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Emergency Care Partners, LLC - Unfunded Revolver </w:t>
            </w:r>
            <w:r>
              <w:rPr>
                <w:rFonts w:ascii="Times New Roman" w:cs="Times New Roman" w:eastAsia="Times New Roman" w:hAnsi="Times New Roman"/>
                <w:sz w:val="10"/>
                <w:szCs w:val="10"/>
                <w:color w:val="auto"/>
                <w:vertAlign w:val="superscript"/>
              </w:rPr>
              <w:t>(8)</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10/18/2024 10/18/2027</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1,810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Electronic Equipment, Instruments, and</w:t>
            </w: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EDS Buyer, LLC</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12/19/2022 01/10/2029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Components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8.75%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SOFR+ 475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12,545</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12,449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12,577</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Electronic Equipment, Instruments, and</w:t>
            </w:r>
          </w:p>
        </w:tc>
        <w:tc>
          <w:tcPr>
            <w:tcW w:w="58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EDS Buyer, LLC. - Unfunded Revolver </w:t>
            </w:r>
            <w:r>
              <w:rPr>
                <w:rFonts w:ascii="Times New Roman" w:cs="Times New Roman" w:eastAsia="Times New Roman" w:hAnsi="Times New Roman"/>
                <w:sz w:val="10"/>
                <w:szCs w:val="10"/>
                <w:color w:val="auto"/>
                <w:vertAlign w:val="superscript"/>
              </w:rPr>
              <w:t>(6), (8)</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12/19/2022 01/10/2029</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Components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2,298</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Efficient Collaborative Retail Marketing Company, LLC</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10/23/2018</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09/30/2026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Media: Diversified and Production</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11.01%</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SOFR+ 675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8,357</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8,379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6,686</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60" w:type="dxa"/>
            <w:vAlign w:val="bottom"/>
            <w:shd w:val="clear" w:color="auto" w:fill="CCECFF"/>
          </w:tcPr>
          <w:p>
            <w:pPr>
              <w:spacing w:after="0"/>
              <w:rPr>
                <w:sz w:val="8"/>
                <w:szCs w:val="8"/>
                <w:color w:val="auto"/>
              </w:rPr>
            </w:pP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(PIK 3.75%)</w:t>
            </w:r>
          </w:p>
        </w:tc>
        <w:tc>
          <w:tcPr>
            <w:tcW w:w="8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ETE Intermediate II, LLC</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5/24/2023</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05/29/2029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9.16%</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2,633</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2,623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2,633</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ETE Intermediate II, LLC - Funded Revolver</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5/24/2023</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05/25/2029</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9.17%</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166</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166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166</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ETE Intermediate II, LLC - Unfunded Revolver </w:t>
            </w:r>
            <w:r>
              <w:rPr>
                <w:rFonts w:ascii="Times New Roman" w:cs="Times New Roman" w:eastAsia="Times New Roman" w:hAnsi="Times New Roman"/>
                <w:sz w:val="10"/>
                <w:szCs w:val="10"/>
                <w:color w:val="auto"/>
                <w:vertAlign w:val="superscript"/>
              </w:rPr>
              <w:t>(8)</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5/24/2023</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05/25/2029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2,264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Eval Home Care Solutions Intermediate, LLC</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5/10/2024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05/10/2030</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Education and Childcare</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9.91%</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1M SOFR+ 575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17,758</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17,568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17,758</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Eval Home Care Solutions Intermediate, LLC - Unfunded Revolver </w:t>
            </w:r>
            <w:r>
              <w:rPr>
                <w:rFonts w:ascii="Times New Roman" w:cs="Times New Roman" w:eastAsia="Times New Roman" w:hAnsi="Times New Roman"/>
                <w:sz w:val="10"/>
                <w:szCs w:val="10"/>
                <w:color w:val="auto"/>
                <w:vertAlign w:val="superscript"/>
              </w:rPr>
              <w:t>(8)</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5/10/2024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05/10/2030</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Education and Childcare</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2,640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Exigo Intermediate II, LLC</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8/27/2025</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03/15/2027</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10.51%</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1M SOFR+ 635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4,787</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4,787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4,787</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Exigo Intermediate II, LLC - Unfunded Revolver </w:t>
            </w:r>
            <w:r>
              <w:rPr>
                <w:rFonts w:ascii="Times New Roman" w:cs="Times New Roman" w:eastAsia="Times New Roman" w:hAnsi="Times New Roman"/>
                <w:sz w:val="10"/>
                <w:szCs w:val="10"/>
                <w:color w:val="auto"/>
                <w:vertAlign w:val="superscript"/>
              </w:rPr>
              <w:t>(8)</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3/10/2022</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03/15/2027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689</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Express Wash Acquisition Company, LLC</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4/10/2025</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04/10/2031</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10.58%</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SOFR+ 625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35,023</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34,852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34,183</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Express Wash Acquisition Company, LLC - Unfunded Revolver </w:t>
            </w:r>
            <w:r>
              <w:rPr>
                <w:rFonts w:ascii="Times New Roman" w:cs="Times New Roman" w:eastAsia="Times New Roman" w:hAnsi="Times New Roman"/>
                <w:sz w:val="10"/>
                <w:szCs w:val="10"/>
                <w:color w:val="auto"/>
                <w:vertAlign w:val="superscript"/>
              </w:rPr>
              <w:t>(8)</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4/10/2025</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04/10/2031</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2,139</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(51)</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First Medical MSO, LLC</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6/13/2025</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06/13/2031</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9.75%</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7,481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7,408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7,406</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First Medical MSO, LLC - Unfunded Term Loan </w:t>
            </w:r>
            <w:r>
              <w:rPr>
                <w:rFonts w:ascii="Times New Roman" w:cs="Times New Roman" w:eastAsia="Times New Roman" w:hAnsi="Times New Roman"/>
                <w:sz w:val="10"/>
                <w:szCs w:val="10"/>
                <w:color w:val="auto"/>
                <w:vertAlign w:val="superscript"/>
              </w:rPr>
              <w:t>(8)</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6/13/2025</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06/13/2027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5,000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First Medical MSO, LLC - Unfunded Revolver </w:t>
            </w:r>
            <w:r>
              <w:rPr>
                <w:rFonts w:ascii="Times New Roman" w:cs="Times New Roman" w:eastAsia="Times New Roman" w:hAnsi="Times New Roman"/>
                <w:sz w:val="10"/>
                <w:szCs w:val="10"/>
                <w:color w:val="auto"/>
                <w:vertAlign w:val="superscript"/>
              </w:rPr>
              <w:t>(6) (8)</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6/13/2025</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06/13/2031</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1,000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Five Star Buyer, Inc.</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2/21/2023</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02/23/2028</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Hotels, Restaurants and Leisure</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11.46%</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SOFR+ 715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5,214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5,155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5,110</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60" w:type="dxa"/>
            <w:vAlign w:val="bottom"/>
            <w:shd w:val="clear" w:color="auto" w:fill="CCECFF"/>
          </w:tcPr>
          <w:p>
            <w:pPr>
              <w:spacing w:after="0"/>
              <w:rPr>
                <w:sz w:val="8"/>
                <w:szCs w:val="8"/>
                <w:color w:val="auto"/>
              </w:rPr>
            </w:pP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(PIK 1.00%)</w:t>
            </w:r>
          </w:p>
        </w:tc>
        <w:tc>
          <w:tcPr>
            <w:tcW w:w="8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Five Star Buyer, Inc. - Unfunded Revolver </w:t>
            </w:r>
            <w:r>
              <w:rPr>
                <w:rFonts w:ascii="Times New Roman" w:cs="Times New Roman" w:eastAsia="Times New Roman" w:hAnsi="Times New Roman"/>
                <w:sz w:val="10"/>
                <w:szCs w:val="10"/>
                <w:color w:val="auto"/>
                <w:vertAlign w:val="superscript"/>
              </w:rPr>
              <w:t>(8)</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2/21/2023</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02/23/2028</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Hotels, Restaurants and Leisure</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370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Gauge ETE Blocker, LLC</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5/24/2023</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05/21/2029</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12.56%</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285</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285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285</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GGG Midco, LLC</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9/27/2024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09/27/2030</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9.00%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36,984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36,653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36,984</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GGG Midco, LLC - Unfunded Term Loan </w:t>
            </w:r>
            <w:r>
              <w:rPr>
                <w:rFonts w:ascii="Times New Roman" w:cs="Times New Roman" w:eastAsia="Times New Roman" w:hAnsi="Times New Roman"/>
                <w:sz w:val="10"/>
                <w:szCs w:val="10"/>
                <w:color w:val="auto"/>
                <w:vertAlign w:val="superscript"/>
              </w:rPr>
              <w:t>(8)</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9/27/2024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09/27/2026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5,830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58</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GGG Midco, LLC – Unfunded Revolver </w:t>
            </w:r>
            <w:r>
              <w:rPr>
                <w:rFonts w:ascii="Times New Roman" w:cs="Times New Roman" w:eastAsia="Times New Roman" w:hAnsi="Times New Roman"/>
                <w:sz w:val="10"/>
                <w:szCs w:val="10"/>
                <w:color w:val="auto"/>
                <w:vertAlign w:val="superscript"/>
              </w:rPr>
              <w:t>(8)</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9/27/2024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09/27/2030</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1,311</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Global Holdings InterCo, LLC</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3/11/2021</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03/16/2026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Financial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9.74%</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1M SOFR+ 560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9,134</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8,967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9,134</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Graffiti Buyer, Inc.</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8/9/2021</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08/10/2027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Trading Companies &amp; Distributors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9.66%</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SOFR+ 560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5,518</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5,431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5,407</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Graffiti Buyer, Inc. - Unfunded Term Loan </w:t>
            </w:r>
            <w:r>
              <w:rPr>
                <w:rFonts w:ascii="Times New Roman" w:cs="Times New Roman" w:eastAsia="Times New Roman" w:hAnsi="Times New Roman"/>
                <w:sz w:val="10"/>
                <w:szCs w:val="10"/>
                <w:color w:val="auto"/>
                <w:vertAlign w:val="superscript"/>
              </w:rPr>
              <w:t>(8)</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8/9/2021</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08/10/2027</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Trading Companies &amp; Distributors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984</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Graffiti Buyer, Inc. - Funded Revolver</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8/9/2021</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08/10/2027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Trading Companies &amp; Distributors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9.85%</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36</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Graffiti Buyer, Inc. - Unfunded Revolver </w:t>
            </w:r>
            <w:r>
              <w:rPr>
                <w:rFonts w:ascii="Times New Roman" w:cs="Times New Roman" w:eastAsia="Times New Roman" w:hAnsi="Times New Roman"/>
                <w:sz w:val="10"/>
                <w:szCs w:val="10"/>
                <w:color w:val="auto"/>
                <w:vertAlign w:val="superscript"/>
              </w:rPr>
              <w:t>(6), (8)</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8/9/2021</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08/10/2027</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Trading Companies &amp; Distributors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829</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(17)</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Hancock Roofing and Construction, LLC</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12/23/2020 12/31/2026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Insurance</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9.90%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SOFR+ 560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3,916</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3,891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3,877</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Hancock Roofing and Construction, LLC - Funded Revolver </w:t>
            </w:r>
            <w:r>
              <w:rPr>
                <w:rFonts w:ascii="Times New Roman" w:cs="Times New Roman" w:eastAsia="Times New Roman" w:hAnsi="Times New Roman"/>
                <w:sz w:val="10"/>
                <w:szCs w:val="10"/>
                <w:color w:val="auto"/>
                <w:vertAlign w:val="superscript"/>
              </w:rPr>
              <w:t>(6)</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12/23/2020</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12/31/2026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Insurance</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9.76%</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SOFR+ 560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750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750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743</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Halo Buyer, Inc.</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2/7/2025</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08/07/2029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Consumer products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10.16%</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1M SOFR+ 600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10,599</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10,502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10,599</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Halo Buyer, Inc. - Funded Revolver</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2/7/2025</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08/07/2029</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Consumer products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10.16%</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1M SOFR+ 600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522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522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522</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Halo Buyer, Inc. - Unfunded Revolver </w:t>
            </w:r>
            <w:r>
              <w:rPr>
                <w:rFonts w:ascii="Times New Roman" w:cs="Times New Roman" w:eastAsia="Times New Roman" w:hAnsi="Times New Roman"/>
                <w:sz w:val="10"/>
                <w:szCs w:val="10"/>
                <w:color w:val="auto"/>
                <w:vertAlign w:val="superscript"/>
              </w:rPr>
              <w:t>(8)</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2/7/2025</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08/07/2029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Consumer products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2,200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Harris &amp; Co. LLC</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8/9/2024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08/09/2030</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9.16%</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80,066</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79,412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79,365</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Harris &amp; Co. LLC. - Unfunded Term Loan B </w:t>
            </w:r>
            <w:r>
              <w:rPr>
                <w:rFonts w:ascii="Times New Roman" w:cs="Times New Roman" w:eastAsia="Times New Roman" w:hAnsi="Times New Roman"/>
                <w:sz w:val="10"/>
                <w:szCs w:val="10"/>
                <w:color w:val="auto"/>
                <w:vertAlign w:val="superscript"/>
              </w:rPr>
              <w:t>(8)</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8/9/2024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02/09/2026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16,832</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Harris &amp; Co. LLC - Unfunded Term Loan C </w:t>
            </w:r>
            <w:r>
              <w:rPr>
                <w:rFonts w:ascii="Times New Roman" w:cs="Times New Roman" w:eastAsia="Times New Roman" w:hAnsi="Times New Roman"/>
                <w:sz w:val="10"/>
                <w:szCs w:val="10"/>
                <w:color w:val="auto"/>
                <w:vertAlign w:val="superscript"/>
              </w:rPr>
              <w:t>(8)</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8/9/2024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08/18/2027</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4,192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Harris &amp; Co. LLC - Funded Revolver</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8/9/2024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08/09/2030</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9.16%</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1M SOFR+ 500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1,683</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1,683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1,669</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Harris &amp; Co. LLC - Unfunded Revolver </w:t>
            </w:r>
            <w:r>
              <w:rPr>
                <w:rFonts w:ascii="Times New Roman" w:cs="Times New Roman" w:eastAsia="Times New Roman" w:hAnsi="Times New Roman"/>
                <w:sz w:val="10"/>
                <w:szCs w:val="10"/>
                <w:color w:val="auto"/>
                <w:vertAlign w:val="superscript"/>
              </w:rPr>
              <w:t>(8)</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8/9/2024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08/09/2030</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7,936</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(69)</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HEC Purchaser Corp.</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6/17/2024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06/17/2029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Education and Childcare</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8.87%</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17,457</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17,326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17,457</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Help/Systems Holdings, Inc.</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8/27/2025</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11/30/2026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8.41%</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SOFR+ 410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1,953</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1,839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1,839</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Hills Distribution, Inc.</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11/2/2023</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11/08/2029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10.32%</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1M SOFR+ 600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18,294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18,121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18,294</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Hills Distribution, Inc. - Unfunded Term Loan </w:t>
            </w:r>
            <w:r>
              <w:rPr>
                <w:rFonts w:ascii="Times New Roman" w:cs="Times New Roman" w:eastAsia="Times New Roman" w:hAnsi="Times New Roman"/>
                <w:sz w:val="10"/>
                <w:szCs w:val="10"/>
                <w:color w:val="auto"/>
                <w:vertAlign w:val="superscript"/>
              </w:rPr>
              <w:t>(8)</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11/2/2023</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11/07/2025</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1,514</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HW Holdco, LLC</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1/9/2019</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05/11/2026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9.90%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SOFR+ 590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12,283</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12,265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12,283</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HW Holdco, LLC - Unfunded Revolver </w:t>
            </w:r>
            <w:r>
              <w:rPr>
                <w:rFonts w:ascii="Times New Roman" w:cs="Times New Roman" w:eastAsia="Times New Roman" w:hAnsi="Times New Roman"/>
                <w:sz w:val="10"/>
                <w:szCs w:val="10"/>
                <w:color w:val="auto"/>
                <w:vertAlign w:val="superscript"/>
              </w:rPr>
              <w:t>(6), (8)</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1/9/2019</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05/11/2026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1,452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IG Investments Holdings, LLC </w:t>
            </w:r>
            <w:r>
              <w:rPr>
                <w:rFonts w:ascii="Times New Roman" w:cs="Times New Roman" w:eastAsia="Times New Roman" w:hAnsi="Times New Roman"/>
                <w:sz w:val="10"/>
                <w:szCs w:val="10"/>
                <w:color w:val="auto"/>
                <w:vertAlign w:val="superscript"/>
              </w:rPr>
              <w:t>(6)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11/23/2021 09/22/2028</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9.31%</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9,557</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9,477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9,509</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IG Investments Holdings, LLC - Unfunded Revolver </w:t>
            </w:r>
            <w:r>
              <w:rPr>
                <w:rFonts w:ascii="Times New Roman" w:cs="Times New Roman" w:eastAsia="Times New Roman" w:hAnsi="Times New Roman"/>
                <w:sz w:val="10"/>
                <w:szCs w:val="10"/>
                <w:color w:val="auto"/>
                <w:vertAlign w:val="superscript"/>
              </w:rPr>
              <w:t>(6), (8)</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11/23/2021</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09/22/2028</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722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Imagine Acquisitionco, Inc. - Unfunded Revolver </w:t>
            </w:r>
            <w:r>
              <w:rPr>
                <w:rFonts w:ascii="Times New Roman" w:cs="Times New Roman" w:eastAsia="Times New Roman" w:hAnsi="Times New Roman"/>
                <w:sz w:val="10"/>
                <w:szCs w:val="10"/>
                <w:color w:val="auto"/>
                <w:vertAlign w:val="superscript"/>
              </w:rPr>
              <w:t>(8)</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11/4/2021</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11/16/2027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1,193</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Impact Advisors, LLC</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3/21/2025</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03/19/2032</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8.50%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SOFR+ 450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16,517</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16,436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16,517</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Impact Advisors, LLC - Unfunded Term Loan </w:t>
            </w:r>
            <w:r>
              <w:rPr>
                <w:rFonts w:ascii="Times New Roman" w:cs="Times New Roman" w:eastAsia="Times New Roman" w:hAnsi="Times New Roman"/>
                <w:sz w:val="10"/>
                <w:szCs w:val="10"/>
                <w:color w:val="auto"/>
                <w:vertAlign w:val="superscript"/>
              </w:rPr>
              <w:t>(8)</w:t>
            </w:r>
          </w:p>
        </w:tc>
        <w:tc>
          <w:tcPr>
            <w:tcW w:w="5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3/21/2025</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03/21/2027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9,723</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49</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Impact Advisors, LLC - Unfunded Revolver </w:t>
            </w:r>
            <w:r>
              <w:rPr>
                <w:rFonts w:ascii="Times New Roman" w:cs="Times New Roman" w:eastAsia="Times New Roman" w:hAnsi="Times New Roman"/>
                <w:sz w:val="10"/>
                <w:szCs w:val="10"/>
                <w:color w:val="auto"/>
                <w:vertAlign w:val="superscript"/>
              </w:rPr>
              <w:t>(8)</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3/21/2025</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03/19/2032</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1,945</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Infinity Home Services Holdco, Inc.</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12/21/2022 12/28/2028</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10.00%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SOFR+ 600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14,855</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14,770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14,825</w:t>
            </w:r>
          </w:p>
        </w:tc>
        <w:tc>
          <w:tcPr>
            <w:tcW w:w="0" w:type="dxa"/>
            <w:vAlign w:val="bottom"/>
          </w:tcPr>
          <w:p>
            <w:pPr>
              <w:spacing w:after="0"/>
              <w:rPr>
                <w:sz w:val="1"/>
                <w:szCs w:val="1"/>
                <w:color w:val="auto"/>
              </w:rPr>
            </w:pPr>
          </w:p>
        </w:tc>
      </w:tr>
      <w:tr>
        <w:trPr>
          <w:trHeight w:val="102"/>
        </w:trPr>
        <w:tc>
          <w:tcPr>
            <w:tcW w:w="234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6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CAD</w:t>
            </w:r>
          </w:p>
        </w:tc>
        <w:tc>
          <w:tcPr>
            <w:tcW w:w="3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Infinity Home Services Holdco, Inc. (CAD)</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12/21/2022 12/28/2028</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10.00%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SOFR+ 600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1,704</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1,231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1,225</w:t>
            </w:r>
          </w:p>
        </w:tc>
        <w:tc>
          <w:tcPr>
            <w:tcW w:w="0" w:type="dxa"/>
            <w:vAlign w:val="bottom"/>
          </w:tcPr>
          <w:p>
            <w:pPr>
              <w:spacing w:after="0"/>
              <w:rPr>
                <w:sz w:val="1"/>
                <w:szCs w:val="1"/>
                <w:color w:val="auto"/>
              </w:rPr>
            </w:pPr>
          </w:p>
        </w:tc>
      </w:tr>
      <w:tr>
        <w:trPr>
          <w:trHeight w:val="101"/>
        </w:trPr>
        <w:tc>
          <w:tcPr>
            <w:tcW w:w="234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Infinity Home Services Holdco, Inc. - Unfunded Term Loan </w:t>
            </w:r>
            <w:r>
              <w:rPr>
                <w:rFonts w:ascii="Times New Roman" w:cs="Times New Roman" w:eastAsia="Times New Roman" w:hAnsi="Times New Roman"/>
                <w:sz w:val="10"/>
                <w:szCs w:val="10"/>
                <w:color w:val="auto"/>
                <w:vertAlign w:val="superscript"/>
              </w:rPr>
              <w:t>(8)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12/21/2022 10/30/2026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7,069</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Infinity Home Services Holdco, Inc. - Funded Revolver</w:t>
            </w:r>
          </w:p>
        </w:tc>
        <w:tc>
          <w:tcPr>
            <w:tcW w:w="5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12/21/2022</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12/28/2028</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12.25%</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161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161</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September 30,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22" w:lineRule="exact"/>
        <w:rPr>
          <w:sz w:val="20"/>
          <w:szCs w:val="20"/>
          <w:color w:val="auto"/>
        </w:rPr>
      </w:pPr>
    </w:p>
    <w:tbl>
      <w:tblPr>
        <w:tblLayout w:type="fixed"/>
        <w:tblInd w:w="780" w:type="dxa"/>
        <w:tblCellMar>
          <w:top w:w="0" w:type="dxa"/>
          <w:left w:w="0" w:type="dxa"/>
          <w:bottom w:w="0" w:type="dxa"/>
          <w:right w:w="0" w:type="dxa"/>
        </w:tblCellMar>
      </w:tblPr>
      <w:tr>
        <w:trPr>
          <w:trHeight w:val="112"/>
        </w:trPr>
        <w:tc>
          <w:tcPr>
            <w:tcW w:w="232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8"/>
                <w:szCs w:val="8"/>
                <w:b w:val="1"/>
                <w:bCs w:val="1"/>
                <w:color w:val="auto"/>
                <w:w w:val="97"/>
              </w:rPr>
              <w:t>Acquisition</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580" w:type="dxa"/>
            <w:vAlign w:val="bottom"/>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b w:val="1"/>
                <w:bCs w:val="1"/>
                <w:color w:val="auto"/>
                <w:w w:val="99"/>
              </w:rPr>
              <w:t>Basis Point Spread</w:t>
            </w:r>
          </w:p>
        </w:tc>
        <w:tc>
          <w:tcPr>
            <w:tcW w:w="580" w:type="dxa"/>
            <w:vAlign w:val="bottom"/>
            <w:vMerge w:val="restart"/>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Par / Shares</w:t>
            </w:r>
          </w:p>
        </w:tc>
        <w:tc>
          <w:tcPr>
            <w:tcW w:w="380" w:type="dxa"/>
            <w:vAlign w:val="bottom"/>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Cost</w:t>
            </w: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Fair Value</w:t>
            </w:r>
          </w:p>
        </w:tc>
        <w:tc>
          <w:tcPr>
            <w:tcW w:w="0" w:type="dxa"/>
            <w:vAlign w:val="bottom"/>
          </w:tcPr>
          <w:p>
            <w:pPr>
              <w:spacing w:after="0"/>
              <w:rPr>
                <w:sz w:val="1"/>
                <w:szCs w:val="1"/>
                <w:color w:val="auto"/>
              </w:rPr>
            </w:pPr>
          </w:p>
        </w:tc>
      </w:tr>
      <w:tr>
        <w:trPr>
          <w:trHeight w:val="92"/>
        </w:trPr>
        <w:tc>
          <w:tcPr>
            <w:tcW w:w="23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580" w:type="dxa"/>
            <w:vAlign w:val="bottom"/>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Coupon</w:t>
            </w:r>
          </w:p>
        </w:tc>
        <w:tc>
          <w:tcPr>
            <w:tcW w:w="800" w:type="dxa"/>
            <w:vAlign w:val="bottom"/>
          </w:tcPr>
          <w:p>
            <w:pPr>
              <w:jc w:val="center"/>
              <w:ind w:right="40"/>
              <w:spacing w:after="0" w:line="92" w:lineRule="exact"/>
              <w:rPr>
                <w:sz w:val="20"/>
                <w:szCs w:val="20"/>
                <w:color w:val="auto"/>
              </w:rPr>
            </w:pPr>
            <w:r>
              <w:rPr>
                <w:rFonts w:ascii="Times New Roman" w:cs="Times New Roman" w:eastAsia="Times New Roman" w:hAnsi="Times New Roman"/>
                <w:sz w:val="8"/>
                <w:szCs w:val="8"/>
                <w:b w:val="1"/>
                <w:bCs w:val="1"/>
                <w:color w:val="auto"/>
                <w:w w:val="97"/>
              </w:rPr>
              <w:t xml:space="preserve">Above Index </w:t>
            </w:r>
            <w:r>
              <w:rPr>
                <w:rFonts w:ascii="Times New Roman" w:cs="Times New Roman" w:eastAsia="Times New Roman" w:hAnsi="Times New Roman"/>
                <w:sz w:val="10"/>
                <w:szCs w:val="10"/>
                <w:b w:val="1"/>
                <w:bCs w:val="1"/>
                <w:color w:val="auto"/>
                <w:w w:val="97"/>
                <w:vertAlign w:val="superscript"/>
              </w:rPr>
              <w:t>(1)</w:t>
            </w:r>
          </w:p>
        </w:tc>
        <w:tc>
          <w:tcPr>
            <w:tcW w:w="5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520" w:type="dxa"/>
            <w:vAlign w:val="bottom"/>
          </w:tcPr>
          <w:p>
            <w:pPr>
              <w:jc w:val="right"/>
              <w:ind w:right="220"/>
              <w:spacing w:after="0"/>
              <w:rPr>
                <w:sz w:val="20"/>
                <w:szCs w:val="20"/>
                <w:color w:val="auto"/>
              </w:rPr>
            </w:pPr>
            <w:r>
              <w:rPr>
                <w:rFonts w:ascii="Times New Roman" w:cs="Times New Roman" w:eastAsia="Times New Roman" w:hAnsi="Times New Roman"/>
                <w:sz w:val="5"/>
                <w:szCs w:val="5"/>
                <w:b w:val="1"/>
                <w:bCs w:val="1"/>
                <w:color w:val="auto"/>
              </w:rPr>
              <w:t>(2)</w:t>
            </w:r>
          </w:p>
        </w:tc>
        <w:tc>
          <w:tcPr>
            <w:tcW w:w="0" w:type="dxa"/>
            <w:vAlign w:val="bottom"/>
          </w:tcPr>
          <w:p>
            <w:pPr>
              <w:spacing w:after="0"/>
              <w:rPr>
                <w:sz w:val="1"/>
                <w:szCs w:val="1"/>
                <w:color w:val="auto"/>
              </w:rPr>
            </w:pPr>
          </w:p>
        </w:tc>
      </w:tr>
      <w:tr>
        <w:trPr>
          <w:trHeight w:val="100"/>
        </w:trPr>
        <w:tc>
          <w:tcPr>
            <w:tcW w:w="232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Infinity Home Services Holdco, Inc. - Unfunded Revolver </w:t>
            </w:r>
            <w:r>
              <w:rPr>
                <w:rFonts w:ascii="Times New Roman" w:cs="Times New Roman" w:eastAsia="Times New Roman" w:hAnsi="Times New Roman"/>
                <w:sz w:val="10"/>
                <w:szCs w:val="10"/>
                <w:color w:val="auto"/>
                <w:vertAlign w:val="superscript"/>
              </w:rPr>
              <w:t>(8)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12/21/2022 12/28/2028</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1,130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Inovex Information Systems Incorporated</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12/17/2024 12/17/2030</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9.25%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SOFR+ 525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7,940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7,885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7,940</w:t>
            </w:r>
          </w:p>
        </w:tc>
        <w:tc>
          <w:tcPr>
            <w:tcW w:w="0" w:type="dxa"/>
            <w:vAlign w:val="bottom"/>
          </w:tcPr>
          <w:p>
            <w:pPr>
              <w:spacing w:after="0"/>
              <w:rPr>
                <w:sz w:val="1"/>
                <w:szCs w:val="1"/>
                <w:color w:val="auto"/>
              </w:rPr>
            </w:pPr>
          </w:p>
        </w:tc>
      </w:tr>
      <w:tr>
        <w:trPr>
          <w:trHeight w:val="101"/>
        </w:trPr>
        <w:tc>
          <w:tcPr>
            <w:tcW w:w="23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Inovex Information Systems Incorporated - Unfunded Term Loan </w:t>
            </w:r>
            <w:r>
              <w:rPr>
                <w:rFonts w:ascii="Times New Roman" w:cs="Times New Roman" w:eastAsia="Times New Roman" w:hAnsi="Times New Roman"/>
                <w:sz w:val="10"/>
                <w:szCs w:val="10"/>
                <w:color w:val="auto"/>
                <w:vertAlign w:val="superscript"/>
              </w:rPr>
              <w:t>(8)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12/17/2024 12/17/2026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2,800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Inovex Information Systems Incorporated - Unfunded Revolver </w:t>
            </w:r>
            <w:r>
              <w:rPr>
                <w:rFonts w:ascii="Times New Roman" w:cs="Times New Roman" w:eastAsia="Times New Roman" w:hAnsi="Times New Roman"/>
                <w:sz w:val="10"/>
                <w:szCs w:val="10"/>
                <w:color w:val="auto"/>
                <w:vertAlign w:val="superscript"/>
              </w:rPr>
              <w:t>(8)</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12/17/2024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12/17/2030</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3,499</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Infolinks Media Buyco, LLC</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2/22/2024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11/02/2026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9.50%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SOFR+ 550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10,155</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10,125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10,104</w:t>
            </w:r>
          </w:p>
        </w:tc>
        <w:tc>
          <w:tcPr>
            <w:tcW w:w="0" w:type="dxa"/>
            <w:vAlign w:val="bottom"/>
          </w:tcPr>
          <w:p>
            <w:pPr>
              <w:spacing w:after="0"/>
              <w:rPr>
                <w:sz w:val="1"/>
                <w:szCs w:val="1"/>
                <w:color w:val="auto"/>
              </w:rPr>
            </w:pPr>
          </w:p>
        </w:tc>
      </w:tr>
      <w:tr>
        <w:trPr>
          <w:trHeight w:val="102"/>
        </w:trPr>
        <w:tc>
          <w:tcPr>
            <w:tcW w:w="23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Electronic Equipment, Instruments, and</w:t>
            </w:r>
          </w:p>
        </w:tc>
        <w:tc>
          <w:tcPr>
            <w:tcW w:w="58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Inventus Power, Inc.</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6/29/2023</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01/15/2026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Components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11.78%</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SOFR+ 761</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4,888</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4,880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4,888</w:t>
            </w:r>
          </w:p>
        </w:tc>
        <w:tc>
          <w:tcPr>
            <w:tcW w:w="0" w:type="dxa"/>
            <w:vAlign w:val="bottom"/>
          </w:tcPr>
          <w:p>
            <w:pPr>
              <w:spacing w:after="0"/>
              <w:rPr>
                <w:sz w:val="1"/>
                <w:szCs w:val="1"/>
                <w:color w:val="auto"/>
              </w:rPr>
            </w:pPr>
          </w:p>
        </w:tc>
      </w:tr>
      <w:tr>
        <w:trPr>
          <w:trHeight w:val="102"/>
        </w:trPr>
        <w:tc>
          <w:tcPr>
            <w:tcW w:w="2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Electronic Equipment, Instruments, and</w:t>
            </w: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Inventus Power, Inc. - Funded Revolver</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6/29/2023</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01/15/2026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Components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11.76%</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SOFR+ 761</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403</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403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403</w:t>
            </w:r>
          </w:p>
        </w:tc>
        <w:tc>
          <w:tcPr>
            <w:tcW w:w="0" w:type="dxa"/>
            <w:vAlign w:val="bottom"/>
          </w:tcPr>
          <w:p>
            <w:pPr>
              <w:spacing w:after="0"/>
              <w:rPr>
                <w:sz w:val="1"/>
                <w:szCs w:val="1"/>
                <w:color w:val="auto"/>
              </w:rPr>
            </w:pPr>
          </w:p>
        </w:tc>
      </w:tr>
      <w:tr>
        <w:trPr>
          <w:trHeight w:val="102"/>
        </w:trPr>
        <w:tc>
          <w:tcPr>
            <w:tcW w:w="23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Electronic Equipment, Instruments, and</w:t>
            </w:r>
          </w:p>
        </w:tc>
        <w:tc>
          <w:tcPr>
            <w:tcW w:w="58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2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Inventus Power, Inc. - Unfunded Revolver </w:t>
            </w:r>
            <w:r>
              <w:rPr>
                <w:rFonts w:ascii="Times New Roman" w:cs="Times New Roman" w:eastAsia="Times New Roman" w:hAnsi="Times New Roman"/>
                <w:sz w:val="10"/>
                <w:szCs w:val="10"/>
                <w:color w:val="auto"/>
                <w:vertAlign w:val="superscript"/>
              </w:rPr>
              <w:t>(8)</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6/29/2023</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01/15/2026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Components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1,325</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Keel Platform, LLC</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1/26/2024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01/20/2031</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Metals and Mining</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8.75%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SOFR+ 475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14,601</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14,437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14,455</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Keel Platform, LLC - Unfunded Term Loan </w:t>
            </w:r>
            <w:r>
              <w:rPr>
                <w:rFonts w:ascii="Times New Roman" w:cs="Times New Roman" w:eastAsia="Times New Roman" w:hAnsi="Times New Roman"/>
                <w:sz w:val="10"/>
                <w:szCs w:val="10"/>
                <w:color w:val="auto"/>
                <w:vertAlign w:val="superscript"/>
              </w:rPr>
              <w:t>(8)</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1/26/2024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01/20/2031</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Metals and Mining</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3,260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Kinetic Purchaser, LLC</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11/8/2021</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11/10/2027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10.19%</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SOFR+ 615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17,955</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17,641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15,262</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Kinetic Purchaser, LLC - Funded Revolver</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11/8/2021</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11/10/2026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10.15%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SOFR+ 615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2,172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2,172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1,846</w:t>
            </w:r>
          </w:p>
        </w:tc>
        <w:tc>
          <w:tcPr>
            <w:tcW w:w="0" w:type="dxa"/>
            <w:vAlign w:val="bottom"/>
          </w:tcPr>
          <w:p>
            <w:pPr>
              <w:spacing w:after="0"/>
              <w:rPr>
                <w:sz w:val="1"/>
                <w:szCs w:val="1"/>
                <w:color w:val="auto"/>
              </w:rPr>
            </w:pPr>
          </w:p>
        </w:tc>
      </w:tr>
      <w:tr>
        <w:trPr>
          <w:trHeight w:val="101"/>
        </w:trPr>
        <w:tc>
          <w:tcPr>
            <w:tcW w:w="23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Kinetic Purchaser, LLC - Unfunded Revolver </w:t>
            </w:r>
            <w:r>
              <w:rPr>
                <w:rFonts w:ascii="Times New Roman" w:cs="Times New Roman" w:eastAsia="Times New Roman" w:hAnsi="Times New Roman"/>
                <w:sz w:val="10"/>
                <w:szCs w:val="10"/>
                <w:color w:val="auto"/>
                <w:vertAlign w:val="superscript"/>
              </w:rPr>
              <w:t>(6), (8)</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11/8/2021</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11/10/2026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1,262</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(189)</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Lash OpCo, LLC</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8/16/2021</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02/18/2027</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12.16%</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1M SOFR+ 785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16,168</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16,026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15,763</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(PIK 5.10%)</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Lash OpCo, LLC - Funded Revolver </w:t>
            </w:r>
            <w:r>
              <w:rPr>
                <w:rFonts w:ascii="Times New Roman" w:cs="Times New Roman" w:eastAsia="Times New Roman" w:hAnsi="Times New Roman"/>
                <w:sz w:val="10"/>
                <w:szCs w:val="10"/>
                <w:color w:val="auto"/>
                <w:vertAlign w:val="superscript"/>
              </w:rPr>
              <w:t>(6)</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8/16/2021</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08/16/2026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12.16%</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1M SOFR+ 785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969</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969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945</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(PIK 5.10%)</w:t>
            </w: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Lash OpCo, LLC - Unfunded Revolver </w:t>
            </w:r>
            <w:r>
              <w:rPr>
                <w:rFonts w:ascii="Times New Roman" w:cs="Times New Roman" w:eastAsia="Times New Roman" w:hAnsi="Times New Roman"/>
                <w:sz w:val="10"/>
                <w:szCs w:val="10"/>
                <w:color w:val="auto"/>
                <w:vertAlign w:val="superscript"/>
              </w:rPr>
              <w:t>(6) (8)</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8/16/2021</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08/16/2026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2,026</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(51)</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LAV Gear Holdings, Inc.</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7/31/2025</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07/31/2029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Capital Equipment</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10.10%</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9,581</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9,592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9,930</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60" w:type="dxa"/>
            <w:vAlign w:val="bottom"/>
            <w:shd w:val="clear" w:color="auto" w:fill="CCECFF"/>
          </w:tcPr>
          <w:p>
            <w:pPr>
              <w:spacing w:after="0"/>
              <w:rPr>
                <w:sz w:val="8"/>
                <w:szCs w:val="8"/>
                <w:color w:val="auto"/>
              </w:rPr>
            </w:pP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(PIK 3.44%)</w:t>
            </w:r>
          </w:p>
        </w:tc>
        <w:tc>
          <w:tcPr>
            <w:tcW w:w="8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LAV Gear Holdings, Inc. - Incremental TL</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7/31/2025</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07/31/2029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Capital Equipment</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10.10%</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1,098</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1,067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1,353</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60" w:type="dxa"/>
            <w:vAlign w:val="bottom"/>
            <w:shd w:val="clear" w:color="auto" w:fill="CCECFF"/>
          </w:tcPr>
          <w:p>
            <w:pPr>
              <w:spacing w:after="0"/>
              <w:rPr>
                <w:sz w:val="8"/>
                <w:szCs w:val="8"/>
                <w:color w:val="auto"/>
              </w:rPr>
            </w:pP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(PIK 3.44%)</w:t>
            </w:r>
          </w:p>
        </w:tc>
        <w:tc>
          <w:tcPr>
            <w:tcW w:w="8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LAV Gear Holdings, Inc. - Unfunded Revolver </w:t>
            </w:r>
            <w:r>
              <w:rPr>
                <w:rFonts w:ascii="Times New Roman" w:cs="Times New Roman" w:eastAsia="Times New Roman" w:hAnsi="Times New Roman"/>
                <w:sz w:val="10"/>
                <w:szCs w:val="10"/>
                <w:color w:val="auto"/>
                <w:vertAlign w:val="superscript"/>
              </w:rPr>
              <w:t>(6) (8)</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7/31/2025</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07/31/2029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Capital Equipment</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703</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Ledge Lounger, Inc.</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2/7/2022</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11/09/2026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11.65%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SOFR+ 765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7,605</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7,380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5,932</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(PIK 1.00%)</w:t>
            </w: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Ledge Lounger, Inc. - Funded Revolver</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2/7/2022</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11/09/2026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11.65%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SOFR+ 765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663</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663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518</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(PIK 1.00%)</w:t>
            </w: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Lightspeed Buyer, Inc.</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1/21/2020</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02/03/2027</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8.75%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SOFR+ 475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22,918</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22,824</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22,918</w:t>
            </w:r>
          </w:p>
        </w:tc>
        <w:tc>
          <w:tcPr>
            <w:tcW w:w="0" w:type="dxa"/>
            <w:vAlign w:val="bottom"/>
          </w:tcPr>
          <w:p>
            <w:pPr>
              <w:spacing w:after="0"/>
              <w:rPr>
                <w:sz w:val="1"/>
                <w:szCs w:val="1"/>
                <w:color w:val="auto"/>
              </w:rPr>
            </w:pPr>
          </w:p>
        </w:tc>
      </w:tr>
      <w:tr>
        <w:trPr>
          <w:trHeight w:val="101"/>
        </w:trPr>
        <w:tc>
          <w:tcPr>
            <w:tcW w:w="23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Lightspeed Buyer, Inc. - Unfunded Revolver </w:t>
            </w:r>
            <w:r>
              <w:rPr>
                <w:rFonts w:ascii="Times New Roman" w:cs="Times New Roman" w:eastAsia="Times New Roman" w:hAnsi="Times New Roman"/>
                <w:sz w:val="10"/>
                <w:szCs w:val="10"/>
                <w:color w:val="auto"/>
                <w:vertAlign w:val="superscript"/>
              </w:rPr>
              <w:t>(6), (8)</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1/21/2020</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02/03/2027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2,499</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LJ Avalon Holdings, LLC</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1/18/2023</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02/01/2030</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8.67%</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SOFR+ 450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11,815</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11,770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11,815</w:t>
            </w:r>
          </w:p>
        </w:tc>
        <w:tc>
          <w:tcPr>
            <w:tcW w:w="0" w:type="dxa"/>
            <w:vAlign w:val="bottom"/>
          </w:tcPr>
          <w:p>
            <w:pPr>
              <w:spacing w:after="0"/>
              <w:rPr>
                <w:sz w:val="1"/>
                <w:szCs w:val="1"/>
                <w:color w:val="auto"/>
              </w:rPr>
            </w:pPr>
          </w:p>
        </w:tc>
      </w:tr>
      <w:tr>
        <w:trPr>
          <w:trHeight w:val="101"/>
        </w:trPr>
        <w:tc>
          <w:tcPr>
            <w:tcW w:w="23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LJ Avalon Holdings, LLC - Unfunded Term Loan </w:t>
            </w:r>
            <w:r>
              <w:rPr>
                <w:rFonts w:ascii="Times New Roman" w:cs="Times New Roman" w:eastAsia="Times New Roman" w:hAnsi="Times New Roman"/>
                <w:sz w:val="10"/>
                <w:szCs w:val="10"/>
                <w:color w:val="auto"/>
                <w:vertAlign w:val="superscript"/>
              </w:rPr>
              <w:t>(8)</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1/18/2023</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02/08/2027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4,873</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24</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LJ Avalon Holdings, LLC - Unfunded Revolver </w:t>
            </w:r>
            <w:r>
              <w:rPr>
                <w:rFonts w:ascii="Times New Roman" w:cs="Times New Roman" w:eastAsia="Times New Roman" w:hAnsi="Times New Roman"/>
                <w:sz w:val="10"/>
                <w:szCs w:val="10"/>
                <w:color w:val="auto"/>
                <w:vertAlign w:val="superscript"/>
              </w:rPr>
              <w:t>(6), (8)</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1/18/2023</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02/01/2029</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2,883</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Loving Tan Intermediate II, Inc.</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5/24/2023</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05/31/2028</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9.00%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53,637</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53,066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53,637</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Loving Tan Intermediate II, Inc. - Unfunded Term Loan </w:t>
            </w:r>
            <w:r>
              <w:rPr>
                <w:rFonts w:ascii="Times New Roman" w:cs="Times New Roman" w:eastAsia="Times New Roman" w:hAnsi="Times New Roman"/>
                <w:sz w:val="10"/>
                <w:szCs w:val="10"/>
                <w:color w:val="auto"/>
                <w:vertAlign w:val="superscript"/>
              </w:rPr>
              <w:t>(8)</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5/24/2023</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07/12/2026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10,823</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108</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Loving Tan Intermediate II, Inc. - Funded Revolver</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5/24/2023</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05/31/2028</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9.00%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3,559</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3,559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3,559</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Loving Tan Intermediate II, Inc. - Unfunded Revolver </w:t>
            </w:r>
            <w:r>
              <w:rPr>
                <w:rFonts w:ascii="Times New Roman" w:cs="Times New Roman" w:eastAsia="Times New Roman" w:hAnsi="Times New Roman"/>
                <w:sz w:val="10"/>
                <w:szCs w:val="10"/>
                <w:color w:val="auto"/>
                <w:vertAlign w:val="superscript"/>
              </w:rPr>
              <w:t>(8)</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5/24/2023</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05/31/2028</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1,780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Lucky Bucks, LLC - First-Out Term Loan</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11/2/2023</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10/02/2028</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Hotels, Restaurants and Leisure</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12.01%</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1M SOFR+ 765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256</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256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238</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Lucky Bucks, LLC - Last-Out Term Loan</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11/2/2023</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10/02/2029</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Hotels, Restaurants and Leisure</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12.01%</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1M SOFR+ 765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529</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529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426</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MAG DS Corp.</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9/21/2020</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04/01/2027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9.60%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SOFR+ 560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12,205</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11,985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12,155</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Marketplace Events Acquisition, LLC</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12/19/2024 12/19/2030</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9.25%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SOFR+ 525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56,198</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55,699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56,198</w:t>
            </w:r>
          </w:p>
        </w:tc>
        <w:tc>
          <w:tcPr>
            <w:tcW w:w="0" w:type="dxa"/>
            <w:vAlign w:val="bottom"/>
          </w:tcPr>
          <w:p>
            <w:pPr>
              <w:spacing w:after="0"/>
              <w:rPr>
                <w:sz w:val="1"/>
                <w:szCs w:val="1"/>
                <w:color w:val="auto"/>
              </w:rPr>
            </w:pPr>
          </w:p>
        </w:tc>
      </w:tr>
      <w:tr>
        <w:trPr>
          <w:trHeight w:val="101"/>
        </w:trPr>
        <w:tc>
          <w:tcPr>
            <w:tcW w:w="23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Marketplace Events Acquisition, LLC - Unfunded Term Loan </w:t>
            </w:r>
            <w:r>
              <w:rPr>
                <w:rFonts w:ascii="Times New Roman" w:cs="Times New Roman" w:eastAsia="Times New Roman" w:hAnsi="Times New Roman"/>
                <w:sz w:val="10"/>
                <w:szCs w:val="10"/>
                <w:color w:val="auto"/>
                <w:vertAlign w:val="superscript"/>
              </w:rPr>
              <w:t>(8)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12/19/2024 06/19/2026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8,717</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Marketplace Events Acquisition, LLC - Funded Revolver</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12/19/2024 12/19/2030</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9.25%</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610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610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610</w:t>
            </w:r>
          </w:p>
        </w:tc>
        <w:tc>
          <w:tcPr>
            <w:tcW w:w="0" w:type="dxa"/>
            <w:vAlign w:val="bottom"/>
          </w:tcPr>
          <w:p>
            <w:pPr>
              <w:spacing w:after="0"/>
              <w:rPr>
                <w:sz w:val="1"/>
                <w:szCs w:val="1"/>
                <w:color w:val="auto"/>
              </w:rPr>
            </w:pPr>
          </w:p>
        </w:tc>
      </w:tr>
      <w:tr>
        <w:trPr>
          <w:trHeight w:val="101"/>
        </w:trPr>
        <w:tc>
          <w:tcPr>
            <w:tcW w:w="23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Marketplace Events Acquisition, LLC - Unfunded Revolver </w:t>
            </w:r>
            <w:r>
              <w:rPr>
                <w:rFonts w:ascii="Times New Roman" w:cs="Times New Roman" w:eastAsia="Times New Roman" w:hAnsi="Times New Roman"/>
                <w:sz w:val="10"/>
                <w:szCs w:val="10"/>
                <w:color w:val="auto"/>
                <w:vertAlign w:val="superscript"/>
              </w:rPr>
              <w:t>(8)</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12/19/2024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12/19/2030</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5,486</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MBS Holdings, Inc.</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4/7/2025</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04/16/2027</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Internet Software and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9.30%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SOFR+ 510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5,632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5,630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5,632</w:t>
            </w:r>
          </w:p>
        </w:tc>
        <w:tc>
          <w:tcPr>
            <w:tcW w:w="0" w:type="dxa"/>
            <w:vAlign w:val="bottom"/>
          </w:tcPr>
          <w:p>
            <w:pPr>
              <w:spacing w:after="0"/>
              <w:rPr>
                <w:sz w:val="1"/>
                <w:szCs w:val="1"/>
                <w:color w:val="auto"/>
              </w:rPr>
            </w:pPr>
          </w:p>
        </w:tc>
      </w:tr>
      <w:tr>
        <w:trPr>
          <w:trHeight w:val="101"/>
        </w:trPr>
        <w:tc>
          <w:tcPr>
            <w:tcW w:w="23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MBS Holdings, Inc. - Unfunded Revolver </w:t>
            </w:r>
            <w:r>
              <w:rPr>
                <w:rFonts w:ascii="Times New Roman" w:cs="Times New Roman" w:eastAsia="Times New Roman" w:hAnsi="Times New Roman"/>
                <w:sz w:val="10"/>
                <w:szCs w:val="10"/>
                <w:color w:val="auto"/>
                <w:vertAlign w:val="superscript"/>
              </w:rPr>
              <w:t>(6), (8)</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4/14/2021</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04/16/2027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Internet Software and Services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1,157</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MDI Buyer, Inc.</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3/16/2023</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07/25/2028</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Commodity Chemicals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8.75%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SOFR+ 475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5,066</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5,021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5,066</w:t>
            </w:r>
          </w:p>
        </w:tc>
        <w:tc>
          <w:tcPr>
            <w:tcW w:w="0" w:type="dxa"/>
            <w:vAlign w:val="bottom"/>
          </w:tcPr>
          <w:p>
            <w:pPr>
              <w:spacing w:after="0"/>
              <w:rPr>
                <w:sz w:val="1"/>
                <w:szCs w:val="1"/>
                <w:color w:val="auto"/>
              </w:rPr>
            </w:pPr>
          </w:p>
        </w:tc>
      </w:tr>
      <w:tr>
        <w:trPr>
          <w:trHeight w:val="101"/>
        </w:trPr>
        <w:tc>
          <w:tcPr>
            <w:tcW w:w="23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MDI Buyer, Inc. - Unfunded Term Loan </w:t>
            </w:r>
            <w:r>
              <w:rPr>
                <w:rFonts w:ascii="Times New Roman" w:cs="Times New Roman" w:eastAsia="Times New Roman" w:hAnsi="Times New Roman"/>
                <w:sz w:val="10"/>
                <w:szCs w:val="10"/>
                <w:color w:val="auto"/>
                <w:vertAlign w:val="superscript"/>
              </w:rPr>
              <w:t>(8)</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3/16/2023</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07/25/2028</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Commodity Chemicals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4,416</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33</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MDI Buyer, Inc. - Funded Revolver</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7/19/2022</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07/25/2028</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Commodity Chemicals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11.50%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SOFR+ 375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1,524</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1,524</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1,524</w:t>
            </w:r>
          </w:p>
        </w:tc>
        <w:tc>
          <w:tcPr>
            <w:tcW w:w="0" w:type="dxa"/>
            <w:vAlign w:val="bottom"/>
          </w:tcPr>
          <w:p>
            <w:pPr>
              <w:spacing w:after="0"/>
              <w:rPr>
                <w:sz w:val="1"/>
                <w:szCs w:val="1"/>
                <w:color w:val="auto"/>
              </w:rPr>
            </w:pPr>
          </w:p>
        </w:tc>
      </w:tr>
      <w:tr>
        <w:trPr>
          <w:trHeight w:val="101"/>
        </w:trPr>
        <w:tc>
          <w:tcPr>
            <w:tcW w:w="23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MDI Buyer, Inc. - Unfunded Revolver </w:t>
            </w:r>
            <w:r>
              <w:rPr>
                <w:rFonts w:ascii="Times New Roman" w:cs="Times New Roman" w:eastAsia="Times New Roman" w:hAnsi="Times New Roman"/>
                <w:sz w:val="10"/>
                <w:szCs w:val="10"/>
                <w:color w:val="auto"/>
                <w:vertAlign w:val="superscript"/>
              </w:rPr>
              <w:t>(6), (8)</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7/19/2022</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07/25/2028</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Commodity Chemicals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353</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Meadowlark Acquirer, LLC</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12/9/2021</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12/10/2027</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9.65%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SOFR+ 565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4,344</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4,295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4,344</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Meadowlark Acquirer, LLC - Funded Revolver</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12/9/2021</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12/10/2027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9.65%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SOFR+ 565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339</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339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339</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Meadowlark Acquirer, LLC - Unfunded Revolver </w:t>
            </w:r>
            <w:r>
              <w:rPr>
                <w:rFonts w:ascii="Times New Roman" w:cs="Times New Roman" w:eastAsia="Times New Roman" w:hAnsi="Times New Roman"/>
                <w:sz w:val="10"/>
                <w:szCs w:val="10"/>
                <w:color w:val="auto"/>
                <w:vertAlign w:val="superscript"/>
              </w:rPr>
              <w:t>(8)</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12/9/2021</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12/10/2027</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1,354</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Medina Health, LLC</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10/16/2023 10/20/2028</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10.31%</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SOFR+ 625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20,795</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20,600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20,899</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Medina Health, LLC - Unfunded Revolver </w:t>
            </w:r>
            <w:r>
              <w:rPr>
                <w:rFonts w:ascii="Times New Roman" w:cs="Times New Roman" w:eastAsia="Times New Roman" w:hAnsi="Times New Roman"/>
                <w:sz w:val="10"/>
                <w:szCs w:val="10"/>
                <w:color w:val="auto"/>
                <w:vertAlign w:val="superscript"/>
              </w:rPr>
              <w:t>(8)</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10/16/2023</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10/20/2028</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5,187</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26</w:t>
            </w:r>
          </w:p>
        </w:tc>
        <w:tc>
          <w:tcPr>
            <w:tcW w:w="0" w:type="dxa"/>
            <w:vAlign w:val="bottom"/>
          </w:tcPr>
          <w:p>
            <w:pPr>
              <w:spacing w:after="0"/>
              <w:rPr>
                <w:sz w:val="1"/>
                <w:szCs w:val="1"/>
                <w:color w:val="auto"/>
              </w:rPr>
            </w:pPr>
          </w:p>
        </w:tc>
      </w:tr>
      <w:tr>
        <w:trPr>
          <w:trHeight w:val="102"/>
        </w:trPr>
        <w:tc>
          <w:tcPr>
            <w:tcW w:w="2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Electronic Equipment, Instruments, and</w:t>
            </w: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Megawatt Acquisitionco, Inc.</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3/1/2024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03/01/2030</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Components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9.50%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SOFR+ 550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9,850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9,545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9,377</w:t>
            </w:r>
          </w:p>
        </w:tc>
        <w:tc>
          <w:tcPr>
            <w:tcW w:w="0" w:type="dxa"/>
            <w:vAlign w:val="bottom"/>
          </w:tcPr>
          <w:p>
            <w:pPr>
              <w:spacing w:after="0"/>
              <w:rPr>
                <w:sz w:val="1"/>
                <w:szCs w:val="1"/>
                <w:color w:val="auto"/>
              </w:rPr>
            </w:pPr>
          </w:p>
        </w:tc>
      </w:tr>
      <w:tr>
        <w:trPr>
          <w:trHeight w:val="102"/>
        </w:trPr>
        <w:tc>
          <w:tcPr>
            <w:tcW w:w="23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Electronic Equipment, Instruments, and</w:t>
            </w:r>
          </w:p>
        </w:tc>
        <w:tc>
          <w:tcPr>
            <w:tcW w:w="58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Megawatt Acquisitionco, Inc. - Funded Revolver</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3/1/2024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03/01/2030</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Components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9.67%</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SOFR+ 550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406</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406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387</w:t>
            </w:r>
          </w:p>
        </w:tc>
        <w:tc>
          <w:tcPr>
            <w:tcW w:w="0" w:type="dxa"/>
            <w:vAlign w:val="bottom"/>
          </w:tcPr>
          <w:p>
            <w:pPr>
              <w:spacing w:after="0"/>
              <w:rPr>
                <w:sz w:val="1"/>
                <w:szCs w:val="1"/>
                <w:color w:val="auto"/>
              </w:rPr>
            </w:pPr>
          </w:p>
        </w:tc>
      </w:tr>
      <w:tr>
        <w:trPr>
          <w:trHeight w:val="102"/>
        </w:trPr>
        <w:tc>
          <w:tcPr>
            <w:tcW w:w="2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Electronic Equipment, Instruments, and</w:t>
            </w: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2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Megawatt Acquisitionco, Inc. - Unfunded Revolver </w:t>
            </w:r>
            <w:r>
              <w:rPr>
                <w:rFonts w:ascii="Times New Roman" w:cs="Times New Roman" w:eastAsia="Times New Roman" w:hAnsi="Times New Roman"/>
                <w:sz w:val="10"/>
                <w:szCs w:val="10"/>
                <w:color w:val="auto"/>
                <w:vertAlign w:val="superscript"/>
              </w:rPr>
              <w:t>(8)</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3/1/2024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03/01/2030</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Components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2,844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(137)</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MOREgroup Holdings, Inc.</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1/9/2024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01/16/2030</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9.31%</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SOFR+ 525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32,013</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31,653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32,013</w:t>
            </w:r>
          </w:p>
        </w:tc>
        <w:tc>
          <w:tcPr>
            <w:tcW w:w="0" w:type="dxa"/>
            <w:vAlign w:val="bottom"/>
          </w:tcPr>
          <w:p>
            <w:pPr>
              <w:spacing w:after="0"/>
              <w:rPr>
                <w:sz w:val="1"/>
                <w:szCs w:val="1"/>
                <w:color w:val="auto"/>
              </w:rPr>
            </w:pPr>
          </w:p>
        </w:tc>
      </w:tr>
      <w:tr>
        <w:trPr>
          <w:trHeight w:val="101"/>
        </w:trPr>
        <w:tc>
          <w:tcPr>
            <w:tcW w:w="23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MOREgroup Holdings, Inc. - Unfunded Term Loan </w:t>
            </w:r>
            <w:r>
              <w:rPr>
                <w:rFonts w:ascii="Times New Roman" w:cs="Times New Roman" w:eastAsia="Times New Roman" w:hAnsi="Times New Roman"/>
                <w:sz w:val="10"/>
                <w:szCs w:val="10"/>
                <w:color w:val="auto"/>
                <w:vertAlign w:val="superscript"/>
              </w:rPr>
              <w:t>(8)</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1/9/2024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01/16/2026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11,056</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111</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MOREgroup Holdings, Inc. - Unfunded Revolver </w:t>
            </w:r>
            <w:r>
              <w:rPr>
                <w:rFonts w:ascii="Times New Roman" w:cs="Times New Roman" w:eastAsia="Times New Roman" w:hAnsi="Times New Roman"/>
                <w:sz w:val="10"/>
                <w:szCs w:val="10"/>
                <w:color w:val="auto"/>
                <w:vertAlign w:val="superscript"/>
              </w:rPr>
              <w:t>(8)</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1/9/2024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01/16/2030</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6,634</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Municipal Emergency Services, Inc.</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9/23/2021</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10/01/2027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9.15%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SOFR+ 515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9,998</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9,959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9,998</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Municipal Emergency Services, Inc. - Unfunded Term Loan </w:t>
            </w:r>
            <w:r>
              <w:rPr>
                <w:rFonts w:ascii="Times New Roman" w:cs="Times New Roman" w:eastAsia="Times New Roman" w:hAnsi="Times New Roman"/>
                <w:sz w:val="10"/>
                <w:szCs w:val="10"/>
                <w:color w:val="auto"/>
                <w:vertAlign w:val="superscript"/>
              </w:rPr>
              <w:t>(8)</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9/23/2021</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01/15/2026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1,574</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w:t>
            </w:r>
          </w:p>
        </w:tc>
        <w:tc>
          <w:tcPr>
            <w:tcW w:w="0" w:type="dxa"/>
            <w:vAlign w:val="bottom"/>
          </w:tcPr>
          <w:p>
            <w:pPr>
              <w:spacing w:after="0"/>
              <w:rPr>
                <w:sz w:val="1"/>
                <w:szCs w:val="1"/>
                <w:color w:val="auto"/>
              </w:rPr>
            </w:pPr>
          </w:p>
        </w:tc>
      </w:tr>
      <w:tr>
        <w:trPr>
          <w:trHeight w:val="101"/>
        </w:trPr>
        <w:tc>
          <w:tcPr>
            <w:tcW w:w="23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Municipal Emergency Services, Inc. - Unfunded Revolver </w:t>
            </w:r>
            <w:r>
              <w:rPr>
                <w:rFonts w:ascii="Times New Roman" w:cs="Times New Roman" w:eastAsia="Times New Roman" w:hAnsi="Times New Roman"/>
                <w:sz w:val="10"/>
                <w:szCs w:val="10"/>
                <w:color w:val="auto"/>
                <w:vertAlign w:val="superscript"/>
              </w:rPr>
              <w:t>(6), (8)</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9/23/2021</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10/01/2027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947</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NBH Group, LLC</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8/29/2025</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08/19/2026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Equipment and Supplies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10.12%</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1M SOFR+ 585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2,571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2,571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2,571</w:t>
            </w:r>
          </w:p>
        </w:tc>
        <w:tc>
          <w:tcPr>
            <w:tcW w:w="0" w:type="dxa"/>
            <w:vAlign w:val="bottom"/>
          </w:tcPr>
          <w:p>
            <w:pPr>
              <w:spacing w:after="0"/>
              <w:rPr>
                <w:sz w:val="1"/>
                <w:szCs w:val="1"/>
                <w:color w:val="auto"/>
              </w:rPr>
            </w:pPr>
          </w:p>
        </w:tc>
      </w:tr>
      <w:tr>
        <w:trPr>
          <w:trHeight w:val="101"/>
        </w:trPr>
        <w:tc>
          <w:tcPr>
            <w:tcW w:w="23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NBH Group, LLC - Unfunded Revolver </w:t>
            </w:r>
            <w:r>
              <w:rPr>
                <w:rFonts w:ascii="Times New Roman" w:cs="Times New Roman" w:eastAsia="Times New Roman" w:hAnsi="Times New Roman"/>
                <w:sz w:val="10"/>
                <w:szCs w:val="10"/>
                <w:color w:val="auto"/>
                <w:vertAlign w:val="superscript"/>
              </w:rPr>
              <w:t>(6), (8)</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8/16/2021</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08/19/2026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Equipment and Supplies</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1,677</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NORA Acquisition, LLC</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8/22/2023</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08/31/2029</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10.41%</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SOFR+ 635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20,743</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20,443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20,588</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NORA Acquisition, LLC - Funded Revolver</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8/22/2023</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08/31/2029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10.35%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SOFR+ 635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2,466</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2,466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2,447</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NORA Acquisition, LLC - Unfunded Revolver </w:t>
            </w:r>
            <w:r>
              <w:rPr>
                <w:rFonts w:ascii="Times New Roman" w:cs="Times New Roman" w:eastAsia="Times New Roman" w:hAnsi="Times New Roman"/>
                <w:sz w:val="10"/>
                <w:szCs w:val="10"/>
                <w:color w:val="auto"/>
                <w:vertAlign w:val="superscript"/>
              </w:rPr>
              <w:t>(6), (8)</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8/22/2023</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08/31/2029</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3,013</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(23)</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North American Rail Solutions, LLC</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8/29/2025</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08/29/2031</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Manufacturing/Basic Industry</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8.75%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SOFR+ 475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55,000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54,725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54,725</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North American Rail Solutions, LLC - Unfunded Term Loan </w:t>
            </w:r>
            <w:r>
              <w:rPr>
                <w:rFonts w:ascii="Times New Roman" w:cs="Times New Roman" w:eastAsia="Times New Roman" w:hAnsi="Times New Roman"/>
                <w:sz w:val="10"/>
                <w:szCs w:val="10"/>
                <w:color w:val="auto"/>
                <w:vertAlign w:val="superscript"/>
              </w:rPr>
              <w:t>(8)</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8/29/2025</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08/29/2027</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Manufacturing/Basic Industry</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4,231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North American Rail Solutions, LLC - Funded Revolver</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8/29/2025</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08/29/2031</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Manufacturing/Basic Industry</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8.75%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SOFR+ 475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1,467</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1,467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1,467</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North American Rail Solutions, LLC - Unfunded Revolver </w:t>
            </w:r>
            <w:r>
              <w:rPr>
                <w:rFonts w:ascii="Times New Roman" w:cs="Times New Roman" w:eastAsia="Times New Roman" w:hAnsi="Times New Roman"/>
                <w:sz w:val="10"/>
                <w:szCs w:val="10"/>
                <w:color w:val="auto"/>
                <w:vertAlign w:val="superscript"/>
              </w:rPr>
              <w:t>(8)</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8/29/2025</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08/29/2031</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Manufacturing/Basic Industry</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4,456</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Omnia Exterior Solutions, LLC</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12/29/2023 12/31/2029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9.25%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SOFR+ 525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23,484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23,315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23,014</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Omnia Exterior Solutions, LLC - Unfunded Term Loan </w:t>
            </w:r>
            <w:r>
              <w:rPr>
                <w:rFonts w:ascii="Times New Roman" w:cs="Times New Roman" w:eastAsia="Times New Roman" w:hAnsi="Times New Roman"/>
                <w:sz w:val="10"/>
                <w:szCs w:val="10"/>
                <w:color w:val="auto"/>
                <w:vertAlign w:val="superscript"/>
              </w:rPr>
              <w:t>(8)</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12/29/2023 09/30/2026</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8,705</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(98)</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Omnia Exterior Solutions, LLC - Funded Revolver</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12/29/2023 12/31/2029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9.25%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1M SOFR+ 525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2,520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2,520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2,470</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Omnia Exterior Solutions, LLC - Unfunded Revolver </w:t>
            </w:r>
            <w:r>
              <w:rPr>
                <w:rFonts w:ascii="Times New Roman" w:cs="Times New Roman" w:eastAsia="Times New Roman" w:hAnsi="Times New Roman"/>
                <w:sz w:val="10"/>
                <w:szCs w:val="10"/>
                <w:color w:val="auto"/>
                <w:vertAlign w:val="superscript"/>
              </w:rPr>
              <w:t>(6), (8)</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12/29/2023</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12/31/2029</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1,680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(34)</w:t>
            </w:r>
          </w:p>
        </w:tc>
        <w:tc>
          <w:tcPr>
            <w:tcW w:w="0" w:type="dxa"/>
            <w:vAlign w:val="bottom"/>
          </w:tcPr>
          <w:p>
            <w:pPr>
              <w:spacing w:after="0"/>
              <w:rPr>
                <w:sz w:val="1"/>
                <w:szCs w:val="1"/>
                <w:color w:val="auto"/>
              </w:rPr>
            </w:pPr>
          </w:p>
        </w:tc>
      </w:tr>
      <w:tr>
        <w:trPr>
          <w:trHeight w:val="101"/>
        </w:trPr>
        <w:tc>
          <w:tcPr>
            <w:tcW w:w="2320" w:type="dxa"/>
            <w:vAlign w:val="bottom"/>
          </w:tcPr>
          <w:p>
            <w:pPr>
              <w:spacing w:after="0"/>
              <w:rPr>
                <w:sz w:val="20"/>
                <w:szCs w:val="20"/>
                <w:color w:val="auto"/>
              </w:rPr>
            </w:pPr>
            <w:r>
              <w:rPr>
                <w:rFonts w:ascii="Times New Roman" w:cs="Times New Roman" w:eastAsia="Times New Roman" w:hAnsi="Times New Roman"/>
                <w:sz w:val="8"/>
                <w:szCs w:val="8"/>
                <w:color w:val="auto"/>
              </w:rPr>
              <w:t>One Stop Mailing, LLC</w:t>
            </w:r>
          </w:p>
        </w:tc>
        <w:tc>
          <w:tcPr>
            <w:tcW w:w="5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5/26/2021</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05/07/2027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Air Freight and Logistics</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10.53%</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SOFR+ 636</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12,941</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12,881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12,941</w:t>
            </w:r>
          </w:p>
        </w:tc>
        <w:tc>
          <w:tcPr>
            <w:tcW w:w="0" w:type="dxa"/>
            <w:vAlign w:val="bottom"/>
          </w:tcPr>
          <w:p>
            <w:pPr>
              <w:spacing w:after="0"/>
              <w:rPr>
                <w:sz w:val="1"/>
                <w:szCs w:val="1"/>
                <w:color w:val="auto"/>
              </w:rPr>
            </w:pPr>
          </w:p>
        </w:tc>
      </w:tr>
      <w:tr>
        <w:trPr>
          <w:trHeight w:val="101"/>
        </w:trPr>
        <w:tc>
          <w:tcPr>
            <w:tcW w:w="23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ORL Acquisition, Inc. </w:t>
            </w:r>
            <w:r>
              <w:rPr>
                <w:rFonts w:ascii="Times New Roman" w:cs="Times New Roman" w:eastAsia="Times New Roman" w:hAnsi="Times New Roman"/>
                <w:sz w:val="10"/>
                <w:szCs w:val="10"/>
                <w:color w:val="auto"/>
                <w:vertAlign w:val="superscript"/>
              </w:rPr>
              <w:t>(6)</w:t>
            </w:r>
          </w:p>
        </w:tc>
        <w:tc>
          <w:tcPr>
            <w:tcW w:w="5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9/1/2021</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09/03/2027</w:t>
            </w: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Consumer Finance</w:t>
            </w:r>
          </w:p>
        </w:tc>
        <w:tc>
          <w:tcPr>
            <w:tcW w:w="5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13.70%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SOFR+ 940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7,710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7,406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6,823</w:t>
            </w:r>
          </w:p>
        </w:tc>
        <w:tc>
          <w:tcPr>
            <w:tcW w:w="0" w:type="dxa"/>
            <w:vAlign w:val="bottom"/>
          </w:tcPr>
          <w:p>
            <w:pPr>
              <w:spacing w:after="0"/>
              <w:rPr>
                <w:sz w:val="1"/>
                <w:szCs w:val="1"/>
                <w:color w:val="auto"/>
              </w:rPr>
            </w:pPr>
          </w:p>
        </w:tc>
      </w:tr>
      <w:tr>
        <w:trPr>
          <w:trHeight w:val="105"/>
        </w:trPr>
        <w:tc>
          <w:tcPr>
            <w:tcW w:w="2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(PIK 7.50%)</w:t>
            </w: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September 30,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22" w:lineRule="exact"/>
        <w:rPr>
          <w:sz w:val="20"/>
          <w:szCs w:val="20"/>
          <w:color w:val="auto"/>
        </w:rPr>
      </w:pPr>
    </w:p>
    <w:tbl>
      <w:tblPr>
        <w:tblLayout w:type="fixed"/>
        <w:tblInd w:w="780" w:type="dxa"/>
        <w:tblCellMar>
          <w:top w:w="0" w:type="dxa"/>
          <w:left w:w="0" w:type="dxa"/>
          <w:bottom w:w="0" w:type="dxa"/>
          <w:right w:w="0" w:type="dxa"/>
        </w:tblCellMar>
      </w:tblPr>
      <w:tr>
        <w:trPr>
          <w:trHeight w:val="112"/>
        </w:trPr>
        <w:tc>
          <w:tcPr>
            <w:tcW w:w="230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8"/>
                <w:szCs w:val="8"/>
                <w:b w:val="1"/>
                <w:bCs w:val="1"/>
                <w:color w:val="auto"/>
                <w:w w:val="97"/>
              </w:rPr>
              <w:t>Acquisition</w:t>
            </w:r>
          </w:p>
        </w:tc>
        <w:tc>
          <w:tcPr>
            <w:tcW w:w="440" w:type="dxa"/>
            <w:vAlign w:val="bottom"/>
            <w:vMerge w:val="restart"/>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600" w:type="dxa"/>
            <w:vAlign w:val="bottom"/>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b w:val="1"/>
                <w:bCs w:val="1"/>
                <w:color w:val="auto"/>
                <w:w w:val="99"/>
              </w:rPr>
              <w:t>Basis Point Spread</w:t>
            </w:r>
          </w:p>
        </w:tc>
        <w:tc>
          <w:tcPr>
            <w:tcW w:w="580" w:type="dxa"/>
            <w:vAlign w:val="bottom"/>
            <w:vMerge w:val="restart"/>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Par / Shares</w:t>
            </w:r>
          </w:p>
        </w:tc>
        <w:tc>
          <w:tcPr>
            <w:tcW w:w="380" w:type="dxa"/>
            <w:vAlign w:val="bottom"/>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Cost</w:t>
            </w: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Fair Value</w:t>
            </w:r>
          </w:p>
        </w:tc>
        <w:tc>
          <w:tcPr>
            <w:tcW w:w="0" w:type="dxa"/>
            <w:vAlign w:val="bottom"/>
          </w:tcPr>
          <w:p>
            <w:pPr>
              <w:spacing w:after="0"/>
              <w:rPr>
                <w:sz w:val="1"/>
                <w:szCs w:val="1"/>
                <w:color w:val="auto"/>
              </w:rPr>
            </w:pPr>
          </w:p>
        </w:tc>
      </w:tr>
      <w:tr>
        <w:trPr>
          <w:trHeight w:val="91"/>
        </w:trPr>
        <w:tc>
          <w:tcPr>
            <w:tcW w:w="23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600" w:type="dxa"/>
            <w:vAlign w:val="bottom"/>
          </w:tcPr>
          <w:p>
            <w:pPr>
              <w:jc w:val="right"/>
              <w:ind w:right="180"/>
              <w:spacing w:after="0" w:line="91" w:lineRule="exact"/>
              <w:rPr>
                <w:sz w:val="20"/>
                <w:szCs w:val="20"/>
                <w:color w:val="auto"/>
              </w:rPr>
            </w:pPr>
            <w:r>
              <w:rPr>
                <w:rFonts w:ascii="Times New Roman" w:cs="Times New Roman" w:eastAsia="Times New Roman" w:hAnsi="Times New Roman"/>
                <w:sz w:val="8"/>
                <w:szCs w:val="8"/>
                <w:b w:val="1"/>
                <w:bCs w:val="1"/>
                <w:color w:val="auto"/>
              </w:rPr>
              <w:t>Coupon</w:t>
            </w:r>
          </w:p>
        </w:tc>
        <w:tc>
          <w:tcPr>
            <w:tcW w:w="800" w:type="dxa"/>
            <w:vAlign w:val="bottom"/>
          </w:tcPr>
          <w:p>
            <w:pPr>
              <w:jc w:val="center"/>
              <w:ind w:right="40"/>
              <w:spacing w:after="0" w:line="91" w:lineRule="exact"/>
              <w:rPr>
                <w:sz w:val="20"/>
                <w:szCs w:val="20"/>
                <w:color w:val="auto"/>
              </w:rPr>
            </w:pPr>
            <w:r>
              <w:rPr>
                <w:rFonts w:ascii="Times New Roman" w:cs="Times New Roman" w:eastAsia="Times New Roman" w:hAnsi="Times New Roman"/>
                <w:sz w:val="8"/>
                <w:szCs w:val="8"/>
                <w:b w:val="1"/>
                <w:bCs w:val="1"/>
                <w:color w:val="auto"/>
                <w:w w:val="97"/>
              </w:rPr>
              <w:t xml:space="preserve">Above Index </w:t>
            </w:r>
            <w:r>
              <w:rPr>
                <w:rFonts w:ascii="Times New Roman" w:cs="Times New Roman" w:eastAsia="Times New Roman" w:hAnsi="Times New Roman"/>
                <w:sz w:val="10"/>
                <w:szCs w:val="10"/>
                <w:b w:val="1"/>
                <w:bCs w:val="1"/>
                <w:color w:val="auto"/>
                <w:w w:val="97"/>
                <w:vertAlign w:val="superscript"/>
              </w:rPr>
              <w:t>(1)</w:t>
            </w:r>
          </w:p>
        </w:tc>
        <w:tc>
          <w:tcPr>
            <w:tcW w:w="5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520" w:type="dxa"/>
            <w:vAlign w:val="bottom"/>
          </w:tcPr>
          <w:p>
            <w:pPr>
              <w:jc w:val="right"/>
              <w:ind w:right="220"/>
              <w:spacing w:after="0"/>
              <w:rPr>
                <w:sz w:val="20"/>
                <w:szCs w:val="20"/>
                <w:color w:val="auto"/>
              </w:rPr>
            </w:pPr>
            <w:r>
              <w:rPr>
                <w:rFonts w:ascii="Times New Roman" w:cs="Times New Roman" w:eastAsia="Times New Roman" w:hAnsi="Times New Roman"/>
                <w:sz w:val="5"/>
                <w:szCs w:val="5"/>
                <w:b w:val="1"/>
                <w:bCs w:val="1"/>
                <w:color w:val="auto"/>
              </w:rPr>
              <w:t>(2)</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ORL Acquisition, Inc. - Unfunded Revolver </w:t>
            </w:r>
            <w:r>
              <w:rPr>
                <w:rFonts w:ascii="Times New Roman" w:cs="Times New Roman" w:eastAsia="Times New Roman" w:hAnsi="Times New Roman"/>
                <w:sz w:val="10"/>
                <w:szCs w:val="10"/>
                <w:color w:val="auto"/>
                <w:vertAlign w:val="superscript"/>
              </w:rPr>
              <w:t>(6), (8)</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9/1/2021</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09/03/2027</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Consumer Finance</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215</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(25)</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OSP Embedded Purchaser, LLC</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12/11/2023 12/17/2029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9.77%</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SOFR+ 575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36,810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36,445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36,294</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OSP Embedded Purchaser, LLC - Unfunded Revolver </w:t>
            </w:r>
            <w:r>
              <w:rPr>
                <w:rFonts w:ascii="Times New Roman" w:cs="Times New Roman" w:eastAsia="Times New Roman" w:hAnsi="Times New Roman"/>
                <w:sz w:val="10"/>
                <w:szCs w:val="10"/>
                <w:color w:val="auto"/>
                <w:vertAlign w:val="superscript"/>
              </w:rPr>
              <w:t>(8)</w:t>
            </w:r>
          </w:p>
        </w:tc>
        <w:tc>
          <w:tcPr>
            <w:tcW w:w="9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12/11/2023 12/17/2029</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2,932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(41)</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Output Services Group, Inc. - First-out Term Loan</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11/30/2023</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11/30/2028</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12.71%</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SOFR+ 843</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828</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828</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828</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Output Services Group, Inc. - Last-out Term Loan</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11/30/2023</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05/30/2028</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10.96%</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SOFR+ 668</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1,681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1,681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1,681</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Pacific Purchaser, LLC</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10/2/2023</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10/02/2028</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10.42%</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SOFR+ 625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7,123</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7,034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7,095</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Pacific Purchaser, LLC - Unfunded Revolver </w:t>
            </w:r>
            <w:r>
              <w:rPr>
                <w:rFonts w:ascii="Times New Roman" w:cs="Times New Roman" w:eastAsia="Times New Roman" w:hAnsi="Times New Roman"/>
                <w:sz w:val="10"/>
                <w:szCs w:val="10"/>
                <w:color w:val="auto"/>
                <w:vertAlign w:val="superscript"/>
              </w:rPr>
              <w:t>(8)</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10/2/2023</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10/02/2028</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1,799</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PAR Excellence Holdings, Inc.</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9/3/2024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09/03/2030</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9.32%</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27,431</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27,186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26,951</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PAR Excellence Holdings, Inc. - Unfunded Revolver </w:t>
            </w:r>
            <w:r>
              <w:rPr>
                <w:rFonts w:ascii="Times New Roman" w:cs="Times New Roman" w:eastAsia="Times New Roman" w:hAnsi="Times New Roman"/>
                <w:sz w:val="10"/>
                <w:szCs w:val="10"/>
                <w:color w:val="auto"/>
                <w:vertAlign w:val="superscript"/>
              </w:rPr>
              <w:t>(8)</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9/3/2024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09/03/2030</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4,692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(82)</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Paving Lessor Corp.</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7/1/2025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07/01/2031</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9.25%</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21,390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21,231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21,230</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Paving Lessor Corp. - Unfunded Term Loan </w:t>
            </w:r>
            <w:r>
              <w:rPr>
                <w:rFonts w:ascii="Times New Roman" w:cs="Times New Roman" w:eastAsia="Times New Roman" w:hAnsi="Times New Roman"/>
                <w:sz w:val="10"/>
                <w:szCs w:val="10"/>
                <w:color w:val="auto"/>
                <w:vertAlign w:val="superscript"/>
              </w:rPr>
              <w:t>(8)</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7/1/2025</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07/01/2027</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8,632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Paving Lessor Corp. - Unfunded Revolver </w:t>
            </w:r>
            <w:r>
              <w:rPr>
                <w:rFonts w:ascii="Times New Roman" w:cs="Times New Roman" w:eastAsia="Times New Roman" w:hAnsi="Times New Roman"/>
                <w:sz w:val="10"/>
                <w:szCs w:val="10"/>
                <w:color w:val="auto"/>
                <w:vertAlign w:val="superscript"/>
              </w:rPr>
              <w:t>(8)</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7/1/2025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07/01/2031</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5,755</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(43)</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Peninsula Pacific Entertainment, LLC</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8/15/2025</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08/22/2032</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Gaming</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9.02%</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SOFR+ 475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15,002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14,852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14,965</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Peninsula Pacific Entertainment, LLC - Unfunded Term Loan </w:t>
            </w:r>
            <w:r>
              <w:rPr>
                <w:rFonts w:ascii="Times New Roman" w:cs="Times New Roman" w:eastAsia="Times New Roman" w:hAnsi="Times New Roman"/>
                <w:sz w:val="10"/>
                <w:szCs w:val="10"/>
                <w:color w:val="auto"/>
                <w:vertAlign w:val="superscript"/>
              </w:rPr>
              <w:t>(8)</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8/15/2025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08/25/2027</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Gaming</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3,516</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Penta Group Holdings, Inc.</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7/31/2025</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07/31/2031</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8.50%</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15,000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14,925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14,925</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Penta Group Holdings, Inc. - Unfunded Term Loan </w:t>
            </w:r>
            <w:r>
              <w:rPr>
                <w:rFonts w:ascii="Times New Roman" w:cs="Times New Roman" w:eastAsia="Times New Roman" w:hAnsi="Times New Roman"/>
                <w:sz w:val="10"/>
                <w:szCs w:val="10"/>
                <w:color w:val="auto"/>
                <w:vertAlign w:val="superscript"/>
              </w:rPr>
              <w:t>(8)</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7/31/2025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07/31/2027</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6,056</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Penta Group Holdings, Inc. - Funded Revolver</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7/31/2025</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07/31/2031</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8.50%</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492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490</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Penta Group Holdings, Inc. - Unfunded Revolver </w:t>
            </w:r>
            <w:r>
              <w:rPr>
                <w:rFonts w:ascii="Times New Roman" w:cs="Times New Roman" w:eastAsia="Times New Roman" w:hAnsi="Times New Roman"/>
                <w:sz w:val="10"/>
                <w:szCs w:val="10"/>
                <w:color w:val="auto"/>
                <w:vertAlign w:val="superscript"/>
              </w:rPr>
              <w:t>(8)</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7/31/2025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07/31/2031</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1,022</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PCS MIDCO, Inc.</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3/1/2024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03/01/2030</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9.75%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SOFR+ 575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11,843</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11,755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11,843</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PCS MIDCO, Inc. - Unfunded Term Loan </w:t>
            </w:r>
            <w:r>
              <w:rPr>
                <w:rFonts w:ascii="Times New Roman" w:cs="Times New Roman" w:eastAsia="Times New Roman" w:hAnsi="Times New Roman"/>
                <w:sz w:val="10"/>
                <w:szCs w:val="10"/>
                <w:color w:val="auto"/>
                <w:vertAlign w:val="superscript"/>
              </w:rPr>
              <w:t>(8)</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3/1/2024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03/02/2026</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2,087</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PCS MIDCO, Inc. - Unfunded Revolver </w:t>
            </w:r>
            <w:r>
              <w:rPr>
                <w:rFonts w:ascii="Times New Roman" w:cs="Times New Roman" w:eastAsia="Times New Roman" w:hAnsi="Times New Roman"/>
                <w:sz w:val="10"/>
                <w:szCs w:val="10"/>
                <w:color w:val="auto"/>
                <w:vertAlign w:val="superscript"/>
              </w:rPr>
              <w:t>(8)</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3/1/2024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03/01/2030</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1,770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Pink Lilly Holdco, LLC </w:t>
            </w:r>
            <w:r>
              <w:rPr>
                <w:rFonts w:ascii="Times New Roman" w:cs="Times New Roman" w:eastAsia="Times New Roman" w:hAnsi="Times New Roman"/>
                <w:sz w:val="10"/>
                <w:szCs w:val="10"/>
                <w:color w:val="auto"/>
                <w:vertAlign w:val="superscript"/>
              </w:rPr>
              <w:t>(12)</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11/5/2021</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11/09/2027</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Textiles, Apparel and Luxury Goods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4.35%</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9,780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8,422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3,912</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Pink Lilly Holdco, LLC - Funded Revolver </w:t>
            </w:r>
            <w:r>
              <w:rPr>
                <w:rFonts w:ascii="Times New Roman" w:cs="Times New Roman" w:eastAsia="Times New Roman" w:hAnsi="Times New Roman"/>
                <w:sz w:val="10"/>
                <w:szCs w:val="10"/>
                <w:color w:val="auto"/>
                <w:vertAlign w:val="superscript"/>
              </w:rPr>
              <w:t>(12)</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11/5/2021</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11/09/2027</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Textiles, Apparel and Luxury Goods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4.27%</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611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611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244</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Pink Lilly Holdco, LLC - Unfunded Revolver </w:t>
            </w:r>
            <w:r>
              <w:rPr>
                <w:rFonts w:ascii="Times New Roman" w:cs="Times New Roman" w:eastAsia="Times New Roman" w:hAnsi="Times New Roman"/>
                <w:sz w:val="10"/>
                <w:szCs w:val="10"/>
                <w:color w:val="auto"/>
                <w:vertAlign w:val="superscript"/>
              </w:rPr>
              <w:t>(8) (12)</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11/5/2021</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11/09/2027</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Textiles, Apparel and Luxury Goods</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534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(321)</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PlayPower, Inc.</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8/28/2024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08/28/2030</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9.25%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1M SOFR+ 525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32,086</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31,893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32,086</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PlayPower, Inc. - Unfunded Revolver </w:t>
            </w:r>
            <w:r>
              <w:rPr>
                <w:rFonts w:ascii="Times New Roman" w:cs="Times New Roman" w:eastAsia="Times New Roman" w:hAnsi="Times New Roman"/>
                <w:sz w:val="10"/>
                <w:szCs w:val="10"/>
                <w:color w:val="auto"/>
                <w:vertAlign w:val="superscript"/>
              </w:rPr>
              <w:t>(8)</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8/28/2024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08/28/2030</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3,981</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Podean Buyer, LLC</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8/4/2025</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08/04/2031</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Marketing Services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10.00%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SOFR+ 600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8,000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7,920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7,920</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Podean Buyer, LLC - Unfunded Revolver </w:t>
            </w:r>
            <w:r>
              <w:rPr>
                <w:rFonts w:ascii="Times New Roman" w:cs="Times New Roman" w:eastAsia="Times New Roman" w:hAnsi="Times New Roman"/>
                <w:sz w:val="10"/>
                <w:szCs w:val="10"/>
                <w:color w:val="auto"/>
                <w:vertAlign w:val="superscript"/>
              </w:rPr>
              <w:t>(8)</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8/4/2025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08/04/2031</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Marketing Services</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1,579</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Project Granite Buyer, Inc.</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12/31/2024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12/31/2030</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9.75%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SOFR+ 575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11,894</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11,790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12,013</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Project Granite Buyer, Inc. - Unfunded Term Loan </w:t>
            </w:r>
            <w:r>
              <w:rPr>
                <w:rFonts w:ascii="Times New Roman" w:cs="Times New Roman" w:eastAsia="Times New Roman" w:hAnsi="Times New Roman"/>
                <w:sz w:val="10"/>
                <w:szCs w:val="10"/>
                <w:color w:val="auto"/>
                <w:vertAlign w:val="superscript"/>
              </w:rPr>
              <w:t>(8)</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12/31/2024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12/31/2026</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1,708</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34</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Project Granite Buyer, Inc. - Unfunded Revolver </w:t>
            </w:r>
            <w:r>
              <w:rPr>
                <w:rFonts w:ascii="Times New Roman" w:cs="Times New Roman" w:eastAsia="Times New Roman" w:hAnsi="Times New Roman"/>
                <w:sz w:val="10"/>
                <w:szCs w:val="10"/>
                <w:color w:val="auto"/>
                <w:vertAlign w:val="superscript"/>
              </w:rPr>
              <w:t>(8)</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12/31/2024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12/31/2030</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2,846</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Pragmatic Institute, LLC</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7/5/2022</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03/28/2030</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9.50%</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575</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575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417</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Rancho Health MSO, Inc.</w:t>
            </w:r>
          </w:p>
        </w:tc>
        <w:tc>
          <w:tcPr>
            <w:tcW w:w="9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12/20/2024 06/20/2029</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Equipment and Supplies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9.29%</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9,310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9,291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9,310</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Rancho Health MSO, Inc. - Unfunded Term Loan </w:t>
            </w:r>
            <w:r>
              <w:rPr>
                <w:rFonts w:ascii="Times New Roman" w:cs="Times New Roman" w:eastAsia="Times New Roman" w:hAnsi="Times New Roman"/>
                <w:sz w:val="10"/>
                <w:szCs w:val="10"/>
                <w:color w:val="auto"/>
                <w:vertAlign w:val="superscript"/>
              </w:rPr>
              <w:t>(8)</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12/20/2024 06/30/2026</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Equipment and Supplies</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3,034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28</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Rancho Health MSO, Inc. - Funded Revolver </w:t>
            </w:r>
            <w:r>
              <w:rPr>
                <w:rFonts w:ascii="Times New Roman" w:cs="Times New Roman" w:eastAsia="Times New Roman" w:hAnsi="Times New Roman"/>
                <w:sz w:val="10"/>
                <w:szCs w:val="10"/>
                <w:color w:val="auto"/>
                <w:vertAlign w:val="superscript"/>
              </w:rPr>
              <w:t>(6)</w:t>
            </w:r>
          </w:p>
        </w:tc>
        <w:tc>
          <w:tcPr>
            <w:tcW w:w="9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12/20/2024 06/20/2029</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Equipment and Supplies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9.29%</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2,420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2,420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2,420</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Rancho Health MSO, Inc. - Unfunded Revolver </w:t>
            </w:r>
            <w:r>
              <w:rPr>
                <w:rFonts w:ascii="Times New Roman" w:cs="Times New Roman" w:eastAsia="Times New Roman" w:hAnsi="Times New Roman"/>
                <w:sz w:val="10"/>
                <w:szCs w:val="10"/>
                <w:color w:val="auto"/>
                <w:vertAlign w:val="superscript"/>
              </w:rPr>
              <w:t>(6), (8)</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12/20/2024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06/20/2029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Equipment and Supplies</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880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Recteq, LLC</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1/27/2021</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01/29/2026</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10.40%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SOFR+ 640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3,820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3,809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3,810</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Recteq, LLC - Funded Revolver</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1/27/2021</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01/29/2026</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10.46%</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SOFR+ 625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360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360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359</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Recteq, LLC - Unfunded Revolver </w:t>
            </w:r>
            <w:r>
              <w:rPr>
                <w:rFonts w:ascii="Times New Roman" w:cs="Times New Roman" w:eastAsia="Times New Roman" w:hAnsi="Times New Roman"/>
                <w:sz w:val="10"/>
                <w:szCs w:val="10"/>
                <w:color w:val="auto"/>
                <w:vertAlign w:val="superscript"/>
              </w:rPr>
              <w:t>(6), (8)</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1/27/2021</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01/29/2026</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936</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Rosco Parent, LLC</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9/9/2025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09/12/2031</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8.81%</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22,000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21,835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21,835</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Rosco Parent, LLC - Unfunded Revolver </w:t>
            </w:r>
            <w:r>
              <w:rPr>
                <w:rFonts w:ascii="Times New Roman" w:cs="Times New Roman" w:eastAsia="Times New Roman" w:hAnsi="Times New Roman"/>
                <w:sz w:val="10"/>
                <w:szCs w:val="10"/>
                <w:color w:val="auto"/>
                <w:vertAlign w:val="superscript"/>
              </w:rPr>
              <w:t>(8)</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9/9/2025</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09/12/2031</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2,883</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Riverpoint Medical, LLC</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6/19/2019</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06/21/2027</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Equipment and Supplies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8.75%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SOFR+ 475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9,728</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9,682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9,728</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Riverpoint Medical, LLC - Unfunded Revolver </w:t>
            </w:r>
            <w:r>
              <w:rPr>
                <w:rFonts w:ascii="Times New Roman" w:cs="Times New Roman" w:eastAsia="Times New Roman" w:hAnsi="Times New Roman"/>
                <w:sz w:val="10"/>
                <w:szCs w:val="10"/>
                <w:color w:val="auto"/>
                <w:vertAlign w:val="superscript"/>
              </w:rPr>
              <w:t>(6), (8)</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6/19/2019</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06/21/2027</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Equipment and Supplies</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909</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Ro Health, LLC</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1/16/2025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01/17/2031</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8.50%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SOFR+ 450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15,337</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15,235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15,337</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Ro Health, LLC - Funded Revolver</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1/16/2025</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01/17/2031</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9.00%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2,329</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2,329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2,329</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Ro Health, LLC - Unfunded Revolver </w:t>
            </w:r>
            <w:r>
              <w:rPr>
                <w:rFonts w:ascii="Times New Roman" w:cs="Times New Roman" w:eastAsia="Times New Roman" w:hAnsi="Times New Roman"/>
                <w:sz w:val="10"/>
                <w:szCs w:val="10"/>
                <w:color w:val="auto"/>
                <w:vertAlign w:val="superscript"/>
              </w:rPr>
              <w:t>(8)</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1/16/2025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01/17/2031</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5,435</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RRA Corporate, LLC</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8/15/2024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08/15/2029</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9.00%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17,699</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17,546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17,593</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RRA Corporate, LLC - Unfunded Term Loan </w:t>
            </w:r>
            <w:r>
              <w:rPr>
                <w:rFonts w:ascii="Times New Roman" w:cs="Times New Roman" w:eastAsia="Times New Roman" w:hAnsi="Times New Roman"/>
                <w:sz w:val="10"/>
                <w:szCs w:val="10"/>
                <w:color w:val="auto"/>
                <w:vertAlign w:val="superscript"/>
              </w:rPr>
              <w:t>(8)</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8/15/2024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08/17/2026</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15,312</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61</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RRA Corporate, LLC - Funded Revolver</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8/15/2024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08/15/2029</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9.27%</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SOFR+ 525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3,090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3,090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3,071</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RRA Corporate, LLC - Unfunded Revolver </w:t>
            </w:r>
            <w:r>
              <w:rPr>
                <w:rFonts w:ascii="Times New Roman" w:cs="Times New Roman" w:eastAsia="Times New Roman" w:hAnsi="Times New Roman"/>
                <w:sz w:val="10"/>
                <w:szCs w:val="10"/>
                <w:color w:val="auto"/>
                <w:vertAlign w:val="superscript"/>
              </w:rPr>
              <w:t>(8)</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8/15/2024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08/15/2029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3,627</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(22)</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RTIC Subsidiary Holdings, LLC</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5/3/2024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05/03/2029</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9.75%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SOFR+ 575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47,340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46,734</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46,867</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RTIC Subsidiary Holdings, LLC - Funded Revolver</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5/3/2024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05/03/2029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9.75%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SOFR+ 575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3,296</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3,296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3,263</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RTIC Subsidiary Holdings, LLC - Unfunded Revolver </w:t>
            </w:r>
            <w:r>
              <w:rPr>
                <w:rFonts w:ascii="Times New Roman" w:cs="Times New Roman" w:eastAsia="Times New Roman" w:hAnsi="Times New Roman"/>
                <w:sz w:val="10"/>
                <w:szCs w:val="10"/>
                <w:color w:val="auto"/>
                <w:vertAlign w:val="superscript"/>
              </w:rPr>
              <w:t>(8)</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5/3/2024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05/03/2029</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6,121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(61)</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Rural Sourcing Holdings, Inc.</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6/8/2023</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06/15/2029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9.75%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SOFR+ 575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2,201</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2,161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1,981</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Rural Sourcing Holdings, Inc. - Funded Revolver</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6/8/2023</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06/15/2029</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9.75%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SOFR+ 575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487</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487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438</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Rural Sourcing Holdings, Inc. - Unfunded Revolver </w:t>
            </w:r>
            <w:r>
              <w:rPr>
                <w:rFonts w:ascii="Times New Roman" w:cs="Times New Roman" w:eastAsia="Times New Roman" w:hAnsi="Times New Roman"/>
                <w:sz w:val="10"/>
                <w:szCs w:val="10"/>
                <w:color w:val="auto"/>
                <w:vertAlign w:val="superscript"/>
              </w:rPr>
              <w:t>(6), (8)</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6/8/2023</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06/15/2029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373</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(37)</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Sabel Systems Technology Solutions, LLC</w:t>
            </w:r>
          </w:p>
        </w:tc>
        <w:tc>
          <w:tcPr>
            <w:tcW w:w="9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10/31/2024 10/31/2030</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Government Services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9.77%</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SOFR+ 575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26,649</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26,417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26,649</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Sabel Systems Technology Solutions, LLC - Funded Revolver</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10/31/2024 10/31/2030</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Government Services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12.75%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SOFR+ 525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182</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182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182</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Sabel Systems Technology Solutions, LLC - Unfunded Revolver </w:t>
            </w:r>
            <w:r>
              <w:rPr>
                <w:rFonts w:ascii="Times New Roman" w:cs="Times New Roman" w:eastAsia="Times New Roman" w:hAnsi="Times New Roman"/>
                <w:sz w:val="10"/>
                <w:szCs w:val="10"/>
                <w:color w:val="auto"/>
                <w:vertAlign w:val="superscript"/>
              </w:rPr>
              <w:t>(8)</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10/31/2024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10/31/2030</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Government Services</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3,452</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Safe Haven Defense US, LLC</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5/23/2024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05/23/2029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Building Products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9.50%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SOFR+ 525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19,845</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19,681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19,746</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Safe Haven Defense US, LLC - Unfunded Revolver </w:t>
            </w:r>
            <w:r>
              <w:rPr>
                <w:rFonts w:ascii="Times New Roman" w:cs="Times New Roman" w:eastAsia="Times New Roman" w:hAnsi="Times New Roman"/>
                <w:sz w:val="10"/>
                <w:szCs w:val="10"/>
                <w:color w:val="auto"/>
                <w:vertAlign w:val="superscript"/>
              </w:rPr>
              <w:t>(8)</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5/23/2024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05/23/2029</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Building Products</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2,920</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(15)</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Sales Benchmark Index, LLC</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12/23/2019 07/07/2026</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10.20%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SOFR+ 600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2,504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2,501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2,504</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Sales Benchmark Index, LLC - Funded Revolver</w:t>
            </w:r>
          </w:p>
        </w:tc>
        <w:tc>
          <w:tcPr>
            <w:tcW w:w="9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12/23/2019 07/07/2026</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9.20%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SOFR+ 520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431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431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431</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Sales Benchmark Index, LLC - Unfunded Revolver </w:t>
            </w:r>
            <w:r>
              <w:rPr>
                <w:rFonts w:ascii="Times New Roman" w:cs="Times New Roman" w:eastAsia="Times New Roman" w:hAnsi="Times New Roman"/>
                <w:sz w:val="10"/>
                <w:szCs w:val="10"/>
                <w:color w:val="auto"/>
                <w:vertAlign w:val="superscript"/>
              </w:rPr>
              <w:t>(6), (8)</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12/23/2019 07/07/2026</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646</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Sath Industries, LLC</w:t>
            </w:r>
          </w:p>
        </w:tc>
        <w:tc>
          <w:tcPr>
            <w:tcW w:w="9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12/17/2024 12/17/2029</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Event Services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9.54%</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SOFR+ 550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11,295</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11,198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11,295</w:t>
            </w:r>
          </w:p>
        </w:tc>
        <w:tc>
          <w:tcPr>
            <w:tcW w:w="0" w:type="dxa"/>
            <w:vAlign w:val="bottom"/>
          </w:tcPr>
          <w:p>
            <w:pPr>
              <w:spacing w:after="0"/>
              <w:rPr>
                <w:sz w:val="1"/>
                <w:szCs w:val="1"/>
                <w:color w:val="auto"/>
              </w:rPr>
            </w:pPr>
          </w:p>
        </w:tc>
      </w:tr>
      <w:tr>
        <w:trPr>
          <w:trHeight w:val="101"/>
        </w:trPr>
        <w:tc>
          <w:tcPr>
            <w:tcW w:w="23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Sath Industries, LLC - Unfunded Revolver </w:t>
            </w:r>
            <w:r>
              <w:rPr>
                <w:rFonts w:ascii="Times New Roman" w:cs="Times New Roman" w:eastAsia="Times New Roman" w:hAnsi="Times New Roman"/>
                <w:sz w:val="10"/>
                <w:szCs w:val="10"/>
                <w:color w:val="auto"/>
                <w:vertAlign w:val="superscript"/>
              </w:rPr>
              <w:t>(8)</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12/17/2024 12/17/2029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Event Services</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2,466</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Schlesinger Global, Inc.</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10/24/2019</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10/24/2025</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12.76%</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SOFR+ 860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8,169</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8,169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7,761</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(PIK 5.85%)</w:t>
            </w: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Schlesinger Global, Inc. - Funded Revolver</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10/24/2019</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10/24/2025</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12.76%</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SOFR+ 860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1,674</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1,674</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1,591</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(PIK 5.85%)</w:t>
            </w: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Schlesinger Global, Inc. - Unfunded Revolver </w:t>
            </w:r>
            <w:r>
              <w:rPr>
                <w:rFonts w:ascii="Times New Roman" w:cs="Times New Roman" w:eastAsia="Times New Roman" w:hAnsi="Times New Roman"/>
                <w:sz w:val="10"/>
                <w:szCs w:val="10"/>
                <w:color w:val="auto"/>
                <w:vertAlign w:val="superscript"/>
              </w:rPr>
              <w:t>(6), (8)</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10/24/2019</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10/24/2025</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401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Seacoast Service Partners NA, LLC</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12/20/2024 12/20/2029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9.01%</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10,596</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10,515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10,162</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Seacoast Service Partners NA, LLC - Unfunded Term Loan </w:t>
            </w:r>
            <w:r>
              <w:rPr>
                <w:rFonts w:ascii="Times New Roman" w:cs="Times New Roman" w:eastAsia="Times New Roman" w:hAnsi="Times New Roman"/>
                <w:sz w:val="10"/>
                <w:szCs w:val="10"/>
                <w:color w:val="auto"/>
                <w:vertAlign w:val="superscript"/>
              </w:rPr>
              <w:t>(8)</w:t>
            </w:r>
          </w:p>
        </w:tc>
        <w:tc>
          <w:tcPr>
            <w:tcW w:w="9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12/20/2024 12/21/2026</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5,653</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(182)</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Seacoast Service Partners NA, LLC - Funded Revolver</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12/20/2024 12/20/2029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9.00%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892</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892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855</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Seacoast Service Partners NA, LLC - Unfunded Revolver </w:t>
            </w:r>
            <w:r>
              <w:rPr>
                <w:rFonts w:ascii="Times New Roman" w:cs="Times New Roman" w:eastAsia="Times New Roman" w:hAnsi="Times New Roman"/>
                <w:sz w:val="10"/>
                <w:szCs w:val="10"/>
                <w:color w:val="auto"/>
                <w:vertAlign w:val="superscript"/>
              </w:rPr>
              <w:t>(8)</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12/20/2024</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12/20/2029</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1,231</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(50)</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Seaway Buyer, LLC</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7/25/2024</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06/13/2029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Chemicals, Plastics and Rubber</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10.17%</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SOFR+ 615</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1,882</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1,864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1,755</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Sigma Defense Systems, LLC</w:t>
            </w:r>
          </w:p>
        </w:tc>
        <w:tc>
          <w:tcPr>
            <w:tcW w:w="9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11/30/2021 12/20/2027</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10.15%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SOFR+ 615</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26,344</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26,096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26,344</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Sigma Defense Systems, LLC - Funded Revolver</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11/30/2021 12/20/2027</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10.90%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SOFR+ 690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764</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764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764</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Sigma Defense Systems, LLC - Unfunded Revolver </w:t>
            </w:r>
            <w:r>
              <w:rPr>
                <w:rFonts w:ascii="Times New Roman" w:cs="Times New Roman" w:eastAsia="Times New Roman" w:hAnsi="Times New Roman"/>
                <w:sz w:val="10"/>
                <w:szCs w:val="10"/>
                <w:color w:val="auto"/>
                <w:vertAlign w:val="superscript"/>
              </w:rPr>
              <w:t>(6), (8)</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11/30/2021</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12/20/2027</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2,548</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Smartronix, LLC</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2/6/2025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02/06/2032</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8.66%</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1M SOFR+ 450</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5,970</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5,914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5,992</w:t>
            </w: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Smile Brands, Inc.</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10/4/2018</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10/12/2027</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and Pharmaceuticals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10.43%</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1M SOFR+ 610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4,609</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4,323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3,978</w:t>
            </w:r>
          </w:p>
        </w:tc>
        <w:tc>
          <w:tcPr>
            <w:tcW w:w="0" w:type="dxa"/>
            <w:vAlign w:val="bottom"/>
          </w:tcPr>
          <w:p>
            <w:pPr>
              <w:spacing w:after="0"/>
              <w:rPr>
                <w:sz w:val="1"/>
                <w:szCs w:val="1"/>
                <w:color w:val="auto"/>
              </w:rPr>
            </w:pPr>
          </w:p>
        </w:tc>
      </w:tr>
      <w:tr>
        <w:trPr>
          <w:trHeight w:val="101"/>
        </w:trPr>
        <w:tc>
          <w:tcPr>
            <w:tcW w:w="2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(PIK 1.50%)</w:t>
            </w: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Smile Brands, Inc. - Funded Revolver</w:t>
            </w:r>
          </w:p>
        </w:tc>
        <w:tc>
          <w:tcPr>
            <w:tcW w:w="54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10/4/2018</w:t>
            </w: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8"/>
              </w:rPr>
              <w:t>10/12/2027</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and Pharmaceuticals</w:t>
            </w:r>
          </w:p>
        </w:tc>
        <w:tc>
          <w:tcPr>
            <w:tcW w:w="6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10.43%</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1M SOFR+ 610</w:t>
            </w:r>
          </w:p>
        </w:tc>
        <w:tc>
          <w:tcPr>
            <w:tcW w:w="5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1,047</w:t>
            </w:r>
          </w:p>
        </w:tc>
        <w:tc>
          <w:tcPr>
            <w:tcW w:w="38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1,047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903</w:t>
            </w:r>
          </w:p>
        </w:tc>
        <w:tc>
          <w:tcPr>
            <w:tcW w:w="0" w:type="dxa"/>
            <w:vAlign w:val="bottom"/>
          </w:tcPr>
          <w:p>
            <w:pPr>
              <w:spacing w:after="0"/>
              <w:rPr>
                <w:sz w:val="1"/>
                <w:szCs w:val="1"/>
                <w:color w:val="auto"/>
              </w:rPr>
            </w:pPr>
          </w:p>
        </w:tc>
      </w:tr>
      <w:tr>
        <w:trPr>
          <w:trHeight w:val="132"/>
        </w:trPr>
        <w:tc>
          <w:tcPr>
            <w:tcW w:w="2300" w:type="dxa"/>
            <w:vAlign w:val="bottom"/>
          </w:tcPr>
          <w:p>
            <w:pPr>
              <w:spacing w:after="0"/>
              <w:rPr>
                <w:sz w:val="20"/>
                <w:szCs w:val="20"/>
                <w:color w:val="auto"/>
              </w:rPr>
            </w:pPr>
            <w:r>
              <w:rPr>
                <w:rFonts w:ascii="Times New Roman" w:cs="Times New Roman" w:eastAsia="Times New Roman" w:hAnsi="Times New Roman"/>
                <w:sz w:val="8"/>
                <w:szCs w:val="8"/>
                <w:color w:val="auto"/>
              </w:rPr>
              <w:t xml:space="preserve">Smile Brands, Inc. - Unfunded Revolver </w:t>
            </w:r>
            <w:r>
              <w:rPr>
                <w:rFonts w:ascii="Times New Roman" w:cs="Times New Roman" w:eastAsia="Times New Roman" w:hAnsi="Times New Roman"/>
                <w:sz w:val="10"/>
                <w:szCs w:val="10"/>
                <w:color w:val="auto"/>
                <w:vertAlign w:val="superscript"/>
              </w:rPr>
              <w:t>(6), (8)</w:t>
            </w:r>
          </w:p>
        </w:tc>
        <w:tc>
          <w:tcPr>
            <w:tcW w:w="54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10/4/2018</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8"/>
              </w:rPr>
              <w:t>10/12/2027</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and Pharmaceuticals</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531</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(73)</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September 30,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22" w:lineRule="exact"/>
        <w:rPr>
          <w:sz w:val="20"/>
          <w:szCs w:val="20"/>
          <w:color w:val="auto"/>
        </w:rPr>
      </w:pPr>
    </w:p>
    <w:tbl>
      <w:tblPr>
        <w:tblLayout w:type="fixed"/>
        <w:tblInd w:w="780" w:type="dxa"/>
        <w:tblCellMar>
          <w:top w:w="0" w:type="dxa"/>
          <w:left w:w="0" w:type="dxa"/>
          <w:bottom w:w="0" w:type="dxa"/>
          <w:right w:w="0" w:type="dxa"/>
        </w:tblCellMar>
      </w:tblPr>
      <w:tr>
        <w:trPr>
          <w:trHeight w:val="112"/>
        </w:trPr>
        <w:tc>
          <w:tcPr>
            <w:tcW w:w="242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w w:val="97"/>
              </w:rPr>
              <w:t>Acquisition</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560" w:type="dxa"/>
            <w:vAlign w:val="bottom"/>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b w:val="1"/>
                <w:bCs w:val="1"/>
                <w:color w:val="auto"/>
                <w:w w:val="99"/>
              </w:rPr>
              <w:t>Basis Point Spread</w:t>
            </w:r>
          </w:p>
        </w:tc>
        <w:tc>
          <w:tcPr>
            <w:tcW w:w="540" w:type="dxa"/>
            <w:vAlign w:val="bottom"/>
            <w:vMerge w:val="restart"/>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Par / Shares</w:t>
            </w:r>
          </w:p>
        </w:tc>
        <w:tc>
          <w:tcPr>
            <w:tcW w:w="100" w:type="dxa"/>
            <w:vAlign w:val="bottom"/>
          </w:tcPr>
          <w:p>
            <w:pPr>
              <w:spacing w:after="0"/>
              <w:rPr>
                <w:sz w:val="9"/>
                <w:szCs w:val="9"/>
                <w:color w:val="auto"/>
              </w:rPr>
            </w:pPr>
          </w:p>
        </w:tc>
        <w:tc>
          <w:tcPr>
            <w:tcW w:w="320" w:type="dxa"/>
            <w:vAlign w:val="bottom"/>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Cost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Fair Value</w:t>
            </w:r>
          </w:p>
        </w:tc>
        <w:tc>
          <w:tcPr>
            <w:tcW w:w="0" w:type="dxa"/>
            <w:vAlign w:val="bottom"/>
          </w:tcPr>
          <w:p>
            <w:pPr>
              <w:spacing w:after="0"/>
              <w:rPr>
                <w:sz w:val="1"/>
                <w:szCs w:val="1"/>
                <w:color w:val="auto"/>
              </w:rPr>
            </w:pPr>
          </w:p>
        </w:tc>
      </w:tr>
      <w:tr>
        <w:trPr>
          <w:trHeight w:val="91"/>
        </w:trPr>
        <w:tc>
          <w:tcPr>
            <w:tcW w:w="242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560" w:type="dxa"/>
            <w:vAlign w:val="bottom"/>
          </w:tcPr>
          <w:p>
            <w:pPr>
              <w:jc w:val="right"/>
              <w:ind w:right="180"/>
              <w:spacing w:after="0" w:line="91" w:lineRule="exact"/>
              <w:rPr>
                <w:sz w:val="20"/>
                <w:szCs w:val="20"/>
                <w:color w:val="auto"/>
              </w:rPr>
            </w:pPr>
            <w:r>
              <w:rPr>
                <w:rFonts w:ascii="Times New Roman" w:cs="Times New Roman" w:eastAsia="Times New Roman" w:hAnsi="Times New Roman"/>
                <w:sz w:val="8"/>
                <w:szCs w:val="8"/>
                <w:b w:val="1"/>
                <w:bCs w:val="1"/>
                <w:color w:val="auto"/>
              </w:rPr>
              <w:t>Coupon</w:t>
            </w:r>
          </w:p>
        </w:tc>
        <w:tc>
          <w:tcPr>
            <w:tcW w:w="800" w:type="dxa"/>
            <w:vAlign w:val="bottom"/>
          </w:tcPr>
          <w:p>
            <w:pPr>
              <w:jc w:val="center"/>
              <w:ind w:right="40"/>
              <w:spacing w:after="0" w:line="91" w:lineRule="exact"/>
              <w:rPr>
                <w:sz w:val="20"/>
                <w:szCs w:val="20"/>
                <w:color w:val="auto"/>
              </w:rPr>
            </w:pPr>
            <w:r>
              <w:rPr>
                <w:rFonts w:ascii="Times New Roman" w:cs="Times New Roman" w:eastAsia="Times New Roman" w:hAnsi="Times New Roman"/>
                <w:sz w:val="8"/>
                <w:szCs w:val="8"/>
                <w:b w:val="1"/>
                <w:bCs w:val="1"/>
                <w:color w:val="auto"/>
                <w:w w:val="97"/>
              </w:rPr>
              <w:t xml:space="preserve">Above Index </w:t>
            </w:r>
            <w:r>
              <w:rPr>
                <w:rFonts w:ascii="Times New Roman" w:cs="Times New Roman" w:eastAsia="Times New Roman" w:hAnsi="Times New Roman"/>
                <w:sz w:val="10"/>
                <w:szCs w:val="10"/>
                <w:b w:val="1"/>
                <w:bCs w:val="1"/>
                <w:color w:val="auto"/>
                <w:w w:val="97"/>
                <w:vertAlign w:val="superscript"/>
              </w:rPr>
              <w:t>(1)</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5"/>
                <w:szCs w:val="5"/>
                <w:b w:val="1"/>
                <w:bCs w:val="1"/>
                <w:color w:val="auto"/>
              </w:rPr>
              <w:t>(2)</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Smile Brands, Inc. - Unfunded Revolver - LC </w:t>
            </w:r>
            <w:r>
              <w:rPr>
                <w:rFonts w:ascii="Times New Roman" w:cs="Times New Roman" w:eastAsia="Times New Roman" w:hAnsi="Times New Roman"/>
                <w:sz w:val="10"/>
                <w:szCs w:val="10"/>
                <w:color w:val="auto"/>
                <w:vertAlign w:val="superscript"/>
              </w:rPr>
              <w:t>(6) (8)</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10/4/2018</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10/12/2027</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and Pharmaceuticals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100</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(14)</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Spendmend Holdings, LLC</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3/1/2022</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03/01/2028</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9.15%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SOFR+ 515</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2,949</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2,929</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2,949</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Spendmend Holdings, LLC - Unfunded Term Loan </w:t>
            </w:r>
            <w:r>
              <w:rPr>
                <w:rFonts w:ascii="Times New Roman" w:cs="Times New Roman" w:eastAsia="Times New Roman" w:hAnsi="Times New Roman"/>
                <w:sz w:val="10"/>
                <w:szCs w:val="10"/>
                <w:color w:val="auto"/>
                <w:vertAlign w:val="superscript"/>
              </w:rPr>
              <w:t>(8)</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3/1/2022</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11/25/2026</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2,922</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Spendmend Holdings, LLC - Funded Revolver</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3/1/2022</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03/01/2028</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9.15%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SOFR+ 515</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149</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149</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149</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Spendmend Holdings, LLC - Unfunded Revolver </w:t>
            </w:r>
            <w:r>
              <w:rPr>
                <w:rFonts w:ascii="Times New Roman" w:cs="Times New Roman" w:eastAsia="Times New Roman" w:hAnsi="Times New Roman"/>
                <w:sz w:val="10"/>
                <w:szCs w:val="10"/>
                <w:color w:val="auto"/>
                <w:vertAlign w:val="superscript"/>
              </w:rPr>
              <w:t>(8)</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3/1/2022</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03/01/2028</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743</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STG Distribution, LLC - First Out New Money Term Loans</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8/27/2025</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10/03/2029</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Air Freight and Logistics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12.57%</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1M SOFR+ 835</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784</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700</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698</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STG Distribution, LLC - Second Out Term Loans </w:t>
            </w:r>
            <w:r>
              <w:rPr>
                <w:rFonts w:ascii="Times New Roman" w:cs="Times New Roman" w:eastAsia="Times New Roman" w:hAnsi="Times New Roman"/>
                <w:sz w:val="10"/>
                <w:szCs w:val="10"/>
                <w:color w:val="auto"/>
                <w:vertAlign w:val="superscript"/>
              </w:rPr>
              <w:t>(12)</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8/27/2025</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10/03/2029</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Air Freight and Logistics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5.32%</w:t>
            </w:r>
          </w:p>
        </w:tc>
        <w:tc>
          <w:tcPr>
            <w:tcW w:w="800" w:type="dxa"/>
            <w:vAlign w:val="bottom"/>
            <w:shd w:val="clear" w:color="auto" w:fill="CCECFF"/>
          </w:tcPr>
          <w:p>
            <w:pPr>
              <w:spacing w:after="0"/>
              <w:rPr>
                <w:sz w:val="8"/>
                <w:szCs w:val="8"/>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1,814</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541</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145</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SV-Aero Holdings, LLC</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10/31/2024 11/01/2030</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9.00%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SOFR+ 500</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15,275</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15,211</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15,275</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SV-Aero Holdings, LLC - Unfunded Term Loan </w:t>
            </w:r>
            <w:r>
              <w:rPr>
                <w:rFonts w:ascii="Times New Roman" w:cs="Times New Roman" w:eastAsia="Times New Roman" w:hAnsi="Times New Roman"/>
                <w:sz w:val="10"/>
                <w:szCs w:val="10"/>
                <w:color w:val="auto"/>
                <w:vertAlign w:val="superscript"/>
              </w:rPr>
              <w:t>(8)</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10/31/2024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11/02/2026</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7,259</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36</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Symplr Software, Inc.</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8/27/2025</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12/20/2027</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8.91%</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SOFR+ 460</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680</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622</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610</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Systems Planning And Analysis, Inc.</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10/12/2021 08/16/2027</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8.75%</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SOFR+ 475</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46,315</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46,011</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45,944</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Systems Planning And Analysis, Inc. - Funded Revolver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10/12/2021 08/16/2027</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8.90%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SOFR+ 475</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774</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774</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768</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Systems Planning And Analysis, Inc. - Unfunded Term Loan </w:t>
            </w:r>
            <w:r>
              <w:rPr>
                <w:rFonts w:ascii="Times New Roman" w:cs="Times New Roman" w:eastAsia="Times New Roman" w:hAnsi="Times New Roman"/>
                <w:sz w:val="10"/>
                <w:szCs w:val="10"/>
                <w:color w:val="auto"/>
                <w:vertAlign w:val="superscript"/>
              </w:rPr>
              <w:t>(8)</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10/12/2021 06/12/2027</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2,131</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Systems Planning And Analysis, Inc. - Unfunded Revolver </w:t>
            </w:r>
            <w:r>
              <w:rPr>
                <w:rFonts w:ascii="Times New Roman" w:cs="Times New Roman" w:eastAsia="Times New Roman" w:hAnsi="Times New Roman"/>
                <w:sz w:val="10"/>
                <w:szCs w:val="10"/>
                <w:color w:val="auto"/>
                <w:vertAlign w:val="superscript"/>
              </w:rPr>
              <w:t>(8)</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10/12/2021</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08/16/2027</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7,590</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4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(61)</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TCG 3.0 Jogger Acquisitionco, Inc.</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1/23/2024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01/23/2029</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10.52%</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SOFR+ 650</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9,345</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9,259</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9,298</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TCG 3.0 Jogger Acquisitionco, Inc. - Funded Revolver</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1/23/2024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01/23/2029</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12.75%</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SOFR+ 550</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437</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437</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435</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TCG 3.0 Jogger Acquisitionco, Inc. - Unfunded Revolver </w:t>
            </w:r>
            <w:r>
              <w:rPr>
                <w:rFonts w:ascii="Times New Roman" w:cs="Times New Roman" w:eastAsia="Times New Roman" w:hAnsi="Times New Roman"/>
                <w:sz w:val="10"/>
                <w:szCs w:val="10"/>
                <w:color w:val="auto"/>
                <w:vertAlign w:val="superscript"/>
              </w:rPr>
              <w:t>(8)</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1/23/2024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01/23/2029</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1,990</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Team Services Group, LLC</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2/23/2024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12/20/2027</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9.56%</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SOFR+ 525</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15,753</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15,590</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15,687</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The Bluebird Group, LLC</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7/22/2021</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07/28/2026</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9.90%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SOFR+ 590</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13,608</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13,569</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13,608</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The Bluebird Group, LLC - Unfunded Revolver </w:t>
            </w:r>
            <w:r>
              <w:rPr>
                <w:rFonts w:ascii="Times New Roman" w:cs="Times New Roman" w:eastAsia="Times New Roman" w:hAnsi="Times New Roman"/>
                <w:sz w:val="10"/>
                <w:szCs w:val="10"/>
                <w:color w:val="auto"/>
                <w:vertAlign w:val="superscript"/>
              </w:rPr>
              <w:t>(6), (8)</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7/22/2021</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07/28/2026</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862</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The Vertex Companies, LLC </w:t>
            </w:r>
            <w:r>
              <w:rPr>
                <w:rFonts w:ascii="Times New Roman" w:cs="Times New Roman" w:eastAsia="Times New Roman" w:hAnsi="Times New Roman"/>
                <w:sz w:val="10"/>
                <w:szCs w:val="10"/>
                <w:color w:val="auto"/>
                <w:vertAlign w:val="superscript"/>
              </w:rPr>
              <w:t>(6)</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8/25/2021</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08/31/2028</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9.01%</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1M SOFR+ 495</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22,561</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22,428</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22,448</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The Vertex Companies, LLC - Funded Revolver</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8/25/2021</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08/31/2028</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8.99%</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1M SOFR+ 495</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2,007</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2,007</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1,996</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The Vertex Companies, LLC - Unfunded Revolver </w:t>
            </w:r>
            <w:r>
              <w:rPr>
                <w:rFonts w:ascii="Times New Roman" w:cs="Times New Roman" w:eastAsia="Times New Roman" w:hAnsi="Times New Roman"/>
                <w:sz w:val="10"/>
                <w:szCs w:val="10"/>
                <w:color w:val="auto"/>
                <w:vertAlign w:val="superscript"/>
              </w:rPr>
              <w:t>(6), (8)</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8/25/2021</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08/31/2028</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3,466</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(17)</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TMII Enterprises, LLC</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12/19/2022 12/22/2028</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8.66%</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SOFR+ 450</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3,543</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3,527</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3,543</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TMII Enterprises, LLC - Unfunded Revolver </w:t>
            </w:r>
            <w:r>
              <w:rPr>
                <w:rFonts w:ascii="Times New Roman" w:cs="Times New Roman" w:eastAsia="Times New Roman" w:hAnsi="Times New Roman"/>
                <w:sz w:val="10"/>
                <w:szCs w:val="10"/>
                <w:color w:val="auto"/>
                <w:vertAlign w:val="superscript"/>
              </w:rPr>
              <w:t>(6), (8)</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12/19/2022 12/22/2028</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748</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TPC US Parent, LLC</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11/15/2019 11/24/2025</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Food Products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10.19%</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SOFR+ 590</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12,259</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12,251</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12,161</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TransGo, LLC</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12/29/2023 12/29/2028</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 Components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9.91%</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SOFR+ 575</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10,904</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10,785</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10,985</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TransGo, LLC - Unfunded Revolver </w:t>
            </w:r>
            <w:r>
              <w:rPr>
                <w:rFonts w:ascii="Times New Roman" w:cs="Times New Roman" w:eastAsia="Times New Roman" w:hAnsi="Times New Roman"/>
                <w:sz w:val="10"/>
                <w:szCs w:val="10"/>
                <w:color w:val="auto"/>
                <w:vertAlign w:val="superscript"/>
              </w:rPr>
              <w:t>(6), (8)</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12/29/2023</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12/29/2028</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Auto Components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4,440</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33</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Tyto Athene, LLC</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3/26/2021</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04/03/2028</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9.19%</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SOFR+ 490</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16,500</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16,304</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16,088</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US Fertility Enterprises, LLC</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10/7/2024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10/11/2031</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8.80%</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1M SOFR+ 450</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2,039</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2,040</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2,039</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Urology Management Holdings, Inc.</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9/3/2024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06/15/2027</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9.66%</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1M SOFR+ 550</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5,550</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5,530</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5,550</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Urology Management Holdings, Inc. - Unfunded Term Loan </w:t>
            </w:r>
            <w:r>
              <w:rPr>
                <w:rFonts w:ascii="Times New Roman" w:cs="Times New Roman" w:eastAsia="Times New Roman" w:hAnsi="Times New Roman"/>
                <w:sz w:val="10"/>
                <w:szCs w:val="10"/>
                <w:color w:val="auto"/>
                <w:vertAlign w:val="superscript"/>
              </w:rPr>
              <w:t>(8)</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9/3/2024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09/03/2026</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2,400</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Walker Edison Furniture Company, LLC - New Money DIP</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3/1/2023</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03/01/2029</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Wholesale</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10.00%</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223</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223</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228</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Walker Edison Furniture Company, LLC - Unfunded Term Loan </w:t>
            </w:r>
            <w:r>
              <w:rPr>
                <w:rFonts w:ascii="Times New Roman" w:cs="Times New Roman" w:eastAsia="Times New Roman" w:hAnsi="Times New Roman"/>
                <w:sz w:val="10"/>
                <w:szCs w:val="10"/>
                <w:color w:val="auto"/>
                <w:vertAlign w:val="superscript"/>
              </w:rPr>
              <w:t>(8)</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3/1/2023</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03/01/2029</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Wholesale</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590</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Electronic Equipment, Instruments, and</w:t>
            </w: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Watchtower Buyer, LLC</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11/29/2023 12/03/2029</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Components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10.00%</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SOFR+ 600</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12,772</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12,643</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12,644</w:t>
            </w: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Electronic Equipment, Instruments, and</w:t>
            </w: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Watchtower Buyer, LLC - Unfunded Revolver </w:t>
            </w:r>
            <w:r>
              <w:rPr>
                <w:rFonts w:ascii="Times New Roman" w:cs="Times New Roman" w:eastAsia="Times New Roman" w:hAnsi="Times New Roman"/>
                <w:sz w:val="10"/>
                <w:szCs w:val="10"/>
                <w:color w:val="auto"/>
                <w:vertAlign w:val="superscript"/>
              </w:rPr>
              <w:t>(8)</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11/29/2023</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12/03/2029</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Components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6,300</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4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(63)</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Wash &amp; Wax Systems, LLC</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4/30/2025</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04/30/2028</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9.81%</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SOFR+ 550</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6,446</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6,559</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6,568</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Wash &amp; Wax Systems, LLC - Funded Revolver</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4/30/2025</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04/30/2028</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9.81%</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SOFR+ 550</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17</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Wash &amp; Wax Systems, LLC - Unfunded Revolver </w:t>
            </w:r>
            <w:r>
              <w:rPr>
                <w:rFonts w:ascii="Times New Roman" w:cs="Times New Roman" w:eastAsia="Times New Roman" w:hAnsi="Times New Roman"/>
                <w:sz w:val="10"/>
                <w:szCs w:val="10"/>
                <w:color w:val="auto"/>
                <w:vertAlign w:val="superscript"/>
              </w:rPr>
              <w:t>(6) (8)</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4/30/2025</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04/30/2028</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spacing w:after="0"/>
              <w:rPr>
                <w:sz w:val="8"/>
                <w:szCs w:val="8"/>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830</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2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Total First Lien Secured Debt</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9"/>
              </w:rPr>
              <w:t>2,289,0</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71</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w w:val="99"/>
              </w:rPr>
              <w:t>2,275,982</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Second Lien Secured Debt - 0.1% of Net Assets</w:t>
            </w: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Team Services Group, LLC - 2nd Lien</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2/23/2024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12/18/2028</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13.57%</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3M SOFR+ 926</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995</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995</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Second Lien Secured Debt</w:t>
            </w: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995</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995</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Subordinate Debt - 1.7% of Net Assets</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Beacon Behavioral Holdings, LLC</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6/21/2024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06/21/2030</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15.00%</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5,229</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5,176</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5,229</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Integrative Nutrition, LLC - Promissory Note #1</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4/17/2025</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04/15/2030</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2,623</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2,276</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2,243</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Integrative Nutrition, LLC - Promissory Note #2</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4/17/2025</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04/15/2033</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5,975</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2,763</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2,763</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ORL Holdco, Inc. - Convertible Notes</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8/2/2024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03/08/2028</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Consumer Finance</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18.00%</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13</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ORL Holdco, Inc. - Unfunded Convertible Notes </w:t>
            </w:r>
            <w:r>
              <w:rPr>
                <w:rFonts w:ascii="Times New Roman" w:cs="Times New Roman" w:eastAsia="Times New Roman" w:hAnsi="Times New Roman"/>
                <w:sz w:val="10"/>
                <w:szCs w:val="10"/>
                <w:color w:val="auto"/>
                <w:vertAlign w:val="superscript"/>
              </w:rPr>
              <w:t>(8)</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8/2/2024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03/08/2028</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Consumer Finance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13</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OSP Embedded Purchaser, LP - Convertible Note</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11/6/2024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05/08/2030</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12.00%</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471</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547</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Schlesinger Global, LLC - Promissory Note</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2/21/2024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01/08/2026</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12.76%</w:t>
            </w:r>
          </w:p>
        </w:tc>
        <w:tc>
          <w:tcPr>
            <w:tcW w:w="8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3M SOFR+ 860</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66</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66</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136</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StoicLane, Inc. - Convertible Notes</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8/15/2024</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08/16/2027</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12.00%</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2,288</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2,288</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2,632</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StoicLane, Inc. - Unfunded Convertible Notes </w:t>
            </w:r>
            <w:r>
              <w:rPr>
                <w:rFonts w:ascii="Times New Roman" w:cs="Times New Roman" w:eastAsia="Times New Roman" w:hAnsi="Times New Roman"/>
                <w:sz w:val="10"/>
                <w:szCs w:val="10"/>
                <w:color w:val="auto"/>
                <w:vertAlign w:val="superscript"/>
              </w:rPr>
              <w:t>(8)</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8/15/2024</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08/16/2027</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763</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115</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Wash &amp; Wax Systems, LLC - Subordinate Debt</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4/30/2025</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07/30/2028</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12.00%</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4,334</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4,334</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4,334</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Subordinate Debt</w:t>
            </w: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17,387</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17,986</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Preferred Equity - 1.9% of Net Assets</w:t>
            </w:r>
            <w:r>
              <w:rPr>
                <w:rFonts w:ascii="Times New Roman" w:cs="Times New Roman" w:eastAsia="Times New Roman" w:hAnsi="Times New Roman"/>
                <w:sz w:val="10"/>
                <w:szCs w:val="10"/>
                <w:color w:val="auto"/>
                <w:vertAlign w:val="superscript"/>
              </w:rPr>
              <w:t>(5)</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Accounting Platform Holdings, Inc. - Preferred Equity - Series A</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8/9/2024</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1,075,900</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1,076</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1,076</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Ad.Net Holdings, Inc. - Preferred Equity</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5/4/2021</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6,720</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672</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602</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AFC Acquisitions, Inc. Preferred Equity - Series F-2 </w:t>
            </w:r>
            <w:r>
              <w:rPr>
                <w:rFonts w:ascii="Times New Roman" w:cs="Times New Roman" w:eastAsia="Times New Roman" w:hAnsi="Times New Roman"/>
                <w:sz w:val="10"/>
                <w:szCs w:val="10"/>
                <w:color w:val="auto"/>
                <w:vertAlign w:val="superscript"/>
              </w:rPr>
              <w:t>(7)</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12/7/2023</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825</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1,262</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1,380</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AFC Acquisitions, Inc. Preferred Equity - Series G-2 </w:t>
            </w:r>
            <w:r>
              <w:rPr>
                <w:rFonts w:ascii="Times New Roman" w:cs="Times New Roman" w:eastAsia="Times New Roman" w:hAnsi="Times New Roman"/>
                <w:sz w:val="10"/>
                <w:szCs w:val="10"/>
                <w:color w:val="auto"/>
                <w:vertAlign w:val="superscript"/>
              </w:rPr>
              <w:t>(7)</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12/7/2023</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31</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33</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AFC Acquisitions, Inc. Preferred Equity - Series H-2 </w:t>
            </w:r>
            <w:r>
              <w:rPr>
                <w:rFonts w:ascii="Times New Roman" w:cs="Times New Roman" w:eastAsia="Times New Roman" w:hAnsi="Times New Roman"/>
                <w:sz w:val="10"/>
                <w:szCs w:val="10"/>
                <w:color w:val="auto"/>
                <w:vertAlign w:val="superscript"/>
              </w:rPr>
              <w:t>(7)</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12/7/2023</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20</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AFC Acquisitions, Inc. Preferred Equity - Series I-2 </w:t>
            </w:r>
            <w:r>
              <w:rPr>
                <w:rFonts w:ascii="Times New Roman" w:cs="Times New Roman" w:eastAsia="Times New Roman" w:hAnsi="Times New Roman"/>
                <w:sz w:val="10"/>
                <w:szCs w:val="10"/>
                <w:color w:val="auto"/>
                <w:vertAlign w:val="superscript"/>
              </w:rPr>
              <w:t>(7)</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12/7/2023</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19</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AFC Acquisitions, Inc. Preferred Equity - Series J-2 </w:t>
            </w:r>
            <w:r>
              <w:rPr>
                <w:rFonts w:ascii="Times New Roman" w:cs="Times New Roman" w:eastAsia="Times New Roman" w:hAnsi="Times New Roman"/>
                <w:sz w:val="10"/>
                <w:szCs w:val="10"/>
                <w:color w:val="auto"/>
                <w:vertAlign w:val="superscript"/>
              </w:rPr>
              <w:t>(7)</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12/7/2023</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17</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34</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w:t>
            </w:r>
          </w:p>
        </w:tc>
        <w:tc>
          <w:tcPr>
            <w:tcW w:w="0" w:type="dxa"/>
            <w:vAlign w:val="bottom"/>
          </w:tcPr>
          <w:p>
            <w:pPr>
              <w:spacing w:after="0"/>
              <w:rPr>
                <w:sz w:val="1"/>
                <w:szCs w:val="1"/>
                <w:color w:val="auto"/>
              </w:rPr>
            </w:pPr>
          </w:p>
        </w:tc>
      </w:tr>
      <w:tr>
        <w:trPr>
          <w:trHeight w:val="81"/>
        </w:trPr>
        <w:tc>
          <w:tcPr>
            <w:tcW w:w="2420" w:type="dxa"/>
            <w:vAlign w:val="bottom"/>
          </w:tcPr>
          <w:p>
            <w:pPr>
              <w:spacing w:after="0" w:line="81" w:lineRule="exact"/>
              <w:rPr>
                <w:sz w:val="20"/>
                <w:szCs w:val="20"/>
                <w:color w:val="auto"/>
              </w:rPr>
            </w:pPr>
            <w:r>
              <w:rPr>
                <w:rFonts w:ascii="Times New Roman" w:cs="Times New Roman" w:eastAsia="Times New Roman" w:hAnsi="Times New Roman"/>
                <w:sz w:val="8"/>
                <w:szCs w:val="8"/>
                <w:color w:val="auto"/>
              </w:rPr>
              <w:t>Anteriad Holdings, LP (f/k/a MeritDirect Holdings, LP) - Preferred Equity</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8"/>
                <w:szCs w:val="8"/>
                <w:color w:val="auto"/>
              </w:rPr>
              <w:t>5/21/2019</w:t>
            </w:r>
          </w:p>
        </w:tc>
        <w:tc>
          <w:tcPr>
            <w:tcW w:w="400" w:type="dxa"/>
            <w:vAlign w:val="bottom"/>
          </w:tcPr>
          <w:p>
            <w:pPr>
              <w:spacing w:after="0"/>
              <w:rPr>
                <w:sz w:val="7"/>
                <w:szCs w:val="7"/>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vMerge w:val="restart"/>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vMerge w:val="restart"/>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2,018</w:t>
            </w:r>
          </w:p>
        </w:tc>
        <w:tc>
          <w:tcPr>
            <w:tcW w:w="100" w:type="dxa"/>
            <w:vAlign w:val="bottom"/>
          </w:tcPr>
          <w:p>
            <w:pPr>
              <w:spacing w:after="0"/>
              <w:rPr>
                <w:sz w:val="7"/>
                <w:szCs w:val="7"/>
                <w:color w:val="auto"/>
              </w:rPr>
            </w:pPr>
          </w:p>
        </w:tc>
        <w:tc>
          <w:tcPr>
            <w:tcW w:w="320" w:type="dxa"/>
            <w:vAlign w:val="bottom"/>
            <w:vMerge w:val="restart"/>
          </w:tcPr>
          <w:p>
            <w:pPr>
              <w:jc w:val="right"/>
              <w:ind w:right="20"/>
              <w:spacing w:after="0"/>
              <w:rPr>
                <w:sz w:val="20"/>
                <w:szCs w:val="20"/>
                <w:color w:val="auto"/>
              </w:rPr>
            </w:pPr>
            <w:r>
              <w:rPr>
                <w:rFonts w:ascii="Times New Roman" w:cs="Times New Roman" w:eastAsia="Times New Roman" w:hAnsi="Times New Roman"/>
                <w:sz w:val="8"/>
                <w:szCs w:val="8"/>
                <w:color w:val="auto"/>
              </w:rPr>
              <w:t>2,018</w:t>
            </w:r>
          </w:p>
        </w:tc>
        <w:tc>
          <w:tcPr>
            <w:tcW w:w="100" w:type="dxa"/>
            <w:vAlign w:val="bottom"/>
          </w:tcPr>
          <w:p>
            <w:pPr>
              <w:spacing w:after="0"/>
              <w:rPr>
                <w:sz w:val="7"/>
                <w:szCs w:val="7"/>
                <w:color w:val="auto"/>
              </w:rPr>
            </w:pPr>
          </w:p>
        </w:tc>
        <w:tc>
          <w:tcPr>
            <w:tcW w:w="420" w:type="dxa"/>
            <w:vAlign w:val="bottom"/>
            <w:vMerge w:val="restart"/>
          </w:tcPr>
          <w:p>
            <w:pPr>
              <w:jc w:val="right"/>
              <w:ind w:right="40"/>
              <w:spacing w:after="0"/>
              <w:rPr>
                <w:sz w:val="20"/>
                <w:szCs w:val="20"/>
                <w:color w:val="auto"/>
              </w:rPr>
            </w:pPr>
            <w:r>
              <w:rPr>
                <w:rFonts w:ascii="Times New Roman" w:cs="Times New Roman" w:eastAsia="Times New Roman" w:hAnsi="Times New Roman"/>
                <w:sz w:val="8"/>
                <w:szCs w:val="8"/>
                <w:color w:val="auto"/>
              </w:rPr>
              <w:t>1,990</w:t>
            </w:r>
          </w:p>
        </w:tc>
        <w:tc>
          <w:tcPr>
            <w:tcW w:w="0" w:type="dxa"/>
            <w:vAlign w:val="bottom"/>
          </w:tcPr>
          <w:p>
            <w:pPr>
              <w:spacing w:after="0"/>
              <w:rPr>
                <w:sz w:val="1"/>
                <w:szCs w:val="1"/>
                <w:color w:val="auto"/>
              </w:rPr>
            </w:pPr>
          </w:p>
        </w:tc>
      </w:tr>
      <w:tr>
        <w:trPr>
          <w:trHeight w:val="63"/>
        </w:trPr>
        <w:tc>
          <w:tcPr>
            <w:tcW w:w="2420" w:type="dxa"/>
            <w:vAlign w:val="bottom"/>
          </w:tcPr>
          <w:p>
            <w:pPr>
              <w:spacing w:after="0"/>
              <w:rPr>
                <w:sz w:val="20"/>
                <w:szCs w:val="20"/>
                <w:color w:val="auto"/>
              </w:rPr>
            </w:pPr>
            <w:r>
              <w:rPr>
                <w:rFonts w:ascii="Times New Roman" w:cs="Times New Roman" w:eastAsia="Times New Roman" w:hAnsi="Times New Roman"/>
                <w:sz w:val="5"/>
                <w:szCs w:val="5"/>
                <w:color w:val="auto"/>
              </w:rPr>
              <w:t>(6), (7)</w:t>
            </w:r>
          </w:p>
        </w:tc>
        <w:tc>
          <w:tcPr>
            <w:tcW w:w="4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42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BioDerm Holdings, LP - Preferred Equity</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1/30/2023</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Equipment and Supplies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1,313</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1,313</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1,308</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Cartessa Aesthetics, LLC - Preferred Equity </w:t>
            </w:r>
            <w:r>
              <w:rPr>
                <w:rFonts w:ascii="Times New Roman" w:cs="Times New Roman" w:eastAsia="Times New Roman" w:hAnsi="Times New Roman"/>
                <w:sz w:val="10"/>
                <w:szCs w:val="10"/>
                <w:color w:val="auto"/>
                <w:vertAlign w:val="superscript"/>
              </w:rPr>
              <w:t>(7)</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6/1/2022</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1,437,500</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1,438</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3,263</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Connatix Parent, LLC</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7/8/2021</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5,311</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Consello Pacific Aggregator, LLC - Preferred Equity </w:t>
            </w:r>
            <w:r>
              <w:rPr>
                <w:rFonts w:ascii="Times New Roman" w:cs="Times New Roman" w:eastAsia="Times New Roman" w:hAnsi="Times New Roman"/>
                <w:sz w:val="10"/>
                <w:szCs w:val="10"/>
                <w:color w:val="auto"/>
                <w:vertAlign w:val="superscript"/>
              </w:rPr>
              <w:t>(7)</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10/2/2023</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1,025,476</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973</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790</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C5MI Holdco, LLC - Preferred Equity </w:t>
            </w:r>
            <w:r>
              <w:rPr>
                <w:rFonts w:ascii="Times New Roman" w:cs="Times New Roman" w:eastAsia="Times New Roman" w:hAnsi="Times New Roman"/>
                <w:sz w:val="10"/>
                <w:szCs w:val="10"/>
                <w:color w:val="auto"/>
                <w:vertAlign w:val="superscript"/>
              </w:rPr>
              <w:t>(7)</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7/31/2024</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228,900</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223</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238</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EvAL Home Health Solutions, LLC </w:t>
            </w:r>
            <w:r>
              <w:rPr>
                <w:rFonts w:ascii="Times New Roman" w:cs="Times New Roman" w:eastAsia="Times New Roman" w:hAnsi="Times New Roman"/>
                <w:sz w:val="10"/>
                <w:szCs w:val="10"/>
                <w:color w:val="auto"/>
                <w:vertAlign w:val="superscript"/>
              </w:rPr>
              <w:t>(7)</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5/10/2024</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Education and Childcare</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876,386</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1,455</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1,315</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Five Star Parent Holdings, LLC - Preferred (Class P)</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2/21/2023</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Hotels, Restaurants and Leisure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384</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38</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164</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Gauge Schlesinger Coinvest, LLC - Preferred Equity</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4/22/2020</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64</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64</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Hancock Claims Consultants Investors, LLC - Preferred Equity </w:t>
            </w:r>
            <w:r>
              <w:rPr>
                <w:rFonts w:ascii="Times New Roman" w:cs="Times New Roman" w:eastAsia="Times New Roman" w:hAnsi="Times New Roman"/>
                <w:sz w:val="10"/>
                <w:szCs w:val="10"/>
                <w:color w:val="auto"/>
                <w:vertAlign w:val="superscript"/>
              </w:rPr>
              <w:t>(7)</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12/23/2020</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Insurance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116,588</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76</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134</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HPA SPQ Aggregator, LP - Preferred Equity</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6/8/2023</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52,353</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52</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52</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Imagine Topco. LP - Preferred Equity</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11/4/2021</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8.00%</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1,236,027</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1,236</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1,689</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Magnolia Topco, LP - Preferred Equity - Class A </w:t>
            </w:r>
            <w:r>
              <w:rPr>
                <w:rFonts w:ascii="Times New Roman" w:cs="Times New Roman" w:eastAsia="Times New Roman" w:hAnsi="Times New Roman"/>
                <w:sz w:val="10"/>
                <w:szCs w:val="10"/>
                <w:color w:val="auto"/>
                <w:vertAlign w:val="superscript"/>
              </w:rPr>
              <w:t>(7)</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7/25/2023</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47</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43</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Magnolia Topco, LP - Preferred Equity - Class A-1 </w:t>
            </w:r>
            <w:r>
              <w:rPr>
                <w:rFonts w:ascii="Times New Roman" w:cs="Times New Roman" w:eastAsia="Times New Roman" w:hAnsi="Times New Roman"/>
                <w:sz w:val="10"/>
                <w:szCs w:val="10"/>
                <w:color w:val="auto"/>
                <w:vertAlign w:val="superscript"/>
              </w:rPr>
              <w:t>(7)</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7/25/2023</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16</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16</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32</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Magnolia Topco, LP - Preferred Equity - Class B </w:t>
            </w:r>
            <w:r>
              <w:rPr>
                <w:rFonts w:ascii="Times New Roman" w:cs="Times New Roman" w:eastAsia="Times New Roman" w:hAnsi="Times New Roman"/>
                <w:sz w:val="10"/>
                <w:szCs w:val="10"/>
                <w:color w:val="auto"/>
                <w:vertAlign w:val="superscript"/>
              </w:rPr>
              <w:t>(7)</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7/25/2023</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31</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20</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Electronic Equipment, Instruments, and</w:t>
            </w: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Megawatt Acquisition Partners, LLC - Preferred Equity - Class A</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6/28/2024</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Components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9,360</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936</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731</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NXOF Holdings, Inc. - Preferred Equity</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9/25/2018</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1,935</w:t>
            </w:r>
          </w:p>
        </w:tc>
        <w:tc>
          <w:tcPr>
            <w:tcW w:w="10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1,935</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2,021</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ORL Holdco, Inc. - Preferred Equity</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9/1/2021</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Consumer Finance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1,327</w:t>
            </w:r>
          </w:p>
        </w:tc>
        <w:tc>
          <w:tcPr>
            <w:tcW w:w="10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133</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September 30,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22" w:lineRule="exact"/>
        <w:rPr>
          <w:sz w:val="20"/>
          <w:szCs w:val="20"/>
          <w:color w:val="auto"/>
        </w:rPr>
      </w:pPr>
    </w:p>
    <w:tbl>
      <w:tblPr>
        <w:tblLayout w:type="fixed"/>
        <w:tblInd w:w="780" w:type="dxa"/>
        <w:tblCellMar>
          <w:top w:w="0" w:type="dxa"/>
          <w:left w:w="0" w:type="dxa"/>
          <w:bottom w:w="0" w:type="dxa"/>
          <w:right w:w="0" w:type="dxa"/>
        </w:tblCellMar>
      </w:tblPr>
      <w:tr>
        <w:trPr>
          <w:trHeight w:val="112"/>
        </w:trPr>
        <w:tc>
          <w:tcPr>
            <w:tcW w:w="242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Acquisition Maturity</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560" w:type="dxa"/>
            <w:vAlign w:val="bottom"/>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800" w:type="dxa"/>
            <w:vAlign w:val="bottom"/>
          </w:tcPr>
          <w:p>
            <w:pPr>
              <w:ind w:left="40"/>
              <w:spacing w:after="0"/>
              <w:rPr>
                <w:sz w:val="20"/>
                <w:szCs w:val="20"/>
                <w:color w:val="auto"/>
              </w:rPr>
            </w:pPr>
            <w:r>
              <w:rPr>
                <w:rFonts w:ascii="Times New Roman" w:cs="Times New Roman" w:eastAsia="Times New Roman" w:hAnsi="Times New Roman"/>
                <w:sz w:val="8"/>
                <w:szCs w:val="8"/>
                <w:b w:val="1"/>
                <w:bCs w:val="1"/>
                <w:color w:val="auto"/>
              </w:rPr>
              <w:t>Basis Point Spread</w:t>
            </w:r>
          </w:p>
        </w:tc>
        <w:tc>
          <w:tcPr>
            <w:tcW w:w="660" w:type="dxa"/>
            <w:vAlign w:val="bottom"/>
            <w:vMerge w:val="restart"/>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Par / Shares</w:t>
            </w:r>
          </w:p>
        </w:tc>
        <w:tc>
          <w:tcPr>
            <w:tcW w:w="300" w:type="dxa"/>
            <w:vAlign w:val="bottom"/>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w w:val="89"/>
              </w:rPr>
              <w:t>Cost</w:t>
            </w: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Fair Value</w:t>
            </w:r>
          </w:p>
        </w:tc>
        <w:tc>
          <w:tcPr>
            <w:tcW w:w="0" w:type="dxa"/>
            <w:vAlign w:val="bottom"/>
          </w:tcPr>
          <w:p>
            <w:pPr>
              <w:spacing w:after="0"/>
              <w:rPr>
                <w:sz w:val="1"/>
                <w:szCs w:val="1"/>
                <w:color w:val="auto"/>
              </w:rPr>
            </w:pPr>
          </w:p>
        </w:tc>
      </w:tr>
      <w:tr>
        <w:trPr>
          <w:trHeight w:val="92"/>
        </w:trPr>
        <w:tc>
          <w:tcPr>
            <w:tcW w:w="24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560" w:type="dxa"/>
            <w:vAlign w:val="bottom"/>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Coupon</w:t>
            </w:r>
          </w:p>
        </w:tc>
        <w:tc>
          <w:tcPr>
            <w:tcW w:w="800" w:type="dxa"/>
            <w:vAlign w:val="bottom"/>
          </w:tcPr>
          <w:p>
            <w:pPr>
              <w:ind w:left="100"/>
              <w:spacing w:after="0" w:line="92" w:lineRule="exact"/>
              <w:rPr>
                <w:sz w:val="20"/>
                <w:szCs w:val="20"/>
                <w:color w:val="auto"/>
              </w:rPr>
            </w:pPr>
            <w:r>
              <w:rPr>
                <w:rFonts w:ascii="Times New Roman" w:cs="Times New Roman" w:eastAsia="Times New Roman" w:hAnsi="Times New Roman"/>
                <w:sz w:val="8"/>
                <w:szCs w:val="8"/>
                <w:b w:val="1"/>
                <w:bCs w:val="1"/>
                <w:color w:val="auto"/>
              </w:rPr>
              <w:t xml:space="preserve">Above Index </w:t>
            </w:r>
            <w:r>
              <w:rPr>
                <w:rFonts w:ascii="Times New Roman" w:cs="Times New Roman" w:eastAsia="Times New Roman" w:hAnsi="Times New Roman"/>
                <w:sz w:val="10"/>
                <w:szCs w:val="10"/>
                <w:b w:val="1"/>
                <w:bCs w:val="1"/>
                <w:color w:val="auto"/>
                <w:vertAlign w:val="superscript"/>
              </w:rPr>
              <w:t>(1)</w:t>
            </w:r>
          </w:p>
        </w:tc>
        <w:tc>
          <w:tcPr>
            <w:tcW w:w="6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20" w:type="dxa"/>
            <w:vAlign w:val="bottom"/>
          </w:tcPr>
          <w:p>
            <w:pPr>
              <w:jc w:val="right"/>
              <w:ind w:right="220"/>
              <w:spacing w:after="0"/>
              <w:rPr>
                <w:sz w:val="20"/>
                <w:szCs w:val="20"/>
                <w:color w:val="auto"/>
              </w:rPr>
            </w:pPr>
            <w:r>
              <w:rPr>
                <w:rFonts w:ascii="Times New Roman" w:cs="Times New Roman" w:eastAsia="Times New Roman" w:hAnsi="Times New Roman"/>
                <w:sz w:val="5"/>
                <w:szCs w:val="5"/>
                <w:b w:val="1"/>
                <w:bCs w:val="1"/>
                <w:color w:val="auto"/>
              </w:rPr>
              <w:t>(2)</w:t>
            </w:r>
          </w:p>
        </w:tc>
        <w:tc>
          <w:tcPr>
            <w:tcW w:w="0" w:type="dxa"/>
            <w:vAlign w:val="bottom"/>
          </w:tcPr>
          <w:p>
            <w:pPr>
              <w:spacing w:after="0"/>
              <w:rPr>
                <w:sz w:val="1"/>
                <w:szCs w:val="1"/>
                <w:color w:val="auto"/>
              </w:rPr>
            </w:pPr>
          </w:p>
        </w:tc>
      </w:tr>
      <w:tr>
        <w:trPr>
          <w:trHeight w:val="100"/>
        </w:trPr>
        <w:tc>
          <w:tcPr>
            <w:tcW w:w="242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Pink Lily Holdco, LLC - Preferred Equity - Class A-1 </w:t>
            </w:r>
            <w:r>
              <w:rPr>
                <w:rFonts w:ascii="Times New Roman" w:cs="Times New Roman" w:eastAsia="Times New Roman" w:hAnsi="Times New Roman"/>
                <w:sz w:val="10"/>
                <w:szCs w:val="10"/>
                <w:color w:val="auto"/>
                <w:vertAlign w:val="superscript"/>
              </w:rPr>
              <w:t>(7)</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11/5/2021</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Textiles, Apparel and Luxury Goods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122</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RTIC Parent Holdings, LLC - Preferred Equity - Class A </w:t>
            </w:r>
            <w:r>
              <w:rPr>
                <w:rFonts w:ascii="Times New Roman" w:cs="Times New Roman" w:eastAsia="Times New Roman" w:hAnsi="Times New Roman"/>
                <w:sz w:val="10"/>
                <w:szCs w:val="10"/>
                <w:color w:val="auto"/>
                <w:vertAlign w:val="superscript"/>
              </w:rPr>
              <w:t>(7)</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5/3/2024</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9</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RTIC Parent Holdings, LLC - Preferred Equity - Class C </w:t>
            </w:r>
            <w:r>
              <w:rPr>
                <w:rFonts w:ascii="Times New Roman" w:cs="Times New Roman" w:eastAsia="Times New Roman" w:hAnsi="Times New Roman"/>
                <w:sz w:val="10"/>
                <w:szCs w:val="10"/>
                <w:color w:val="auto"/>
                <w:vertAlign w:val="superscript"/>
              </w:rPr>
              <w:t>(7)</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5/3/2024</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18,450</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1,215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2,246</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RTIC Parent Holdings, LLC - Preferred Equity - Class D </w:t>
            </w:r>
            <w:r>
              <w:rPr>
                <w:rFonts w:ascii="Times New Roman" w:cs="Times New Roman" w:eastAsia="Times New Roman" w:hAnsi="Times New Roman"/>
                <w:sz w:val="10"/>
                <w:szCs w:val="10"/>
                <w:color w:val="auto"/>
                <w:vertAlign w:val="superscript"/>
              </w:rPr>
              <w:t>(7)</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5/3/2024</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19,584</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196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264</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SP L2 Holdings, LLC - Preferred Equity</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11/4/2021</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135,240</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SP L2 Holdings, LLC - Unfunded Preferred Equity </w:t>
            </w:r>
            <w:r>
              <w:rPr>
                <w:rFonts w:ascii="Times New Roman" w:cs="Times New Roman" w:eastAsia="Times New Roman" w:hAnsi="Times New Roman"/>
                <w:sz w:val="10"/>
                <w:szCs w:val="10"/>
                <w:color w:val="auto"/>
                <w:vertAlign w:val="superscript"/>
              </w:rPr>
              <w:t>(8)</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11/4/2021</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77,280</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(19)</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TPC Holding Company, LP - Preferred Equity</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12/4/2019</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Food Products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409</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409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441</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TWD Parent Holdings, LLC - Preferred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8/25/2021</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41</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58</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UniTek Global Services, Inc. - Super Senior Preferred Equity</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1/13/2015</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Telecommunications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20.00%</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320,711</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322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722</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UniTek Global Services, Inc. - Senior Preferred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1/13/2015</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Telecommunications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19.00%</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448,851</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449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UniTek Global Services, Inc. - Preferred Equity</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1/13/2015</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Telecommunications</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13.50%</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1,047,317</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670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Preferred Equity</w:t>
            </w:r>
          </w:p>
        </w:tc>
        <w:tc>
          <w:tcPr>
            <w:tcW w:w="82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9"/>
              </w:rPr>
              <w:t>18,556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    20,652</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Common Equity/Warrants - 16.4% of Net Assets</w:t>
            </w:r>
            <w:r>
              <w:rPr>
                <w:rFonts w:ascii="Times New Roman" w:cs="Times New Roman" w:eastAsia="Times New Roman" w:hAnsi="Times New Roman"/>
                <w:sz w:val="10"/>
                <w:szCs w:val="10"/>
                <w:color w:val="auto"/>
                <w:vertAlign w:val="superscript"/>
              </w:rPr>
              <w:t>(5)</w:t>
            </w:r>
          </w:p>
        </w:tc>
        <w:tc>
          <w:tcPr>
            <w:tcW w:w="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A1 Garage Equity, LLC - Common Equity </w:t>
            </w:r>
            <w:r>
              <w:rPr>
                <w:rFonts w:ascii="Times New Roman" w:cs="Times New Roman" w:eastAsia="Times New Roman" w:hAnsi="Times New Roman"/>
                <w:sz w:val="10"/>
                <w:szCs w:val="10"/>
                <w:color w:val="auto"/>
                <w:vertAlign w:val="superscript"/>
              </w:rPr>
              <w:t>(7)</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12/19/2022</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647,943</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648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1,150</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48Forty Intermediate Holdings, Inc. - Common Equity</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8/27/2025</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529</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ACP Big Top Holdings, LP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2/29/2024</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3,000,500</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2,883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4,398</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Ad.Net Holdings, Inc. - Common Equity</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5/4/2021</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7,467</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75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Aechelon InvestCo, LP</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8/16/2024</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29,917</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2,992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11,379</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Aechelon InvestCo, LP - Unfunded Common Equity </w:t>
            </w:r>
            <w:r>
              <w:rPr>
                <w:rFonts w:ascii="Times New Roman" w:cs="Times New Roman" w:eastAsia="Times New Roman" w:hAnsi="Times New Roman"/>
                <w:sz w:val="10"/>
                <w:szCs w:val="10"/>
                <w:color w:val="auto"/>
                <w:vertAlign w:val="superscript"/>
              </w:rPr>
              <w:t>(8)</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8/16/2024</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33,433</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Aftermarket Drivetrain Products Holdings, LLC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12/29/2023</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 Components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2,632</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2,632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4,899</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AG Investco - Common Equity </w:t>
            </w:r>
            <w:r>
              <w:rPr>
                <w:rFonts w:ascii="Times New Roman" w:cs="Times New Roman" w:eastAsia="Times New Roman" w:hAnsi="Times New Roman"/>
                <w:sz w:val="10"/>
                <w:szCs w:val="10"/>
                <w:color w:val="auto"/>
                <w:vertAlign w:val="superscript"/>
              </w:rPr>
              <w:t>(6), (7)</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11/5/2018</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8,052</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805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75</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AG Investco - Unfunded Common Equity </w:t>
            </w:r>
            <w:r>
              <w:rPr>
                <w:rFonts w:ascii="Times New Roman" w:cs="Times New Roman" w:eastAsia="Times New Roman" w:hAnsi="Times New Roman"/>
                <w:sz w:val="10"/>
                <w:szCs w:val="10"/>
                <w:color w:val="auto"/>
                <w:vertAlign w:val="superscript"/>
              </w:rPr>
              <w:t>(7), (8)</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11/5/2018</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1,948</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(177)</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Altamira Parent Holdings, LLC - Common Equity</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7/23/2019</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1,437,500</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1,438</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1,335</w:t>
            </w:r>
          </w:p>
        </w:tc>
        <w:tc>
          <w:tcPr>
            <w:tcW w:w="0" w:type="dxa"/>
            <w:vAlign w:val="bottom"/>
          </w:tcPr>
          <w:p>
            <w:pPr>
              <w:spacing w:after="0"/>
              <w:rPr>
                <w:sz w:val="1"/>
                <w:szCs w:val="1"/>
                <w:color w:val="auto"/>
              </w:rPr>
            </w:pPr>
          </w:p>
        </w:tc>
      </w:tr>
      <w:tr>
        <w:trPr>
          <w:trHeight w:val="81"/>
        </w:trPr>
        <w:tc>
          <w:tcPr>
            <w:tcW w:w="2420" w:type="dxa"/>
            <w:vAlign w:val="bottom"/>
            <w:shd w:val="clear" w:color="auto" w:fill="CCECFF"/>
          </w:tcPr>
          <w:p>
            <w:pPr>
              <w:spacing w:after="0" w:line="81" w:lineRule="exact"/>
              <w:rPr>
                <w:sz w:val="20"/>
                <w:szCs w:val="20"/>
                <w:color w:val="auto"/>
              </w:rPr>
            </w:pPr>
            <w:r>
              <w:rPr>
                <w:rFonts w:ascii="Times New Roman" w:cs="Times New Roman" w:eastAsia="Times New Roman" w:hAnsi="Times New Roman"/>
                <w:sz w:val="8"/>
                <w:szCs w:val="8"/>
                <w:color w:val="auto"/>
              </w:rPr>
              <w:t>Anteriad Holdings, LP (f/k/a MeritDirect Holdings, LP) - Common Equity</w:t>
            </w:r>
          </w:p>
        </w:tc>
        <w:tc>
          <w:tcPr>
            <w:tcW w:w="820" w:type="dxa"/>
            <w:vAlign w:val="bottom"/>
            <w:vMerge w:val="restart"/>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5/21/2019</w:t>
            </w:r>
          </w:p>
        </w:tc>
        <w:tc>
          <w:tcPr>
            <w:tcW w:w="13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vMerge w:val="restart"/>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vMerge w:val="restart"/>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vMerge w:val="restart"/>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2,018</w:t>
            </w:r>
          </w:p>
        </w:tc>
        <w:tc>
          <w:tcPr>
            <w:tcW w:w="300" w:type="dxa"/>
            <w:vAlign w:val="bottom"/>
            <w:vMerge w:val="restart"/>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71"/>
        </w:trPr>
        <w:tc>
          <w:tcPr>
            <w:tcW w:w="24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5"/>
                <w:szCs w:val="5"/>
                <w:color w:val="auto"/>
              </w:rPr>
              <w:t>(7)</w:t>
            </w:r>
          </w:p>
        </w:tc>
        <w:tc>
          <w:tcPr>
            <w:tcW w:w="820" w:type="dxa"/>
            <w:vAlign w:val="bottom"/>
            <w:tcBorders>
              <w:bottom w:val="single" w:sz="8" w:color="CCECFF"/>
            </w:tcBorders>
            <w:vMerge w:val="continue"/>
            <w:shd w:val="clear" w:color="auto" w:fill="CCECFF"/>
          </w:tcPr>
          <w:p>
            <w:pPr>
              <w:spacing w:after="0"/>
              <w:rPr>
                <w:sz w:val="6"/>
                <w:szCs w:val="6"/>
                <w:color w:val="auto"/>
              </w:rPr>
            </w:pPr>
          </w:p>
        </w:tc>
        <w:tc>
          <w:tcPr>
            <w:tcW w:w="1380" w:type="dxa"/>
            <w:vAlign w:val="bottom"/>
            <w:tcBorders>
              <w:bottom w:val="single" w:sz="8" w:color="CCECFF"/>
            </w:tcBorders>
            <w:vMerge w:val="continue"/>
            <w:shd w:val="clear" w:color="auto" w:fill="CCECFF"/>
          </w:tcPr>
          <w:p>
            <w:pPr>
              <w:spacing w:after="0"/>
              <w:rPr>
                <w:sz w:val="6"/>
                <w:szCs w:val="6"/>
                <w:color w:val="auto"/>
              </w:rPr>
            </w:pPr>
          </w:p>
        </w:tc>
        <w:tc>
          <w:tcPr>
            <w:tcW w:w="560" w:type="dxa"/>
            <w:vAlign w:val="bottom"/>
            <w:tcBorders>
              <w:bottom w:val="single" w:sz="8" w:color="CCECFF"/>
            </w:tcBorders>
            <w:vMerge w:val="continue"/>
            <w:shd w:val="clear" w:color="auto" w:fill="CCECFF"/>
          </w:tcPr>
          <w:p>
            <w:pPr>
              <w:spacing w:after="0"/>
              <w:rPr>
                <w:sz w:val="6"/>
                <w:szCs w:val="6"/>
                <w:color w:val="auto"/>
              </w:rPr>
            </w:pPr>
          </w:p>
        </w:tc>
        <w:tc>
          <w:tcPr>
            <w:tcW w:w="800" w:type="dxa"/>
            <w:vAlign w:val="bottom"/>
            <w:tcBorders>
              <w:bottom w:val="single" w:sz="8" w:color="CCECFF"/>
            </w:tcBorders>
            <w:vMerge w:val="continue"/>
            <w:shd w:val="clear" w:color="auto" w:fill="CCECFF"/>
          </w:tcPr>
          <w:p>
            <w:pPr>
              <w:spacing w:after="0"/>
              <w:rPr>
                <w:sz w:val="6"/>
                <w:szCs w:val="6"/>
                <w:color w:val="auto"/>
              </w:rPr>
            </w:pPr>
          </w:p>
        </w:tc>
        <w:tc>
          <w:tcPr>
            <w:tcW w:w="660" w:type="dxa"/>
            <w:vAlign w:val="bottom"/>
            <w:tcBorders>
              <w:bottom w:val="single" w:sz="8" w:color="CCECFF"/>
            </w:tcBorders>
            <w:vMerge w:val="continue"/>
            <w:shd w:val="clear" w:color="auto" w:fill="CCECFF"/>
          </w:tcPr>
          <w:p>
            <w:pPr>
              <w:spacing w:after="0"/>
              <w:rPr>
                <w:sz w:val="6"/>
                <w:szCs w:val="6"/>
                <w:color w:val="auto"/>
              </w:rPr>
            </w:pPr>
          </w:p>
        </w:tc>
        <w:tc>
          <w:tcPr>
            <w:tcW w:w="300" w:type="dxa"/>
            <w:vAlign w:val="bottom"/>
            <w:tcBorders>
              <w:bottom w:val="single" w:sz="8" w:color="CCECFF"/>
            </w:tcBorders>
            <w:vMerge w:val="continue"/>
            <w:shd w:val="clear" w:color="auto" w:fill="CCECFF"/>
          </w:tcPr>
          <w:p>
            <w:pPr>
              <w:spacing w:after="0"/>
              <w:rPr>
                <w:sz w:val="6"/>
                <w:szCs w:val="6"/>
                <w:color w:val="auto"/>
              </w:rPr>
            </w:pPr>
          </w:p>
        </w:tc>
        <w:tc>
          <w:tcPr>
            <w:tcW w:w="520" w:type="dxa"/>
            <w:vAlign w:val="bottom"/>
            <w:tcBorders>
              <w:bottom w:val="single" w:sz="8" w:color="CCECFF"/>
            </w:tcBorders>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Athletico Holdings, LLC - Common Equity </w:t>
            </w:r>
            <w:r>
              <w:rPr>
                <w:rFonts w:ascii="Times New Roman" w:cs="Times New Roman" w:eastAsia="Times New Roman" w:hAnsi="Times New Roman"/>
                <w:sz w:val="10"/>
                <w:szCs w:val="10"/>
                <w:color w:val="auto"/>
                <w:vertAlign w:val="superscript"/>
              </w:rPr>
              <w:t>(7)</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2/4/2022</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4,678</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5,000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3,449</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Aphix Topco, Inc.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7/17/2025</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819,190</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819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868</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APT Holdings, LLC - Common Equity </w:t>
            </w:r>
            <w:r>
              <w:rPr>
                <w:rFonts w:ascii="Times New Roman" w:cs="Times New Roman" w:eastAsia="Times New Roman" w:hAnsi="Times New Roman"/>
                <w:sz w:val="10"/>
                <w:szCs w:val="10"/>
                <w:color w:val="auto"/>
                <w:vertAlign w:val="superscript"/>
              </w:rPr>
              <w:t>(7)</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9/29/2025</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855,110</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1,152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1,152</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Azureon Holdings, LLC </w:t>
            </w:r>
            <w:r>
              <w:rPr>
                <w:rFonts w:ascii="Times New Roman" w:cs="Times New Roman" w:eastAsia="Times New Roman" w:hAnsi="Times New Roman"/>
                <w:sz w:val="10"/>
                <w:szCs w:val="10"/>
                <w:color w:val="auto"/>
                <w:vertAlign w:val="superscript"/>
              </w:rPr>
              <w:t>(7)</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6/26/2024</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1,130,707</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1,131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961</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BioDerm Holdings, LP - Common Equity</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1/30/2023</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Equipment and Supplies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1,313</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Burgess Point Holdings, LP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7/21/2022</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 Components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112</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114</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121</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By Light Investco LP - Common Equity </w:t>
            </w:r>
            <w:r>
              <w:rPr>
                <w:rFonts w:ascii="Times New Roman" w:cs="Times New Roman" w:eastAsia="Times New Roman" w:hAnsi="Times New Roman"/>
                <w:sz w:val="10"/>
                <w:szCs w:val="10"/>
                <w:color w:val="auto"/>
                <w:vertAlign w:val="superscript"/>
              </w:rPr>
              <w:t>(7)</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5/15/2017</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High Tech Industries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22,789</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15,662</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Carisk Parent, LP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11/27/2023</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239,680</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240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276</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Carnegie HoldCo, LLC </w:t>
            </w:r>
            <w:r>
              <w:rPr>
                <w:rFonts w:ascii="Times New Roman" w:cs="Times New Roman" w:eastAsia="Times New Roman" w:hAnsi="Times New Roman"/>
                <w:sz w:val="10"/>
                <w:szCs w:val="10"/>
                <w:color w:val="auto"/>
                <w:vertAlign w:val="superscript"/>
              </w:rPr>
              <w:t>(7)</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2/7/2024</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2,719,600</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2,599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2,040</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Connatix Parent, LLC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7/8/2021</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182,141</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421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210</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Crane 1 Acquisition Parent Holdings, LP - Common Equity</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8/11/2021</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130</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254</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C5MI Holdco, LLC - Common Equity </w:t>
            </w:r>
            <w:r>
              <w:rPr>
                <w:rFonts w:ascii="Times New Roman" w:cs="Times New Roman" w:eastAsia="Times New Roman" w:hAnsi="Times New Roman"/>
                <w:sz w:val="10"/>
                <w:szCs w:val="10"/>
                <w:color w:val="auto"/>
                <w:vertAlign w:val="superscript"/>
              </w:rPr>
              <w:t>(7)</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7/31/2024</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1,659,050</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1,659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1,526</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Delta InvestCo, LP - Common Equity </w:t>
            </w:r>
            <w:r>
              <w:rPr>
                <w:rFonts w:ascii="Times New Roman" w:cs="Times New Roman" w:eastAsia="Times New Roman" w:hAnsi="Times New Roman"/>
                <w:sz w:val="10"/>
                <w:szCs w:val="10"/>
                <w:color w:val="auto"/>
                <w:vertAlign w:val="superscript"/>
              </w:rPr>
              <w:t>(7)</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12/16/2020</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804,615</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763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1,557</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Delta InvestCo, LP - Unfunded Common Equity </w:t>
            </w:r>
            <w:r>
              <w:rPr>
                <w:rFonts w:ascii="Times New Roman" w:cs="Times New Roman" w:eastAsia="Times New Roman" w:hAnsi="Times New Roman"/>
                <w:sz w:val="10"/>
                <w:szCs w:val="10"/>
                <w:color w:val="auto"/>
                <w:vertAlign w:val="superscript"/>
              </w:rPr>
              <w:t>(7), (8)</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12/16/2020</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200,255</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Duggal Equity, LP - Common Equity</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9/30/2024</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Marketing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686</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686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629</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82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Electronic Equipment, Instruments, and</w:t>
            </w: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EDS Topco, LP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12/19/2022</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Components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1,125,000</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1,125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2,322</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Events TopCo, LP - Common Equity</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12/17/2024</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Event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1,016,800</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1,017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1,297</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Exigo, LLC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3/10/2022</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541,667</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542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575</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FedHC InvestCo, LP - Common Equity </w:t>
            </w:r>
            <w:r>
              <w:rPr>
                <w:rFonts w:ascii="Times New Roman" w:cs="Times New Roman" w:eastAsia="Times New Roman" w:hAnsi="Times New Roman"/>
                <w:sz w:val="10"/>
                <w:szCs w:val="10"/>
                <w:color w:val="auto"/>
                <w:vertAlign w:val="superscript"/>
              </w:rPr>
              <w:t>(7)</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8/26/2021</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22,671</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810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3,006</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FedHC InvestCo, LP - Unfunded Common Equity </w:t>
            </w:r>
            <w:r>
              <w:rPr>
                <w:rFonts w:ascii="Times New Roman" w:cs="Times New Roman" w:eastAsia="Times New Roman" w:hAnsi="Times New Roman"/>
                <w:sz w:val="10"/>
                <w:szCs w:val="10"/>
                <w:color w:val="auto"/>
                <w:vertAlign w:val="superscript"/>
              </w:rPr>
              <w:t>(7), (8)</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8/26/2021</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3,721</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First Medical Holdings, LLC - Common Equity</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6/13/2025</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75,000</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750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773</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Five Star Parent Holdings, LLC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2/21/2023</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Hotels, Restaurants and Leisure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655,714</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656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Gauge ETE Blocker, LLC - Common Equity</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5/24/2023</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374,444</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374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288</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Gauge Lash Coinvest, LLC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12/4/2019</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2,057,387</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1,588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4,059</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Gauge Loving Tan, LP - Common Equity</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5/25/2023</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2,914,701</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2,915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3,755</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Gauge Schlesinger Coinvest, LLC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4/22/2020</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465</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476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w:t>
            </w: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Independent Power and Renewable</w:t>
            </w: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GCP Boss Holdco, LLC</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12/27/2024</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Electricity Producers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2,194,800</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2,195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3,182</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GCOM InvestCo, LP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6/22/2021</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19,184</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3,342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5,115</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GGG Topco, LLC </w:t>
            </w:r>
            <w:r>
              <w:rPr>
                <w:rFonts w:ascii="Times New Roman" w:cs="Times New Roman" w:eastAsia="Times New Roman" w:hAnsi="Times New Roman"/>
                <w:sz w:val="10"/>
                <w:szCs w:val="10"/>
                <w:color w:val="auto"/>
                <w:vertAlign w:val="superscript"/>
              </w:rPr>
              <w:t>(7)</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9/27/2024</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2,759,800</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2,760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3,586</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GMP Hills, LP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11/2/2023</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4,430,843</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4,431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5,494</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Hancock Claims Consultants Investors, LLC - Common Equity </w:t>
            </w:r>
            <w:r>
              <w:rPr>
                <w:rFonts w:ascii="Times New Roman" w:cs="Times New Roman" w:eastAsia="Times New Roman" w:hAnsi="Times New Roman"/>
                <w:sz w:val="10"/>
                <w:szCs w:val="10"/>
                <w:color w:val="auto"/>
                <w:vertAlign w:val="superscript"/>
              </w:rPr>
              <w:t>(7)</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12/23/2020</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Insurance</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450,000</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448</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194</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HPA SPQ Aggregator, LP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6/8/2023</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750,399</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750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46</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HV Watterson Holdings, LLC - Common Equity</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6/13/2022</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100,000</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Icon Partners V C, LP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12/20/2021</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Internet Software and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2,002,138</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2,002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1,973</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Icon Partners V C, LP - Unfunded Common Equity </w:t>
            </w:r>
            <w:r>
              <w:rPr>
                <w:rFonts w:ascii="Times New Roman" w:cs="Times New Roman" w:eastAsia="Times New Roman" w:hAnsi="Times New Roman"/>
                <w:sz w:val="10"/>
                <w:szCs w:val="10"/>
                <w:color w:val="auto"/>
                <w:vertAlign w:val="superscript"/>
              </w:rPr>
              <w:t>(8)</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12/20/2021</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Internet Software and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497,862</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Imagine Topco. LP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11/4/2021</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1,236,027</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114</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IHS Parent Holdings, LP - Common Equity</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12/21/2022</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1,218,045</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1,218</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1,717</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Ironclad Holdco, LLC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12/23/2020</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6,355</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668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1,450</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ITC Infusion Co-invest, LP - Common Equity </w:t>
            </w:r>
            <w:r>
              <w:rPr>
                <w:rFonts w:ascii="Times New Roman" w:cs="Times New Roman" w:eastAsia="Times New Roman" w:hAnsi="Times New Roman"/>
                <w:sz w:val="10"/>
                <w:szCs w:val="10"/>
                <w:color w:val="auto"/>
                <w:vertAlign w:val="superscript"/>
              </w:rPr>
              <w:t>(7)</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2/16/2022</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Equipment and Supplies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116,032</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1,195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3,156</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Kinetic Purchaser, LLC - Common Equity - Class A</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11/8/2021</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1,734,775</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1,735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Kinetic Purchaser, LLC - Common Equity - Class AA</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11/8/2021</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153,339</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179</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359</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KL Stockton Co-Invest, LP - Common Equity </w:t>
            </w:r>
            <w:r>
              <w:rPr>
                <w:rFonts w:ascii="Times New Roman" w:cs="Times New Roman" w:eastAsia="Times New Roman" w:hAnsi="Times New Roman"/>
                <w:sz w:val="10"/>
                <w:szCs w:val="10"/>
                <w:color w:val="auto"/>
                <w:vertAlign w:val="superscript"/>
              </w:rPr>
              <w:t>(7)</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7/16/2021</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Energy Equipment and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382,353</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385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638</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Lightspeed Investment Holdco, LLC - Common Equity </w:t>
            </w:r>
            <w:r>
              <w:rPr>
                <w:rFonts w:ascii="Times New Roman" w:cs="Times New Roman" w:eastAsia="Times New Roman" w:hAnsi="Times New Roman"/>
                <w:sz w:val="10"/>
                <w:szCs w:val="10"/>
                <w:color w:val="auto"/>
                <w:vertAlign w:val="superscript"/>
              </w:rPr>
              <w:t>(6)</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1/21/2020</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585,587</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586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2,129</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LJ Avalon, LP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1/18/2023</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1,638,043</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1,638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2,621</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Lucky Bucks Holdco, LLC - Common Equity</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10/2/2023</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Hotels, Restaurants and Leisure</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73,870</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2,062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392</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Marketplace Events Acquisition, LLC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12/19/2024</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Media: Diversified and Production</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40,990</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4,099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4,848</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Magnolia Topco, LP - Common Equity - Class A </w:t>
            </w:r>
            <w:r>
              <w:rPr>
                <w:rFonts w:ascii="Times New Roman" w:cs="Times New Roman" w:eastAsia="Times New Roman" w:hAnsi="Times New Roman"/>
                <w:sz w:val="10"/>
                <w:szCs w:val="10"/>
                <w:color w:val="auto"/>
                <w:vertAlign w:val="superscript"/>
              </w:rPr>
              <w:t>(7)</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7/25/2023</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46,974</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Magnolia Topco, LP - Common Equity - Class B </w:t>
            </w:r>
            <w:r>
              <w:rPr>
                <w:rFonts w:ascii="Times New Roman" w:cs="Times New Roman" w:eastAsia="Times New Roman" w:hAnsi="Times New Roman"/>
                <w:sz w:val="10"/>
                <w:szCs w:val="10"/>
                <w:color w:val="auto"/>
                <w:vertAlign w:val="superscript"/>
              </w:rPr>
              <w:t>(7)</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7/25/2023</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30,926</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MDI Aggregator, LP - Common Equity</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7/19/2022</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Commodity Chemicals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11,078</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1,122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1,054</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Meadowlark Title, LLC - Common Equity </w:t>
            </w:r>
            <w:r>
              <w:rPr>
                <w:rFonts w:ascii="Times New Roman" w:cs="Times New Roman" w:eastAsia="Times New Roman" w:hAnsi="Times New Roman"/>
                <w:sz w:val="10"/>
                <w:szCs w:val="10"/>
                <w:color w:val="auto"/>
                <w:vertAlign w:val="superscript"/>
              </w:rPr>
              <w:t>(7)</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12/9/2021</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819,231</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806</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385</w:t>
            </w: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Electronic Equipment, Instruments, and</w:t>
            </w: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Megawatt Acquisition Partners, LLC - Common Equity - Class A</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6/28/2024</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Components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1,040</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Municipal Emergency Services, Inc.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9/28/2021</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1,973,370</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2,005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4,105</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NEPRT Parent Holdings, LLC - Common Equity </w:t>
            </w:r>
            <w:r>
              <w:rPr>
                <w:rFonts w:ascii="Times New Roman" w:cs="Times New Roman" w:eastAsia="Times New Roman" w:hAnsi="Times New Roman"/>
                <w:sz w:val="10"/>
                <w:szCs w:val="10"/>
                <w:color w:val="auto"/>
                <w:vertAlign w:val="superscript"/>
              </w:rPr>
              <w:t>(7)</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1/27/2021</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1,494</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1,438</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236</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New Insight Holdings, Inc. </w:t>
            </w:r>
            <w:r>
              <w:rPr>
                <w:rFonts w:ascii="Times New Roman" w:cs="Times New Roman" w:eastAsia="Times New Roman" w:hAnsi="Times New Roman"/>
                <w:sz w:val="10"/>
                <w:szCs w:val="10"/>
                <w:color w:val="auto"/>
                <w:vertAlign w:val="superscript"/>
              </w:rPr>
              <w:t>(6)</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7/15/2024</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203,819</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3,565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3,055</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New Medina Health, LLC - Common Equity </w:t>
            </w:r>
            <w:r>
              <w:rPr>
                <w:rFonts w:ascii="Times New Roman" w:cs="Times New Roman" w:eastAsia="Times New Roman" w:hAnsi="Times New Roman"/>
                <w:sz w:val="10"/>
                <w:szCs w:val="10"/>
                <w:color w:val="auto"/>
                <w:vertAlign w:val="superscript"/>
              </w:rPr>
              <w:t>(7)</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10/16/2023</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2,672,646</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2,673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4,161</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NFS - CFP Holdings LLC - Common Equity</w:t>
            </w:r>
          </w:p>
        </w:tc>
        <w:tc>
          <w:tcPr>
            <w:tcW w:w="820" w:type="dxa"/>
            <w:vAlign w:val="bottom"/>
            <w:shd w:val="clear" w:color="auto" w:fill="CCECFF"/>
          </w:tcPr>
          <w:p>
            <w:pPr>
              <w:jc w:val="center"/>
              <w:ind w:right="360"/>
              <w:spacing w:after="0"/>
              <w:rPr>
                <w:sz w:val="20"/>
                <w:szCs w:val="20"/>
                <w:color w:val="auto"/>
              </w:rPr>
            </w:pPr>
            <w:r>
              <w:rPr>
                <w:rFonts w:ascii="Times New Roman" w:cs="Times New Roman" w:eastAsia="Times New Roman" w:hAnsi="Times New Roman"/>
                <w:sz w:val="8"/>
                <w:szCs w:val="8"/>
                <w:color w:val="auto"/>
              </w:rPr>
              <w:t>9/13/2024</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1,337,017</w:t>
            </w:r>
          </w:p>
        </w:tc>
        <w:tc>
          <w:tcPr>
            <w:tcW w:w="3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1,337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1,622</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 xml:space="preserve">NORA Parent Holdings, LLC - Common Equity </w:t>
            </w:r>
            <w:r>
              <w:rPr>
                <w:rFonts w:ascii="Times New Roman" w:cs="Times New Roman" w:eastAsia="Times New Roman" w:hAnsi="Times New Roman"/>
                <w:sz w:val="10"/>
                <w:szCs w:val="10"/>
                <w:color w:val="auto"/>
                <w:vertAlign w:val="superscript"/>
              </w:rPr>
              <w:t>(7)</w:t>
            </w:r>
          </w:p>
        </w:tc>
        <w:tc>
          <w:tcPr>
            <w:tcW w:w="820" w:type="dxa"/>
            <w:vAlign w:val="bottom"/>
          </w:tcPr>
          <w:p>
            <w:pPr>
              <w:jc w:val="center"/>
              <w:ind w:right="360"/>
              <w:spacing w:after="0"/>
              <w:rPr>
                <w:sz w:val="20"/>
                <w:szCs w:val="20"/>
                <w:color w:val="auto"/>
              </w:rPr>
            </w:pPr>
            <w:r>
              <w:rPr>
                <w:rFonts w:ascii="Times New Roman" w:cs="Times New Roman" w:eastAsia="Times New Roman" w:hAnsi="Times New Roman"/>
                <w:sz w:val="8"/>
                <w:szCs w:val="8"/>
                <w:color w:val="auto"/>
              </w:rPr>
              <w:t>8/22/2023</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2,544</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2,525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1,238</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September 30,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22" w:lineRule="exact"/>
        <w:rPr>
          <w:sz w:val="20"/>
          <w:szCs w:val="20"/>
          <w:color w:val="auto"/>
        </w:rPr>
      </w:pPr>
    </w:p>
    <w:tbl>
      <w:tblPr>
        <w:tblLayout w:type="fixed"/>
        <w:tblInd w:w="780" w:type="dxa"/>
        <w:tblCellMar>
          <w:top w:w="0" w:type="dxa"/>
          <w:left w:w="0" w:type="dxa"/>
          <w:bottom w:w="0" w:type="dxa"/>
          <w:right w:w="0" w:type="dxa"/>
        </w:tblCellMar>
      </w:tblPr>
      <w:tr>
        <w:trPr>
          <w:trHeight w:val="112"/>
        </w:trPr>
        <w:tc>
          <w:tcPr>
            <w:tcW w:w="242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w w:val="97"/>
              </w:rPr>
              <w:t>Acquisition</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560" w:type="dxa"/>
            <w:vAlign w:val="bottom"/>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800" w:type="dxa"/>
            <w:vAlign w:val="bottom"/>
          </w:tcPr>
          <w:p>
            <w:pPr>
              <w:ind w:left="40"/>
              <w:spacing w:after="0"/>
              <w:rPr>
                <w:sz w:val="20"/>
                <w:szCs w:val="20"/>
                <w:color w:val="auto"/>
              </w:rPr>
            </w:pPr>
            <w:r>
              <w:rPr>
                <w:rFonts w:ascii="Times New Roman" w:cs="Times New Roman" w:eastAsia="Times New Roman" w:hAnsi="Times New Roman"/>
                <w:sz w:val="8"/>
                <w:szCs w:val="8"/>
                <w:b w:val="1"/>
                <w:bCs w:val="1"/>
                <w:color w:val="auto"/>
              </w:rPr>
              <w:t>Basis Point Spread</w:t>
            </w:r>
          </w:p>
        </w:tc>
        <w:tc>
          <w:tcPr>
            <w:tcW w:w="640" w:type="dxa"/>
            <w:vAlign w:val="bottom"/>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Par / Shares</w:t>
            </w:r>
          </w:p>
        </w:tc>
        <w:tc>
          <w:tcPr>
            <w:tcW w:w="320" w:type="dxa"/>
            <w:vAlign w:val="bottom"/>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Cost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Fair Value</w:t>
            </w:r>
          </w:p>
        </w:tc>
        <w:tc>
          <w:tcPr>
            <w:tcW w:w="0" w:type="dxa"/>
            <w:vAlign w:val="bottom"/>
          </w:tcPr>
          <w:p>
            <w:pPr>
              <w:spacing w:after="0"/>
              <w:rPr>
                <w:sz w:val="1"/>
                <w:szCs w:val="1"/>
                <w:color w:val="auto"/>
              </w:rPr>
            </w:pPr>
          </w:p>
        </w:tc>
      </w:tr>
      <w:tr>
        <w:trPr>
          <w:trHeight w:val="91"/>
        </w:trPr>
        <w:tc>
          <w:tcPr>
            <w:tcW w:w="242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560" w:type="dxa"/>
            <w:vAlign w:val="bottom"/>
          </w:tcPr>
          <w:p>
            <w:pPr>
              <w:jc w:val="right"/>
              <w:ind w:right="180"/>
              <w:spacing w:after="0" w:line="91" w:lineRule="exact"/>
              <w:rPr>
                <w:sz w:val="20"/>
                <w:szCs w:val="20"/>
                <w:color w:val="auto"/>
              </w:rPr>
            </w:pPr>
            <w:r>
              <w:rPr>
                <w:rFonts w:ascii="Times New Roman" w:cs="Times New Roman" w:eastAsia="Times New Roman" w:hAnsi="Times New Roman"/>
                <w:sz w:val="8"/>
                <w:szCs w:val="8"/>
                <w:b w:val="1"/>
                <w:bCs w:val="1"/>
                <w:color w:val="auto"/>
              </w:rPr>
              <w:t>Coupon</w:t>
            </w:r>
          </w:p>
        </w:tc>
        <w:tc>
          <w:tcPr>
            <w:tcW w:w="800" w:type="dxa"/>
            <w:vAlign w:val="bottom"/>
          </w:tcPr>
          <w:p>
            <w:pPr>
              <w:ind w:left="100"/>
              <w:spacing w:after="0" w:line="91" w:lineRule="exact"/>
              <w:rPr>
                <w:sz w:val="20"/>
                <w:szCs w:val="20"/>
                <w:color w:val="auto"/>
              </w:rPr>
            </w:pPr>
            <w:r>
              <w:rPr>
                <w:rFonts w:ascii="Times New Roman" w:cs="Times New Roman" w:eastAsia="Times New Roman" w:hAnsi="Times New Roman"/>
                <w:sz w:val="8"/>
                <w:szCs w:val="8"/>
                <w:b w:val="1"/>
                <w:bCs w:val="1"/>
                <w:color w:val="auto"/>
              </w:rPr>
              <w:t xml:space="preserve">Above Index </w:t>
            </w:r>
            <w:r>
              <w:rPr>
                <w:rFonts w:ascii="Times New Roman" w:cs="Times New Roman" w:eastAsia="Times New Roman" w:hAnsi="Times New Roman"/>
                <w:sz w:val="10"/>
                <w:szCs w:val="10"/>
                <w:b w:val="1"/>
                <w:bCs w:val="1"/>
                <w:color w:val="auto"/>
                <w:vertAlign w:val="superscript"/>
              </w:rPr>
              <w:t>(1)</w:t>
            </w:r>
          </w:p>
        </w:tc>
        <w:tc>
          <w:tcPr>
            <w:tcW w:w="64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5"/>
                <w:szCs w:val="5"/>
                <w:b w:val="1"/>
                <w:bCs w:val="1"/>
                <w:color w:val="auto"/>
              </w:rPr>
              <w:t>(2)</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North Haven Saints Equity Holdings, LP - Common Equity </w:t>
            </w:r>
            <w:r>
              <w:rPr>
                <w:rFonts w:ascii="Times New Roman" w:cs="Times New Roman" w:eastAsia="Times New Roman" w:hAnsi="Times New Roman"/>
                <w:sz w:val="10"/>
                <w:szCs w:val="10"/>
                <w:color w:val="auto"/>
                <w:vertAlign w:val="superscript"/>
              </w:rPr>
              <w:t>(7)</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2/25/2022</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223,602</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224</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226</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NXOF Holdings, Inc. - Common Equity</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9/25/2018</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37,561</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496</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OceanSound Discovery Equity, LP - Common Equity </w:t>
            </w:r>
            <w:r>
              <w:rPr>
                <w:rFonts w:ascii="Times New Roman" w:cs="Times New Roman" w:eastAsia="Times New Roman" w:hAnsi="Times New Roman"/>
                <w:sz w:val="10"/>
                <w:szCs w:val="10"/>
                <w:color w:val="auto"/>
                <w:vertAlign w:val="superscript"/>
              </w:rPr>
              <w:t>(7)</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3/28/2024</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211,940</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2,119</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2,643</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OES Co-Invest, LP - Common Equity - Class A</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5/31/2024</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1,560</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1,580</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1,326</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OHCP V BC COI, LP - Common Equity</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12/13/2021</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1,166,407</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1,166</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642</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OHCP V BC COI, LP - Unfunded Common Equity </w:t>
            </w:r>
            <w:r>
              <w:rPr>
                <w:rFonts w:ascii="Times New Roman" w:cs="Times New Roman" w:eastAsia="Times New Roman" w:hAnsi="Times New Roman"/>
                <w:sz w:val="10"/>
                <w:szCs w:val="10"/>
                <w:color w:val="auto"/>
                <w:vertAlign w:val="superscript"/>
              </w:rPr>
              <w:t>(8)</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12/13/2021</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83,593</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4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(38)</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ORL Holdco, Inc. - Common Equity</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9/1/2021</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Consumer Finance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1,474</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15</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OSP Embedded Aggregator, LP - Common Equity</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12/11/2023</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1,728</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1,728</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2,007</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Output Services Group, Inc. - Common Equity </w:t>
            </w:r>
            <w:r>
              <w:rPr>
                <w:rFonts w:ascii="Times New Roman" w:cs="Times New Roman" w:eastAsia="Times New Roman" w:hAnsi="Times New Roman"/>
                <w:sz w:val="10"/>
                <w:szCs w:val="10"/>
                <w:color w:val="auto"/>
                <w:vertAlign w:val="superscript"/>
              </w:rPr>
              <w:t>(6)</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11/30/2023</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127,369</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1,155</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1,046</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OSP PAR Aggregator, LP - Common Equity</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9/3/2024</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3,160</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3,171</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3,037</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Paving Parent, LLC - Common Equity</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7/1/2025</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3,057</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3,057</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2,863</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Penta Group Holdings, Inc. - Common Equity</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7/31/2025</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1,901,412</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1,901</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1,901</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PCS Parent, LP</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3/1/2024</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423,247</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423</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423</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Pink Lily Holdco, LLC - Common Equity </w:t>
            </w:r>
            <w:r>
              <w:rPr>
                <w:rFonts w:ascii="Times New Roman" w:cs="Times New Roman" w:eastAsia="Times New Roman" w:hAnsi="Times New Roman"/>
                <w:sz w:val="10"/>
                <w:szCs w:val="10"/>
                <w:color w:val="auto"/>
                <w:vertAlign w:val="superscript"/>
              </w:rPr>
              <w:t>(7)</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11/5/2021</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Textiles, Apparel and Luxury Goods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1,735</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1,735</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Podean Intermediate II, LLC - Common Equity</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8/4/2025</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Marketing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570</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570</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570</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Pragmatic Holdco, Inc. - Common Equity</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3/28/2025</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18</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Project Granite Holdings, LLC</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12/31/2024</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1,139</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1,139</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1,191</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Quad (U.S.) Co-Invest, LP - Common Equity</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10/3/2022</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235,194</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235</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364</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QuantiTech InvestCo, LP - Common Equity </w:t>
            </w:r>
            <w:r>
              <w:rPr>
                <w:rFonts w:ascii="Times New Roman" w:cs="Times New Roman" w:eastAsia="Times New Roman" w:hAnsi="Times New Roman"/>
                <w:sz w:val="10"/>
                <w:szCs w:val="10"/>
                <w:color w:val="auto"/>
                <w:vertAlign w:val="superscript"/>
              </w:rPr>
              <w:t>(7)</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5/1/2020</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700</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96</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QuantiTech InvestCo, LP - Unfunded Common Equity </w:t>
            </w:r>
            <w:r>
              <w:rPr>
                <w:rFonts w:ascii="Times New Roman" w:cs="Times New Roman" w:eastAsia="Times New Roman" w:hAnsi="Times New Roman"/>
                <w:sz w:val="10"/>
                <w:szCs w:val="10"/>
                <w:color w:val="auto"/>
                <w:vertAlign w:val="superscript"/>
              </w:rPr>
              <w:t>(7) (8)</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5/1/2020</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955</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QuantiTech InvestCo II, LP - Common Equity </w:t>
            </w:r>
            <w:r>
              <w:rPr>
                <w:rFonts w:ascii="Times New Roman" w:cs="Times New Roman" w:eastAsia="Times New Roman" w:hAnsi="Times New Roman"/>
                <w:sz w:val="10"/>
                <w:szCs w:val="10"/>
                <w:color w:val="auto"/>
                <w:vertAlign w:val="superscript"/>
              </w:rPr>
              <w:t>(7)</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5/1/2020</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40</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RFMG Parent, LP - Common Equity</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12/16/2020</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Equipment and Supplies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1,050,000</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1,050</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1,292</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Ro Health Holdings, Inc. - Common Equity</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1/16/2025</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536,400</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536</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807</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Rosco Topco, LLC - Common Equity</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9/9/2025</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1,517,241</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1,517</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1,517</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Safe Haven Defense Holdco, LLC - Common Equity </w:t>
            </w:r>
            <w:r>
              <w:rPr>
                <w:rFonts w:ascii="Times New Roman" w:cs="Times New Roman" w:eastAsia="Times New Roman" w:hAnsi="Times New Roman"/>
                <w:sz w:val="10"/>
                <w:szCs w:val="10"/>
                <w:color w:val="auto"/>
                <w:vertAlign w:val="superscript"/>
              </w:rPr>
              <w:t>(7)</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5/23/2024</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Building Products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641</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641</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233</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SBI Holdings Investments, LLC - Common Equity</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12/23/2019</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64,634</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646</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724</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Sabel InvestCo, LP. - Common Equity </w:t>
            </w:r>
            <w:r>
              <w:rPr>
                <w:rFonts w:ascii="Times New Roman" w:cs="Times New Roman" w:eastAsia="Times New Roman" w:hAnsi="Times New Roman"/>
                <w:sz w:val="10"/>
                <w:szCs w:val="10"/>
                <w:color w:val="auto"/>
                <w:vertAlign w:val="superscript"/>
              </w:rPr>
              <w:t>(7)</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10/31/2024</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Government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89,712</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2,271</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3,007</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Sabel InvestCo, LP. - Unfunded Common Equity </w:t>
            </w:r>
            <w:r>
              <w:rPr>
                <w:rFonts w:ascii="Times New Roman" w:cs="Times New Roman" w:eastAsia="Times New Roman" w:hAnsi="Times New Roman"/>
                <w:sz w:val="10"/>
                <w:szCs w:val="10"/>
                <w:color w:val="auto"/>
                <w:vertAlign w:val="superscript"/>
              </w:rPr>
              <w:t>(7)</w:t>
            </w:r>
            <w:r>
              <w:rPr>
                <w:rFonts w:ascii="Times New Roman" w:cs="Times New Roman" w:eastAsia="Times New Roman" w:hAnsi="Times New Roman"/>
                <w:sz w:val="8"/>
                <w:szCs w:val="8"/>
                <w:color w:val="auto"/>
              </w:rPr>
              <w:t xml:space="preserve">, </w:t>
            </w:r>
            <w:r>
              <w:rPr>
                <w:rFonts w:ascii="Times New Roman" w:cs="Times New Roman" w:eastAsia="Times New Roman" w:hAnsi="Times New Roman"/>
                <w:sz w:val="10"/>
                <w:szCs w:val="10"/>
                <w:color w:val="auto"/>
                <w:vertAlign w:val="superscript"/>
              </w:rPr>
              <w:t>(8)</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10/31/2024</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Government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131,286</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Seaway Topco, LP - Common Equity</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6/8/2022</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Chemicals, Plastics and Rubber</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296</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296</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66</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Seacoast Service Partners, LLC - Common Equity</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12/20/2024</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429</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549</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413</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SP L2 Holdings, LLC - Common Equity</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11/4/2021</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Leisure Products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360,103</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360</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SSC Dominion Holdings, LLC - Common Equity - Class B (US</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Dominion, Inc.) </w:t>
            </w:r>
            <w:r>
              <w:rPr>
                <w:rFonts w:ascii="Times New Roman" w:cs="Times New Roman" w:eastAsia="Times New Roman" w:hAnsi="Times New Roman"/>
                <w:sz w:val="10"/>
                <w:szCs w:val="10"/>
                <w:color w:val="auto"/>
                <w:vertAlign w:val="superscript"/>
              </w:rPr>
              <w:t>(6)</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7/11/2018</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Capital Equipment</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12</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1,159</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StellPen Holdings, LLC (CF512, Inc.) - Common Equity</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8/17/2021</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161,538</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162</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120</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SV-Aero Holdings, LLC - Common Equity </w:t>
            </w:r>
            <w:r>
              <w:rPr>
                <w:rFonts w:ascii="Times New Roman" w:cs="Times New Roman" w:eastAsia="Times New Roman" w:hAnsi="Times New Roman"/>
                <w:sz w:val="10"/>
                <w:szCs w:val="10"/>
                <w:color w:val="auto"/>
                <w:vertAlign w:val="superscript"/>
              </w:rPr>
              <w:t>(7)</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12/6/2023</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61</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513</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1,504</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TAC Lifeport Holdings, LLC - Common Equity </w:t>
            </w:r>
            <w:r>
              <w:rPr>
                <w:rFonts w:ascii="Times New Roman" w:cs="Times New Roman" w:eastAsia="Times New Roman" w:hAnsi="Times New Roman"/>
                <w:sz w:val="10"/>
                <w:szCs w:val="10"/>
                <w:color w:val="auto"/>
                <w:vertAlign w:val="superscript"/>
              </w:rPr>
              <w:t>(7)</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2/24/2021</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533,833</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502</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1,260</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TCG 3.0 Jogger Co-Invest, LP - Common Equity</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1/22/2024</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9,108</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1,760</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1,182</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Tower Arch Infolinks Media, LP - Common Equity </w:t>
            </w:r>
            <w:r>
              <w:rPr>
                <w:rFonts w:ascii="Times New Roman" w:cs="Times New Roman" w:eastAsia="Times New Roman" w:hAnsi="Times New Roman"/>
                <w:sz w:val="10"/>
                <w:szCs w:val="10"/>
                <w:color w:val="auto"/>
                <w:vertAlign w:val="superscript"/>
              </w:rPr>
              <w:t>(7)</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10/27/2021</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223,849</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103</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263</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Tower Arch Infolinks Media, LP - Unfunded Common Equity </w:t>
            </w:r>
            <w:r>
              <w:rPr>
                <w:rFonts w:ascii="Times New Roman" w:cs="Times New Roman" w:eastAsia="Times New Roman" w:hAnsi="Times New Roman"/>
                <w:sz w:val="10"/>
                <w:szCs w:val="10"/>
                <w:color w:val="auto"/>
                <w:vertAlign w:val="superscript"/>
              </w:rPr>
              <w:t>(7) (8)</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10/27/2021</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141,758</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TPC Holding Company, LP - Common Equity</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12/4/2019</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Food Products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21,527</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22</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TWD Parent Holdings, LLC - Common Equity</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8/25/2021</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Construction &amp; Engineering</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824</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Tinicum Space Coast Co-Invest, LLC </w:t>
            </w:r>
            <w:r>
              <w:rPr>
                <w:rFonts w:ascii="Times New Roman" w:cs="Times New Roman" w:eastAsia="Times New Roman" w:hAnsi="Times New Roman"/>
                <w:sz w:val="10"/>
                <w:szCs w:val="10"/>
                <w:color w:val="auto"/>
                <w:vertAlign w:val="superscript"/>
              </w:rPr>
              <w:t>(7)</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10/29/2024</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466</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4,702</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5,196</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UniTek Global Services, Inc. - Common Equity</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1/13/2015</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Telecommunications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213,739</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UniVista Insurance - Common Equity </w:t>
            </w:r>
            <w:r>
              <w:rPr>
                <w:rFonts w:ascii="Times New Roman" w:cs="Times New Roman" w:eastAsia="Times New Roman" w:hAnsi="Times New Roman"/>
                <w:sz w:val="10"/>
                <w:szCs w:val="10"/>
                <w:color w:val="auto"/>
                <w:vertAlign w:val="superscript"/>
              </w:rPr>
              <w:t>(7)</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6/14/2021</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Insurance</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400</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113</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Urology Partners Co., LP - Common Equity</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1/20/2023</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694,444</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694</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2,910</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Wash &amp; Wax Group, LP - Common Equity </w:t>
            </w:r>
            <w:r>
              <w:rPr>
                <w:rFonts w:ascii="Times New Roman" w:cs="Times New Roman" w:eastAsia="Times New Roman" w:hAnsi="Times New Roman"/>
                <w:sz w:val="10"/>
                <w:szCs w:val="10"/>
                <w:color w:val="auto"/>
                <w:vertAlign w:val="superscript"/>
              </w:rPr>
              <w:t>(7)</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4/30/2025</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2,747</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4,941</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5,062</w:t>
            </w: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Electronic Equipment, Instruments, and</w:t>
            </w: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Watchtower Holdings, LLC - Common Equity </w:t>
            </w:r>
            <w:r>
              <w:rPr>
                <w:rFonts w:ascii="Times New Roman" w:cs="Times New Roman" w:eastAsia="Times New Roman" w:hAnsi="Times New Roman"/>
                <w:sz w:val="10"/>
                <w:szCs w:val="10"/>
                <w:color w:val="auto"/>
                <w:vertAlign w:val="superscript"/>
              </w:rPr>
              <w:t>(7)</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11/29/2023</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Components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12,419</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1,242</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1,107</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WCP Ivyrehab Coinvestment, LP - Common Equity - Incremental </w:t>
            </w:r>
            <w:r>
              <w:rPr>
                <w:rFonts w:ascii="Times New Roman" w:cs="Times New Roman" w:eastAsia="Times New Roman" w:hAnsi="Times New Roman"/>
                <w:sz w:val="10"/>
                <w:szCs w:val="10"/>
                <w:color w:val="auto"/>
                <w:vertAlign w:val="superscript"/>
              </w:rPr>
              <w:t>(7)</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6/27/2022</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208</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208</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268</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WCP Ivyrehab Coinvestment, LP - Common Equity </w:t>
            </w:r>
            <w:r>
              <w:rPr>
                <w:rFonts w:ascii="Times New Roman" w:cs="Times New Roman" w:eastAsia="Times New Roman" w:hAnsi="Times New Roman"/>
                <w:sz w:val="10"/>
                <w:szCs w:val="10"/>
                <w:color w:val="auto"/>
                <w:vertAlign w:val="superscript"/>
              </w:rPr>
              <w:t>(7)</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6/27/2022</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3,754</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3,853</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4,841</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WCP Ivyrehab Coinvestment, LP - Unfunded Common Equity </w:t>
            </w:r>
            <w:r>
              <w:rPr>
                <w:rFonts w:ascii="Times New Roman" w:cs="Times New Roman" w:eastAsia="Times New Roman" w:hAnsi="Times New Roman"/>
                <w:sz w:val="10"/>
                <w:szCs w:val="10"/>
                <w:color w:val="auto"/>
                <w:vertAlign w:val="superscript"/>
              </w:rPr>
              <w:t>(7) (8)</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6/27/2022</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Providers and Services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246</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White Tiger Newco, LLC - Common Equity </w:t>
            </w:r>
            <w:r>
              <w:rPr>
                <w:rFonts w:ascii="Times New Roman" w:cs="Times New Roman" w:eastAsia="Times New Roman" w:hAnsi="Times New Roman"/>
                <w:sz w:val="10"/>
                <w:szCs w:val="10"/>
                <w:color w:val="auto"/>
                <w:vertAlign w:val="superscript"/>
              </w:rPr>
              <w:t>(6)</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7/31/2025</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Capital Equipment</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38,019</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2,901</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2,663</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Unitek Global Services, Inc. - Warrants</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1/13/2015</w:t>
            </w: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Telecommunications</w:t>
            </w:r>
          </w:p>
        </w:tc>
        <w:tc>
          <w:tcPr>
            <w:tcW w:w="56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23,889</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4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Kentucky Racing Holdco, LLC - Warrants </w:t>
            </w:r>
            <w:r>
              <w:rPr>
                <w:rFonts w:ascii="Times New Roman" w:cs="Times New Roman" w:eastAsia="Times New Roman" w:hAnsi="Times New Roman"/>
                <w:sz w:val="10"/>
                <w:szCs w:val="10"/>
                <w:color w:val="auto"/>
                <w:vertAlign w:val="superscript"/>
              </w:rPr>
              <w:t>(7)</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4/16/2019</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Hotels, Restaurants and Leisure</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87,345</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993</w:t>
            </w:r>
          </w:p>
        </w:tc>
        <w:tc>
          <w:tcPr>
            <w:tcW w:w="0" w:type="dxa"/>
            <w:vAlign w:val="bottom"/>
          </w:tcPr>
          <w:p>
            <w:pPr>
              <w:spacing w:after="0"/>
              <w:rPr>
                <w:sz w:val="1"/>
                <w:szCs w:val="1"/>
                <w:color w:val="auto"/>
              </w:rPr>
            </w:pPr>
          </w:p>
        </w:tc>
      </w:tr>
      <w:tr>
        <w:trPr>
          <w:trHeight w:val="102"/>
        </w:trPr>
        <w:tc>
          <w:tcPr>
            <w:tcW w:w="242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Common Equity/Warrants</w:t>
            </w: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132,00</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vMerge w:val="continue"/>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175,745</w:t>
            </w:r>
          </w:p>
        </w:tc>
        <w:tc>
          <w:tcPr>
            <w:tcW w:w="0" w:type="dxa"/>
            <w:vAlign w:val="bottom"/>
          </w:tcPr>
          <w:p>
            <w:pPr>
              <w:spacing w:after="0"/>
              <w:rPr>
                <w:sz w:val="1"/>
                <w:szCs w:val="1"/>
                <w:color w:val="auto"/>
              </w:rPr>
            </w:pPr>
          </w:p>
        </w:tc>
      </w:tr>
      <w:tr>
        <w:trPr>
          <w:trHeight w:val="100"/>
        </w:trPr>
        <w:tc>
          <w:tcPr>
            <w:tcW w:w="24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Investments in Non-Controlled, Non-Affiliated Portfolio</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9"/>
              </w:rPr>
              <w:t>2,458,0</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Companies</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18</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w w:val="99"/>
              </w:rPr>
              <w:t>2,491,360</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Investments in Controlled, Affiliated Portfolio Companies - 26.2% of Net</w:t>
            </w: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11"/>
                <w:szCs w:val="11"/>
                <w:color w:val="auto"/>
                <w:vertAlign w:val="subscript"/>
              </w:rPr>
              <w:t>Assets</w:t>
            </w:r>
            <w:r>
              <w:rPr>
                <w:rFonts w:ascii="Times New Roman" w:cs="Times New Roman" w:eastAsia="Times New Roman" w:hAnsi="Times New Roman"/>
                <w:sz w:val="4"/>
                <w:szCs w:val="4"/>
                <w:color w:val="auto"/>
              </w:rPr>
              <w:t xml:space="preserve"> (3), (4)</w:t>
            </w: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First Lien Secured Debt - 22.1% of Net Assets</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237,65</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PennantPark Senior Secured Loan Fund I, LLC </w:t>
            </w:r>
            <w:r>
              <w:rPr>
                <w:rFonts w:ascii="Times New Roman" w:cs="Times New Roman" w:eastAsia="Times New Roman" w:hAnsi="Times New Roman"/>
                <w:sz w:val="10"/>
                <w:szCs w:val="10"/>
                <w:color w:val="auto"/>
                <w:vertAlign w:val="superscript"/>
              </w:rPr>
              <w:t>(6), (9)</w:t>
            </w:r>
          </w:p>
        </w:tc>
        <w:tc>
          <w:tcPr>
            <w:tcW w:w="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8/10/2020</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8"/>
              </w:rPr>
              <w:t>05/07/2029</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Financial Services</w:t>
            </w: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12.29%</w:t>
            </w:r>
          </w:p>
        </w:tc>
        <w:tc>
          <w:tcPr>
            <w:tcW w:w="8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8"/>
                <w:szCs w:val="8"/>
                <w:color w:val="auto"/>
              </w:rPr>
              <w:t>3M SOFR+ 800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237,650</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0</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237,650</w:t>
            </w:r>
          </w:p>
        </w:tc>
        <w:tc>
          <w:tcPr>
            <w:tcW w:w="0" w:type="dxa"/>
            <w:vAlign w:val="bottom"/>
          </w:tcPr>
          <w:p>
            <w:pPr>
              <w:spacing w:after="0"/>
              <w:rPr>
                <w:sz w:val="1"/>
                <w:szCs w:val="1"/>
                <w:color w:val="auto"/>
              </w:rPr>
            </w:pPr>
          </w:p>
        </w:tc>
      </w:tr>
      <w:tr>
        <w:trPr>
          <w:trHeight w:val="102"/>
        </w:trPr>
        <w:tc>
          <w:tcPr>
            <w:tcW w:w="242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Total First Lien Secured Debt</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237,65</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0</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237,650</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Equity Interests - 4.1% of Net Assets</w:t>
            </w: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123,72</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PennantPark Senior Secured Loan Fund I LLC - Common Equity </w:t>
            </w:r>
            <w:r>
              <w:rPr>
                <w:rFonts w:ascii="Times New Roman" w:cs="Times New Roman" w:eastAsia="Times New Roman" w:hAnsi="Times New Roman"/>
                <w:sz w:val="10"/>
                <w:szCs w:val="10"/>
                <w:color w:val="auto"/>
                <w:vertAlign w:val="superscript"/>
              </w:rPr>
              <w:t>(6), (9)</w:t>
            </w:r>
          </w:p>
        </w:tc>
        <w:tc>
          <w:tcPr>
            <w:tcW w:w="4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6/16/2017</w:t>
            </w:r>
          </w:p>
        </w:tc>
        <w:tc>
          <w:tcPr>
            <w:tcW w:w="40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Financial Services</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ind w:left="6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123,725</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44,318</w:t>
            </w:r>
          </w:p>
        </w:tc>
        <w:tc>
          <w:tcPr>
            <w:tcW w:w="0" w:type="dxa"/>
            <w:vAlign w:val="bottom"/>
          </w:tcPr>
          <w:p>
            <w:pPr>
              <w:spacing w:after="0"/>
              <w:rPr>
                <w:sz w:val="1"/>
                <w:szCs w:val="1"/>
                <w:color w:val="auto"/>
              </w:rPr>
            </w:pPr>
          </w:p>
        </w:tc>
      </w:tr>
      <w:tr>
        <w:trPr>
          <w:trHeight w:val="102"/>
        </w:trPr>
        <w:tc>
          <w:tcPr>
            <w:tcW w:w="242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Equity Interests</w:t>
            </w: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123,72</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vMerge w:val="continue"/>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44,318</w:t>
            </w:r>
          </w:p>
        </w:tc>
        <w:tc>
          <w:tcPr>
            <w:tcW w:w="0" w:type="dxa"/>
            <w:vAlign w:val="bottom"/>
          </w:tcPr>
          <w:p>
            <w:pPr>
              <w:spacing w:after="0"/>
              <w:rPr>
                <w:sz w:val="1"/>
                <w:szCs w:val="1"/>
                <w:color w:val="auto"/>
              </w:rPr>
            </w:pPr>
          </w:p>
        </w:tc>
      </w:tr>
      <w:tr>
        <w:trPr>
          <w:trHeight w:val="102"/>
        </w:trPr>
        <w:tc>
          <w:tcPr>
            <w:tcW w:w="242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Total Investments in Controlled, Affiliated Portfolio Companies</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361,37</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281,968</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w w:val="99"/>
              </w:rPr>
              <w:t>2,819,3</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Total Investments - 258.1% of Net Assets </w:t>
            </w:r>
            <w:r>
              <w:rPr>
                <w:rFonts w:ascii="Times New Roman" w:cs="Times New Roman" w:eastAsia="Times New Roman" w:hAnsi="Times New Roman"/>
                <w:sz w:val="10"/>
                <w:szCs w:val="10"/>
                <w:color w:val="auto"/>
                <w:vertAlign w:val="superscript"/>
              </w:rPr>
              <w:t>(11), (13)</w:t>
            </w: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93</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w w:val="99"/>
              </w:rPr>
              <w:t>2,773,328</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Cash Equivalents - 3.8% of Net Assets</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BlackRock Federal FD Institutional 81 (Money Market Fund)</w:t>
            </w: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4.11%</w:t>
            </w:r>
          </w:p>
        </w:tc>
        <w:tc>
          <w:tcPr>
            <w:tcW w:w="8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13,478</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13,478</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Blackrock Liq Fedfund Gov CL Inst (Money Market Fund)</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4.02%</w:t>
            </w: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4,907</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4,907</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JPMorgan US Dollar Liquidity Inst (Money Market Fund)</w:t>
            </w: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4.10%</w:t>
            </w:r>
          </w:p>
        </w:tc>
        <w:tc>
          <w:tcPr>
            <w:tcW w:w="8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5,651</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5,651</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JPMorgan U.S. Government (Money Market Fund)</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4.02%</w:t>
            </w: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6,132</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6,132</w:t>
            </w:r>
          </w:p>
        </w:tc>
        <w:tc>
          <w:tcPr>
            <w:tcW w:w="0" w:type="dxa"/>
            <w:vAlign w:val="bottom"/>
          </w:tcPr>
          <w:p>
            <w:pPr>
              <w:spacing w:after="0"/>
              <w:rPr>
                <w:sz w:val="1"/>
                <w:szCs w:val="1"/>
                <w:color w:val="auto"/>
              </w:rPr>
            </w:pPr>
          </w:p>
        </w:tc>
      </w:tr>
      <w:tr>
        <w:trPr>
          <w:trHeight w:val="102"/>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Goldman Sachs Financial Square Government Fund (Money Market</w:t>
            </w: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Fund)</w:t>
            </w: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4.18%</w:t>
            </w:r>
          </w:p>
        </w:tc>
        <w:tc>
          <w:tcPr>
            <w:tcW w:w="8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10,561</w:t>
            </w: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10,561</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Cash Equivalents</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40,729</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40,729</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Cash - 7.6% of Net Assets</w:t>
            </w: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420" w:type="dxa"/>
            <w:vAlign w:val="bottom"/>
          </w:tcPr>
          <w:p>
            <w:pPr>
              <w:spacing w:after="0"/>
              <w:rPr>
                <w:sz w:val="20"/>
                <w:szCs w:val="20"/>
                <w:color w:val="auto"/>
              </w:rPr>
            </w:pPr>
            <w:r>
              <w:rPr>
                <w:rFonts w:ascii="Times New Roman" w:cs="Times New Roman" w:eastAsia="Times New Roman" w:hAnsi="Times New Roman"/>
                <w:sz w:val="8"/>
                <w:szCs w:val="8"/>
                <w:color w:val="auto"/>
              </w:rPr>
              <w:t>Cash</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81,955</w:t>
            </w:r>
          </w:p>
        </w:tc>
        <w:tc>
          <w:tcPr>
            <w:tcW w:w="10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81,959</w:t>
            </w:r>
          </w:p>
        </w:tc>
        <w:tc>
          <w:tcPr>
            <w:tcW w:w="0" w:type="dxa"/>
            <w:vAlign w:val="bottom"/>
          </w:tcPr>
          <w:p>
            <w:pPr>
              <w:spacing w:after="0"/>
              <w:rPr>
                <w:sz w:val="1"/>
                <w:szCs w:val="1"/>
                <w:color w:val="auto"/>
              </w:rPr>
            </w:pPr>
          </w:p>
        </w:tc>
      </w:tr>
      <w:tr>
        <w:trPr>
          <w:trHeight w:val="10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Cash</w:t>
            </w: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81,955</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81,959</w:t>
            </w:r>
          </w:p>
        </w:tc>
        <w:tc>
          <w:tcPr>
            <w:tcW w:w="0" w:type="dxa"/>
            <w:vAlign w:val="bottom"/>
          </w:tcPr>
          <w:p>
            <w:pPr>
              <w:spacing w:after="0"/>
              <w:rPr>
                <w:sz w:val="1"/>
                <w:szCs w:val="1"/>
                <w:color w:val="auto"/>
              </w:rPr>
            </w:pPr>
          </w:p>
        </w:tc>
      </w:tr>
      <w:tr>
        <w:trPr>
          <w:trHeight w:val="102"/>
        </w:trPr>
        <w:tc>
          <w:tcPr>
            <w:tcW w:w="242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Total Investments, Cash Equivalents and Cash - 269.5% of Net Assets</w:t>
            </w: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99"/>
              </w:rPr>
              <w:t>2,942,0</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77</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w w:val="99"/>
              </w:rPr>
              <w:t>2,896,016</w:t>
            </w:r>
          </w:p>
        </w:tc>
        <w:tc>
          <w:tcPr>
            <w:tcW w:w="0" w:type="dxa"/>
            <w:vAlign w:val="bottom"/>
          </w:tcPr>
          <w:p>
            <w:pPr>
              <w:spacing w:after="0"/>
              <w:rPr>
                <w:sz w:val="1"/>
                <w:szCs w:val="1"/>
                <w:color w:val="auto"/>
              </w:rPr>
            </w:pPr>
          </w:p>
        </w:tc>
      </w:tr>
      <w:tr>
        <w:trPr>
          <w:trHeight w:val="102"/>
        </w:trPr>
        <w:tc>
          <w:tcPr>
            <w:tcW w:w="242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Liabilities in Excess of Other Assets - (169.5)% of Net Assets</w:t>
            </w: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(1,821,50</w:t>
            </w:r>
          </w:p>
        </w:tc>
        <w:tc>
          <w:tcPr>
            <w:tcW w:w="0" w:type="dxa"/>
            <w:vAlign w:val="bottom"/>
          </w:tcPr>
          <w:p>
            <w:pPr>
              <w:spacing w:after="0"/>
              <w:rPr>
                <w:sz w:val="1"/>
                <w:szCs w:val="1"/>
                <w:color w:val="auto"/>
              </w:rPr>
            </w:pPr>
          </w:p>
        </w:tc>
      </w:tr>
      <w:tr>
        <w:trPr>
          <w:trHeight w:val="100"/>
        </w:trPr>
        <w:tc>
          <w:tcPr>
            <w:tcW w:w="2420" w:type="dxa"/>
            <w:vAlign w:val="bottom"/>
            <w:vMerge w:val="continue"/>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3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0)</w:t>
            </w:r>
          </w:p>
        </w:tc>
        <w:tc>
          <w:tcPr>
            <w:tcW w:w="0" w:type="dxa"/>
            <w:vAlign w:val="bottom"/>
          </w:tcPr>
          <w:p>
            <w:pPr>
              <w:spacing w:after="0"/>
              <w:rPr>
                <w:sz w:val="1"/>
                <w:szCs w:val="1"/>
                <w:color w:val="auto"/>
              </w:rPr>
            </w:pPr>
          </w:p>
        </w:tc>
      </w:tr>
      <w:tr>
        <w:trPr>
          <w:trHeight w:val="106"/>
        </w:trPr>
        <w:tc>
          <w:tcPr>
            <w:tcW w:w="24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Net Assets - 100%</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w w:val="99"/>
              </w:rPr>
              <w:t>1,074,516</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9"/>
          <w:szCs w:val="9"/>
          <w:color w:val="auto"/>
        </w:rPr>
        <w:t>______________</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SCHEDULE OF INVESTMENTS-(Continued)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September 30,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p>
      <w:pPr>
        <w:spacing w:after="0" w:line="43" w:lineRule="exact"/>
        <w:rPr>
          <w:sz w:val="20"/>
          <w:szCs w:val="20"/>
          <w:color w:val="auto"/>
        </w:rPr>
      </w:pPr>
    </w:p>
    <w:p>
      <w:pPr>
        <w:ind w:left="1100" w:right="8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9"/>
          <w:szCs w:val="9"/>
          <w:color w:val="auto"/>
        </w:rPr>
        <w:t>Represents floating rate instruments that accrue interest at a predetermined spread relative to an index, typically the applicable Secured Overnight Financing Rate, or “SOFR”, or Prime rate, or“P",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3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9"/>
          <w:szCs w:val="9"/>
          <w:color w:val="auto"/>
        </w:rPr>
        <w:t>Valued based on our accounting policy (See Note 2). The value of all securities was determined using significant unobservable inputs (See Note 5).</w:t>
      </w:r>
    </w:p>
    <w:p>
      <w:pPr>
        <w:spacing w:after="0" w:line="15" w:lineRule="exact"/>
        <w:rPr>
          <w:sz w:val="20"/>
          <w:szCs w:val="20"/>
          <w:color w:val="auto"/>
        </w:rPr>
      </w:pPr>
    </w:p>
    <w:p>
      <w:pPr>
        <w:ind w:left="1100" w:right="1120"/>
        <w:spacing w:after="0" w:line="225" w:lineRule="auto"/>
        <w:rPr>
          <w:sz w:val="20"/>
          <w:szCs w:val="20"/>
          <w:color w:val="auto"/>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9"/>
          <w:szCs w:val="9"/>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36" w:lineRule="exact"/>
        <w:rPr>
          <w:sz w:val="20"/>
          <w:szCs w:val="20"/>
          <w:color w:val="auto"/>
        </w:rPr>
      </w:pPr>
    </w:p>
    <w:p>
      <w:pPr>
        <w:ind w:left="1100" w:right="920"/>
        <w:spacing w:after="0" w:line="222" w:lineRule="auto"/>
        <w:rPr>
          <w:sz w:val="20"/>
          <w:szCs w:val="20"/>
          <w:color w:val="auto"/>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9"/>
          <w:szCs w:val="9"/>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3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9"/>
          <w:szCs w:val="9"/>
          <w:color w:val="auto"/>
        </w:rPr>
        <w:t>Non-income producing securities.</w:t>
      </w:r>
    </w:p>
    <w:p>
      <w:pPr>
        <w:spacing w:after="0" w:line="15" w:lineRule="exact"/>
        <w:rPr>
          <w:sz w:val="20"/>
          <w:szCs w:val="20"/>
          <w:color w:val="auto"/>
        </w:rPr>
      </w:pPr>
    </w:p>
    <w:p>
      <w:pPr>
        <w:ind w:left="1100" w:right="900"/>
        <w:spacing w:after="0" w:line="225" w:lineRule="auto"/>
        <w:rPr>
          <w:sz w:val="20"/>
          <w:szCs w:val="20"/>
          <w:color w:val="auto"/>
        </w:rPr>
      </w:pP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9"/>
          <w:szCs w:val="9"/>
          <w:color w:val="auto"/>
        </w:rPr>
        <w:t>The securities, or a portion thereof, 1) are not pledged as collateral under the Credit Facility and held through Funding I; 2) do not secure the 2036-R Asset-Backed Debt and are not held through PennantPark CLO I, Ltd.; 3) do not secure the 2036 Asset-Backed Debt and are not held through PennantPark CLO VIII, Ltd. and 4) do note secure the 2037 Asset-Backed Debt and are not held through PennantPark CLO 11, LLC.</w:t>
      </w:r>
    </w:p>
    <w:p>
      <w:pPr>
        <w:spacing w:after="0" w:line="3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vertAlign w:val="superscript"/>
        </w:rPr>
        <w:t>(7)</w:t>
      </w:r>
      <w:r>
        <w:rPr>
          <w:rFonts w:ascii="Times New Roman" w:cs="Times New Roman" w:eastAsia="Times New Roman" w:hAnsi="Times New Roman"/>
          <w:sz w:val="9"/>
          <w:szCs w:val="9"/>
          <w:color w:val="auto"/>
        </w:rPr>
        <w:t>Investment is held through our Taxable Subsidiary.</w:t>
      </w:r>
    </w:p>
    <w:p>
      <w:pPr>
        <w:spacing w:after="0" w:line="15" w:lineRule="exact"/>
        <w:rPr>
          <w:sz w:val="20"/>
          <w:szCs w:val="20"/>
          <w:color w:val="auto"/>
        </w:rPr>
      </w:pPr>
    </w:p>
    <w:p>
      <w:pPr>
        <w:ind w:left="1100" w:right="980"/>
        <w:spacing w:after="0" w:line="215" w:lineRule="auto"/>
        <w:rPr>
          <w:sz w:val="20"/>
          <w:szCs w:val="20"/>
          <w:color w:val="auto"/>
        </w:rPr>
      </w:pPr>
      <w:r>
        <w:rPr>
          <w:rFonts w:ascii="Times New Roman" w:cs="Times New Roman" w:eastAsia="Times New Roman" w:hAnsi="Times New Roman"/>
          <w:sz w:val="18"/>
          <w:szCs w:val="18"/>
          <w:color w:val="auto"/>
          <w:vertAlign w:val="superscript"/>
        </w:rPr>
        <w:t>(8)</w:t>
      </w:r>
      <w:r>
        <w:rPr>
          <w:rFonts w:ascii="Times New Roman" w:cs="Times New Roman" w:eastAsia="Times New Roman" w:hAnsi="Times New Roman"/>
          <w:sz w:val="9"/>
          <w:szCs w:val="9"/>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5" w:lineRule="exact"/>
        <w:rPr>
          <w:sz w:val="20"/>
          <w:szCs w:val="20"/>
          <w:color w:val="auto"/>
        </w:rPr>
      </w:pPr>
    </w:p>
    <w:p>
      <w:pPr>
        <w:ind w:left="1100" w:right="820"/>
        <w:spacing w:after="0" w:line="231" w:lineRule="auto"/>
        <w:rPr>
          <w:sz w:val="20"/>
          <w:szCs w:val="20"/>
          <w:color w:val="auto"/>
        </w:rPr>
      </w:pPr>
      <w:r>
        <w:rPr>
          <w:rFonts w:ascii="Times New Roman" w:cs="Times New Roman" w:eastAsia="Times New Roman" w:hAnsi="Times New Roman"/>
          <w:sz w:val="18"/>
          <w:szCs w:val="18"/>
          <w:color w:val="auto"/>
          <w:vertAlign w:val="superscript"/>
        </w:rPr>
        <w:t>(9)</w:t>
      </w:r>
      <w:r>
        <w:rPr>
          <w:rFonts w:ascii="Times New Roman" w:cs="Times New Roman" w:eastAsia="Times New Roman" w:hAnsi="Times New Roman"/>
          <w:sz w:val="9"/>
          <w:szCs w:val="9"/>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2025, qualifying assets represent 90% of our total assets and non-qualifying assets represent 10% of our total assets.</w:t>
      </w:r>
    </w:p>
    <w:p>
      <w:pPr>
        <w:spacing w:after="0" w:line="3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vertAlign w:val="superscript"/>
        </w:rPr>
        <w:t>(10)</w:t>
      </w:r>
      <w:r>
        <w:rPr>
          <w:rFonts w:ascii="Times New Roman" w:cs="Times New Roman" w:eastAsia="Times New Roman" w:hAnsi="Times New Roman"/>
          <w:sz w:val="9"/>
          <w:szCs w:val="9"/>
          <w:color w:val="auto"/>
        </w:rPr>
        <w:t>Non-accrual security</w:t>
      </w:r>
    </w:p>
    <w:p>
      <w:pPr>
        <w:ind w:left="1100"/>
        <w:spacing w:after="0" w:line="216" w:lineRule="auto"/>
        <w:rPr>
          <w:sz w:val="20"/>
          <w:szCs w:val="20"/>
          <w:color w:val="auto"/>
        </w:rPr>
      </w:pPr>
      <w:r>
        <w:rPr>
          <w:rFonts w:ascii="Times New Roman" w:cs="Times New Roman" w:eastAsia="Times New Roman" w:hAnsi="Times New Roman"/>
          <w:sz w:val="18"/>
          <w:szCs w:val="18"/>
          <w:color w:val="auto"/>
          <w:vertAlign w:val="superscript"/>
        </w:rPr>
        <w:t>(11)</w:t>
      </w:r>
      <w:r>
        <w:rPr>
          <w:rFonts w:ascii="Times New Roman" w:cs="Times New Roman" w:eastAsia="Times New Roman" w:hAnsi="Times New Roman"/>
          <w:sz w:val="9"/>
          <w:szCs w:val="9"/>
          <w:color w:val="auto"/>
        </w:rPr>
        <w:t>As of September 30, 2025, all investments were in U.S companies and total cost, fair value, and percentage of Net Assets for the U.S. companies were $2,819.4 million, $2,773.3 million, and</w:t>
      </w:r>
    </w:p>
    <w:p>
      <w:pPr>
        <w:ind w:left="1100"/>
        <w:spacing w:after="0"/>
        <w:rPr>
          <w:sz w:val="20"/>
          <w:szCs w:val="20"/>
          <w:color w:val="auto"/>
        </w:rPr>
      </w:pPr>
      <w:r>
        <w:rPr>
          <w:rFonts w:ascii="Times New Roman" w:cs="Times New Roman" w:eastAsia="Times New Roman" w:hAnsi="Times New Roman"/>
          <w:sz w:val="9"/>
          <w:szCs w:val="9"/>
          <w:color w:val="auto"/>
        </w:rPr>
        <w:t>258.1%</w:t>
      </w:r>
    </w:p>
    <w:p>
      <w:pPr>
        <w:spacing w:after="0" w:line="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vertAlign w:val="superscript"/>
        </w:rPr>
        <w:t>(12)</w:t>
      </w:r>
      <w:r>
        <w:rPr>
          <w:rFonts w:ascii="Times New Roman" w:cs="Times New Roman" w:eastAsia="Times New Roman" w:hAnsi="Times New Roman"/>
          <w:sz w:val="9"/>
          <w:szCs w:val="9"/>
          <w:color w:val="auto"/>
        </w:rPr>
        <w:t>Partial PIK non-accrual security</w:t>
      </w:r>
    </w:p>
    <w:p>
      <w:pPr>
        <w:spacing w:after="0" w:line="1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vertAlign w:val="superscript"/>
        </w:rPr>
        <w:t>(13)</w:t>
      </w:r>
      <w:r>
        <w:rPr>
          <w:rFonts w:ascii="Times New Roman" w:cs="Times New Roman" w:eastAsia="Times New Roman" w:hAnsi="Times New Roman"/>
          <w:sz w:val="9"/>
          <w:szCs w:val="9"/>
          <w:color w:val="auto"/>
        </w:rPr>
        <w:t>All of our investments are not registered under the 1933 Act and have restrictions on resale.</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25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1. ORGANIZATION</w:t>
      </w:r>
    </w:p>
    <w:p>
      <w:pPr>
        <w:spacing w:after="0" w:line="138" w:lineRule="exact"/>
        <w:rPr>
          <w:sz w:val="20"/>
          <w:szCs w:val="20"/>
          <w:color w:val="auto"/>
        </w:rPr>
      </w:pPr>
    </w:p>
    <w:p>
      <w:pPr>
        <w:ind w:left="780" w:right="820" w:firstLine="282"/>
        <w:spacing w:after="0" w:line="259" w:lineRule="auto"/>
        <w:rPr>
          <w:sz w:val="20"/>
          <w:szCs w:val="20"/>
          <w:color w:val="auto"/>
        </w:rPr>
      </w:pPr>
      <w:r>
        <w:rPr>
          <w:rFonts w:ascii="Times New Roman" w:cs="Times New Roman" w:eastAsia="Times New Roman" w:hAnsi="Times New Roman"/>
          <w:sz w:val="11"/>
          <w:szCs w:val="11"/>
          <w:color w:val="auto"/>
        </w:rPr>
        <w:t>PennantPark Floating Rate Capital Ltd. (the "Company", "we," "our" or "us") was organized as a Maryland corporation in October 2010. We are a closed-end, externally managed, non-diversified investment company that has elected to be treated as a BDC under the 1940 Act. On April 14, 2022, trading of the Company’s common stock commenced on the New York Stock Exchange after the Company voluntarily withdrew the principal listing of its common stock from the Nasdaq Stock Market LLC.</w:t>
      </w:r>
    </w:p>
    <w:p>
      <w:pPr>
        <w:spacing w:after="0" w:line="110" w:lineRule="exact"/>
        <w:rPr>
          <w:sz w:val="20"/>
          <w:szCs w:val="20"/>
          <w:color w:val="auto"/>
        </w:rPr>
      </w:pPr>
    </w:p>
    <w:p>
      <w:pPr>
        <w:ind w:left="780" w:right="840" w:firstLine="282"/>
        <w:spacing w:after="0" w:line="254" w:lineRule="auto"/>
        <w:rPr>
          <w:sz w:val="20"/>
          <w:szCs w:val="20"/>
          <w:color w:val="auto"/>
        </w:rPr>
      </w:pPr>
      <w:r>
        <w:rPr>
          <w:rFonts w:ascii="Times New Roman" w:cs="Times New Roman" w:eastAsia="Times New Roman" w:hAnsi="Times New Roman"/>
          <w:sz w:val="11"/>
          <w:szCs w:val="11"/>
          <w:color w:val="auto"/>
        </w:rPr>
        <w:t>Our principal investment objectives are to generate both current income and capital appreciation while seeking to preserve capital. We seek to achieve our principal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SOFR,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12" w:lineRule="exact"/>
        <w:rPr>
          <w:sz w:val="20"/>
          <w:szCs w:val="20"/>
          <w:color w:val="auto"/>
        </w:rPr>
      </w:pPr>
    </w:p>
    <w:p>
      <w:pPr>
        <w:ind w:left="780" w:right="780" w:firstLine="282"/>
        <w:spacing w:after="0" w:line="256" w:lineRule="auto"/>
        <w:rPr>
          <w:sz w:val="20"/>
          <w:szCs w:val="20"/>
          <w:color w:val="auto"/>
        </w:rPr>
      </w:pPr>
      <w:r>
        <w:rPr>
          <w:rFonts w:ascii="Times New Roman" w:cs="Times New Roman" w:eastAsia="Times New Roman" w:hAnsi="Times New Roman"/>
          <w:sz w:val="11"/>
          <w:szCs w:val="11"/>
          <w:color w:val="auto"/>
        </w:rPr>
        <w:t>We execute our investment strategy directly and through our wholly owned subsidiaries, our unconsolidated joint venture and unconsolidated limited partnership. The term “subsidiary” means entities that primarily engage in investment activities in securities or other assets and are wholly owned by us. The Company does not intend</w:t>
      </w:r>
    </w:p>
    <w:p>
      <w:pPr>
        <w:ind w:left="780" w:right="860"/>
        <w:spacing w:after="0" w:line="248" w:lineRule="auto"/>
        <w:rPr>
          <w:sz w:val="20"/>
          <w:szCs w:val="20"/>
          <w:color w:val="auto"/>
        </w:rPr>
      </w:pPr>
      <w:r>
        <w:rPr>
          <w:rFonts w:ascii="Times New Roman" w:cs="Times New Roman" w:eastAsia="Times New Roman" w:hAnsi="Times New Roman"/>
          <w:sz w:val="11"/>
          <w:szCs w:val="11"/>
          <w:color w:val="auto"/>
        </w:rPr>
        <w:t>to create or acquire primary control of any entity which primarily engages in investment activities of securities or other assets other than entities wholly owned by the Company. We comply with the provisions of Section 18 of the 1940 Act governing capital structure and leverage on an aggregate basis with our subsidiaries. Our subsidiaries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w:t>
      </w:r>
    </w:p>
    <w:p>
      <w:pPr>
        <w:spacing w:after="0" w:line="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to investment advisory contracts, including but not limited to, Section 15, as if it were an investment adviser to the Company under Section 2(a)(20) of the 1940 Act.</w:t>
      </w:r>
    </w:p>
    <w:p>
      <w:pPr>
        <w:spacing w:after="0" w:line="124" w:lineRule="exact"/>
        <w:rPr>
          <w:sz w:val="20"/>
          <w:szCs w:val="20"/>
          <w:color w:val="auto"/>
        </w:rPr>
      </w:pPr>
    </w:p>
    <w:p>
      <w:pPr>
        <w:jc w:val="both"/>
        <w:ind w:left="780" w:right="1060" w:firstLine="282"/>
        <w:spacing w:after="0" w:line="264" w:lineRule="auto"/>
        <w:rPr>
          <w:sz w:val="20"/>
          <w:szCs w:val="20"/>
          <w:color w:val="auto"/>
        </w:rPr>
      </w:pPr>
      <w:r>
        <w:rPr>
          <w:rFonts w:ascii="Times New Roman" w:cs="Times New Roman" w:eastAsia="Times New Roman" w:hAnsi="Times New Roman"/>
          <w:sz w:val="11"/>
          <w:szCs w:val="11"/>
          <w:color w:val="auto"/>
        </w:rPr>
        <w:t>We have entered into an investment management agreement, (the "Investment Management Agreement"), with PennantPark Investment Advisers LLC (the "Investment Adviser"), an external adviser that manages our day-to-day operations. We have also entered into an administration agreement, (the "Administration Agreement"), with PennantPark Investment Administration LLC (the "Administrator"), which provides the administrative services necessary for us to operate.</w:t>
      </w:r>
    </w:p>
    <w:p>
      <w:pPr>
        <w:spacing w:after="0" w:line="107" w:lineRule="exact"/>
        <w:rPr>
          <w:sz w:val="20"/>
          <w:szCs w:val="20"/>
          <w:color w:val="auto"/>
        </w:rPr>
      </w:pPr>
    </w:p>
    <w:p>
      <w:pPr>
        <w:ind w:left="780" w:right="820" w:firstLine="282"/>
        <w:spacing w:after="0" w:line="259" w:lineRule="auto"/>
        <w:rPr>
          <w:sz w:val="20"/>
          <w:szCs w:val="20"/>
          <w:color w:val="auto"/>
        </w:rPr>
      </w:pPr>
      <w:r>
        <w:rPr>
          <w:rFonts w:ascii="Times New Roman" w:cs="Times New Roman" w:eastAsia="Times New Roman" w:hAnsi="Times New Roman"/>
          <w:sz w:val="11"/>
          <w:szCs w:val="11"/>
          <w:color w:val="auto"/>
        </w:rPr>
        <w:t>Funding I, our wholly owned subsidiary and a special purpose entity, was organized in Delaware as a limited liability company in May 2011. We formed Funding I in order to establish a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w:t>
      </w:r>
    </w:p>
    <w:p>
      <w:pPr>
        <w:spacing w:after="0" w:line="110" w:lineRule="exact"/>
        <w:rPr>
          <w:sz w:val="20"/>
          <w:szCs w:val="20"/>
          <w:color w:val="auto"/>
        </w:rPr>
      </w:pPr>
    </w:p>
    <w:p>
      <w:pPr>
        <w:ind w:left="780" w:right="960" w:firstLine="282"/>
        <w:spacing w:after="0" w:line="264" w:lineRule="auto"/>
        <w:rPr>
          <w:sz w:val="20"/>
          <w:szCs w:val="20"/>
          <w:color w:val="auto"/>
        </w:rPr>
      </w:pPr>
      <w:r>
        <w:rPr>
          <w:rFonts w:ascii="Times New Roman" w:cs="Times New Roman" w:eastAsia="Times New Roman" w:hAnsi="Times New Roman"/>
          <w:sz w:val="11"/>
          <w:szCs w:val="11"/>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07" w:lineRule="exact"/>
        <w:rPr>
          <w:sz w:val="20"/>
          <w:szCs w:val="20"/>
          <w:color w:val="auto"/>
        </w:rPr>
      </w:pPr>
    </w:p>
    <w:p>
      <w:pPr>
        <w:ind w:left="780" w:right="800" w:firstLine="282"/>
        <w:spacing w:after="0" w:line="264" w:lineRule="auto"/>
        <w:rPr>
          <w:sz w:val="20"/>
          <w:szCs w:val="20"/>
          <w:color w:val="auto"/>
        </w:rPr>
      </w:pPr>
      <w:r>
        <w:rPr>
          <w:rFonts w:ascii="Times New Roman" w:cs="Times New Roman" w:eastAsia="Times New Roman" w:hAnsi="Times New Roman"/>
          <w:sz w:val="11"/>
          <w:szCs w:val="11"/>
          <w:color w:val="auto"/>
        </w:rPr>
        <w:t>In May 2017, we and a subsidiary of Kemper Corporation (NYSE: KMPR), Trinity Universal Insurance Company, ("Kemper"), formed PSSL, an unconsolidated joint venture. PSSL invests primarily in middle-market and other corporate debt securities consistent with our strategy. PSSL is a Delaware limited liability company. See Note 4.</w:t>
      </w:r>
    </w:p>
    <w:p>
      <w:pPr>
        <w:spacing w:after="0" w:line="107" w:lineRule="exact"/>
        <w:rPr>
          <w:sz w:val="20"/>
          <w:szCs w:val="20"/>
          <w:color w:val="auto"/>
        </w:rPr>
      </w:pPr>
    </w:p>
    <w:p>
      <w:pPr>
        <w:ind w:left="780" w:right="820" w:firstLine="282"/>
        <w:spacing w:after="0" w:line="279" w:lineRule="auto"/>
        <w:rPr>
          <w:sz w:val="20"/>
          <w:szCs w:val="20"/>
          <w:color w:val="auto"/>
        </w:rPr>
      </w:pPr>
      <w:r>
        <w:rPr>
          <w:rFonts w:ascii="Times New Roman" w:cs="Times New Roman" w:eastAsia="Times New Roman" w:hAnsi="Times New Roman"/>
          <w:sz w:val="11"/>
          <w:szCs w:val="11"/>
          <w:color w:val="auto"/>
        </w:rPr>
        <w:t>In August 2025, we and Hamilton Lane ("HL") formed PSSL II, an unconsolidated joint venture. PSSL II invests primarily in middle-market and other corporate debt securities consistent with our strategy. PSSL II is a Delaware limited liability company. See Note 4.</w:t>
      </w:r>
    </w:p>
    <w:p>
      <w:pPr>
        <w:spacing w:after="0" w:line="99" w:lineRule="exact"/>
        <w:rPr>
          <w:sz w:val="20"/>
          <w:szCs w:val="20"/>
          <w:color w:val="auto"/>
        </w:rPr>
      </w:pPr>
    </w:p>
    <w:p>
      <w:pPr>
        <w:ind w:left="780" w:right="820" w:firstLine="282"/>
        <w:spacing w:after="0" w:line="255" w:lineRule="auto"/>
        <w:rPr>
          <w:sz w:val="20"/>
          <w:szCs w:val="20"/>
          <w:color w:val="auto"/>
        </w:rPr>
      </w:pPr>
      <w:r>
        <w:rPr>
          <w:rFonts w:ascii="Times New Roman" w:cs="Times New Roman" w:eastAsia="Times New Roman" w:hAnsi="Times New Roman"/>
          <w:sz w:val="11"/>
          <w:szCs w:val="11"/>
          <w:color w:val="auto"/>
        </w:rPr>
        <w:t>In September 2019, the Securitization Issuers completed the Debt Securitization. The 2031 Asset-Backed Debt was secured by a carefully constructed portfolio of the Securitization Issuer consisting primarily of middle market loans and participation interests in middle market loans. The 2031 Asset-Backed Debt was to mature on October 15, 2031. 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See Note 10.</w:t>
      </w:r>
    </w:p>
    <w:p>
      <w:pPr>
        <w:spacing w:after="0" w:line="112" w:lineRule="exact"/>
        <w:rPr>
          <w:sz w:val="20"/>
          <w:szCs w:val="20"/>
          <w:color w:val="auto"/>
        </w:rPr>
      </w:pPr>
    </w:p>
    <w:p>
      <w:pPr>
        <w:ind w:left="780" w:right="1120" w:firstLine="222"/>
        <w:spacing w:after="0" w:line="259" w:lineRule="auto"/>
        <w:rPr>
          <w:sz w:val="20"/>
          <w:szCs w:val="20"/>
          <w:color w:val="auto"/>
        </w:rPr>
      </w:pPr>
      <w:r>
        <w:rPr>
          <w:rFonts w:ascii="Times New Roman" w:cs="Times New Roman" w:eastAsia="Times New Roman" w:hAnsi="Times New Roman"/>
          <w:sz w:val="11"/>
          <w:szCs w:val="11"/>
          <w:color w:val="auto"/>
        </w:rPr>
        <w:t>In July 2024, the 2031 Asset-Backed Debt was refinanced through a $351.0 million debt securitization in the form of a collateralized loan obligation, or the "2036-R Asset-Backed Debt". The Company initially retained $85.0 million of the debt securitization. In October 2025, the Company sold $21.0 million of the previously retained debt securitization. The 2036-R Asset-Backed Debt is secured by a carefully constructed portfolio of primarily middle market loans and participation interest in middle market loans. The 2036-R Asset-Backed Debt matures in July 2036.</w:t>
      </w:r>
    </w:p>
    <w:p>
      <w:pPr>
        <w:spacing w:after="0" w:line="110" w:lineRule="exact"/>
        <w:rPr>
          <w:sz w:val="20"/>
          <w:szCs w:val="20"/>
          <w:color w:val="auto"/>
        </w:rPr>
      </w:pPr>
    </w:p>
    <w:p>
      <w:pPr>
        <w:ind w:left="780" w:right="820" w:firstLine="282"/>
        <w:spacing w:after="0" w:line="259" w:lineRule="auto"/>
        <w:rPr>
          <w:sz w:val="20"/>
          <w:szCs w:val="20"/>
          <w:color w:val="auto"/>
        </w:rPr>
      </w:pPr>
      <w:r>
        <w:rPr>
          <w:rFonts w:ascii="Times New Roman" w:cs="Times New Roman" w:eastAsia="Times New Roman" w:hAnsi="Times New Roman"/>
          <w:sz w:val="11"/>
          <w:szCs w:val="11"/>
          <w:color w:val="auto"/>
        </w:rPr>
        <w:t>On February 22, 2024, the 2036 Securitization Issuer completed the 2036 Debt Securitization. The 2036 Asset-Backed Debt is secured by a carefully constructed portfolio of the 2036-Securitization Issuer consisting primarily of middle market loans and participation interests in middle market loans. The 2036 Asset-Backed Debt matures in April 2036. On the closing date of the 2036 Debt Securitization, in consideration of our transfer to the 2036 Securitization Issuer of the initial closing date loan portfolio it included loans distributed to us by certain wholly owned subsidiaries. See Note 10.</w:t>
      </w:r>
    </w:p>
    <w:p>
      <w:pPr>
        <w:spacing w:after="0" w:line="110" w:lineRule="exact"/>
        <w:rPr>
          <w:sz w:val="20"/>
          <w:szCs w:val="20"/>
          <w:color w:val="auto"/>
        </w:rPr>
      </w:pPr>
    </w:p>
    <w:p>
      <w:pPr>
        <w:ind w:left="780" w:right="800" w:firstLine="250"/>
        <w:spacing w:after="0" w:line="256" w:lineRule="auto"/>
        <w:rPr>
          <w:sz w:val="20"/>
          <w:szCs w:val="20"/>
          <w:color w:val="auto"/>
        </w:rPr>
      </w:pPr>
      <w:r>
        <w:rPr>
          <w:rFonts w:ascii="Times New Roman" w:cs="Times New Roman" w:eastAsia="Times New Roman" w:hAnsi="Times New Roman"/>
          <w:sz w:val="11"/>
          <w:szCs w:val="11"/>
          <w:color w:val="auto"/>
        </w:rPr>
        <w:t>In February 2025, the 2037 Securitization Issuer completed a $474.6 million term debt securitization (the “2037 Debt Securitization”). The Company initially retained $85.1 million of subordinated notes and $28.5 million of BBB-(sf) Class D Notes of the debt securitization issued by the 2037 Securitization Issuer. In November 2025, the Company sold $28.5 million of the previously retained Class D Notes. The 2037 Asset-Backed Debt is secured by a carefully constructed portfolio of the 2037-Securitization Issuer consisting primarily of middle market loans and participation interests in middle market loans. The 2037 Asset-Backed Debt matures in April 20, 2037. See Note 10.</w:t>
      </w:r>
    </w:p>
    <w:p>
      <w:pPr>
        <w:spacing w:after="0" w:line="82" w:lineRule="exact"/>
        <w:rPr>
          <w:sz w:val="20"/>
          <w:szCs w:val="20"/>
          <w:color w:val="auto"/>
        </w:rPr>
      </w:pPr>
    </w:p>
    <w:p>
      <w:pPr>
        <w:ind w:left="780" w:right="820" w:firstLine="277"/>
        <w:spacing w:after="0" w:line="255" w:lineRule="auto"/>
        <w:rPr>
          <w:sz w:val="20"/>
          <w:szCs w:val="20"/>
          <w:color w:val="auto"/>
        </w:rPr>
      </w:pPr>
      <w:r>
        <w:rPr>
          <w:rFonts w:ascii="Times New Roman" w:cs="Times New Roman" w:eastAsia="Times New Roman" w:hAnsi="Times New Roman"/>
          <w:sz w:val="11"/>
          <w:szCs w:val="11"/>
          <w:color w:val="auto"/>
        </w:rPr>
        <w:t>In March 2021 and October 2021, we issued $100.0 million and $85.0 million, respectively, in aggregate principal amount of our 2026 Notes at a public offering price per note of 99.4% and 101.5% respectively. Interest on the 2026 Notes is paid semiannually on April 1 and October 1 of each year, at a rate of 4.25% per year, commencing October 1, 2021. The effective interest rate is 4.15%.The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our existing and future secured indebtedness to the extent of the value of</w:t>
      </w:r>
    </w:p>
    <w:p>
      <w:pPr>
        <w:spacing w:after="0" w:line="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27" w:name="page28"/>
    <w:bookmarkEnd w:id="27"/>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5" w:lineRule="exact"/>
        <w:rPr>
          <w:sz w:val="20"/>
          <w:szCs w:val="20"/>
          <w:color w:val="auto"/>
        </w:rPr>
      </w:pPr>
    </w:p>
    <w:p>
      <w:pPr>
        <w:ind w:left="780" w:right="1240"/>
        <w:spacing w:after="0" w:line="257" w:lineRule="auto"/>
        <w:rPr>
          <w:sz w:val="20"/>
          <w:szCs w:val="20"/>
          <w:color w:val="auto"/>
        </w:rPr>
      </w:pPr>
      <w:r>
        <w:rPr>
          <w:rFonts w:ascii="Times New Roman" w:cs="Times New Roman" w:eastAsia="Times New Roman" w:hAnsi="Times New Roman"/>
          <w:sz w:val="11"/>
          <w:szCs w:val="11"/>
          <w:color w:val="auto"/>
        </w:rPr>
        <w:t>the assets securing such indebtedness and are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81" w:lineRule="exact"/>
        <w:rPr>
          <w:sz w:val="20"/>
          <w:szCs w:val="20"/>
          <w:color w:val="auto"/>
        </w:rPr>
      </w:pPr>
    </w:p>
    <w:p>
      <w:pPr>
        <w:ind w:left="780" w:right="820" w:firstLine="277"/>
        <w:spacing w:after="0" w:line="264" w:lineRule="auto"/>
        <w:rPr>
          <w:sz w:val="20"/>
          <w:szCs w:val="20"/>
          <w:color w:val="auto"/>
        </w:rPr>
      </w:pPr>
      <w:r>
        <w:rPr>
          <w:rFonts w:ascii="Times New Roman" w:cs="Times New Roman" w:eastAsia="Times New Roman" w:hAnsi="Times New Roman"/>
          <w:sz w:val="11"/>
          <w:szCs w:val="11"/>
          <w:color w:val="auto"/>
        </w:rPr>
        <w:t>In April 2021, we formed PennantPark-TSO Senior Loan Fund LP ("PTSF"), an unconsolidated limited partnership, organized as a Delaware limited liability partnership. We sold $81.4 million in investments to a wholly owned subsidiary of PTSF in exchange for cash in the amount of $69.5 million and an $11.9 million equity interest in PTSF representing 23.08% of the total outstanding Class A Units of PTSF. We recognized $0.4 million of realized gain upon the formation of PTSF.</w:t>
      </w:r>
    </w:p>
    <w:p>
      <w:pPr>
        <w:spacing w:after="0" w:line="107" w:lineRule="exact"/>
        <w:rPr>
          <w:sz w:val="20"/>
          <w:szCs w:val="20"/>
          <w:color w:val="auto"/>
        </w:rPr>
      </w:pPr>
    </w:p>
    <w:p>
      <w:pPr>
        <w:ind w:left="780" w:right="840" w:firstLine="250"/>
        <w:spacing w:after="0" w:line="256" w:lineRule="auto"/>
        <w:rPr>
          <w:sz w:val="20"/>
          <w:szCs w:val="20"/>
          <w:color w:val="auto"/>
        </w:rPr>
      </w:pPr>
      <w:r>
        <w:rPr>
          <w:rFonts w:ascii="Times New Roman" w:cs="Times New Roman" w:eastAsia="Times New Roman" w:hAnsi="Times New Roman"/>
          <w:sz w:val="11"/>
          <w:szCs w:val="11"/>
          <w:color w:val="auto"/>
        </w:rPr>
        <w:t>In August 2025, in connection with the winding down of PTSF, an unconsolidated limited partnership, the Company acquired a portfolio of approximately $250 million of assets, including from TSO Puma SPV, LLC, an affiliate of Towerbrook Capital Partners. This portfolio includes assets with which the Company's Investment Adviser is familiar. The average spread and credit statistics are generally in-line with PFLT's existing portfolio. The Company acquired these assets at their most recent fair market value as of the date of the transaction. As of August 27, 2025, PFLT was the only remaining partner in PTSF, and as a result the entity became a wholly owned consolidated subsidiary as of that date.</w:t>
      </w:r>
    </w:p>
    <w:p>
      <w:pPr>
        <w:spacing w:after="0" w:line="112" w:lineRule="exact"/>
        <w:rPr>
          <w:sz w:val="20"/>
          <w:szCs w:val="20"/>
          <w:color w:val="auto"/>
        </w:rPr>
      </w:pPr>
    </w:p>
    <w:p>
      <w:pPr>
        <w:ind w:left="780" w:right="880" w:firstLine="282"/>
        <w:spacing w:after="0" w:line="259" w:lineRule="auto"/>
        <w:rPr>
          <w:sz w:val="20"/>
          <w:szCs w:val="20"/>
          <w:color w:val="auto"/>
        </w:rPr>
      </w:pPr>
      <w:r>
        <w:rPr>
          <w:rFonts w:ascii="Times New Roman" w:cs="Times New Roman" w:eastAsia="Times New Roman" w:hAnsi="Times New Roman"/>
          <w:sz w:val="11"/>
          <w:szCs w:val="11"/>
          <w:color w:val="auto"/>
        </w:rPr>
        <w:t>On February 4, 2022, we formed PFLT Investment Holdings II, LLC, a Delaware limited liability company (“Holdings II”), as a wholly owned subsidiary. On December 31, 2022, we contributed 100% of our interests in PFLT Investment Holdings, LLC ( “Holdings”) to Holdings II. Effective as of January 1, 2024, Holdings</w:t>
      </w:r>
    </w:p>
    <w:p>
      <w:pPr>
        <w:spacing w:after="0" w:line="1" w:lineRule="exact"/>
        <w:rPr>
          <w:sz w:val="20"/>
          <w:szCs w:val="20"/>
          <w:color w:val="auto"/>
        </w:rPr>
      </w:pPr>
    </w:p>
    <w:p>
      <w:pPr>
        <w:ind w:left="780" w:right="860" w:hanging="5"/>
        <w:spacing w:after="0" w:line="253" w:lineRule="auto"/>
        <w:tabs>
          <w:tab w:leader="none" w:pos="881"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elected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13" w:lineRule="exact"/>
        <w:rPr>
          <w:sz w:val="20"/>
          <w:szCs w:val="20"/>
          <w:color w:val="auto"/>
        </w:rPr>
      </w:pPr>
    </w:p>
    <w:p>
      <w:pPr>
        <w:ind w:left="780" w:right="880" w:firstLine="282"/>
        <w:spacing w:after="0" w:line="279" w:lineRule="auto"/>
        <w:rPr>
          <w:sz w:val="20"/>
          <w:szCs w:val="20"/>
          <w:color w:val="auto"/>
        </w:rPr>
      </w:pPr>
      <w:r>
        <w:rPr>
          <w:rFonts w:ascii="Times New Roman" w:cs="Times New Roman" w:eastAsia="Times New Roman" w:hAnsi="Times New Roman"/>
          <w:sz w:val="11"/>
          <w:szCs w:val="11"/>
          <w:color w:val="auto"/>
        </w:rPr>
        <w:t>In July 2024, the Company established a $500.0 million at-the-market offering program (the "2024 ATM Program") and terminated the existing $250.0 million at-the-market offering program (the "2022 ATM Program" and, together "with the 2024 ATM Program, the "ATM Programs").</w:t>
      </w:r>
    </w:p>
    <w:p>
      <w:pPr>
        <w:spacing w:after="0" w:line="99" w:lineRule="exact"/>
        <w:rPr>
          <w:sz w:val="20"/>
          <w:szCs w:val="20"/>
          <w:color w:val="auto"/>
        </w:rPr>
      </w:pPr>
    </w:p>
    <w:p>
      <w:pPr>
        <w:ind w:left="780" w:right="880" w:firstLine="282"/>
        <w:spacing w:after="0" w:line="254" w:lineRule="auto"/>
        <w:rPr>
          <w:sz w:val="20"/>
          <w:szCs w:val="20"/>
          <w:color w:val="auto"/>
        </w:rPr>
      </w:pPr>
      <w:r>
        <w:rPr>
          <w:rFonts w:ascii="Times New Roman" w:cs="Times New Roman" w:eastAsia="Times New Roman" w:hAnsi="Times New Roman"/>
          <w:sz w:val="11"/>
          <w:szCs w:val="11"/>
          <w:color w:val="auto"/>
        </w:rPr>
        <w:t>During the three months ended December 31, 2025 we did not issue any shares of our common stock under the ATM Programs. During the three months ended December 31, 2024 we issued 7,276,000 shares of our common stock under the ATM Programs. During the three months ended December 31, 2024, shares were issued at a weighted average price of $11.30 per share, resulting in net proceeds of $82.2 million after commissions to the sales agents and inclusive of proceeds from the Investment Adviser to ensure that all shares were sold at or above NAV. During the quarter ended December 31, 2025 and 2024, we incurred zero and less than</w:t>
      </w:r>
    </w:p>
    <w:p>
      <w:pPr>
        <w:spacing w:after="0" w:line="1" w:lineRule="exact"/>
        <w:rPr>
          <w:sz w:val="20"/>
          <w:szCs w:val="20"/>
          <w:color w:val="auto"/>
        </w:rPr>
      </w:pPr>
    </w:p>
    <w:p>
      <w:pPr>
        <w:ind w:left="780" w:right="1000"/>
        <w:spacing w:after="0" w:line="257" w:lineRule="auto"/>
        <w:rPr>
          <w:sz w:val="20"/>
          <w:szCs w:val="20"/>
          <w:color w:val="auto"/>
        </w:rPr>
      </w:pPr>
      <w:r>
        <w:rPr>
          <w:rFonts w:ascii="Times New Roman" w:cs="Times New Roman" w:eastAsia="Times New Roman" w:hAnsi="Times New Roman"/>
          <w:sz w:val="11"/>
          <w:szCs w:val="11"/>
          <w:color w:val="auto"/>
        </w:rPr>
        <w:t>$0.1 million, respectively, of legal and other offering costs associated with establishing the ATM Programs. As of December 31, 2025 and September 30, 2025, we had $192.2 million and $192.2 million, respectively, of our common stock available to be sold under the ATM Programs.</w:t>
      </w:r>
    </w:p>
    <w:p>
      <w:pPr>
        <w:spacing w:after="0" w:line="111" w:lineRule="exact"/>
        <w:rPr>
          <w:sz w:val="20"/>
          <w:szCs w:val="20"/>
          <w:color w:val="auto"/>
        </w:rPr>
      </w:pPr>
    </w:p>
    <w:p>
      <w:pPr>
        <w:ind w:left="780" w:right="820" w:firstLine="282"/>
        <w:spacing w:after="0" w:line="264" w:lineRule="auto"/>
        <w:rPr>
          <w:sz w:val="20"/>
          <w:szCs w:val="20"/>
          <w:color w:val="auto"/>
        </w:rPr>
      </w:pPr>
      <w:r>
        <w:rPr>
          <w:rFonts w:ascii="Times New Roman" w:cs="Times New Roman" w:eastAsia="Times New Roman" w:hAnsi="Times New Roman"/>
          <w:sz w:val="11"/>
          <w:szCs w:val="11"/>
          <w:color w:val="auto"/>
        </w:rPr>
        <w:t>The Investment Adviser has claimed an exclusion from the definition of the term “commodity pool operator” under the Commodity Exchange Act of 1936, as amended (the "Commodity Exchange Act"). The Investment Advisor intends to continue to affirm the exclusion on an annual basis and therefore, does not expect to be subject to registration or regulation as a commodity pool operator under the Commodity Exchange Act.</w:t>
      </w:r>
    </w:p>
    <w:p>
      <w:pPr>
        <w:spacing w:after="0" w:line="7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2. SIGNIFICANT ACCOUNTING POLICIES</w:t>
      </w:r>
    </w:p>
    <w:p>
      <w:pPr>
        <w:spacing w:after="0" w:line="138" w:lineRule="exact"/>
        <w:rPr>
          <w:sz w:val="20"/>
          <w:szCs w:val="20"/>
          <w:color w:val="auto"/>
        </w:rPr>
      </w:pPr>
    </w:p>
    <w:p>
      <w:pPr>
        <w:ind w:left="780" w:right="820" w:firstLine="282"/>
        <w:spacing w:after="0" w:line="252" w:lineRule="auto"/>
        <w:rPr>
          <w:sz w:val="20"/>
          <w:szCs w:val="20"/>
          <w:color w:val="auto"/>
        </w:rPr>
      </w:pPr>
      <w:r>
        <w:rPr>
          <w:rFonts w:ascii="Times New Roman" w:cs="Times New Roman" w:eastAsia="Times New Roman" w:hAnsi="Times New Roman"/>
          <w:sz w:val="11"/>
          <w:szCs w:val="11"/>
          <w:color w:val="auto"/>
        </w:rPr>
        <w:t>The preparation of our consolidated financial statements, in conformity with U.S. generally accepted accounting principles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creditworthiness of our portfolio companies,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("FASB’s"), Accounting Standards Codification, as amended ("ASC"), serve as a single source of accounting literature. Subsequent events are evaluated and disclosed as appropriate for events occurring through the date the Consolidated financial statements are issued.</w:t>
      </w:r>
    </w:p>
    <w:p>
      <w:pPr>
        <w:spacing w:after="0" w:line="116" w:lineRule="exact"/>
        <w:rPr>
          <w:sz w:val="20"/>
          <w:szCs w:val="20"/>
          <w:color w:val="auto"/>
        </w:rPr>
      </w:pPr>
    </w:p>
    <w:p>
      <w:pPr>
        <w:jc w:val="both"/>
        <w:ind w:left="780" w:right="860" w:firstLine="282"/>
        <w:spacing w:after="0" w:line="264" w:lineRule="auto"/>
        <w:rPr>
          <w:sz w:val="20"/>
          <w:szCs w:val="20"/>
          <w:color w:val="auto"/>
        </w:rPr>
      </w:pPr>
      <w:r>
        <w:rPr>
          <w:rFonts w:ascii="Times New Roman" w:cs="Times New Roman" w:eastAsia="Times New Roman" w:hAnsi="Times New Roman"/>
          <w:sz w:val="11"/>
          <w:szCs w:val="11"/>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0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Our significant accounting policies consistently applied are as follows:</w:t>
      </w:r>
    </w:p>
    <w:p>
      <w:pPr>
        <w:spacing w:after="0" w:line="1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1"/>
          <w:szCs w:val="11"/>
          <w:b w:val="1"/>
          <w:bCs w:val="1"/>
          <w:i w:val="1"/>
          <w:iCs w:val="1"/>
          <w:color w:val="auto"/>
        </w:rPr>
        <w:t>(a) Investment Valuations</w:t>
      </w:r>
    </w:p>
    <w:p>
      <w:pPr>
        <w:spacing w:after="0" w:line="138" w:lineRule="exact"/>
        <w:rPr>
          <w:sz w:val="20"/>
          <w:szCs w:val="20"/>
          <w:color w:val="auto"/>
        </w:rPr>
      </w:pPr>
    </w:p>
    <w:p>
      <w:pPr>
        <w:ind w:left="780" w:right="800" w:firstLine="282"/>
        <w:spacing w:after="0" w:line="253" w:lineRule="auto"/>
        <w:rPr>
          <w:sz w:val="20"/>
          <w:szCs w:val="20"/>
          <w:color w:val="auto"/>
        </w:rPr>
      </w:pPr>
      <w:r>
        <w:rPr>
          <w:rFonts w:ascii="Times New Roman" w:cs="Times New Roman" w:eastAsia="Times New Roman" w:hAnsi="Times New Roman"/>
          <w:sz w:val="11"/>
          <w:szCs w:val="11"/>
          <w:color w:val="auto"/>
        </w:rPr>
        <w:t>We expect that there may not be readily available market values for many of the investments, which are or will be in our portfolio.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4" w:lineRule="exact"/>
        <w:rPr>
          <w:sz w:val="20"/>
          <w:szCs w:val="20"/>
          <w:color w:val="auto"/>
        </w:rPr>
      </w:pPr>
    </w:p>
    <w:p>
      <w:pPr>
        <w:ind w:left="780" w:right="1000" w:firstLine="282"/>
        <w:spacing w:after="0" w:line="264" w:lineRule="auto"/>
        <w:rPr>
          <w:sz w:val="20"/>
          <w:szCs w:val="20"/>
          <w:color w:val="auto"/>
        </w:rPr>
      </w:pPr>
      <w:r>
        <w:rPr>
          <w:rFonts w:ascii="Times New Roman" w:cs="Times New Roman" w:eastAsia="Times New Roman" w:hAnsi="Times New Roman"/>
          <w:sz w:val="11"/>
          <w:szCs w:val="11"/>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7" w:lineRule="exact"/>
        <w:rPr>
          <w:sz w:val="20"/>
          <w:szCs w:val="20"/>
          <w:color w:val="auto"/>
        </w:rPr>
      </w:pPr>
    </w:p>
    <w:p>
      <w:pPr>
        <w:ind w:left="1060" w:right="960"/>
        <w:spacing w:after="0" w:line="279" w:lineRule="auto"/>
        <w:rPr>
          <w:sz w:val="20"/>
          <w:szCs w:val="20"/>
          <w:color w:val="auto"/>
        </w:rPr>
      </w:pPr>
      <w:r>
        <w:rPr>
          <w:rFonts w:ascii="Times New Roman" w:cs="Times New Roman" w:eastAsia="Times New Roman" w:hAnsi="Times New Roman"/>
          <w:sz w:val="11"/>
          <w:szCs w:val="11"/>
          <w:color w:val="auto"/>
        </w:rPr>
        <w:t>(1)Our quarterly valuation process begins with each portfolio company or investment being initially valued by the investment professionals of our Investment Adviser responsible for the portfolio investment;</w:t>
      </w:r>
    </w:p>
    <w:p>
      <w:pPr>
        <w:spacing w:after="0" w:line="9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(2)Preliminary valuation conclusions are then documented and discussed with the management of the Investment Adviser;</w:t>
      </w:r>
    </w:p>
    <w:p>
      <w:pPr>
        <w:spacing w:after="0" w:line="136" w:lineRule="exact"/>
        <w:rPr>
          <w:sz w:val="20"/>
          <w:szCs w:val="20"/>
          <w:color w:val="auto"/>
        </w:rPr>
      </w:pPr>
    </w:p>
    <w:p>
      <w:pPr>
        <w:jc w:val="both"/>
        <w:ind w:left="1060" w:right="980"/>
        <w:spacing w:after="0" w:line="256" w:lineRule="auto"/>
        <w:rPr>
          <w:sz w:val="20"/>
          <w:szCs w:val="20"/>
          <w:color w:val="auto"/>
        </w:rPr>
      </w:pPr>
      <w:r>
        <w:rPr>
          <w:rFonts w:ascii="Times New Roman" w:cs="Times New Roman" w:eastAsia="Times New Roman" w:hAnsi="Times New Roman"/>
          <w:sz w:val="11"/>
          <w:szCs w:val="11"/>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w:t>
      </w:r>
    </w:p>
    <w:p>
      <w:pPr>
        <w:jc w:val="center"/>
        <w:ind w:right="20"/>
        <w:spacing w:after="0"/>
        <w:rPr>
          <w:sz w:val="20"/>
          <w:szCs w:val="20"/>
          <w:color w:val="auto"/>
        </w:rPr>
      </w:pPr>
      <w:r>
        <w:rPr>
          <w:rFonts w:ascii="Times New Roman" w:cs="Times New Roman" w:eastAsia="Times New Roman" w:hAnsi="Times New Roman"/>
          <w:sz w:val="11"/>
          <w:szCs w:val="1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28" w:name="page29"/>
    <w:bookmarkEnd w:id="28"/>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5" w:lineRule="exact"/>
        <w:rPr>
          <w:sz w:val="20"/>
          <w:szCs w:val="20"/>
          <w:color w:val="auto"/>
        </w:rPr>
      </w:pPr>
    </w:p>
    <w:p>
      <w:pPr>
        <w:ind w:left="1060" w:right="800"/>
        <w:spacing w:after="0" w:line="257" w:lineRule="auto"/>
        <w:rPr>
          <w:sz w:val="20"/>
          <w:szCs w:val="20"/>
          <w:color w:val="auto"/>
        </w:rPr>
      </w:pPr>
      <w:r>
        <w:rPr>
          <w:rFonts w:ascii="Times New Roman" w:cs="Times New Roman" w:eastAsia="Times New Roman" w:hAnsi="Times New Roman"/>
          <w:sz w:val="11"/>
          <w:szCs w:val="11"/>
          <w:color w:val="auto"/>
        </w:rPr>
        <w:t>valuations in light of their own independent assessment and also in light of any market quotations obtained from an independent pricing service, broker, dealer or market maker;</w:t>
      </w:r>
    </w:p>
    <w:p>
      <w:pPr>
        <w:spacing w:after="0" w:line="111" w:lineRule="exact"/>
        <w:rPr>
          <w:sz w:val="20"/>
          <w:szCs w:val="20"/>
          <w:color w:val="auto"/>
        </w:rPr>
      </w:pPr>
    </w:p>
    <w:p>
      <w:pPr>
        <w:ind w:left="1060" w:right="860"/>
        <w:spacing w:after="0" w:line="264" w:lineRule="auto"/>
        <w:rPr>
          <w:sz w:val="20"/>
          <w:szCs w:val="20"/>
          <w:color w:val="auto"/>
        </w:rPr>
      </w:pPr>
      <w:r>
        <w:rPr>
          <w:rFonts w:ascii="Times New Roman" w:cs="Times New Roman" w:eastAsia="Times New Roman" w:hAnsi="Times New Roman"/>
          <w:sz w:val="11"/>
          <w:szCs w:val="11"/>
          <w:color w:val="auto"/>
        </w:rPr>
        <w:t>(4)The audit committee of our board of directors reviews the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07" w:lineRule="exact"/>
        <w:rPr>
          <w:sz w:val="20"/>
          <w:szCs w:val="20"/>
          <w:color w:val="auto"/>
        </w:rPr>
      </w:pPr>
    </w:p>
    <w:p>
      <w:pPr>
        <w:ind w:left="1060" w:right="1020"/>
        <w:spacing w:after="0" w:line="279" w:lineRule="auto"/>
        <w:rPr>
          <w:sz w:val="20"/>
          <w:szCs w:val="20"/>
          <w:color w:val="auto"/>
        </w:rPr>
      </w:pPr>
      <w:r>
        <w:rPr>
          <w:rFonts w:ascii="Times New Roman" w:cs="Times New Roman" w:eastAsia="Times New Roman" w:hAnsi="Times New Roman"/>
          <w:sz w:val="11"/>
          <w:szCs w:val="11"/>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9" w:lineRule="exact"/>
        <w:rPr>
          <w:sz w:val="20"/>
          <w:szCs w:val="20"/>
          <w:color w:val="auto"/>
        </w:rPr>
      </w:pPr>
    </w:p>
    <w:p>
      <w:pPr>
        <w:ind w:left="780" w:right="860" w:firstLine="282"/>
        <w:spacing w:after="0" w:line="256" w:lineRule="auto"/>
        <w:rPr>
          <w:sz w:val="20"/>
          <w:szCs w:val="20"/>
          <w:color w:val="auto"/>
        </w:rPr>
      </w:pPr>
      <w:r>
        <w:rPr>
          <w:rFonts w:ascii="Times New Roman" w:cs="Times New Roman" w:eastAsia="Times New Roman" w:hAnsi="Times New Roman"/>
          <w:sz w:val="11"/>
          <w:szCs w:val="11"/>
          <w:color w:val="auto"/>
        </w:rPr>
        <w:t>Our board of directors may use market quotations to assess the value of our investments for which market quotations are readily available. We obtain such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1"/>
          <w:szCs w:val="11"/>
          <w:b w:val="1"/>
          <w:bCs w:val="1"/>
          <w:i w:val="1"/>
          <w:iCs w:val="1"/>
          <w:color w:val="auto"/>
        </w:rPr>
        <w:t>(b) Security Transactions, Revenue Recognition, and Realized/Unrealized Gains or Losses</w:t>
      </w:r>
    </w:p>
    <w:p>
      <w:pPr>
        <w:spacing w:after="0" w:line="138" w:lineRule="exact"/>
        <w:rPr>
          <w:sz w:val="20"/>
          <w:szCs w:val="20"/>
          <w:color w:val="auto"/>
        </w:rPr>
      </w:pPr>
    </w:p>
    <w:p>
      <w:pPr>
        <w:ind w:left="780" w:right="920" w:firstLine="282"/>
        <w:spacing w:after="0" w:line="256" w:lineRule="auto"/>
        <w:rPr>
          <w:sz w:val="20"/>
          <w:szCs w:val="20"/>
          <w:color w:val="auto"/>
        </w:rPr>
      </w:pPr>
      <w:r>
        <w:rPr>
          <w:rFonts w:ascii="Times New Roman" w:cs="Times New Roman" w:eastAsia="Times New Roman" w:hAnsi="Times New Roman"/>
          <w:sz w:val="11"/>
          <w:szCs w:val="11"/>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and the Credit Facility during the reporting period, including any reversal of previously recorded unrealized appreciation or depreciation, when gains or losses are realized.</w:t>
      </w:r>
    </w:p>
    <w:p>
      <w:pPr>
        <w:spacing w:after="0" w:line="112" w:lineRule="exact"/>
        <w:rPr>
          <w:sz w:val="20"/>
          <w:szCs w:val="20"/>
          <w:color w:val="auto"/>
        </w:rPr>
      </w:pPr>
    </w:p>
    <w:p>
      <w:pPr>
        <w:ind w:left="780" w:right="840" w:firstLine="282"/>
        <w:spacing w:after="0" w:line="252" w:lineRule="auto"/>
        <w:rPr>
          <w:sz w:val="20"/>
          <w:szCs w:val="20"/>
          <w:color w:val="auto"/>
        </w:rPr>
      </w:pPr>
      <w:r>
        <w:rPr>
          <w:rFonts w:ascii="Times New Roman" w:cs="Times New Roman" w:eastAsia="Times New Roman" w:hAnsi="Times New Roman"/>
          <w:sz w:val="11"/>
          <w:szCs w:val="11"/>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 Litigation settlements are accounted for in accordance with the gain contingency provisions of ASC Subtopic 450-30, Gain Contingencies, or ASC 450-30.</w:t>
      </w:r>
    </w:p>
    <w:p>
      <w:pPr>
        <w:spacing w:after="0" w:line="115" w:lineRule="exact"/>
        <w:rPr>
          <w:sz w:val="20"/>
          <w:szCs w:val="20"/>
          <w:color w:val="auto"/>
        </w:rPr>
      </w:pPr>
    </w:p>
    <w:p>
      <w:pPr>
        <w:ind w:left="780" w:right="900" w:firstLine="282"/>
        <w:spacing w:after="0" w:line="255" w:lineRule="auto"/>
        <w:rPr>
          <w:sz w:val="20"/>
          <w:szCs w:val="20"/>
          <w:color w:val="auto"/>
        </w:rPr>
      </w:pPr>
      <w:r>
        <w:rPr>
          <w:rFonts w:ascii="Times New Roman" w:cs="Times New Roman" w:eastAsia="Times New Roman" w:hAnsi="Times New Roman"/>
          <w:sz w:val="11"/>
          <w:szCs w:val="11"/>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December 31, 2025, we had four portfolio companies on non-accrual status, representing 0.5% and 0.1% of our overall portfolio on a cost and fair value basis, respectively. As of September 30, 2025, we had three portfolio companies on non-accrual status, representing 0.4% and 0.2% of our overall portfolio on a cost and fair value basis, respectively.</w:t>
      </w:r>
    </w:p>
    <w:p>
      <w:pPr>
        <w:spacing w:after="0" w:line="1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1"/>
          <w:szCs w:val="11"/>
          <w:b w:val="1"/>
          <w:bCs w:val="1"/>
          <w:i w:val="1"/>
          <w:iCs w:val="1"/>
          <w:color w:val="auto"/>
        </w:rPr>
        <w:t>(c) Income Taxes</w:t>
      </w:r>
    </w:p>
    <w:p>
      <w:pPr>
        <w:spacing w:after="0" w:line="138" w:lineRule="exact"/>
        <w:rPr>
          <w:sz w:val="20"/>
          <w:szCs w:val="20"/>
          <w:color w:val="auto"/>
        </w:rPr>
      </w:pPr>
    </w:p>
    <w:p>
      <w:pPr>
        <w:ind w:left="780" w:right="820" w:firstLine="282"/>
        <w:spacing w:after="0" w:line="254" w:lineRule="auto"/>
        <w:rPr>
          <w:sz w:val="20"/>
          <w:szCs w:val="20"/>
          <w:color w:val="auto"/>
        </w:rPr>
      </w:pPr>
      <w:r>
        <w:rPr>
          <w:rFonts w:ascii="Times New Roman" w:cs="Times New Roman" w:eastAsia="Times New Roman" w:hAnsi="Times New Roman"/>
          <w:sz w:val="11"/>
          <w:szCs w:val="11"/>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federal excise tax, or we may incur taxes through our taxable subsidiaries, including the Taxable Subsidiary. For the three months ended December 31, 2025 and 2024, we recorded a provision for taxes on net investment income of $0.2 million and $0.2 million, respectively, pertaining to federal excise tax.</w:t>
      </w:r>
    </w:p>
    <w:p>
      <w:pPr>
        <w:spacing w:after="0" w:line="112" w:lineRule="exact"/>
        <w:rPr>
          <w:sz w:val="20"/>
          <w:szCs w:val="20"/>
          <w:color w:val="auto"/>
        </w:rPr>
      </w:pPr>
    </w:p>
    <w:p>
      <w:pPr>
        <w:ind w:left="780" w:right="820" w:firstLine="282"/>
        <w:spacing w:after="0" w:line="254" w:lineRule="auto"/>
        <w:rPr>
          <w:sz w:val="20"/>
          <w:szCs w:val="20"/>
          <w:color w:val="auto"/>
        </w:rPr>
      </w:pPr>
      <w:r>
        <w:rPr>
          <w:rFonts w:ascii="Times New Roman" w:cs="Times New Roman" w:eastAsia="Times New Roman" w:hAnsi="Times New Roman"/>
          <w:sz w:val="11"/>
          <w:szCs w:val="11"/>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12" w:lineRule="exact"/>
        <w:rPr>
          <w:sz w:val="20"/>
          <w:szCs w:val="20"/>
          <w:color w:val="auto"/>
        </w:rPr>
      </w:pPr>
    </w:p>
    <w:p>
      <w:pPr>
        <w:ind w:left="780" w:right="860" w:firstLine="282"/>
        <w:spacing w:after="0" w:line="253" w:lineRule="auto"/>
        <w:rPr>
          <w:sz w:val="20"/>
          <w:szCs w:val="20"/>
          <w:color w:val="auto"/>
        </w:rPr>
      </w:pPr>
      <w:r>
        <w:rPr>
          <w:rFonts w:ascii="Times New Roman" w:cs="Times New Roman" w:eastAsia="Times New Roman" w:hAnsi="Times New Roman"/>
          <w:sz w:val="11"/>
          <w:szCs w:val="11"/>
          <w:color w:val="auto"/>
        </w:rPr>
        <w:t>For the three months ended December 31, 2025, the Company recorded a provision for taxes of $0.6 million on unrealized appreciation (depreciation) on investments by the Taxable Subsidiary. For the three months ended December 31, 2024, the Company recorded a provision for taxes of $0.6 million on unrealized appreciation (depreciation) on investments by the Taxable Subsidiary. The provision for taxes on unrealized appreciation (depreciation) on investments is the result of netting (i) the expected tax liability on gains from sales of investments and (ii) the expected tax benefit from the use of losses in the current year. As of December 31, 2025, and September 30, 2025, $1.2 million and $1.9 million, respectively, was accrued as a deferred tax liability on the Consolidated Statements of Assets and Liabilities relating to unrealized gain on investments held by the Taxable Subsidiary. During the three months ended December 31, 2025 and 2024, the Company recorded a provision for taxes of zero and $0.1 million relating to realized gain (loss) on investments held by the Taxable Subsidiary. During the three months ended December 31, 2025 and 2024, the Company paid zero and zero in taxes on realized gains on the sale of investments held by the Taxable Subsidiary.</w:t>
      </w:r>
    </w:p>
    <w:p>
      <w:pPr>
        <w:spacing w:after="0" w:line="114" w:lineRule="exact"/>
        <w:rPr>
          <w:sz w:val="20"/>
          <w:szCs w:val="20"/>
          <w:color w:val="auto"/>
        </w:rPr>
      </w:pPr>
    </w:p>
    <w:p>
      <w:pPr>
        <w:ind w:left="780" w:right="860" w:firstLine="282"/>
        <w:spacing w:after="0" w:line="259" w:lineRule="auto"/>
        <w:rPr>
          <w:sz w:val="20"/>
          <w:szCs w:val="20"/>
          <w:color w:val="auto"/>
        </w:rPr>
      </w:pPr>
      <w:r>
        <w:rPr>
          <w:rFonts w:ascii="Times New Roman" w:cs="Times New Roman" w:eastAsia="Times New Roman" w:hAnsi="Times New Roman"/>
          <w:sz w:val="11"/>
          <w:szCs w:val="11"/>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5" w:lineRule="exact"/>
        <w:rPr>
          <w:sz w:val="20"/>
          <w:szCs w:val="20"/>
          <w:color w:val="auto"/>
        </w:rPr>
      </w:pPr>
    </w:p>
    <w:p>
      <w:pPr>
        <w:ind w:left="780" w:right="860" w:firstLine="282"/>
        <w:spacing w:after="0" w:line="251" w:lineRule="auto"/>
        <w:rPr>
          <w:sz w:val="20"/>
          <w:szCs w:val="20"/>
          <w:color w:val="auto"/>
        </w:rPr>
      </w:pPr>
      <w:r>
        <w:rPr>
          <w:rFonts w:ascii="Times New Roman" w:cs="Times New Roman" w:eastAsia="Times New Roman" w:hAnsi="Times New Roman"/>
          <w:sz w:val="11"/>
          <w:szCs w:val="11"/>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Statements of Assets and Liabilities to reflect their tax character. Temporary differences arise when certain items of income, expense, gain or loss are recognized at some time in the future.</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1"/>
          <w:szCs w:val="11"/>
          <w:b w:val="1"/>
          <w:bCs w:val="1"/>
          <w:i w:val="1"/>
          <w:iCs w:val="1"/>
          <w:color w:val="auto"/>
        </w:rPr>
        <w:t>(d) Distributions and Capital Transactions</w:t>
      </w:r>
    </w:p>
    <w:p>
      <w:pPr>
        <w:spacing w:after="0" w:line="138" w:lineRule="exact"/>
        <w:rPr>
          <w:sz w:val="20"/>
          <w:szCs w:val="20"/>
          <w:color w:val="auto"/>
        </w:rPr>
      </w:pPr>
    </w:p>
    <w:p>
      <w:pPr>
        <w:ind w:left="780" w:right="840" w:firstLine="282"/>
        <w:spacing w:after="0" w:line="264" w:lineRule="auto"/>
        <w:rPr>
          <w:sz w:val="20"/>
          <w:szCs w:val="20"/>
          <w:color w:val="auto"/>
        </w:rPr>
      </w:pPr>
      <w:r>
        <w:rPr>
          <w:rFonts w:ascii="Times New Roman" w:cs="Times New Roman" w:eastAsia="Times New Roman" w:hAnsi="Times New Roman"/>
          <w:sz w:val="11"/>
          <w:szCs w:val="11"/>
          <w:color w:val="auto"/>
        </w:rPr>
        <w:t>Distributions to holders of our common stock are recorded on the ex-dividend date. The amount to be paid, if any, as a distribution is determined by the board of directors each quarter and is generally based upon the earnings estimated by management. Net realized capital gains, if any, may be distributed at least annually. The tax attributes for distributions will generally include ordinary income and capital gains but may also include certain tax-qualified dividends and/or a return of capital.</w:t>
      </w:r>
    </w:p>
    <w:p>
      <w:pPr>
        <w:spacing w:after="0" w:line="107" w:lineRule="exact"/>
        <w:rPr>
          <w:sz w:val="20"/>
          <w:szCs w:val="20"/>
          <w:color w:val="auto"/>
        </w:rPr>
      </w:pPr>
    </w:p>
    <w:p>
      <w:pPr>
        <w:ind w:left="780" w:right="940" w:firstLine="282"/>
        <w:spacing w:after="0" w:line="279" w:lineRule="auto"/>
        <w:rPr>
          <w:sz w:val="20"/>
          <w:szCs w:val="20"/>
          <w:color w:val="auto"/>
        </w:rPr>
      </w:pPr>
      <w:r>
        <w:rPr>
          <w:rFonts w:ascii="Times New Roman" w:cs="Times New Roman" w:eastAsia="Times New Roman" w:hAnsi="Times New Roman"/>
          <w:sz w:val="11"/>
          <w:szCs w:val="11"/>
          <w:color w:val="auto"/>
        </w:rPr>
        <w:t>Capital transactions through offerings of our common stock are recorded when issued and offering costs are charged as a reduction of capital upon issuance of our common stock.</w:t>
      </w:r>
    </w:p>
    <w:p>
      <w:pPr>
        <w:spacing w:after="0" w:line="99" w:lineRule="exact"/>
        <w:rPr>
          <w:sz w:val="20"/>
          <w:szCs w:val="20"/>
          <w:color w:val="auto"/>
        </w:rPr>
      </w:pPr>
    </w:p>
    <w:p>
      <w:pPr>
        <w:ind w:left="780" w:right="820" w:firstLine="282"/>
        <w:spacing w:after="0" w:line="252" w:lineRule="auto"/>
        <w:rPr>
          <w:sz w:val="20"/>
          <w:szCs w:val="20"/>
          <w:color w:val="auto"/>
        </w:rPr>
      </w:pPr>
      <w:r>
        <w:rPr>
          <w:rFonts w:ascii="Times New Roman" w:cs="Times New Roman" w:eastAsia="Times New Roman" w:hAnsi="Times New Roman"/>
          <w:sz w:val="11"/>
          <w:szCs w:val="11"/>
          <w:color w:val="auto"/>
        </w:rPr>
        <w:t>On July 17, 2024, we entered into equity distribution agreements (together, the "Equity Distribution Agreements") with Citizens JMP Securities, LLC, Raymond James &amp; Associates, Inc. and Truist Securities, Inc. as the sales agents (collectively the "Sales Agents" and each a "Sales Agent") in connection with the sale of our shares of common stock, with an aggregate offering price of up to $500.0 million under an at-the-market offering program (the "2024 ATM Program"). The Equity Distribution Agreements provide that we may offer and sell shares of our common stock from time to time through the Sales Agents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2024 ATM Program offerings, net of any commissions of the Sale Agents, will not be less than our then current NAV per share. Any such payments made by the Investment Adviser will not be subject to reimbursement by us. In connection with the entry into the Equity Distribution Agreements, the Company terminated the equity distribution agreements with each of Citizens JMP Securities LLC, Raymond James &amp; Associates, Inc. and Truist Securities, Inc. in connection with the 2022 ATM Program.</w:t>
      </w:r>
    </w:p>
    <w:p>
      <w:pPr>
        <w:spacing w:after="0" w:line="115" w:lineRule="exact"/>
        <w:rPr>
          <w:sz w:val="20"/>
          <w:szCs w:val="20"/>
          <w:color w:val="auto"/>
        </w:rPr>
      </w:pPr>
    </w:p>
    <w:p>
      <w:pPr>
        <w:ind w:left="780" w:right="880" w:firstLine="282"/>
        <w:spacing w:after="0" w:line="254" w:lineRule="auto"/>
        <w:rPr>
          <w:sz w:val="20"/>
          <w:szCs w:val="20"/>
          <w:color w:val="auto"/>
        </w:rPr>
      </w:pPr>
      <w:r>
        <w:rPr>
          <w:rFonts w:ascii="Times New Roman" w:cs="Times New Roman" w:eastAsia="Times New Roman" w:hAnsi="Times New Roman"/>
          <w:sz w:val="11"/>
          <w:szCs w:val="11"/>
          <w:color w:val="auto"/>
        </w:rPr>
        <w:t>During the three months ended December 31, 2025 we did not issue any shares of our common stock under the ATM Programs. During the three months ended December 31, 2024 we issued 7,276,000 shares of our common stock under the ATM Programs. During the three months ended December 31, 2024, shares were issued at a weighted average price of $11.30 per share, resulting in net proceeds of $82.2 million after commissions to the sales agents and inclusive of proceeds from the Investment Adviser to ensure that all shares were sold at or above NAV. During the quarter ended December 31, 2025 and 2024, we incurred zero and less than</w:t>
      </w:r>
    </w:p>
    <w:p>
      <w:pPr>
        <w:spacing w:after="0" w:line="1" w:lineRule="exact"/>
        <w:rPr>
          <w:sz w:val="20"/>
          <w:szCs w:val="20"/>
          <w:color w:val="auto"/>
        </w:rPr>
      </w:pPr>
    </w:p>
    <w:p>
      <w:pPr>
        <w:ind w:left="780" w:right="1000"/>
        <w:spacing w:after="0" w:line="257" w:lineRule="auto"/>
        <w:rPr>
          <w:sz w:val="20"/>
          <w:szCs w:val="20"/>
          <w:color w:val="auto"/>
        </w:rPr>
      </w:pPr>
      <w:r>
        <w:rPr>
          <w:rFonts w:ascii="Times New Roman" w:cs="Times New Roman" w:eastAsia="Times New Roman" w:hAnsi="Times New Roman"/>
          <w:sz w:val="11"/>
          <w:szCs w:val="11"/>
          <w:color w:val="auto"/>
        </w:rPr>
        <w:t>$0.1 million, respectively, of legal and other offering costs associated with establishing the ATM Programs. As of December 31, 2025 and September 30, 2025, we had $192.2 million and $192.2 million, respectively, of our common stock available to be sold under the ATM Programs.</w:t>
      </w:r>
    </w:p>
    <w:p>
      <w:pPr>
        <w:spacing w:after="0" w:line="108" w:lineRule="exact"/>
        <w:rPr>
          <w:sz w:val="20"/>
          <w:szCs w:val="20"/>
          <w:color w:val="auto"/>
        </w:rPr>
      </w:pPr>
    </w:p>
    <w:p>
      <w:pPr>
        <w:ind w:left="1080" w:hanging="144"/>
        <w:spacing w:after="0"/>
        <w:tabs>
          <w:tab w:leader="none" w:pos="1080" w:val="left"/>
        </w:tabs>
        <w:numPr>
          <w:ilvl w:val="1"/>
          <w:numId w:val="5"/>
        </w:numPr>
        <w:rPr>
          <w:rFonts w:ascii="Times New Roman" w:cs="Times New Roman" w:eastAsia="Times New Roman" w:hAnsi="Times New Roman"/>
          <w:sz w:val="11"/>
          <w:szCs w:val="11"/>
          <w:b w:val="1"/>
          <w:bCs w:val="1"/>
          <w:i w:val="1"/>
          <w:iCs w:val="1"/>
          <w:color w:val="auto"/>
        </w:rPr>
      </w:pPr>
      <w:r>
        <w:rPr>
          <w:rFonts w:ascii="Times New Roman" w:cs="Times New Roman" w:eastAsia="Times New Roman" w:hAnsi="Times New Roman"/>
          <w:sz w:val="11"/>
          <w:szCs w:val="11"/>
          <w:b w:val="1"/>
          <w:bCs w:val="1"/>
          <w:i w:val="1"/>
          <w:iCs w:val="1"/>
          <w:color w:val="auto"/>
        </w:rPr>
        <w:t>Foreign Currency Translation</w:t>
      </w:r>
    </w:p>
    <w:p>
      <w:pPr>
        <w:spacing w:after="0" w:line="13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1"/>
          <w:szCs w:val="11"/>
          <w:color w:val="auto"/>
        </w:rPr>
        <w:t>1.Fair value of investment securities, other assets and liabilities – at the exchange rates prevailing at the end of the applicable period; and</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1"/>
          <w:szCs w:val="11"/>
          <w:color w:val="auto"/>
        </w:rPr>
        <w:t>2.Purchases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left="780" w:right="880" w:firstLine="282"/>
        <w:spacing w:after="0" w:line="264" w:lineRule="auto"/>
        <w:rPr>
          <w:sz w:val="20"/>
          <w:szCs w:val="20"/>
          <w:color w:val="auto"/>
        </w:rPr>
      </w:pPr>
      <w:r>
        <w:rPr>
          <w:rFonts w:ascii="Times New Roman" w:cs="Times New Roman" w:eastAsia="Times New Roman" w:hAnsi="Times New Roman"/>
          <w:sz w:val="11"/>
          <w:szCs w:val="11"/>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07" w:lineRule="exact"/>
        <w:rPr>
          <w:sz w:val="20"/>
          <w:szCs w:val="20"/>
          <w:color w:val="auto"/>
        </w:rPr>
      </w:pPr>
    </w:p>
    <w:p>
      <w:pPr>
        <w:ind w:left="780" w:right="1080" w:firstLine="282"/>
        <w:spacing w:after="0" w:line="259" w:lineRule="auto"/>
        <w:rPr>
          <w:sz w:val="20"/>
          <w:szCs w:val="20"/>
          <w:color w:val="auto"/>
        </w:rPr>
      </w:pPr>
      <w:r>
        <w:rPr>
          <w:rFonts w:ascii="Times New Roman" w:cs="Times New Roman" w:eastAsia="Times New Roman" w:hAnsi="Times New Roman"/>
          <w:sz w:val="11"/>
          <w:szCs w:val="11"/>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0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1"/>
          <w:szCs w:val="11"/>
          <w:b w:val="1"/>
          <w:bCs w:val="1"/>
          <w:i w:val="1"/>
          <w:iCs w:val="1"/>
          <w:color w:val="auto"/>
        </w:rPr>
        <w:t>(f) Consolidation</w:t>
      </w:r>
    </w:p>
    <w:p>
      <w:pPr>
        <w:spacing w:after="0" w:line="138" w:lineRule="exact"/>
        <w:rPr>
          <w:sz w:val="20"/>
          <w:szCs w:val="20"/>
          <w:color w:val="auto"/>
        </w:rPr>
      </w:pPr>
    </w:p>
    <w:p>
      <w:pPr>
        <w:ind w:left="780" w:right="820" w:firstLine="282"/>
        <w:spacing w:after="0" w:line="256" w:lineRule="auto"/>
        <w:rPr>
          <w:sz w:val="20"/>
          <w:szCs w:val="20"/>
          <w:color w:val="auto"/>
        </w:rPr>
      </w:pPr>
      <w:r>
        <w:rPr>
          <w:rFonts w:ascii="Times New Roman" w:cs="Times New Roman" w:eastAsia="Times New Roman" w:hAnsi="Times New Roman"/>
          <w:sz w:val="11"/>
          <w:szCs w:val="11"/>
          <w:color w:val="auto"/>
        </w:rPr>
        <w:t>As permitted under Regulation S-X and as explained by ASC paragraph 946-810-45-3, we will generally not consolidate our investment in a company other than an investment company wholly owned subsidiary or a controlled operating company whose business consists of providing services to us. Accordingly, we have consolidated the results of our taxable subsidiaries, including the Taxable Subsidiary, Funding I, 2036 Securitization Issuers, the 2036-R Securitization Issuers, 2037 Securitization Issuer, and PTSF and PTSF's GP (effective, August 27, 2025; see Note 1) in our Consolidated Financial Statements. We do not consolidate our non-controlling interest in PSSL or PSSL II. See further description of our investment in PSSL and PSSLII in Note 4.</w:t>
      </w:r>
    </w:p>
    <w:p>
      <w:pPr>
        <w:spacing w:after="0" w:line="1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1"/>
          <w:szCs w:val="11"/>
          <w:b w:val="1"/>
          <w:bCs w:val="1"/>
          <w:i w:val="1"/>
          <w:iCs w:val="1"/>
          <w:color w:val="auto"/>
        </w:rPr>
        <w:t>(g) Asset Transfers and Servicing</w:t>
      </w:r>
    </w:p>
    <w:p>
      <w:pPr>
        <w:spacing w:after="0" w:line="138" w:lineRule="exact"/>
        <w:rPr>
          <w:sz w:val="20"/>
          <w:szCs w:val="20"/>
          <w:color w:val="auto"/>
        </w:rPr>
      </w:pPr>
    </w:p>
    <w:p>
      <w:pPr>
        <w:ind w:left="780" w:right="800" w:firstLine="282"/>
        <w:spacing w:after="0" w:line="264" w:lineRule="auto"/>
        <w:rPr>
          <w:sz w:val="20"/>
          <w:szCs w:val="20"/>
          <w:color w:val="auto"/>
        </w:rPr>
      </w:pPr>
      <w:r>
        <w:rPr>
          <w:rFonts w:ascii="Times New Roman" w:cs="Times New Roman" w:eastAsia="Times New Roman" w:hAnsi="Times New Roman"/>
          <w:sz w:val="11"/>
          <w:szCs w:val="11"/>
          <w:color w:val="auto"/>
        </w:rPr>
        <w:t>Asset transfers that do not meet requirements for sale accounting treatment are reflected in the Consolidated Statements of Assets and Liabilities and the Consolidated Schedules of Investments as investments. The creditors of Funding I have received a security interest in all of its assets and such assets are not intended to be available to our creditors or any of our affiliates.</w:t>
      </w:r>
    </w:p>
    <w:p>
      <w:pPr>
        <w:spacing w:after="0" w:line="1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1"/>
          <w:szCs w:val="11"/>
          <w:b w:val="1"/>
          <w:bCs w:val="1"/>
          <w:i w:val="1"/>
          <w:iCs w:val="1"/>
          <w:color w:val="auto"/>
        </w:rPr>
        <w:t>(h) Segment Reporting</w:t>
      </w:r>
    </w:p>
    <w:p>
      <w:pPr>
        <w:spacing w:after="0" w:line="138" w:lineRule="exact"/>
        <w:rPr>
          <w:sz w:val="20"/>
          <w:szCs w:val="20"/>
          <w:color w:val="auto"/>
        </w:rPr>
      </w:pPr>
    </w:p>
    <w:p>
      <w:pPr>
        <w:ind w:left="780" w:right="940" w:firstLine="282"/>
        <w:spacing w:after="0" w:line="264" w:lineRule="auto"/>
        <w:rPr>
          <w:sz w:val="20"/>
          <w:szCs w:val="20"/>
          <w:color w:val="auto"/>
        </w:rPr>
      </w:pPr>
      <w:r>
        <w:rPr>
          <w:rFonts w:ascii="Times New Roman" w:cs="Times New Roman" w:eastAsia="Times New Roman" w:hAnsi="Times New Roman"/>
          <w:sz w:val="11"/>
          <w:szCs w:val="11"/>
          <w:color w:val="auto"/>
        </w:rPr>
        <w:t>In accordance with ASC Topic 280 - Segment Reporting, the Company has determined that it has a single reporting segment and operating unit structure. As a result, the Company's segment accounting policies are the same as described herein and the Company does not have any intra-segment sales and transfers of assets. See Note 12 for additional information on the Company's segment accounting policies.</w:t>
      </w:r>
    </w:p>
    <w:p>
      <w:pPr>
        <w:spacing w:after="0" w:line="2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1"/>
          <w:szCs w:val="11"/>
          <w:b w:val="1"/>
          <w:bCs w:val="1"/>
          <w:i w:val="1"/>
          <w:iCs w:val="1"/>
          <w:color w:val="auto"/>
        </w:rPr>
        <w:t>(i) Recent Accounting Pronouncements</w:t>
      </w:r>
    </w:p>
    <w:p>
      <w:pPr>
        <w:spacing w:after="0" w:line="138" w:lineRule="exact"/>
        <w:rPr>
          <w:sz w:val="20"/>
          <w:szCs w:val="20"/>
          <w:color w:val="auto"/>
        </w:rPr>
      </w:pPr>
    </w:p>
    <w:p>
      <w:pPr>
        <w:ind w:left="780" w:right="1000" w:firstLine="282"/>
        <w:spacing w:after="0" w:line="256" w:lineRule="auto"/>
        <w:rPr>
          <w:sz w:val="20"/>
          <w:szCs w:val="20"/>
          <w:color w:val="auto"/>
        </w:rPr>
      </w:pPr>
      <w:r>
        <w:rPr>
          <w:rFonts w:ascii="Times New Roman" w:cs="Times New Roman" w:eastAsia="Times New Roman" w:hAnsi="Times New Roman"/>
          <w:sz w:val="11"/>
          <w:szCs w:val="11"/>
          <w:color w:val="auto"/>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w:t>
      </w:r>
    </w:p>
    <w:p>
      <w:pPr>
        <w:jc w:val="center"/>
        <w:ind w:right="20"/>
        <w:spacing w:after="0"/>
        <w:rPr>
          <w:sz w:val="20"/>
          <w:szCs w:val="20"/>
          <w:color w:val="auto"/>
        </w:rPr>
      </w:pPr>
      <w:r>
        <w:rPr>
          <w:rFonts w:ascii="Times New Roman" w:cs="Times New Roman" w:eastAsia="Times New Roman" w:hAnsi="Times New Roman"/>
          <w:sz w:val="11"/>
          <w:szCs w:val="1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5" w:lineRule="exact"/>
        <w:rPr>
          <w:sz w:val="20"/>
          <w:szCs w:val="20"/>
          <w:color w:val="auto"/>
        </w:rPr>
      </w:pPr>
    </w:p>
    <w:p>
      <w:pPr>
        <w:ind w:left="780" w:right="880"/>
        <w:spacing w:after="0" w:line="251" w:lineRule="auto"/>
        <w:rPr>
          <w:sz w:val="20"/>
          <w:szCs w:val="20"/>
          <w:color w:val="auto"/>
        </w:rPr>
      </w:pPr>
      <w:r>
        <w:rPr>
          <w:rFonts w:ascii="Times New Roman" w:cs="Times New Roman" w:eastAsia="Times New Roman" w:hAnsi="Times New Roman"/>
          <w:sz w:val="11"/>
          <w:szCs w:val="11"/>
          <w:color w:val="auto"/>
        </w:rPr>
        <w:t>other transactions, subject to meeting certain criteria, that reference LIBOR or another reference rate expected to be discontinued because of the reference rate reform. ASU 2020-04 is effective for all entities as of March 12, 2020 through December 31, 2022. The FASB approved an (optional) two year extension to December 31, 2024, for transitioning away from LIBOR. The Company adopted ASU 2020-04, the effect of which was not material to the consolidated financial statements and the notes to the consolidated financial statements.</w:t>
      </w:r>
    </w:p>
    <w:p>
      <w:pPr>
        <w:spacing w:after="0" w:line="115" w:lineRule="exact"/>
        <w:rPr>
          <w:sz w:val="20"/>
          <w:szCs w:val="20"/>
          <w:color w:val="auto"/>
        </w:rPr>
      </w:pPr>
    </w:p>
    <w:p>
      <w:pPr>
        <w:ind w:left="780" w:right="780" w:firstLine="282"/>
        <w:spacing w:after="0" w:line="254" w:lineRule="auto"/>
        <w:rPr>
          <w:sz w:val="20"/>
          <w:szCs w:val="20"/>
          <w:color w:val="auto"/>
        </w:rPr>
      </w:pPr>
      <w:r>
        <w:rPr>
          <w:rFonts w:ascii="Times New Roman" w:cs="Times New Roman" w:eastAsia="Times New Roman" w:hAnsi="Times New Roman"/>
          <w:sz w:val="11"/>
          <w:szCs w:val="11"/>
          <w:color w:val="auto"/>
        </w:rPr>
        <w:t>In June 2022, the FASB issued Accounting Standards Update No. 2022-03,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has adopted the new accounting standard, the effect of which was not material to the consolidated financial statements and the notes thereto.</w:t>
      </w:r>
    </w:p>
    <w:p>
      <w:pPr>
        <w:spacing w:after="0" w:line="112" w:lineRule="exact"/>
        <w:rPr>
          <w:sz w:val="20"/>
          <w:szCs w:val="20"/>
          <w:color w:val="auto"/>
        </w:rPr>
      </w:pPr>
    </w:p>
    <w:p>
      <w:pPr>
        <w:ind w:left="780" w:right="820" w:firstLine="282"/>
        <w:spacing w:after="0" w:line="253" w:lineRule="auto"/>
        <w:rPr>
          <w:sz w:val="20"/>
          <w:szCs w:val="20"/>
          <w:color w:val="auto"/>
        </w:rPr>
      </w:pPr>
      <w:r>
        <w:rPr>
          <w:rFonts w:ascii="Times New Roman" w:cs="Times New Roman" w:eastAsia="Times New Roman" w:hAnsi="Times New Roman"/>
          <w:sz w:val="11"/>
          <w:szCs w:val="11"/>
          <w:color w:val="auto"/>
        </w:rPr>
        <w:t>In November 2023, FASB issued ASU 2023-07, Segment Reporting (Topic 280), Improvements to Reportable Segment Disclosures to improve reportable segment disclosure requirements through enhanced disclosures about significant segment expenses. ASU 2023-07 expands public entities' segment disclosure by requiring disclosure of significant segment expenses that are regularly provided to the chief operating decision maker (the "CODM") and included within each reported measure of segment profit or loss, an amount and description of its composition for other segment items and interim disclosure of a reportable segment's profit or loss and assets. All disclosure requirements of ASU 2023-07 are required for entities with a single reportable segment. ASU 2023-07 is effective for fiscal years beginning after December 15, 2023, and interim periods for fiscal years beginning December 15, 2024, and should be applied on a retrospective basis to all periods presented, noting early adoption is permitted. The Company has adopted ASU 2023-07 effective September 30, 2025 and concluded that the application of this guidance did not have a material impact on its consolidated financial statements.</w:t>
      </w:r>
    </w:p>
    <w:p>
      <w:pPr>
        <w:spacing w:after="0" w:line="114" w:lineRule="exact"/>
        <w:rPr>
          <w:sz w:val="20"/>
          <w:szCs w:val="20"/>
          <w:color w:val="auto"/>
        </w:rPr>
      </w:pPr>
    </w:p>
    <w:p>
      <w:pPr>
        <w:ind w:left="780" w:right="840" w:firstLine="282"/>
        <w:spacing w:after="0" w:line="264" w:lineRule="auto"/>
        <w:rPr>
          <w:sz w:val="20"/>
          <w:szCs w:val="20"/>
          <w:color w:val="auto"/>
        </w:rPr>
      </w:pPr>
      <w:r>
        <w:rPr>
          <w:rFonts w:ascii="Times New Roman" w:cs="Times New Roman" w:eastAsia="Times New Roman" w:hAnsi="Times New Roman"/>
          <w:sz w:val="11"/>
          <w:szCs w:val="11"/>
          <w:color w:val="auto"/>
        </w:rPr>
        <w:t>In December 2023, the FASB issued ASU 2023 - 09 "Improvements to Income Tax Disclosures" ("ASU 2023 - 09"). ASU 2023 - 09 intends to improve the transparency of income tax disclosures. ASU 2023 - 09 is effective for fiscal years beginning after December 15, 2024 and is to be adopted on a prospective basis with the option to apply retrospectively. We are currently assessing the impact of this guidance, however, we do not expect a material impact to our financial statements.</w:t>
      </w:r>
    </w:p>
    <w:p>
      <w:pPr>
        <w:spacing w:after="0" w:line="1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3. AGREEMENTS AND RELATED PARTY TRANSACTIONS</w:t>
      </w:r>
    </w:p>
    <w:p>
      <w:pPr>
        <w:spacing w:after="0" w:line="1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b w:val="1"/>
          <w:bCs w:val="1"/>
          <w:i w:val="1"/>
          <w:iCs w:val="1"/>
          <w:color w:val="auto"/>
        </w:rPr>
        <w:t>(a)  Investment Management Agreement</w:t>
      </w:r>
    </w:p>
    <w:p>
      <w:pPr>
        <w:spacing w:after="0" w:line="138" w:lineRule="exact"/>
        <w:rPr>
          <w:sz w:val="20"/>
          <w:szCs w:val="20"/>
          <w:color w:val="auto"/>
        </w:rPr>
      </w:pPr>
    </w:p>
    <w:p>
      <w:pPr>
        <w:ind w:left="780" w:right="840" w:firstLine="282"/>
        <w:spacing w:after="0" w:line="255" w:lineRule="auto"/>
        <w:rPr>
          <w:sz w:val="20"/>
          <w:szCs w:val="20"/>
          <w:color w:val="auto"/>
        </w:rPr>
      </w:pPr>
      <w:r>
        <w:rPr>
          <w:rFonts w:ascii="Times New Roman" w:cs="Times New Roman" w:eastAsia="Times New Roman" w:hAnsi="Times New Roman"/>
          <w:sz w:val="11"/>
          <w:szCs w:val="11"/>
          <w:color w:val="auto"/>
        </w:rPr>
        <w:t>The Investment Management Agreement was reapproved by our board of directors, including a majority of our directors who are not interested persons of us or the Investment Adviser, in May 2025. Under the Investment Management Agreement, the Investment Adviser, subject to the overall supervision of our board of directors, manages the day-to-day operations of and provides investment advisory services to us. For providing these services, the Investment Adviser receives a fee from us consisting of two components - a base management fee and an incentive fee.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w:t>
      </w:r>
    </w:p>
    <w:p>
      <w:pPr>
        <w:spacing w:after="0" w:line="11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1"/>
          <w:szCs w:val="11"/>
          <w:b w:val="1"/>
          <w:bCs w:val="1"/>
          <w:i w:val="1"/>
          <w:iCs w:val="1"/>
          <w:color w:val="auto"/>
        </w:rPr>
        <w:t>Base Management Fee</w:t>
      </w:r>
    </w:p>
    <w:p>
      <w:pPr>
        <w:spacing w:after="0" w:line="138" w:lineRule="exact"/>
        <w:rPr>
          <w:sz w:val="20"/>
          <w:szCs w:val="20"/>
          <w:color w:val="auto"/>
        </w:rPr>
      </w:pPr>
    </w:p>
    <w:p>
      <w:pPr>
        <w:ind w:left="780" w:right="800" w:firstLine="282"/>
        <w:spacing w:after="0" w:line="253" w:lineRule="auto"/>
        <w:rPr>
          <w:sz w:val="20"/>
          <w:szCs w:val="20"/>
          <w:color w:val="auto"/>
        </w:rPr>
      </w:pPr>
      <w:r>
        <w:rPr>
          <w:rFonts w:ascii="Times New Roman" w:cs="Times New Roman" w:eastAsia="Times New Roman" w:hAnsi="Times New Roman"/>
          <w:sz w:val="11"/>
          <w:szCs w:val="11"/>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2025 and 2024, we recorded a base management fee of $6.8 million and $5.3 million, respectively, paid by us to the Investment Adviser.</w:t>
      </w:r>
    </w:p>
    <w:p>
      <w:pPr>
        <w:spacing w:after="0" w:line="11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1"/>
          <w:szCs w:val="11"/>
          <w:b w:val="1"/>
          <w:bCs w:val="1"/>
          <w:i w:val="1"/>
          <w:iCs w:val="1"/>
          <w:color w:val="auto"/>
        </w:rPr>
        <w:t>Incentive Fee</w:t>
      </w:r>
    </w:p>
    <w:p>
      <w:pPr>
        <w:spacing w:after="0" w:line="13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The incentive fee has two parts, as follows:</w:t>
      </w:r>
    </w:p>
    <w:p>
      <w:pPr>
        <w:spacing w:after="0" w:line="136" w:lineRule="exact"/>
        <w:rPr>
          <w:sz w:val="20"/>
          <w:szCs w:val="20"/>
          <w:color w:val="auto"/>
        </w:rPr>
      </w:pPr>
    </w:p>
    <w:p>
      <w:pPr>
        <w:ind w:left="780" w:right="800" w:firstLine="282"/>
        <w:spacing w:after="0" w:line="250" w:lineRule="auto"/>
        <w:rPr>
          <w:sz w:val="20"/>
          <w:szCs w:val="20"/>
          <w:color w:val="auto"/>
        </w:rPr>
      </w:pPr>
      <w:r>
        <w:rPr>
          <w:rFonts w:ascii="Times New Roman" w:cs="Times New Roman" w:eastAsia="Times New Roman" w:hAnsi="Times New Roman"/>
          <w:sz w:val="11"/>
          <w:szCs w:val="11"/>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months ended December 31, 2025 and 2024, we recorded $6.7 million and $7.5 million, respectively, related to incentive fees on net investment income, paid by us to the Investment Adviser.</w:t>
      </w:r>
    </w:p>
    <w:p>
      <w:pPr>
        <w:spacing w:after="0" w:line="120" w:lineRule="exact"/>
        <w:rPr>
          <w:sz w:val="20"/>
          <w:szCs w:val="20"/>
          <w:color w:val="auto"/>
        </w:rPr>
      </w:pPr>
    </w:p>
    <w:p>
      <w:pPr>
        <w:ind w:left="780" w:right="820"/>
        <w:spacing w:after="0" w:line="259" w:lineRule="auto"/>
        <w:rPr>
          <w:sz w:val="20"/>
          <w:szCs w:val="20"/>
          <w:color w:val="auto"/>
        </w:rPr>
      </w:pPr>
      <w:r>
        <w:rPr>
          <w:rFonts w:ascii="Times New Roman" w:cs="Times New Roman" w:eastAsia="Times New Roman" w:hAnsi="Times New Roman"/>
          <w:sz w:val="11"/>
          <w:szCs w:val="11"/>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2025 and 2024, the Company did not pay an incentive fee on capital gains.</w:t>
      </w:r>
    </w:p>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5" w:lineRule="exact"/>
        <w:rPr>
          <w:sz w:val="20"/>
          <w:szCs w:val="20"/>
          <w:color w:val="auto"/>
        </w:rPr>
      </w:pPr>
    </w:p>
    <w:p>
      <w:pPr>
        <w:ind w:left="780" w:right="820" w:firstLine="282"/>
        <w:spacing w:after="0" w:line="249" w:lineRule="auto"/>
        <w:rPr>
          <w:sz w:val="20"/>
          <w:szCs w:val="20"/>
          <w:color w:val="auto"/>
        </w:rPr>
      </w:pPr>
      <w:r>
        <w:rPr>
          <w:rFonts w:ascii="Times New Roman" w:cs="Times New Roman" w:eastAsia="Times New Roman" w:hAnsi="Times New Roman"/>
          <w:sz w:val="11"/>
          <w:szCs w:val="11"/>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but not payable, under GAAP on our unrealized and realized capital gains for the three months ended December 31, 2025 and 2024 was zero.</w:t>
      </w:r>
    </w:p>
    <w:p>
      <w:pPr>
        <w:spacing w:after="0" w:line="1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b w:val="1"/>
          <w:bCs w:val="1"/>
          <w:i w:val="1"/>
          <w:iCs w:val="1"/>
          <w:color w:val="auto"/>
        </w:rPr>
        <w:t>(b)  Administration Agreement</w:t>
      </w:r>
    </w:p>
    <w:p>
      <w:pPr>
        <w:spacing w:after="0" w:line="138" w:lineRule="exact"/>
        <w:rPr>
          <w:sz w:val="20"/>
          <w:szCs w:val="20"/>
          <w:color w:val="auto"/>
        </w:rPr>
      </w:pPr>
    </w:p>
    <w:p>
      <w:pPr>
        <w:ind w:left="780" w:right="820" w:firstLine="282"/>
        <w:spacing w:after="0" w:line="252" w:lineRule="auto"/>
        <w:rPr>
          <w:sz w:val="20"/>
          <w:szCs w:val="20"/>
          <w:color w:val="auto"/>
        </w:rPr>
      </w:pPr>
      <w:r>
        <w:rPr>
          <w:rFonts w:ascii="Times New Roman" w:cs="Times New Roman" w:eastAsia="Times New Roman" w:hAnsi="Times New Roman"/>
          <w:sz w:val="11"/>
          <w:szCs w:val="11"/>
          <w:color w:val="auto"/>
        </w:rPr>
        <w:t>The Administration Agreement with the Administrator was reapproved by our board of directors, including a majority of the directors who are not interested persons of us, in May 2025.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Financial Officer, Chief Compliance Officer, Corporate Counsel and their respective staffs. The amount billed by the Administrator may include credits related to its administrative agreement with PSSL.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months ended December 31, 2025 and 2024, we recorded administrative expenses of $0.7 million and $0.4 million, related to expenses the Company incurred for services described above, respectively.</w:t>
      </w:r>
    </w:p>
    <w:p>
      <w:pPr>
        <w:spacing w:after="0" w:line="116" w:lineRule="exact"/>
        <w:rPr>
          <w:sz w:val="20"/>
          <w:szCs w:val="20"/>
          <w:color w:val="auto"/>
        </w:rPr>
      </w:pPr>
    </w:p>
    <w:p>
      <w:pPr>
        <w:ind w:left="780" w:right="980" w:firstLine="282"/>
        <w:spacing w:after="0" w:line="259" w:lineRule="auto"/>
        <w:rPr>
          <w:sz w:val="20"/>
          <w:szCs w:val="20"/>
          <w:color w:val="auto"/>
        </w:rPr>
      </w:pPr>
      <w:r>
        <w:rPr>
          <w:rFonts w:ascii="Times New Roman" w:cs="Times New Roman" w:eastAsia="Times New Roman" w:hAnsi="Times New Roman"/>
          <w:sz w:val="11"/>
          <w:szCs w:val="11"/>
          <w:color w:val="auto"/>
        </w:rPr>
        <w:t>Under the Administration Agreement the Administrator may be reimbursed by the Company for the costs and expenses to be borne by the Company set forth above to include the costs and expenses allocable with respect to the provision of in-house legal, tax, or other professional advice and/or services to the Company, including performing due diligence on its prospective portfolio companies as deemed appropriate by the Administrator, where such in-house personnel perform services that would be paid by the Company if outside service providers provided the same services, subject to the Board's oversight.</w:t>
      </w:r>
    </w:p>
    <w:p>
      <w:pPr>
        <w:spacing w:after="0" w:line="10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b w:val="1"/>
          <w:bCs w:val="1"/>
          <w:i w:val="1"/>
          <w:iCs w:val="1"/>
          <w:color w:val="auto"/>
        </w:rPr>
        <w:t>(c) Other Related Party Transactions</w:t>
      </w:r>
    </w:p>
    <w:p>
      <w:pPr>
        <w:spacing w:after="0" w:line="138" w:lineRule="exact"/>
        <w:rPr>
          <w:sz w:val="20"/>
          <w:szCs w:val="20"/>
          <w:color w:val="auto"/>
        </w:rPr>
      </w:pPr>
    </w:p>
    <w:p>
      <w:pPr>
        <w:jc w:val="both"/>
        <w:ind w:left="780" w:right="840" w:firstLine="282"/>
        <w:spacing w:after="0" w:line="264" w:lineRule="auto"/>
        <w:rPr>
          <w:sz w:val="20"/>
          <w:szCs w:val="20"/>
          <w:color w:val="auto"/>
        </w:rPr>
      </w:pPr>
      <w:r>
        <w:rPr>
          <w:rFonts w:ascii="Times New Roman" w:cs="Times New Roman" w:eastAsia="Times New Roman" w:hAnsi="Times New Roman"/>
          <w:sz w:val="11"/>
          <w:szCs w:val="11"/>
          <w:color w:val="auto"/>
        </w:rPr>
        <w:t>The Company, the Investment Adviser and certain other affiliates have been granted an order for exemptive relief by the SEC for the Company to co-invest with other funds managed by the Investment Adviser. If we co-invest with other affiliated funds, our Investment Adviser will not receive compensation except to the extent permitted by the exemptive order and applicable law, including the limitations set forth in Section 57(k) of the 1940 Act.</w:t>
      </w:r>
    </w:p>
    <w:p>
      <w:pPr>
        <w:spacing w:after="0" w:line="10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There were no transactions subject to Rule 17a-7 under the 1940 Act during each of the three months ended December 31, 2025 and 2024.</w:t>
      </w:r>
    </w:p>
    <w:p>
      <w:pPr>
        <w:spacing w:after="0" w:line="136" w:lineRule="exact"/>
        <w:rPr>
          <w:sz w:val="20"/>
          <w:szCs w:val="20"/>
          <w:color w:val="auto"/>
        </w:rPr>
      </w:pPr>
    </w:p>
    <w:p>
      <w:pPr>
        <w:ind w:left="780" w:right="1040" w:firstLine="282"/>
        <w:spacing w:after="0" w:line="279" w:lineRule="auto"/>
        <w:rPr>
          <w:sz w:val="20"/>
          <w:szCs w:val="20"/>
          <w:color w:val="auto"/>
        </w:rPr>
      </w:pPr>
      <w:r>
        <w:rPr>
          <w:rFonts w:ascii="Times New Roman" w:cs="Times New Roman" w:eastAsia="Times New Roman" w:hAnsi="Times New Roman"/>
          <w:sz w:val="11"/>
          <w:szCs w:val="11"/>
          <w:color w:val="auto"/>
        </w:rPr>
        <w:t>For the three months ended December 31, 2025 and 2024, we sold $132.5 million and $187.7 million in investments to PSSL at fair value, respectively, and recognized $0.3 million and $(0.1) million of net realized gain (losses).</w:t>
      </w:r>
    </w:p>
    <w:p>
      <w:pPr>
        <w:spacing w:after="0" w:line="99" w:lineRule="exact"/>
        <w:rPr>
          <w:sz w:val="20"/>
          <w:szCs w:val="20"/>
          <w:color w:val="auto"/>
        </w:rPr>
      </w:pPr>
    </w:p>
    <w:p>
      <w:pPr>
        <w:ind w:left="780" w:right="880" w:firstLine="282"/>
        <w:spacing w:after="0" w:line="279" w:lineRule="auto"/>
        <w:rPr>
          <w:sz w:val="20"/>
          <w:szCs w:val="20"/>
          <w:color w:val="auto"/>
        </w:rPr>
      </w:pPr>
      <w:r>
        <w:rPr>
          <w:rFonts w:ascii="Times New Roman" w:cs="Times New Roman" w:eastAsia="Times New Roman" w:hAnsi="Times New Roman"/>
          <w:sz w:val="11"/>
          <w:szCs w:val="11"/>
          <w:color w:val="auto"/>
        </w:rPr>
        <w:t>For the three months ended December 31, 2025 and 2024, we sold $196.5 million and zero in investments to PSSL II at fair value, respectively, and recognized $0.4 million and zero of net realized gain (losses).</w:t>
      </w:r>
    </w:p>
    <w:p>
      <w:pPr>
        <w:spacing w:after="0" w:line="9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For the three months ended December 31, 2025 and 2024, we sold no investments to PTSF.</w:t>
      </w:r>
    </w:p>
    <w:p>
      <w:pPr>
        <w:spacing w:after="0" w:line="136" w:lineRule="exact"/>
        <w:rPr>
          <w:sz w:val="20"/>
          <w:szCs w:val="20"/>
          <w:color w:val="auto"/>
        </w:rPr>
      </w:pPr>
    </w:p>
    <w:p>
      <w:pPr>
        <w:ind w:left="780" w:right="1140" w:firstLine="282"/>
        <w:spacing w:after="0" w:line="279" w:lineRule="auto"/>
        <w:rPr>
          <w:sz w:val="20"/>
          <w:szCs w:val="20"/>
          <w:color w:val="auto"/>
        </w:rPr>
      </w:pPr>
      <w:r>
        <w:rPr>
          <w:rFonts w:ascii="Times New Roman" w:cs="Times New Roman" w:eastAsia="Times New Roman" w:hAnsi="Times New Roman"/>
          <w:sz w:val="11"/>
          <w:szCs w:val="11"/>
          <w:color w:val="auto"/>
        </w:rPr>
        <w:t>As of December 31, 2025 and September 30, 2025, the Company had a receivable from the Administrator of $0.2 million and $0.3 million, respectively, presented as due from affiliate on the Consolidated Statements of Assets and Liabilities. This amount relates to agency fees collected on behalf of the Company.</w:t>
      </w:r>
    </w:p>
    <w:p>
      <w:pPr>
        <w:spacing w:after="0" w:line="99" w:lineRule="exact"/>
        <w:rPr>
          <w:sz w:val="20"/>
          <w:szCs w:val="20"/>
          <w:color w:val="auto"/>
        </w:rPr>
      </w:pPr>
    </w:p>
    <w:p>
      <w:pPr>
        <w:ind w:left="780" w:right="940" w:firstLine="282"/>
        <w:spacing w:after="0" w:line="264" w:lineRule="auto"/>
        <w:rPr>
          <w:sz w:val="20"/>
          <w:szCs w:val="20"/>
          <w:color w:val="auto"/>
        </w:rPr>
      </w:pPr>
      <w:r>
        <w:rPr>
          <w:rFonts w:ascii="Times New Roman" w:cs="Times New Roman" w:eastAsia="Times New Roman" w:hAnsi="Times New Roman"/>
          <w:sz w:val="11"/>
          <w:szCs w:val="11"/>
          <w:color w:val="auto"/>
        </w:rPr>
        <w:t>As of December 31, 2025 and September 30, 2025, PFLT had a payable to PSSL and the Investment Adviser of zero and $0.7 million, respectively, presented as a Due to Affiliates on the consolidated statement of assets and liabilities. These amounts are related to cash owed to PSSL and the Investment Adviser from the Company in connection with trades between the funds and wind down of PTSF.</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4. INVESTMENTS</w:t>
      </w: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For the three months ended December 31, 2025 and 2024, purchases of investments, including payment-in-kind ("PIK") interest totaled $302.7 million and</w:t>
      </w:r>
    </w:p>
    <w:p>
      <w:pPr>
        <w:spacing w:after="0" w:line="16" w:lineRule="exact"/>
        <w:rPr>
          <w:sz w:val="20"/>
          <w:szCs w:val="20"/>
          <w:color w:val="auto"/>
        </w:rPr>
      </w:pPr>
    </w:p>
    <w:p>
      <w:pPr>
        <w:ind w:left="780" w:right="820"/>
        <w:spacing w:after="0" w:line="257" w:lineRule="auto"/>
        <w:rPr>
          <w:sz w:val="20"/>
          <w:szCs w:val="20"/>
          <w:color w:val="auto"/>
        </w:rPr>
      </w:pPr>
      <w:r>
        <w:rPr>
          <w:rFonts w:ascii="Times New Roman" w:cs="Times New Roman" w:eastAsia="Times New Roman" w:hAnsi="Times New Roman"/>
          <w:sz w:val="11"/>
          <w:szCs w:val="11"/>
          <w:color w:val="auto"/>
        </w:rPr>
        <w:t>$608.3 million, respectively. Sales and repayments of investments for the three months ended December 31, 2025 and 2024, totaled $441.4 million and $401.3 million, respectively.</w:t>
      </w:r>
    </w:p>
    <w:p>
      <w:pPr>
        <w:spacing w:after="0" w:line="8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Investments and cash and cash equivalents consisted of the following:</w:t>
      </w:r>
    </w:p>
    <w:p>
      <w:pPr>
        <w:spacing w:after="0" w:line="63" w:lineRule="exact"/>
        <w:rPr>
          <w:sz w:val="20"/>
          <w:szCs w:val="20"/>
          <w:color w:val="auto"/>
        </w:rPr>
      </w:pPr>
    </w:p>
    <w:tbl>
      <w:tblPr>
        <w:tblLayout w:type="fixed"/>
        <w:tblInd w:w="780" w:type="dxa"/>
        <w:tblCellMar>
          <w:top w:w="0" w:type="dxa"/>
          <w:left w:w="0" w:type="dxa"/>
          <w:bottom w:w="0" w:type="dxa"/>
          <w:right w:w="0" w:type="dxa"/>
        </w:tblCellMar>
      </w:tblPr>
      <w:tr>
        <w:trPr>
          <w:trHeight w:val="131"/>
        </w:trPr>
        <w:tc>
          <w:tcPr>
            <w:tcW w:w="30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200" w:type="dxa"/>
            <w:vAlign w:val="bottom"/>
          </w:tcPr>
          <w:p>
            <w:pPr>
              <w:spacing w:after="0"/>
              <w:rPr>
                <w:sz w:val="11"/>
                <w:szCs w:val="11"/>
                <w:color w:val="auto"/>
              </w:rPr>
            </w:pPr>
          </w:p>
        </w:tc>
        <w:tc>
          <w:tcPr>
            <w:tcW w:w="2080" w:type="dxa"/>
            <w:vAlign w:val="bottom"/>
            <w:gridSpan w:val="6"/>
          </w:tcPr>
          <w:p>
            <w:pPr>
              <w:jc w:val="right"/>
              <w:ind w:right="7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Pr>
          <w:p>
            <w:pPr>
              <w:spacing w:after="0"/>
              <w:rPr>
                <w:sz w:val="11"/>
                <w:szCs w:val="11"/>
                <w:color w:val="auto"/>
              </w:rPr>
            </w:pPr>
          </w:p>
        </w:tc>
        <w:tc>
          <w:tcPr>
            <w:tcW w:w="1980" w:type="dxa"/>
            <w:vAlign w:val="bottom"/>
            <w:gridSpan w:val="6"/>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September 30, 2025</w:t>
            </w:r>
          </w:p>
        </w:tc>
      </w:tr>
      <w:tr>
        <w:trPr>
          <w:trHeight w:val="143"/>
        </w:trPr>
        <w:tc>
          <w:tcPr>
            <w:tcW w:w="30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Investment Classification</w:t>
            </w:r>
          </w:p>
        </w:tc>
        <w:tc>
          <w:tcPr>
            <w:tcW w:w="200" w:type="dxa"/>
            <w:vAlign w:val="bottom"/>
          </w:tcPr>
          <w:p>
            <w:pPr>
              <w:spacing w:after="0"/>
              <w:rPr>
                <w:sz w:val="12"/>
                <w:szCs w:val="12"/>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00" w:type="dxa"/>
            <w:vAlign w:val="bottom"/>
          </w:tcPr>
          <w:p>
            <w:pPr>
              <w:spacing w:after="0"/>
              <w:rPr>
                <w:sz w:val="12"/>
                <w:szCs w:val="12"/>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31"/>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First lien</w:t>
            </w:r>
          </w:p>
        </w:tc>
        <w:tc>
          <w:tcPr>
            <w:tcW w:w="200" w:type="dxa"/>
            <w:vAlign w:val="bottom"/>
            <w:shd w:val="clear" w:color="auto" w:fill="CCECFF"/>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2,058,943</w:t>
            </w:r>
          </w:p>
        </w:tc>
        <w:tc>
          <w:tcPr>
            <w:tcW w:w="80" w:type="dxa"/>
            <w:vAlign w:val="bottom"/>
            <w:shd w:val="clear" w:color="auto" w:fill="CCECFF"/>
          </w:tcPr>
          <w:p>
            <w:pPr>
              <w:spacing w:after="0"/>
              <w:rPr>
                <w:sz w:val="11"/>
                <w:szCs w:val="11"/>
                <w:color w:val="auto"/>
              </w:rPr>
            </w:pPr>
          </w:p>
        </w:tc>
        <w:tc>
          <w:tcPr>
            <w:tcW w:w="2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2,033,217</w:t>
            </w:r>
          </w:p>
        </w:tc>
        <w:tc>
          <w:tcPr>
            <w:tcW w:w="180" w:type="dxa"/>
            <w:vAlign w:val="bottom"/>
            <w:shd w:val="clear" w:color="auto" w:fill="CCECFF"/>
          </w:tcPr>
          <w:p>
            <w:pPr>
              <w:spacing w:after="0"/>
              <w:rPr>
                <w:sz w:val="11"/>
                <w:szCs w:val="11"/>
                <w:color w:val="auto"/>
              </w:rPr>
            </w:pPr>
          </w:p>
        </w:tc>
        <w:tc>
          <w:tcPr>
            <w:tcW w:w="200" w:type="dxa"/>
            <w:vAlign w:val="bottom"/>
            <w:shd w:val="clear" w:color="auto" w:fill="CCECFF"/>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2,289,071</w:t>
            </w:r>
          </w:p>
        </w:tc>
        <w:tc>
          <w:tcPr>
            <w:tcW w:w="80" w:type="dxa"/>
            <w:vAlign w:val="bottom"/>
            <w:shd w:val="clear" w:color="auto" w:fill="CCECFF"/>
          </w:tcPr>
          <w:p>
            <w:pPr>
              <w:spacing w:after="0"/>
              <w:rPr>
                <w:sz w:val="11"/>
                <w:szCs w:val="11"/>
                <w:color w:val="auto"/>
              </w:rPr>
            </w:pPr>
          </w:p>
        </w:tc>
        <w:tc>
          <w:tcPr>
            <w:tcW w:w="2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2,275,982</w:t>
            </w:r>
          </w:p>
        </w:tc>
        <w:tc>
          <w:tcPr>
            <w:tcW w:w="80" w:type="dxa"/>
            <w:vAlign w:val="bottom"/>
            <w:shd w:val="clear" w:color="auto" w:fill="CCECFF"/>
          </w:tcPr>
          <w:p>
            <w:pPr>
              <w:spacing w:after="0"/>
              <w:rPr>
                <w:sz w:val="11"/>
                <w:szCs w:val="11"/>
                <w:color w:val="auto"/>
              </w:rPr>
            </w:pPr>
          </w:p>
        </w:tc>
      </w:tr>
      <w:tr>
        <w:trPr>
          <w:trHeight w:val="131"/>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First lien in PSSL</w:t>
            </w: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237,650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237,650</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237,650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237,650</w:t>
            </w:r>
          </w:p>
        </w:tc>
        <w:tc>
          <w:tcPr>
            <w:tcW w:w="80" w:type="dxa"/>
            <w:vAlign w:val="bottom"/>
          </w:tcPr>
          <w:p>
            <w:pPr>
              <w:spacing w:after="0"/>
              <w:rPr>
                <w:sz w:val="11"/>
                <w:szCs w:val="11"/>
                <w:color w:val="auto"/>
              </w:rPr>
            </w:pPr>
          </w:p>
        </w:tc>
      </w:tr>
      <w:tr>
        <w:trPr>
          <w:trHeight w:val="131"/>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First Lien in PSSL II</w:t>
            </w:r>
          </w:p>
        </w:tc>
        <w:tc>
          <w:tcPr>
            <w:tcW w:w="2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39,375</w:t>
            </w:r>
          </w:p>
        </w:tc>
        <w:tc>
          <w:tcPr>
            <w:tcW w:w="1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39,375</w:t>
            </w:r>
          </w:p>
        </w:tc>
        <w:tc>
          <w:tcPr>
            <w:tcW w:w="2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r>
      <w:tr>
        <w:trPr>
          <w:trHeight w:val="131"/>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Second Lien</w:t>
            </w: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w:t>
            </w:r>
          </w:p>
        </w:tc>
        <w:tc>
          <w:tcPr>
            <w:tcW w:w="80" w:type="dxa"/>
            <w:vAlign w:val="bottom"/>
          </w:tcPr>
          <w:p>
            <w:pPr>
              <w:spacing w:after="0"/>
              <w:rPr>
                <w:sz w:val="11"/>
                <w:szCs w:val="11"/>
                <w:color w:val="auto"/>
              </w:rPr>
            </w:pPr>
          </w:p>
        </w:tc>
      </w:tr>
      <w:tr>
        <w:trPr>
          <w:trHeight w:val="131"/>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Subordinate debt</w:t>
            </w:r>
          </w:p>
        </w:tc>
        <w:tc>
          <w:tcPr>
            <w:tcW w:w="2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18,504</w:t>
            </w:r>
          </w:p>
        </w:tc>
        <w:tc>
          <w:tcPr>
            <w:tcW w:w="1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19,149</w:t>
            </w:r>
          </w:p>
        </w:tc>
        <w:tc>
          <w:tcPr>
            <w:tcW w:w="2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17,387</w:t>
            </w:r>
          </w:p>
        </w:tc>
        <w:tc>
          <w:tcPr>
            <w:tcW w:w="1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17,986</w:t>
            </w:r>
          </w:p>
        </w:tc>
      </w:tr>
      <w:tr>
        <w:trPr>
          <w:trHeight w:val="131"/>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Equity</w:t>
            </w: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148,257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185,414</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150,565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196,397</w:t>
            </w:r>
          </w:p>
        </w:tc>
        <w:tc>
          <w:tcPr>
            <w:tcW w:w="80" w:type="dxa"/>
            <w:vAlign w:val="bottom"/>
          </w:tcPr>
          <w:p>
            <w:pPr>
              <w:spacing w:after="0"/>
              <w:rPr>
                <w:sz w:val="11"/>
                <w:szCs w:val="11"/>
                <w:color w:val="auto"/>
              </w:rPr>
            </w:pPr>
          </w:p>
        </w:tc>
      </w:tr>
      <w:tr>
        <w:trPr>
          <w:trHeight w:val="131"/>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Equity interests in PSSL</w:t>
            </w:r>
          </w:p>
        </w:tc>
        <w:tc>
          <w:tcPr>
            <w:tcW w:w="2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163,100</w:t>
            </w:r>
          </w:p>
        </w:tc>
        <w:tc>
          <w:tcPr>
            <w:tcW w:w="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72,690</w:t>
            </w:r>
          </w:p>
        </w:tc>
        <w:tc>
          <w:tcPr>
            <w:tcW w:w="2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123,725</w:t>
            </w:r>
          </w:p>
        </w:tc>
        <w:tc>
          <w:tcPr>
            <w:tcW w:w="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44,318</w:t>
            </w:r>
          </w:p>
        </w:tc>
      </w:tr>
      <w:tr>
        <w:trPr>
          <w:trHeight w:val="131"/>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Equity interests in PSSL II</w:t>
            </w:r>
          </w:p>
        </w:tc>
        <w:tc>
          <w:tcPr>
            <w:tcW w:w="20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16,875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16,857</w:t>
            </w:r>
          </w:p>
        </w:tc>
        <w:tc>
          <w:tcPr>
            <w:tcW w:w="20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r>
      <w:tr>
        <w:trPr>
          <w:trHeight w:val="131"/>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Total investments</w:t>
            </w:r>
          </w:p>
        </w:tc>
        <w:tc>
          <w:tcPr>
            <w:tcW w:w="2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2,683,700</w:t>
            </w:r>
          </w:p>
        </w:tc>
        <w:tc>
          <w:tcPr>
            <w:tcW w:w="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2,605,347</w:t>
            </w:r>
          </w:p>
        </w:tc>
        <w:tc>
          <w:tcPr>
            <w:tcW w:w="1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2,819,393</w:t>
            </w:r>
          </w:p>
        </w:tc>
        <w:tc>
          <w:tcPr>
            <w:tcW w:w="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2,773,328</w:t>
            </w:r>
          </w:p>
        </w:tc>
        <w:tc>
          <w:tcPr>
            <w:tcW w:w="80" w:type="dxa"/>
            <w:vAlign w:val="bottom"/>
            <w:shd w:val="clear" w:color="auto" w:fill="CCECFF"/>
          </w:tcPr>
          <w:p>
            <w:pPr>
              <w:spacing w:after="0"/>
              <w:rPr>
                <w:sz w:val="11"/>
                <w:szCs w:val="11"/>
                <w:color w:val="auto"/>
              </w:rPr>
            </w:pPr>
          </w:p>
        </w:tc>
      </w:tr>
      <w:tr>
        <w:trPr>
          <w:trHeight w:val="131"/>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95,268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95,268</w:t>
            </w: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122,684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122,688</w:t>
            </w:r>
          </w:p>
        </w:tc>
        <w:tc>
          <w:tcPr>
            <w:tcW w:w="80" w:type="dxa"/>
            <w:vAlign w:val="bottom"/>
          </w:tcPr>
          <w:p>
            <w:pPr>
              <w:spacing w:after="0"/>
              <w:rPr>
                <w:sz w:val="11"/>
                <w:szCs w:val="11"/>
                <w:color w:val="auto"/>
              </w:rPr>
            </w:pPr>
          </w:p>
        </w:tc>
      </w:tr>
      <w:tr>
        <w:trPr>
          <w:trHeight w:val="151"/>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Total investments and cash and cash equivalents</w:t>
            </w:r>
          </w:p>
        </w:tc>
        <w:tc>
          <w:tcPr>
            <w:tcW w:w="200" w:type="dxa"/>
            <w:vAlign w:val="bottom"/>
            <w:shd w:val="clear" w:color="auto" w:fill="CCECFF"/>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2,778,968</w:t>
            </w:r>
          </w:p>
        </w:tc>
        <w:tc>
          <w:tcPr>
            <w:tcW w:w="80" w:type="dxa"/>
            <w:vAlign w:val="bottom"/>
            <w:shd w:val="clear" w:color="auto" w:fill="CCECFF"/>
          </w:tcPr>
          <w:p>
            <w:pPr>
              <w:spacing w:after="0"/>
              <w:rPr>
                <w:sz w:val="13"/>
                <w:szCs w:val="13"/>
                <w:color w:val="auto"/>
              </w:rPr>
            </w:pPr>
          </w:p>
        </w:tc>
        <w:tc>
          <w:tcPr>
            <w:tcW w:w="2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2,700,615</w:t>
            </w:r>
          </w:p>
        </w:tc>
        <w:tc>
          <w:tcPr>
            <w:tcW w:w="180" w:type="dxa"/>
            <w:vAlign w:val="bottom"/>
            <w:shd w:val="clear" w:color="auto" w:fill="CCECFF"/>
          </w:tcPr>
          <w:p>
            <w:pPr>
              <w:spacing w:after="0"/>
              <w:rPr>
                <w:sz w:val="13"/>
                <w:szCs w:val="13"/>
                <w:color w:val="auto"/>
              </w:rPr>
            </w:pPr>
          </w:p>
        </w:tc>
        <w:tc>
          <w:tcPr>
            <w:tcW w:w="200" w:type="dxa"/>
            <w:vAlign w:val="bottom"/>
            <w:shd w:val="clear" w:color="auto" w:fill="CCECFF"/>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2,942,077</w:t>
            </w:r>
          </w:p>
        </w:tc>
        <w:tc>
          <w:tcPr>
            <w:tcW w:w="80" w:type="dxa"/>
            <w:vAlign w:val="bottom"/>
            <w:shd w:val="clear" w:color="auto" w:fill="CCECFF"/>
          </w:tcPr>
          <w:p>
            <w:pPr>
              <w:spacing w:after="0"/>
              <w:rPr>
                <w:sz w:val="13"/>
                <w:szCs w:val="13"/>
                <w:color w:val="auto"/>
              </w:rPr>
            </w:pPr>
          </w:p>
        </w:tc>
        <w:tc>
          <w:tcPr>
            <w:tcW w:w="2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2,896,016</w:t>
            </w:r>
          </w:p>
        </w:tc>
        <w:tc>
          <w:tcPr>
            <w:tcW w:w="80" w:type="dxa"/>
            <w:vAlign w:val="bottom"/>
            <w:shd w:val="clear" w:color="auto" w:fill="CCECFF"/>
          </w:tcPr>
          <w:p>
            <w:pPr>
              <w:spacing w:after="0"/>
              <w:rPr>
                <w:sz w:val="13"/>
                <w:szCs w:val="13"/>
                <w:color w:val="auto"/>
              </w:rPr>
            </w:pPr>
          </w:p>
        </w:tc>
      </w:tr>
      <w:tr>
        <w:trPr>
          <w:trHeight w:val="20"/>
        </w:trPr>
        <w:tc>
          <w:tcPr>
            <w:tcW w:w="300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r>
    </w:tbl>
    <w:p>
      <w:pPr>
        <w:spacing w:after="0" w:line="121" w:lineRule="exact"/>
        <w:rPr>
          <w:sz w:val="20"/>
          <w:szCs w:val="20"/>
          <w:color w:val="auto"/>
        </w:rPr>
      </w:pPr>
    </w:p>
    <w:p>
      <w:pPr>
        <w:ind w:left="780" w:right="1200" w:firstLine="282"/>
        <w:spacing w:after="0" w:line="279" w:lineRule="auto"/>
        <w:rPr>
          <w:sz w:val="20"/>
          <w:szCs w:val="20"/>
          <w:color w:val="auto"/>
        </w:rPr>
      </w:pPr>
      <w:r>
        <w:rPr>
          <w:rFonts w:ascii="Times New Roman" w:cs="Times New Roman" w:eastAsia="Times New Roman" w:hAnsi="Times New Roman"/>
          <w:sz w:val="11"/>
          <w:szCs w:val="11"/>
          <w:color w:val="auto"/>
        </w:rPr>
        <w:t>The table below describes investments by industry classification by cost and fair value and enumerates the percentage of the total net asset value in such industries:</w:t>
      </w:r>
    </w:p>
    <w:p>
      <w:pPr>
        <w:spacing w:after="0" w:line="18"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19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Industry Classification</w:t>
            </w:r>
          </w:p>
        </w:tc>
        <w:tc>
          <w:tcPr>
            <w:tcW w:w="640" w:type="dxa"/>
            <w:vAlign w:val="bottom"/>
          </w:tcPr>
          <w:p>
            <w:pPr>
              <w:spacing w:after="0"/>
              <w:rPr>
                <w:sz w:val="16"/>
                <w:szCs w:val="16"/>
                <w:color w:val="auto"/>
              </w:rPr>
            </w:pP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 xml:space="preserve">December 31, 2025 </w:t>
            </w:r>
            <w:r>
              <w:rPr>
                <w:rFonts w:ascii="Times New Roman" w:cs="Times New Roman" w:eastAsia="Times New Roman" w:hAnsi="Times New Roman"/>
                <w:sz w:val="14"/>
                <w:szCs w:val="14"/>
                <w:b w:val="1"/>
                <w:bCs w:val="1"/>
                <w:color w:val="auto"/>
                <w:vertAlign w:val="superscript"/>
              </w:rPr>
              <w:t>(1)</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Net asset</w:t>
            </w: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2"/>
          </w:tcPr>
          <w:p>
            <w:pPr>
              <w:jc w:val="right"/>
              <w:ind w:right="205"/>
              <w:spacing w:after="0"/>
              <w:rPr>
                <w:sz w:val="20"/>
                <w:szCs w:val="20"/>
                <w:color w:val="auto"/>
              </w:rPr>
            </w:pPr>
            <w:r>
              <w:rPr>
                <w:rFonts w:ascii="Times New Roman" w:cs="Times New Roman" w:eastAsia="Times New Roman" w:hAnsi="Times New Roman"/>
                <w:sz w:val="11"/>
                <w:szCs w:val="11"/>
                <w:b w:val="1"/>
                <w:bCs w:val="1"/>
                <w:color w:val="auto"/>
              </w:rPr>
              <w:t xml:space="preserve">September 30, 2025 </w:t>
            </w:r>
            <w:r>
              <w:rPr>
                <w:rFonts w:ascii="Times New Roman" w:cs="Times New Roman" w:eastAsia="Times New Roman" w:hAnsi="Times New Roman"/>
                <w:sz w:val="14"/>
                <w:szCs w:val="14"/>
                <w:b w:val="1"/>
                <w:bCs w:val="1"/>
                <w:color w:val="auto"/>
                <w:vertAlign w:val="superscript"/>
              </w:rPr>
              <w:t>(1)</w:t>
            </w:r>
          </w:p>
        </w:tc>
        <w:tc>
          <w:tcPr>
            <w:tcW w:w="640" w:type="dxa"/>
            <w:vAlign w:val="bottom"/>
            <w:vMerge w:val="restart"/>
          </w:tcPr>
          <w:p>
            <w:pPr>
              <w:jc w:val="center"/>
              <w:ind w:right="5"/>
              <w:spacing w:after="0"/>
              <w:rPr>
                <w:sz w:val="20"/>
                <w:szCs w:val="20"/>
                <w:color w:val="auto"/>
              </w:rPr>
            </w:pPr>
            <w:r>
              <w:rPr>
                <w:rFonts w:ascii="Times New Roman" w:cs="Times New Roman" w:eastAsia="Times New Roman" w:hAnsi="Times New Roman"/>
                <w:sz w:val="11"/>
                <w:szCs w:val="11"/>
                <w:b w:val="1"/>
                <w:bCs w:val="1"/>
                <w:color w:val="auto"/>
              </w:rPr>
              <w:t>Net asset</w:t>
            </w:r>
          </w:p>
        </w:tc>
        <w:tc>
          <w:tcPr>
            <w:tcW w:w="0" w:type="dxa"/>
            <w:vAlign w:val="bottom"/>
          </w:tcPr>
          <w:p>
            <w:pPr>
              <w:spacing w:after="0"/>
              <w:rPr>
                <w:sz w:val="1"/>
                <w:szCs w:val="1"/>
                <w:color w:val="auto"/>
              </w:rPr>
            </w:pPr>
          </w:p>
        </w:tc>
      </w:tr>
      <w:tr>
        <w:trPr>
          <w:trHeight w:val="85"/>
        </w:trPr>
        <w:tc>
          <w:tcPr>
            <w:tcW w:w="19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value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value</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640" w:type="dxa"/>
            <w:vAlign w:val="bottom"/>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rPr>
              <w:t>Cost</w:t>
            </w:r>
          </w:p>
        </w:tc>
        <w:tc>
          <w:tcPr>
            <w:tcW w:w="62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720" w:type="dxa"/>
            <w:vAlign w:val="bottom"/>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60" w:type="dxa"/>
            <w:vAlign w:val="bottom"/>
          </w:tcPr>
          <w:p>
            <w:pPr>
              <w:spacing w:after="0"/>
              <w:rPr>
                <w:sz w:val="11"/>
                <w:szCs w:val="11"/>
                <w:color w:val="auto"/>
              </w:rPr>
            </w:pPr>
          </w:p>
        </w:tc>
        <w:tc>
          <w:tcPr>
            <w:tcW w:w="800" w:type="dxa"/>
            <w:vAlign w:val="bottom"/>
          </w:tcPr>
          <w:p>
            <w:pPr>
              <w:jc w:val="right"/>
              <w:ind w:right="265"/>
              <w:spacing w:after="0"/>
              <w:rPr>
                <w:sz w:val="20"/>
                <w:szCs w:val="20"/>
                <w:color w:val="auto"/>
              </w:rPr>
            </w:pPr>
            <w:r>
              <w:rPr>
                <w:rFonts w:ascii="Times New Roman" w:cs="Times New Roman" w:eastAsia="Times New Roman" w:hAnsi="Times New Roman"/>
                <w:sz w:val="11"/>
                <w:szCs w:val="11"/>
                <w:b w:val="1"/>
                <w:bCs w:val="1"/>
                <w:color w:val="auto"/>
              </w:rPr>
              <w:t>Cost</w:t>
            </w:r>
          </w:p>
        </w:tc>
        <w:tc>
          <w:tcPr>
            <w:tcW w:w="720" w:type="dxa"/>
            <w:vAlign w:val="bottom"/>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66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41"/>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Professional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$222,290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$219,021</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86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$252,226</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$248,621</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31"/>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Aerospace and Defense</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203,104</w:t>
            </w:r>
          </w:p>
        </w:tc>
        <w:tc>
          <w:tcPr>
            <w:tcW w:w="620" w:type="dxa"/>
            <w:vAlign w:val="bottom"/>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212,795</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86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222,607</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236,703</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31"/>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Media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177,221</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176,321</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6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169,182</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169,013</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31"/>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Healthcare Providers and Services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150,158</w:t>
            </w:r>
          </w:p>
        </w:tc>
        <w:tc>
          <w:tcPr>
            <w:tcW w:w="620" w:type="dxa"/>
            <w:vAlign w:val="bottom"/>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151,589</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6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195,695</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199,549</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31"/>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Business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152,611</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147,692</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6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171,987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169,086</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31"/>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Diversified Consumer Services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124,871</w:t>
            </w:r>
          </w:p>
        </w:tc>
        <w:tc>
          <w:tcPr>
            <w:tcW w:w="620" w:type="dxa"/>
            <w:vAlign w:val="bottom"/>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122,810</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6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121,706</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120,861</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31"/>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IT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104,780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107,216</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6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123,257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125,392</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31"/>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Personal Products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102,259</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98,606</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6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99,851</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99,069</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31"/>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Distributors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88,616</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94,571</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6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84,194</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88,795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31"/>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Construction &amp; Engineering</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87,455</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91,726</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6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106,806</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110,299</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31"/>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Healthcare Technology</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88,972</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91,481</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6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103,230</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105,500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31"/>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All Other</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81,318</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67,204</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6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85,819</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74,927</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31"/>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Services &amp; Supplies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62,433</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65,927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6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70,373</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73,060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31"/>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Government Services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61,335</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62,370</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6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28,870</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29,837</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31"/>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Leisure Products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57,965</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56,422</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6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97,385</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95,499</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21"/>
        </w:trPr>
        <w:tc>
          <w:tcPr>
            <w:tcW w:w="1940" w:type="dxa"/>
            <w:vAlign w:val="bottom"/>
            <w:shd w:val="clear" w:color="auto" w:fill="CCECFF"/>
          </w:tcPr>
          <w:p>
            <w:pPr>
              <w:ind w:left="20"/>
              <w:spacing w:after="0" w:line="121" w:lineRule="exact"/>
              <w:rPr>
                <w:sz w:val="20"/>
                <w:szCs w:val="20"/>
                <w:color w:val="auto"/>
              </w:rPr>
            </w:pPr>
            <w:r>
              <w:rPr>
                <w:rFonts w:ascii="Times New Roman" w:cs="Times New Roman" w:eastAsia="Times New Roman" w:hAnsi="Times New Roman"/>
                <w:sz w:val="11"/>
                <w:szCs w:val="11"/>
                <w:color w:val="auto"/>
              </w:rPr>
              <w:t>Electronic Equipment, Instruments, and</w:t>
            </w:r>
          </w:p>
        </w:tc>
        <w:tc>
          <w:tcPr>
            <w:tcW w:w="6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9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Components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49,483</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51,275</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6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43,733</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44,241</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31"/>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Automobiles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41,517</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39,994</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6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34,935</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34,207</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31"/>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High Tech Industries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20,843</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34,205</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6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41,135</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56,769</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31"/>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Internet Software and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34,478</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34,193</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6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39,660</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40,012</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31"/>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Manufacturing/Basic Industry</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31,287</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31,257</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6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56,192</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56,192</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31"/>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Auto Components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30,493</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30,674</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6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31,104</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32,224</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31"/>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Healthcare, Education and Childcare</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27,976</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28,093</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6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36,349</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36,530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31"/>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29,502</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27,911</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6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28,840</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28,878</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31"/>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Healthcare Equipment and Supplies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19,852</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21,858</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6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29,575</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31,850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31"/>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Building Products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21,152</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20,103</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6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20,322</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19,964</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31"/>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Software</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19,904</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19,157</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6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17,716</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17,453</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21"/>
        </w:trPr>
        <w:tc>
          <w:tcPr>
            <w:tcW w:w="194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Independent Power and Renewable</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940" w:type="dxa"/>
            <w:vAlign w:val="bottom"/>
          </w:tcPr>
          <w:p>
            <w:pPr>
              <w:spacing w:after="0"/>
              <w:rPr>
                <w:sz w:val="20"/>
                <w:szCs w:val="20"/>
                <w:color w:val="auto"/>
              </w:rPr>
            </w:pPr>
            <w:r>
              <w:rPr>
                <w:rFonts w:ascii="Times New Roman" w:cs="Times New Roman" w:eastAsia="Times New Roman" w:hAnsi="Times New Roman"/>
                <w:sz w:val="11"/>
                <w:szCs w:val="11"/>
                <w:color w:val="auto"/>
              </w:rPr>
              <w:t>Electricity Producers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14,172</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15,345</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6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20,028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21,134</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31"/>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Gaming</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14,854</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15,066</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14,852</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14,974</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31"/>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Metals and Mining</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14,440</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14,447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14,437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14,447</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31"/>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Marketing Services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14,326</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14,406</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19,307</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19,365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31"/>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Air Freight and Logistics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14,059</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13,674</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14,122</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13,785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31"/>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Consulting Services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12,737</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12,728</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12,769</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12,761</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31"/>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Food Products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12,651</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12,662</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12,681</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12,602</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31"/>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Capital Equipment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13,625</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12,397</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13,571</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15,106</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31"/>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Media: Diversified and Production</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12,512</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12,032</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12,478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11,534</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31"/>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Consumer products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11,453</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11,547</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11,024</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11,121</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31"/>
        </w:trPr>
        <w:tc>
          <w:tcPr>
            <w:tcW w:w="19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Total</w:t>
            </w:r>
          </w:p>
        </w:tc>
        <w:tc>
          <w:tcPr>
            <w:tcW w:w="6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$2,226,704</w:t>
            </w:r>
          </w:p>
        </w:tc>
        <w:tc>
          <w:tcPr>
            <w:tcW w:w="6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$2,238,775</w:t>
            </w: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100%</w:t>
            </w: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215%</w:t>
            </w:r>
          </w:p>
        </w:tc>
        <w:tc>
          <w:tcPr>
            <w:tcW w:w="860" w:type="dxa"/>
            <w:vAlign w:val="bottom"/>
            <w:gridSpan w:val="2"/>
          </w:tcPr>
          <w:p>
            <w:pPr>
              <w:jc w:val="right"/>
              <w:ind w:right="5"/>
              <w:spacing w:after="0" w:line="111" w:lineRule="exact"/>
              <w:rPr>
                <w:sz w:val="20"/>
                <w:szCs w:val="20"/>
                <w:color w:val="auto"/>
              </w:rPr>
            </w:pPr>
            <w:r>
              <w:rPr>
                <w:rFonts w:ascii="Times New Roman" w:cs="Times New Roman" w:eastAsia="Times New Roman" w:hAnsi="Times New Roman"/>
                <w:sz w:val="11"/>
                <w:szCs w:val="11"/>
                <w:color w:val="auto"/>
              </w:rPr>
              <w:t>$2,458,018</w:t>
            </w: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$2,491,360</w:t>
            </w: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100%</w:t>
            </w:r>
          </w:p>
        </w:tc>
        <w:tc>
          <w:tcPr>
            <w:tcW w:w="6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232%</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8"/>
          <w:szCs w:val="8"/>
          <w:color w:val="auto"/>
        </w:rPr>
        <w:t>(1) Excludes investments in PSSL and PSSL II</w:t>
      </w: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33" w:name="page34"/>
    <w:bookmarkEnd w:id="33"/>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PennantPark Senior Secured Loan Fund I LLC</w:t>
      </w:r>
    </w:p>
    <w:p>
      <w:pPr>
        <w:spacing w:after="0" w:line="124" w:lineRule="exact"/>
        <w:rPr>
          <w:sz w:val="20"/>
          <w:szCs w:val="20"/>
          <w:color w:val="auto"/>
        </w:rPr>
      </w:pPr>
    </w:p>
    <w:p>
      <w:pPr>
        <w:ind w:left="780" w:right="940" w:firstLine="282"/>
        <w:spacing w:after="0" w:line="259" w:lineRule="auto"/>
        <w:rPr>
          <w:sz w:val="20"/>
          <w:szCs w:val="20"/>
          <w:color w:val="auto"/>
        </w:rPr>
      </w:pPr>
      <w:r>
        <w:rPr>
          <w:rFonts w:ascii="Times New Roman" w:cs="Times New Roman" w:eastAsia="Times New Roman" w:hAnsi="Times New Roman"/>
          <w:sz w:val="11"/>
          <w:szCs w:val="11"/>
          <w:color w:val="auto"/>
        </w:rPr>
        <w:t>In May 2017, we and Kemper formed PSSL, an unconsolidated joint venture. PSSL invests primarily in middle-market and other corporate debt securities consistent with our strategy. PSSL was formed as a Delaware limited liability company. As of December 31, 2025 and September 30, 2025, PSSL had total assets of</w:t>
      </w:r>
    </w:p>
    <w:p>
      <w:pPr>
        <w:spacing w:after="0" w:line="1" w:lineRule="exact"/>
        <w:rPr>
          <w:sz w:val="20"/>
          <w:szCs w:val="20"/>
          <w:color w:val="auto"/>
        </w:rPr>
      </w:pPr>
    </w:p>
    <w:p>
      <w:pPr>
        <w:ind w:left="780" w:right="1080"/>
        <w:spacing w:after="0" w:line="251" w:lineRule="auto"/>
        <w:rPr>
          <w:sz w:val="20"/>
          <w:szCs w:val="20"/>
          <w:color w:val="auto"/>
        </w:rPr>
      </w:pPr>
      <w:r>
        <w:rPr>
          <w:rFonts w:ascii="Times New Roman" w:cs="Times New Roman" w:eastAsia="Times New Roman" w:hAnsi="Times New Roman"/>
          <w:sz w:val="11"/>
          <w:szCs w:val="11"/>
          <w:color w:val="auto"/>
        </w:rPr>
        <w:t>$1,235.2 million and $1,153.7 million, respectively, and its investment portfolio consisted of investments in 120 and 117 portfolio companies, respectively. As of December 31, 2025, at fair value, the largest investment in a single portfolio company in PSSL was $25.0 million and the five largest investments totaled $110.0 million. As of September 30, 2025, at fair value, the largest investment in a single portfolio company in PSSL was $20.9 million and the five largest investments totaled $99.3 million. PSSL invests in portfolio companies in the same industries in which we may directly invest.</w:t>
      </w:r>
    </w:p>
    <w:p>
      <w:pPr>
        <w:spacing w:after="0" w:line="115" w:lineRule="exact"/>
        <w:rPr>
          <w:sz w:val="20"/>
          <w:szCs w:val="20"/>
          <w:color w:val="auto"/>
        </w:rPr>
      </w:pPr>
    </w:p>
    <w:p>
      <w:pPr>
        <w:jc w:val="both"/>
        <w:ind w:left="780" w:right="960" w:firstLine="282"/>
        <w:spacing w:after="0" w:line="256" w:lineRule="auto"/>
        <w:rPr>
          <w:sz w:val="20"/>
          <w:szCs w:val="20"/>
          <w:color w:val="auto"/>
        </w:rPr>
      </w:pPr>
      <w:r>
        <w:rPr>
          <w:rFonts w:ascii="Times New Roman" w:cs="Times New Roman" w:eastAsia="Times New Roman" w:hAnsi="Times New Roman"/>
          <w:sz w:val="11"/>
          <w:szCs w:val="11"/>
          <w:color w:val="auto"/>
        </w:rPr>
        <w:t>We and Kemper provide capital to PSSL in the form of first lien secured debt and equity interests. As of December 31, 2025 and September 30, 2025, we and Kemper owned 87.5% and 12.5%, respectively, of each of the outstanding first lien secured debt and equity interests. As of the same dates, our investment in PSSL consisted of first lien secured debt of $237.7 million (zero remaining unfunded) and $237.7 million (zero remaining unfunded), respectively, and equity interests of</w:t>
      </w:r>
    </w:p>
    <w:p>
      <w:pPr>
        <w:ind w:left="780" w:right="880"/>
        <w:spacing w:after="0" w:line="257" w:lineRule="auto"/>
        <w:rPr>
          <w:sz w:val="20"/>
          <w:szCs w:val="20"/>
          <w:color w:val="auto"/>
        </w:rPr>
      </w:pPr>
      <w:r>
        <w:rPr>
          <w:rFonts w:ascii="Times New Roman" w:cs="Times New Roman" w:eastAsia="Times New Roman" w:hAnsi="Times New Roman"/>
          <w:sz w:val="11"/>
          <w:szCs w:val="11"/>
          <w:color w:val="auto"/>
        </w:rPr>
        <w:t>$163.1 million ($26.3 million remaining unfunded) and $123.7 million ($65.6 remaining unfunded), respectively. During the three months ended December 31, 2025, the Company made capital contributions of approximately $39.4 million of assets at their most recent fair market value as of the date of the transaction.</w:t>
      </w:r>
    </w:p>
    <w:p>
      <w:pPr>
        <w:spacing w:after="0" w:line="111" w:lineRule="exact"/>
        <w:rPr>
          <w:sz w:val="20"/>
          <w:szCs w:val="20"/>
          <w:color w:val="auto"/>
        </w:rPr>
      </w:pPr>
    </w:p>
    <w:p>
      <w:pPr>
        <w:ind w:left="780" w:right="820" w:firstLine="282"/>
        <w:spacing w:after="0" w:line="255" w:lineRule="auto"/>
        <w:rPr>
          <w:sz w:val="20"/>
          <w:szCs w:val="20"/>
          <w:color w:val="auto"/>
        </w:rPr>
      </w:pPr>
      <w:r>
        <w:rPr>
          <w:rFonts w:ascii="Times New Roman" w:cs="Times New Roman" w:eastAsia="Times New Roman" w:hAnsi="Times New Roman"/>
          <w:sz w:val="11"/>
          <w:szCs w:val="11"/>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constitutes a quorum, provided that two individuals are present that were elected, designated or appointed by each member.</w:t>
      </w:r>
    </w:p>
    <w:p>
      <w:pPr>
        <w:spacing w:after="0" w:line="112" w:lineRule="exact"/>
        <w:rPr>
          <w:sz w:val="20"/>
          <w:szCs w:val="20"/>
          <w:color w:val="auto"/>
        </w:rPr>
      </w:pPr>
    </w:p>
    <w:p>
      <w:pPr>
        <w:ind w:left="780" w:right="820" w:firstLine="282"/>
        <w:spacing w:after="0" w:line="264" w:lineRule="auto"/>
        <w:rPr>
          <w:sz w:val="20"/>
          <w:szCs w:val="20"/>
          <w:color w:val="auto"/>
        </w:rPr>
      </w:pPr>
      <w:r>
        <w:rPr>
          <w:rFonts w:ascii="Times New Roman" w:cs="Times New Roman" w:eastAsia="Times New Roman" w:hAnsi="Times New Roman"/>
          <w:sz w:val="11"/>
          <w:szCs w:val="11"/>
          <w:color w:val="auto"/>
        </w:rPr>
        <w:t>In December 2024, PSSL entered into a $325.0 million (increased from $260.0 million) senior secured revolving credit facility which bears interest at SOFR plus 225 basis points (including a spread adjustment) with Ally Bank through its wholly owned subsidiary, PennantPark Senior Secured Loan Facility LLC II, or PSSL Subsidiary II, subject to leverage and borrowing base restrictions.</w:t>
      </w:r>
    </w:p>
    <w:p>
      <w:pPr>
        <w:spacing w:after="0" w:line="107" w:lineRule="exact"/>
        <w:rPr>
          <w:sz w:val="20"/>
          <w:szCs w:val="20"/>
          <w:color w:val="auto"/>
        </w:rPr>
      </w:pPr>
    </w:p>
    <w:p>
      <w:pPr>
        <w:ind w:left="780" w:right="840" w:firstLine="282"/>
        <w:spacing w:after="0" w:line="255" w:lineRule="auto"/>
        <w:rPr>
          <w:sz w:val="20"/>
          <w:szCs w:val="20"/>
          <w:color w:val="auto"/>
        </w:rPr>
      </w:pPr>
      <w:r>
        <w:rPr>
          <w:rFonts w:ascii="Times New Roman" w:cs="Times New Roman" w:eastAsia="Times New Roman" w:hAnsi="Times New Roman"/>
          <w:sz w:val="11"/>
          <w:szCs w:val="11"/>
          <w:color w:val="auto"/>
        </w:rPr>
        <w:t>In January 2021, PSSL completed a $300.7 million debt securitization in the form of a collateralized loan obligation, or the “2032 Asset-Backed Debt”. The 2032 Asset-Backed Debt is secured by a carefully constructed portfolio of PennantPark CLO II, Ltd., a wholly owned and consolidated subsidiary of PSSL, consisting primarily of middle market loans and participation interests in middle market loans. The 2032 Asset-Backed Debt matures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12" w:lineRule="exact"/>
        <w:rPr>
          <w:sz w:val="20"/>
          <w:szCs w:val="20"/>
          <w:color w:val="auto"/>
        </w:rPr>
      </w:pPr>
    </w:p>
    <w:p>
      <w:pPr>
        <w:ind w:left="780" w:right="880" w:firstLine="282"/>
        <w:spacing w:after="0" w:line="259" w:lineRule="auto"/>
        <w:rPr>
          <w:sz w:val="20"/>
          <w:szCs w:val="20"/>
          <w:color w:val="auto"/>
        </w:rPr>
      </w:pPr>
      <w:r>
        <w:rPr>
          <w:rFonts w:ascii="Times New Roman" w:cs="Times New Roman" w:eastAsia="Times New Roman" w:hAnsi="Times New Roman"/>
          <w:sz w:val="11"/>
          <w:szCs w:val="11"/>
          <w:color w:val="auto"/>
        </w:rPr>
        <w:t>In May 2024, PSSL completed the refinancing of the 2032 Asset-Backed Debt through a $300.7 million debt securitization in the form of a collateralized loan obligation, or the "2036 PSSL Asset-Backed Debt". The 2036 PSSL Asset-Backed Debt is secured by a carefully constructed portfolio of PennantPark CLO II, Ltd., a wholly owned subsidiary of PSSL, consisting primarily of middle market loans and participation interest in middle market loans. The 2036 PSSL Asset-Backed Debt matures in April 2036. PSSL retained the preferred shares and Class E-R Notes through a consolidated subsidiary as of December 31, 2025.</w:t>
      </w:r>
    </w:p>
    <w:p>
      <w:pPr>
        <w:spacing w:after="0" w:line="110" w:lineRule="exact"/>
        <w:rPr>
          <w:sz w:val="20"/>
          <w:szCs w:val="20"/>
          <w:color w:val="auto"/>
        </w:rPr>
      </w:pPr>
    </w:p>
    <w:p>
      <w:pPr>
        <w:ind w:left="780" w:right="840" w:firstLine="282"/>
        <w:spacing w:after="0" w:line="255" w:lineRule="auto"/>
        <w:rPr>
          <w:sz w:val="20"/>
          <w:szCs w:val="20"/>
          <w:color w:val="auto"/>
        </w:rPr>
      </w:pPr>
      <w:r>
        <w:rPr>
          <w:rFonts w:ascii="Times New Roman" w:cs="Times New Roman" w:eastAsia="Times New Roman" w:hAnsi="Times New Roman"/>
          <w:sz w:val="11"/>
          <w:szCs w:val="11"/>
          <w:color w:val="auto"/>
        </w:rPr>
        <w:t>In April 2023, PSSL completed a $297.8 million debt securitization in the form of a collateralized loan obligation, or the “2035 Asset-Backed Debt”. The 2035 Asset-Backed Debt is secured by a carefully constructed portfolio of PennantPark CLO VI, LLC, a wholly owned and consolidated subsidiary of PSSL, consisting primarily of middle market loans and participation interests in middle market loans. The 2035 Asset-Backed Debt matures in April 2035. On the closing date of the transaction, in consideration of PSSL’s transfer to PennantPark CLO VI, LLC of the initial closing date loan portfolio, which included loans distributed to PSSL by certain of its wholly owned subsidiaries and us, PennantPark CLO VI, LLC transferred to PSSL 100% of the Preferred Shares of CLO VI, LLC, all of which were held by PSSL.</w:t>
      </w:r>
    </w:p>
    <w:p>
      <w:pPr>
        <w:spacing w:after="0" w:line="112" w:lineRule="exact"/>
        <w:rPr>
          <w:sz w:val="20"/>
          <w:szCs w:val="20"/>
          <w:color w:val="auto"/>
        </w:rPr>
      </w:pPr>
    </w:p>
    <w:p>
      <w:pPr>
        <w:ind w:left="780" w:right="840" w:firstLine="282"/>
        <w:spacing w:after="0" w:line="255" w:lineRule="auto"/>
        <w:rPr>
          <w:sz w:val="20"/>
          <w:szCs w:val="20"/>
          <w:color w:val="auto"/>
        </w:rPr>
      </w:pPr>
      <w:r>
        <w:rPr>
          <w:rFonts w:ascii="Times New Roman" w:cs="Times New Roman" w:eastAsia="Times New Roman" w:hAnsi="Times New Roman"/>
          <w:sz w:val="11"/>
          <w:szCs w:val="11"/>
          <w:color w:val="auto"/>
        </w:rPr>
        <w:t>In May 2025, PSSL through its wholly owned and consolidated subsidiary, PennantPark CLO VI, LLC closed the refinancing of the 2035 Asset-Backed Debt through a four year reinvestment period, twelve-year final maturity $315.8 million debt securitization or the "2037-R Asset-Backed Debt." The debt in this securitization is structured in the following manner: (i) $228.0 million of Class A-R Loans, which bears interest at three-month SOFR plus 1.85%, (ii) $18.0 million of Class B-R Loans, which bears interest at three-month SOFR plus 4.50%, (iii) $18.0 million of Class C-R Loans and (iv) $51.8 million of subordinated notes. PSSL retained all of the subordinated notes and Class C-R Loans through a consolidated subsidiary. The maturity of the replacement debt and existing subordinated notes was extended to April 2037.</w:t>
      </w:r>
    </w:p>
    <w:p>
      <w:pPr>
        <w:spacing w:after="0" w:line="112" w:lineRule="exact"/>
        <w:rPr>
          <w:sz w:val="20"/>
          <w:szCs w:val="20"/>
          <w:color w:val="auto"/>
        </w:rPr>
      </w:pPr>
    </w:p>
    <w:p>
      <w:pPr>
        <w:ind w:left="780" w:right="860" w:firstLine="282"/>
        <w:spacing w:after="0" w:line="253" w:lineRule="auto"/>
        <w:rPr>
          <w:sz w:val="20"/>
          <w:szCs w:val="20"/>
          <w:color w:val="auto"/>
        </w:rPr>
      </w:pPr>
      <w:r>
        <w:rPr>
          <w:rFonts w:ascii="Times New Roman" w:cs="Times New Roman" w:eastAsia="Times New Roman" w:hAnsi="Times New Roman"/>
          <w:sz w:val="11"/>
          <w:szCs w:val="11"/>
          <w:color w:val="auto"/>
        </w:rPr>
        <w:t>In April 2025, PSSL through its wholly owned and consolidated subsidiary, PennantPark CLO 12, LLC closed a four-year reinvestment period, twelve-year final maturity $301.0 million debt securitization in the form of a collateralized loan obligation or the "2037 Asset-Backed Debt." The debt in this securitization is structured in the following manner: (i) $30.0 million of Class A-1 Loans, which bear interest at three-month SOFR plus 1.45%, (ii) $141.0 million of Class A-1 Notes, which bear interest at three-month SOFR plus 1.45%, (iii) $12.0 million of Class A-2 Notes, which bear interest at a three-month SOFR plus 1.60%, (iv) $21.0 million of Class B notes, which bears interest at three-month SOFR plus 1.85%, (v) $24.0 million of Class C notes, which bears interest at three-month SOFR plus 2.30%, (vi)</w:t>
      </w:r>
    </w:p>
    <w:p>
      <w:pPr>
        <w:spacing w:after="0" w:line="1" w:lineRule="exact"/>
        <w:rPr>
          <w:sz w:val="20"/>
          <w:szCs w:val="20"/>
          <w:color w:val="auto"/>
        </w:rPr>
      </w:pPr>
    </w:p>
    <w:p>
      <w:pPr>
        <w:ind w:left="780" w:right="900"/>
        <w:spacing w:after="0" w:line="253" w:lineRule="auto"/>
        <w:rPr>
          <w:sz w:val="20"/>
          <w:szCs w:val="20"/>
          <w:color w:val="auto"/>
        </w:rPr>
      </w:pPr>
      <w:r>
        <w:rPr>
          <w:rFonts w:ascii="Times New Roman" w:cs="Times New Roman" w:eastAsia="Times New Roman" w:hAnsi="Times New Roman"/>
          <w:sz w:val="11"/>
          <w:szCs w:val="11"/>
          <w:color w:val="auto"/>
        </w:rPr>
        <w:t>$18.0 million Class D notes, which bears interest at three-month SOFR plus 3.30%, (vii) $55.0 million of subordinated notes. PSSL retained all of the subordinated notes through a consolidated subsidiary as of December 31, 2025. The reinvestment period for the term debt securitization ends in April 2029 and the debt matures in April 2037. The proceeds from the debt repaid a portion of PSSL's $325.0 million secured credit facility.</w:t>
      </w:r>
    </w:p>
    <w:p>
      <w:pPr>
        <w:spacing w:after="0" w:line="113" w:lineRule="exact"/>
        <w:rPr>
          <w:sz w:val="20"/>
          <w:szCs w:val="20"/>
          <w:color w:val="auto"/>
        </w:rPr>
      </w:pPr>
    </w:p>
    <w:tbl>
      <w:tblPr>
        <w:tblLayout w:type="fixed"/>
        <w:tblInd w:w="380" w:type="dxa"/>
        <w:tblCellMar>
          <w:top w:w="0" w:type="dxa"/>
          <w:left w:w="0" w:type="dxa"/>
          <w:bottom w:w="0" w:type="dxa"/>
          <w:right w:w="0" w:type="dxa"/>
        </w:tblCellMar>
      </w:tblPr>
      <w:tr>
        <w:trPr>
          <w:trHeight w:val="143"/>
        </w:trPr>
        <w:tc>
          <w:tcPr>
            <w:tcW w:w="400" w:type="dxa"/>
            <w:vAlign w:val="bottom"/>
          </w:tcPr>
          <w:p>
            <w:pPr>
              <w:spacing w:after="0"/>
              <w:rPr>
                <w:sz w:val="12"/>
                <w:szCs w:val="12"/>
                <w:color w:val="auto"/>
              </w:rPr>
            </w:pPr>
          </w:p>
        </w:tc>
        <w:tc>
          <w:tcPr>
            <w:tcW w:w="32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Below is a summary of PSSL’s portfolio at fair value:</w:t>
            </w:r>
          </w:p>
        </w:tc>
        <w:tc>
          <w:tcPr>
            <w:tcW w:w="1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81"/>
        </w:trPr>
        <w:tc>
          <w:tcPr>
            <w:tcW w:w="40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 in thousands)</w:t>
            </w:r>
          </w:p>
        </w:tc>
        <w:tc>
          <w:tcPr>
            <w:tcW w:w="1940" w:type="dxa"/>
            <w:vAlign w:val="bottom"/>
          </w:tcPr>
          <w:p>
            <w:pPr>
              <w:spacing w:after="0"/>
              <w:rPr>
                <w:sz w:val="24"/>
                <w:szCs w:val="24"/>
                <w:color w:val="auto"/>
              </w:rPr>
            </w:pPr>
          </w:p>
        </w:tc>
        <w:tc>
          <w:tcPr>
            <w:tcW w:w="1120" w:type="dxa"/>
            <w:vAlign w:val="bottom"/>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98"/>
              </w:rPr>
              <w:t>December 31, 2025</w:t>
            </w:r>
          </w:p>
        </w:tc>
        <w:tc>
          <w:tcPr>
            <w:tcW w:w="10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September 30, 2025</w:t>
            </w:r>
          </w:p>
        </w:tc>
      </w:tr>
      <w:tr>
        <w:trPr>
          <w:trHeight w:val="131"/>
        </w:trPr>
        <w:tc>
          <w:tcPr>
            <w:tcW w:w="400" w:type="dxa"/>
            <w:vAlign w:val="bottom"/>
          </w:tcPr>
          <w:p>
            <w:pPr>
              <w:spacing w:after="0"/>
              <w:rPr>
                <w:sz w:val="11"/>
                <w:szCs w:val="11"/>
                <w:color w:val="auto"/>
              </w:rPr>
            </w:pPr>
          </w:p>
        </w:tc>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Total investments</w:t>
            </w:r>
          </w:p>
        </w:tc>
        <w:tc>
          <w:tcPr>
            <w:tcW w:w="1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rPr>
              <w:t>1,195,016</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rPr>
              <w:t>1,084,649</w:t>
            </w: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Weighted average cost yield on income producing investments</w:t>
            </w:r>
          </w:p>
        </w:tc>
        <w:tc>
          <w:tcPr>
            <w:tcW w:w="1940" w:type="dxa"/>
            <w:vAlign w:val="bottom"/>
          </w:tcPr>
          <w:p>
            <w:pPr>
              <w:spacing w:after="0"/>
              <w:rPr>
                <w:sz w:val="11"/>
                <w:szCs w:val="11"/>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9.6%</w:t>
            </w:r>
          </w:p>
        </w:tc>
        <w:tc>
          <w:tcPr>
            <w:tcW w:w="1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Number of portfolio companies in PSSL</w:t>
            </w:r>
          </w:p>
        </w:tc>
        <w:tc>
          <w:tcPr>
            <w:tcW w:w="1940" w:type="dxa"/>
            <w:vAlign w:val="bottom"/>
            <w:shd w:val="clear" w:color="auto" w:fill="CCECFF"/>
          </w:tcPr>
          <w:p>
            <w:pPr>
              <w:spacing w:after="0"/>
              <w:rPr>
                <w:sz w:val="11"/>
                <w:szCs w:val="11"/>
                <w:color w:val="auto"/>
              </w:rPr>
            </w:pPr>
          </w:p>
        </w:tc>
        <w:tc>
          <w:tcPr>
            <w:tcW w:w="11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shd w:val="clear" w:color="auto" w:fill="CCECFF"/>
          </w:tcPr>
          <w:p>
            <w:pPr>
              <w:spacing w:after="0"/>
              <w:rPr>
                <w:sz w:val="11"/>
                <w:szCs w:val="11"/>
                <w:color w:val="auto"/>
              </w:rPr>
            </w:pPr>
          </w:p>
        </w:tc>
        <w:tc>
          <w:tcPr>
            <w:tcW w:w="108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rPr>
              <w:t>117</w:t>
            </w: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Largest portfolio company investment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24,965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20,901</w:t>
            </w: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Total of five largest portfolio company investments</w:t>
            </w:r>
          </w:p>
        </w:tc>
        <w:tc>
          <w:tcPr>
            <w:tcW w:w="1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rPr>
              <w:t>110,044</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rPr>
              <w:t>99,270</w:t>
            </w:r>
          </w:p>
        </w:tc>
        <w:tc>
          <w:tcPr>
            <w:tcW w:w="400" w:type="dxa"/>
            <w:vAlign w:val="bottom"/>
          </w:tcPr>
          <w:p>
            <w:pPr>
              <w:spacing w:after="0"/>
              <w:rPr>
                <w:sz w:val="11"/>
                <w:szCs w:val="11"/>
                <w:color w:val="auto"/>
              </w:rPr>
            </w:pPr>
          </w:p>
        </w:tc>
      </w:tr>
      <w:tr>
        <w:trPr>
          <w:trHeight w:val="415"/>
        </w:trPr>
        <w:tc>
          <w:tcPr>
            <w:tcW w:w="4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940" w:type="dxa"/>
            <w:vAlign w:val="bottom"/>
          </w:tcPr>
          <w:p>
            <w:pPr>
              <w:jc w:val="right"/>
              <w:ind w:right="1325"/>
              <w:spacing w:after="0"/>
              <w:rPr>
                <w:sz w:val="20"/>
                <w:szCs w:val="20"/>
                <w:color w:val="auto"/>
              </w:rPr>
            </w:pPr>
            <w:r>
              <w:rPr>
                <w:rFonts w:ascii="Times New Roman" w:cs="Times New Roman" w:eastAsia="Times New Roman" w:hAnsi="Times New Roman"/>
                <w:sz w:val="11"/>
                <w:szCs w:val="11"/>
                <w:color w:val="auto"/>
              </w:rPr>
              <w:t>34</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73"/>
        </w:trPr>
        <w:tc>
          <w:tcPr>
            <w:tcW w:w="400" w:type="dxa"/>
            <w:vAlign w:val="bottom"/>
            <w:tcBorders>
              <w:bottom w:val="single" w:sz="8" w:color="EEEEEE"/>
            </w:tcBorders>
          </w:tcPr>
          <w:p>
            <w:pPr>
              <w:spacing w:after="0"/>
              <w:rPr>
                <w:sz w:val="24"/>
                <w:szCs w:val="24"/>
                <w:color w:val="auto"/>
              </w:rPr>
            </w:pPr>
          </w:p>
        </w:tc>
        <w:tc>
          <w:tcPr>
            <w:tcW w:w="3220" w:type="dxa"/>
            <w:vAlign w:val="bottom"/>
            <w:tcBorders>
              <w:bottom w:val="single" w:sz="8" w:color="EEEEEE"/>
            </w:tcBorders>
          </w:tcPr>
          <w:p>
            <w:pPr>
              <w:spacing w:after="0"/>
              <w:rPr>
                <w:sz w:val="24"/>
                <w:szCs w:val="24"/>
                <w:color w:val="auto"/>
              </w:rPr>
            </w:pPr>
          </w:p>
        </w:tc>
        <w:tc>
          <w:tcPr>
            <w:tcW w:w="19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-24765</wp:posOffset>
            </wp:positionV>
            <wp:extent cx="526605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34" w:name="page35"/>
    <w:bookmarkEnd w:id="34"/>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Below is a listing of PSSL’s individual investments as of December 31, 2025 (Par and $ in thousands):</w:t>
      </w:r>
    </w:p>
    <w:p>
      <w:pPr>
        <w:spacing w:after="0" w:line="22"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1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101"/>
        </w:trPr>
        <w:tc>
          <w:tcPr>
            <w:tcW w:w="1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7"/>
              </w:rPr>
              <w:t>Spread</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Par or</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101"/>
        </w:trPr>
        <w:tc>
          <w:tcPr>
            <w:tcW w:w="1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Above</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Number</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101"/>
        </w:trPr>
        <w:tc>
          <w:tcPr>
            <w:tcW w:w="18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680" w:type="dxa"/>
            <w:vAlign w:val="bottom"/>
          </w:tcPr>
          <w:p>
            <w:pPr>
              <w:ind w:left="18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660" w:type="dxa"/>
            <w:vAlign w:val="bottom"/>
          </w:tcPr>
          <w:p>
            <w:pPr>
              <w:ind w:left="12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220" w:type="dxa"/>
            <w:vAlign w:val="bottom"/>
          </w:tcPr>
          <w:p>
            <w:pPr>
              <w:ind w:left="50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640" w:type="dxa"/>
            <w:vAlign w:val="bottom"/>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Coupon</w:t>
            </w:r>
          </w:p>
        </w:tc>
        <w:tc>
          <w:tcPr>
            <w:tcW w:w="620" w:type="dxa"/>
            <w:vAlign w:val="bottom"/>
          </w:tcPr>
          <w:p>
            <w:pPr>
              <w:jc w:val="center"/>
              <w:spacing w:after="0" w:line="101" w:lineRule="exact"/>
              <w:rPr>
                <w:sz w:val="20"/>
                <w:szCs w:val="20"/>
                <w:color w:val="auto"/>
              </w:rPr>
            </w:pPr>
            <w:r>
              <w:rPr>
                <w:rFonts w:ascii="Times New Roman" w:cs="Times New Roman" w:eastAsia="Times New Roman" w:hAnsi="Times New Roman"/>
                <w:sz w:val="8"/>
                <w:szCs w:val="8"/>
                <w:b w:val="1"/>
                <w:bCs w:val="1"/>
                <w:color w:val="auto"/>
                <w:w w:val="95"/>
              </w:rPr>
              <w:t xml:space="preserve">Index </w:t>
            </w:r>
            <w:r>
              <w:rPr>
                <w:rFonts w:ascii="Times New Roman" w:cs="Times New Roman" w:eastAsia="Times New Roman" w:hAnsi="Times New Roman"/>
                <w:sz w:val="10"/>
                <w:szCs w:val="10"/>
                <w:b w:val="1"/>
                <w:bCs w:val="1"/>
                <w:color w:val="auto"/>
                <w:w w:val="95"/>
                <w:vertAlign w:val="superscript"/>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of Shares</w:t>
            </w:r>
          </w:p>
        </w:tc>
        <w:tc>
          <w:tcPr>
            <w:tcW w:w="160" w:type="dxa"/>
            <w:vAlign w:val="bottom"/>
          </w:tcPr>
          <w:p>
            <w:pPr>
              <w:spacing w:after="0"/>
              <w:rPr>
                <w:sz w:val="8"/>
                <w:szCs w:val="8"/>
                <w:color w:val="auto"/>
              </w:rPr>
            </w:pP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Cost</w:t>
            </w:r>
          </w:p>
        </w:tc>
        <w:tc>
          <w:tcPr>
            <w:tcW w:w="640" w:type="dxa"/>
            <w:vAlign w:val="bottom"/>
            <w:gridSpan w:val="2"/>
          </w:tcPr>
          <w:p>
            <w:pPr>
              <w:jc w:val="right"/>
              <w:ind w:right="60"/>
              <w:spacing w:after="0" w:line="101"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(2)</w:t>
            </w:r>
          </w:p>
        </w:tc>
      </w:tr>
      <w:tr>
        <w:trPr>
          <w:trHeight w:val="102"/>
        </w:trPr>
        <w:tc>
          <w:tcPr>
            <w:tcW w:w="18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First Lien Secured Debt - 1,422.7% of Net Assets</w:t>
            </w: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101"/>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ACP Avenu Buyer, LLC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10/6/2023</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10/2/2029</w:t>
            </w: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8.74%</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19,963</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19,743</w:t>
            </w:r>
          </w:p>
        </w:tc>
        <w:tc>
          <w:tcPr>
            <w:tcW w:w="220" w:type="dxa"/>
            <w:vAlign w:val="bottom"/>
            <w:shd w:val="clear" w:color="auto" w:fill="CCEC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19,913</w:t>
            </w:r>
          </w:p>
        </w:tc>
      </w:tr>
      <w:tr>
        <w:trPr>
          <w:trHeight w:val="101"/>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ACP Falcon Buyer, Inc.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8/22/2023</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8/1/2029</w:t>
            </w:r>
          </w:p>
        </w:tc>
        <w:tc>
          <w:tcPr>
            <w:tcW w:w="122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9.49%</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18,526</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18,271</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18,711</w:t>
            </w:r>
          </w:p>
        </w:tc>
      </w:tr>
      <w:tr>
        <w:trPr>
          <w:trHeight w:val="102"/>
        </w:trPr>
        <w:tc>
          <w:tcPr>
            <w:tcW w:w="18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Healthcare Providers and</w:t>
            </w:r>
          </w:p>
        </w:tc>
        <w:tc>
          <w:tcPr>
            <w:tcW w:w="64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r>
      <w:tr>
        <w:trPr>
          <w:trHeight w:val="100"/>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APT OPCO, LLC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9/29/2025</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9/30/2031</w:t>
            </w: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Services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8.67%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12,469</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12,402</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12,313</w:t>
            </w:r>
          </w:p>
        </w:tc>
      </w:tr>
      <w:tr>
        <w:trPr>
          <w:trHeight w:val="101"/>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Ad.net Acquisition, LLC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5/24/2021</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5/7/2026</w:t>
            </w:r>
          </w:p>
        </w:tc>
        <w:tc>
          <w:tcPr>
            <w:tcW w:w="12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7"/>
              </w:rPr>
              <w:t>Media</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9.93%</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SOFR+626</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12,749</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12,713</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12,749</w:t>
            </w:r>
          </w:p>
        </w:tc>
      </w:tr>
      <w:tr>
        <w:trPr>
          <w:trHeight w:val="101"/>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Aechelon Technology, Inc.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8/16/2029</w:t>
            </w: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Aerospace and Defense</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9.47%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11,520</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11,520</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11,520</w:t>
            </w:r>
          </w:p>
        </w:tc>
      </w:tr>
      <w:tr>
        <w:trPr>
          <w:trHeight w:val="101"/>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AFC-Dell Holding Corp.</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12/23/2024</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4/9/2027</w:t>
            </w:r>
          </w:p>
        </w:tc>
        <w:tc>
          <w:tcPr>
            <w:tcW w:w="122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Distributors</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8.84%</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7,601</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7,573</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7,601</w:t>
            </w:r>
          </w:p>
        </w:tc>
      </w:tr>
      <w:tr>
        <w:trPr>
          <w:trHeight w:val="101"/>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Aphix Buyer, Inc.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9/3/2025</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7/17/2031</w:t>
            </w: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8.47%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8,978</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8,928</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8,978</w:t>
            </w:r>
          </w:p>
        </w:tc>
      </w:tr>
      <w:tr>
        <w:trPr>
          <w:trHeight w:val="101"/>
        </w:trPr>
        <w:tc>
          <w:tcPr>
            <w:tcW w:w="188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Alpine Acquisition Corp II </w:t>
            </w:r>
            <w:r>
              <w:rPr>
                <w:rFonts w:ascii="Times New Roman" w:cs="Times New Roman" w:eastAsia="Times New Roman" w:hAnsi="Times New Roman"/>
                <w:sz w:val="10"/>
                <w:szCs w:val="10"/>
                <w:color w:val="auto"/>
                <w:vertAlign w:val="superscript"/>
              </w:rPr>
              <w:t>(4)</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10/11/2022</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11/30/2026</w:t>
            </w:r>
          </w:p>
        </w:tc>
        <w:tc>
          <w:tcPr>
            <w:tcW w:w="12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Containers and Packaging</w:t>
            </w:r>
          </w:p>
        </w:tc>
        <w:tc>
          <w:tcPr>
            <w:tcW w:w="640" w:type="dxa"/>
            <w:vAlign w:val="bottom"/>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13,128</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12,990</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6,039</w:t>
            </w:r>
          </w:p>
        </w:tc>
      </w:tr>
      <w:tr>
        <w:trPr>
          <w:trHeight w:val="102"/>
        </w:trPr>
        <w:tc>
          <w:tcPr>
            <w:tcW w:w="18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Media: Advertising, Printing</w:t>
            </w:r>
          </w:p>
        </w:tc>
        <w:tc>
          <w:tcPr>
            <w:tcW w:w="64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r>
      <w:tr>
        <w:trPr>
          <w:trHeight w:val="100"/>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Anteriad, LLC (f/k/a MeritDirect, LLC)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6/30/2026</w:t>
            </w: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&amp; Publishing</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9.57%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SOFR+590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11,136</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11,075</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11,136</w:t>
            </w:r>
          </w:p>
        </w:tc>
      </w:tr>
      <w:tr>
        <w:trPr>
          <w:trHeight w:val="101"/>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Arcfield Acquisition Corp.</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11/11/2024</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10/28/2031</w:t>
            </w:r>
          </w:p>
        </w:tc>
        <w:tc>
          <w:tcPr>
            <w:tcW w:w="12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Aerospace and Defense</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8.84%</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5,940</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5,931</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5,910</w:t>
            </w:r>
          </w:p>
        </w:tc>
      </w:tr>
      <w:tr>
        <w:trPr>
          <w:trHeight w:val="102"/>
        </w:trPr>
        <w:tc>
          <w:tcPr>
            <w:tcW w:w="18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Commercial Services &amp;</w:t>
            </w:r>
          </w:p>
        </w:tc>
        <w:tc>
          <w:tcPr>
            <w:tcW w:w="64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r>
      <w:tr>
        <w:trPr>
          <w:trHeight w:val="100"/>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Archer Lewis, LLC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11/22/2024</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8/28/2029</w:t>
            </w: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Supplies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9.42%</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14,862</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14,786</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14,862</w:t>
            </w:r>
          </w:p>
        </w:tc>
      </w:tr>
      <w:tr>
        <w:trPr>
          <w:trHeight w:val="101"/>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Argano, LLC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1/9/2025</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9/13/2029</w:t>
            </w:r>
          </w:p>
        </w:tc>
        <w:tc>
          <w:tcPr>
            <w:tcW w:w="122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9.22%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12,369</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12,255</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12,493</w:t>
            </w:r>
          </w:p>
        </w:tc>
      </w:tr>
      <w:tr>
        <w:trPr>
          <w:trHeight w:val="102"/>
        </w:trPr>
        <w:tc>
          <w:tcPr>
            <w:tcW w:w="18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Diversified Consumer</w:t>
            </w:r>
          </w:p>
        </w:tc>
        <w:tc>
          <w:tcPr>
            <w:tcW w:w="64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r>
      <w:tr>
        <w:trPr>
          <w:trHeight w:val="100"/>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Azureon, LLC (F/K/A Tpcn Midco, LLC)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6/26/2029</w:t>
            </w: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Services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9.42%</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4,962</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4,859</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4,764</w:t>
            </w:r>
          </w:p>
        </w:tc>
      </w:tr>
      <w:tr>
        <w:trPr>
          <w:trHeight w:val="102"/>
        </w:trPr>
        <w:tc>
          <w:tcPr>
            <w:tcW w:w="1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9"/>
              </w:rPr>
              <w:t>Healthcare and</w:t>
            </w: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100"/>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Beacon Behavioral Support Services, LLC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10/9/2024</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6/21/2029</w:t>
            </w:r>
          </w:p>
        </w:tc>
        <w:tc>
          <w:tcPr>
            <w:tcW w:w="12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9"/>
              </w:rPr>
              <w:t>Pharmaceuticals</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9.17%</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24,965</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24,781</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24,965</w:t>
            </w:r>
          </w:p>
        </w:tc>
      </w:tr>
      <w:tr>
        <w:trPr>
          <w:trHeight w:val="101"/>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Best Practice Associates, LLC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11/8/2029</w:t>
            </w: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Aerospace and Defense</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10.47%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SOFR+675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14,887</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14,756</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14,776</w:t>
            </w:r>
          </w:p>
        </w:tc>
      </w:tr>
      <w:tr>
        <w:trPr>
          <w:trHeight w:val="101"/>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Beta Plus Technologies, Inc.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7/21/2022</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7/2/2029</w:t>
            </w:r>
          </w:p>
        </w:tc>
        <w:tc>
          <w:tcPr>
            <w:tcW w:w="122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9.42%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4,838</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4,784</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4,789</w:t>
            </w:r>
          </w:p>
        </w:tc>
      </w:tr>
      <w:tr>
        <w:trPr>
          <w:trHeight w:val="101"/>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Big Top Holdings, LLC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6/26/2024</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3/1/2030</w:t>
            </w: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8.92%</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14,633</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14,430</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14,633</w:t>
            </w:r>
          </w:p>
        </w:tc>
      </w:tr>
      <w:tr>
        <w:trPr>
          <w:trHeight w:val="102"/>
        </w:trPr>
        <w:tc>
          <w:tcPr>
            <w:tcW w:w="1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9"/>
              </w:rPr>
              <w:t>Healthcare and</w:t>
            </w: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100"/>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BioDerm, Inc.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2/28/2023</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1/31/2028</w:t>
            </w:r>
          </w:p>
        </w:tc>
        <w:tc>
          <w:tcPr>
            <w:tcW w:w="12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9"/>
              </w:rPr>
              <w:t>Pharmaceuticals</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10.36%</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SOFR+650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8,775</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8,714</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8,665</w:t>
            </w:r>
          </w:p>
        </w:tc>
      </w:tr>
      <w:tr>
        <w:trPr>
          <w:trHeight w:val="101"/>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Blackhawk Industrial Distribution, Inc.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6/30/2022</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9/17/2026</w:t>
            </w: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Distributors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9.07%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SOFR+540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14,776</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14,699</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14,481</w:t>
            </w:r>
          </w:p>
        </w:tc>
      </w:tr>
      <w:tr>
        <w:trPr>
          <w:trHeight w:val="101"/>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BLC Holding Company, Inc.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11/20/2030</w:t>
            </w:r>
          </w:p>
        </w:tc>
        <w:tc>
          <w:tcPr>
            <w:tcW w:w="122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8.17%</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SOFR+450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4,962</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4,939</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4,962</w:t>
            </w:r>
          </w:p>
        </w:tc>
      </w:tr>
      <w:tr>
        <w:trPr>
          <w:trHeight w:val="102"/>
        </w:trPr>
        <w:tc>
          <w:tcPr>
            <w:tcW w:w="18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Independent Power and</w:t>
            </w:r>
          </w:p>
        </w:tc>
        <w:tc>
          <w:tcPr>
            <w:tcW w:w="64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r>
      <w:tr>
        <w:trPr>
          <w:trHeight w:val="101"/>
        </w:trPr>
        <w:tc>
          <w:tcPr>
            <w:tcW w:w="18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Renewable Electricity</w:t>
            </w:r>
          </w:p>
        </w:tc>
        <w:tc>
          <w:tcPr>
            <w:tcW w:w="64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r>
      <w:tr>
        <w:trPr>
          <w:trHeight w:val="100"/>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Boss Industries, LLC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12/27/2030</w:t>
            </w: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9"/>
              </w:rPr>
              <w:t>Producers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8.67%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4,962</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4,894</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4,962</w:t>
            </w:r>
          </w:p>
        </w:tc>
      </w:tr>
      <w:tr>
        <w:trPr>
          <w:trHeight w:val="101"/>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Burgess Point Purchaser Corporation</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10/3/2022</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7/25/2029</w:t>
            </w:r>
          </w:p>
        </w:tc>
        <w:tc>
          <w:tcPr>
            <w:tcW w:w="122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Automotive</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9.19%</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SOFR+535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437</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416</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369</w:t>
            </w:r>
          </w:p>
        </w:tc>
      </w:tr>
      <w:tr>
        <w:trPr>
          <w:trHeight w:val="101"/>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By Light Professional IT Services, LLC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8/28/2025</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7/15/2031</w:t>
            </w: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High Tech Industries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9.22%</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18,446</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18,345</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18,261</w:t>
            </w:r>
          </w:p>
        </w:tc>
      </w:tr>
      <w:tr>
        <w:trPr>
          <w:trHeight w:val="101"/>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C5MI Acquisition, LLC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3/7/2025</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7/31/2029</w:t>
            </w:r>
          </w:p>
        </w:tc>
        <w:tc>
          <w:tcPr>
            <w:tcW w:w="122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IT Services</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9.67%</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14,813</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14,640</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14,813</w:t>
            </w:r>
          </w:p>
        </w:tc>
      </w:tr>
      <w:tr>
        <w:trPr>
          <w:trHeight w:val="101"/>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Capital Construction, LLC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8/28/2025</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10/22/2026</w:t>
            </w: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Consumer Services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9.89%</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SOFR+590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4,263</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4,241</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4,210</w:t>
            </w:r>
          </w:p>
        </w:tc>
      </w:tr>
      <w:tr>
        <w:trPr>
          <w:trHeight w:val="101"/>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Carisk Buyer, Inc.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10/16/2024</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12/3/2029</w:t>
            </w:r>
          </w:p>
        </w:tc>
        <w:tc>
          <w:tcPr>
            <w:tcW w:w="122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Healthcare Technology</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8.67%</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9,900</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9,843</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9,974</w:t>
            </w:r>
          </w:p>
        </w:tc>
      </w:tr>
      <w:tr>
        <w:trPr>
          <w:trHeight w:val="102"/>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Carnegie Dartlet, LLC</w:t>
            </w:r>
          </w:p>
        </w:tc>
        <w:tc>
          <w:tcPr>
            <w:tcW w:w="6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Media: Advertising, Printing</w:t>
            </w:r>
          </w:p>
        </w:tc>
        <w:tc>
          <w:tcPr>
            <w:tcW w:w="64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r>
      <w:tr>
        <w:trPr>
          <w:trHeight w:val="100"/>
        </w:trPr>
        <w:tc>
          <w:tcPr>
            <w:tcW w:w="1880" w:type="dxa"/>
            <w:vAlign w:val="bottom"/>
            <w:shd w:val="clear" w:color="auto" w:fill="CCECFF"/>
          </w:tcPr>
          <w:p>
            <w:pPr>
              <w:spacing w:after="0"/>
              <w:rPr>
                <w:sz w:val="8"/>
                <w:szCs w:val="8"/>
                <w:color w:val="auto"/>
              </w:rPr>
            </w:pP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4/11/2025</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2/7/2030</w:t>
            </w: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&amp; Publishing</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9.22%</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15,052</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14,865</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14,901</w:t>
            </w:r>
          </w:p>
        </w:tc>
      </w:tr>
      <w:tr>
        <w:trPr>
          <w:trHeight w:val="101"/>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Cartessa Aesthetics, LLC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4/11/2023</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6/14/2028</w:t>
            </w:r>
          </w:p>
        </w:tc>
        <w:tc>
          <w:tcPr>
            <w:tcW w:w="122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Distributors</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9.67%</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9,417</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9,344</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9,417</w:t>
            </w:r>
          </w:p>
        </w:tc>
      </w:tr>
      <w:tr>
        <w:trPr>
          <w:trHeight w:val="101"/>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Case Works, LLC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10/1/2029</w:t>
            </w: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Professional Services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8.92%</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14,850</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14,749</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14,598</w:t>
            </w:r>
          </w:p>
        </w:tc>
      </w:tr>
      <w:tr>
        <w:trPr>
          <w:trHeight w:val="101"/>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CF512, Inc.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12/27/2021</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8/20/2026</w:t>
            </w:r>
          </w:p>
        </w:tc>
        <w:tc>
          <w:tcPr>
            <w:tcW w:w="12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7"/>
              </w:rPr>
              <w:t>Media</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9.98%</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SOFR+619</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6,466</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6,439</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6,401</w:t>
            </w:r>
          </w:p>
        </w:tc>
      </w:tr>
      <w:tr>
        <w:trPr>
          <w:trHeight w:val="102"/>
        </w:trPr>
        <w:tc>
          <w:tcPr>
            <w:tcW w:w="18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Commercial Services &amp;</w:t>
            </w:r>
          </w:p>
        </w:tc>
        <w:tc>
          <w:tcPr>
            <w:tcW w:w="64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r>
      <w:tr>
        <w:trPr>
          <w:trHeight w:val="100"/>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Commercial Fire Protection Holdings, LLC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11/26/2024</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9/23/2030</w:t>
            </w: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Supplies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8.17%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SOFR+450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19,787</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19,701</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19,787</w:t>
            </w:r>
          </w:p>
        </w:tc>
      </w:tr>
      <w:tr>
        <w:trPr>
          <w:trHeight w:val="102"/>
        </w:trPr>
        <w:tc>
          <w:tcPr>
            <w:tcW w:w="1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9"/>
              </w:rPr>
              <w:t>Healthcare and</w:t>
            </w: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100"/>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Confluent Health, LLC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1/12/2024</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11/30/2028</w:t>
            </w:r>
          </w:p>
        </w:tc>
        <w:tc>
          <w:tcPr>
            <w:tcW w:w="12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9"/>
              </w:rPr>
              <w:t>Pharmaceuticals</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11.22%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SOFR+750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6,619</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6,472</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5,858</w:t>
            </w:r>
          </w:p>
        </w:tc>
      </w:tr>
      <w:tr>
        <w:trPr>
          <w:trHeight w:val="101"/>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CJX Borrower, LLC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7/29/2021</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7/13/2027</w:t>
            </w: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7"/>
              </w:rPr>
              <w:t>Media</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9.70%</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SOFR+576</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3,725</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3,701</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3,725</w:t>
            </w:r>
          </w:p>
        </w:tc>
      </w:tr>
      <w:tr>
        <w:trPr>
          <w:trHeight w:val="102"/>
        </w:trPr>
        <w:tc>
          <w:tcPr>
            <w:tcW w:w="1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Commercial Services &amp;</w:t>
            </w: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100"/>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Crane 1 Services, Inc.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4/11/2023</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8/16/2027</w:t>
            </w:r>
          </w:p>
        </w:tc>
        <w:tc>
          <w:tcPr>
            <w:tcW w:w="12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Supplies</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9.08%</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SOFR+536</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2,041</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2,029</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2,026</w:t>
            </w:r>
          </w:p>
        </w:tc>
      </w:tr>
      <w:tr>
        <w:trPr>
          <w:trHeight w:val="101"/>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DRI Holding Inc.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9/15/2022</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12/21/2028</w:t>
            </w: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7"/>
              </w:rPr>
              <w:t>Media</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9.07%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SOFR+535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2,567</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2,432</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2,516</w:t>
            </w:r>
          </w:p>
        </w:tc>
      </w:tr>
      <w:tr>
        <w:trPr>
          <w:trHeight w:val="101"/>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DRS Holdings III, Inc.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1/27/2021</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11/1/2028</w:t>
            </w:r>
          </w:p>
        </w:tc>
        <w:tc>
          <w:tcPr>
            <w:tcW w:w="122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Consumer Goods: Durable</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8.97%</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4,420</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4,413</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4,464</w:t>
            </w:r>
          </w:p>
        </w:tc>
      </w:tr>
      <w:tr>
        <w:trPr>
          <w:trHeight w:val="101"/>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Duggal Acquisition, LLC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9/30/2030</w:t>
            </w: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Marketing Services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8.42%</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4,938</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4,898</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4,938</w:t>
            </w:r>
          </w:p>
        </w:tc>
      </w:tr>
      <w:tr>
        <w:trPr>
          <w:trHeight w:val="102"/>
        </w:trPr>
        <w:tc>
          <w:tcPr>
            <w:tcW w:w="1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Diversified Consumer</w:t>
            </w: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100"/>
        </w:trPr>
        <w:tc>
          <w:tcPr>
            <w:tcW w:w="188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Dynata, LLC - First Out Term Loan </w:t>
            </w:r>
            <w:r>
              <w:rPr>
                <w:rFonts w:ascii="Times New Roman" w:cs="Times New Roman" w:eastAsia="Times New Roman" w:hAnsi="Times New Roman"/>
                <w:sz w:val="10"/>
                <w:szCs w:val="10"/>
                <w:color w:val="auto"/>
                <w:vertAlign w:val="superscript"/>
              </w:rPr>
              <w:t>(5)</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7/15/2024</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7/17/2028</w:t>
            </w:r>
          </w:p>
        </w:tc>
        <w:tc>
          <w:tcPr>
            <w:tcW w:w="12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Services</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9.14%</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SOFR+576</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1,343</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1,276</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1,331</w:t>
            </w:r>
          </w:p>
        </w:tc>
      </w:tr>
      <w:tr>
        <w:trPr>
          <w:trHeight w:val="102"/>
        </w:trPr>
        <w:tc>
          <w:tcPr>
            <w:tcW w:w="18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Diversified Consumer</w:t>
            </w:r>
          </w:p>
        </w:tc>
        <w:tc>
          <w:tcPr>
            <w:tcW w:w="64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r>
      <w:tr>
        <w:trPr>
          <w:trHeight w:val="100"/>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Dynata, LLC - Last Out Term Loan</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7/15/2024</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10/16/2028</w:t>
            </w: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Services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9.64%</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SOFR+576</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8,333</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8,333</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5,052</w:t>
            </w:r>
          </w:p>
        </w:tc>
      </w:tr>
      <w:tr>
        <w:trPr>
          <w:trHeight w:val="102"/>
        </w:trPr>
        <w:tc>
          <w:tcPr>
            <w:tcW w:w="1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101"/>
        </w:trPr>
        <w:tc>
          <w:tcPr>
            <w:tcW w:w="1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Instruments, and</w:t>
            </w: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100"/>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EDS Buyer, LLC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4/11/2023</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1/10/2029</w:t>
            </w:r>
          </w:p>
        </w:tc>
        <w:tc>
          <w:tcPr>
            <w:tcW w:w="12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Components</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8.17%</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SOFR+450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8,753</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8,677</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8,775</w:t>
            </w:r>
          </w:p>
        </w:tc>
      </w:tr>
      <w:tr>
        <w:trPr>
          <w:trHeight w:val="102"/>
        </w:trPr>
        <w:tc>
          <w:tcPr>
            <w:tcW w:w="18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Healthcare Providers and</w:t>
            </w:r>
          </w:p>
        </w:tc>
        <w:tc>
          <w:tcPr>
            <w:tcW w:w="64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r>
      <w:tr>
        <w:trPr>
          <w:trHeight w:val="100"/>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Emergency Care Partners, LLC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11/11/2024</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10/18/2027</w:t>
            </w: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Services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8.67%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7,184</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7,157</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7,184</w:t>
            </w:r>
          </w:p>
        </w:tc>
      </w:tr>
      <w:tr>
        <w:trPr>
          <w:trHeight w:val="101"/>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Exigo Intermediate II, LLC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11/21/2022</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3/15/2027</w:t>
            </w:r>
          </w:p>
        </w:tc>
        <w:tc>
          <w:tcPr>
            <w:tcW w:w="122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Software</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10.07%</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SOFR+635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12,384</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12,312</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12,322</w:t>
            </w:r>
          </w:p>
        </w:tc>
      </w:tr>
      <w:tr>
        <w:trPr>
          <w:trHeight w:val="102"/>
        </w:trPr>
        <w:tc>
          <w:tcPr>
            <w:tcW w:w="18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Diversified Consumer</w:t>
            </w:r>
          </w:p>
        </w:tc>
        <w:tc>
          <w:tcPr>
            <w:tcW w:w="64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r>
      <w:tr>
        <w:trPr>
          <w:trHeight w:val="100"/>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ETE Intermediate II, LLC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6/12/2023</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5/29/2029</w:t>
            </w: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Services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8.72%</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12,093</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11,929</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12,093</w:t>
            </w:r>
          </w:p>
        </w:tc>
      </w:tr>
      <w:tr>
        <w:trPr>
          <w:trHeight w:val="102"/>
        </w:trPr>
        <w:tc>
          <w:tcPr>
            <w:tcW w:w="1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9"/>
              </w:rPr>
              <w:t>Healthcare and</w:t>
            </w: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100"/>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EvAL Home Care Solutions Intermediate, LLC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7/10/2024</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5/10/2030</w:t>
            </w:r>
          </w:p>
        </w:tc>
        <w:tc>
          <w:tcPr>
            <w:tcW w:w="12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9"/>
              </w:rPr>
              <w:t>Pharmaceuticals</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9.47%</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8,623</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8,511</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8,623</w:t>
            </w:r>
          </w:p>
        </w:tc>
      </w:tr>
      <w:tr>
        <w:trPr>
          <w:trHeight w:val="102"/>
        </w:trPr>
        <w:tc>
          <w:tcPr>
            <w:tcW w:w="18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Diversified Consumer</w:t>
            </w:r>
          </w:p>
        </w:tc>
        <w:tc>
          <w:tcPr>
            <w:tcW w:w="64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r>
      <w:tr>
        <w:trPr>
          <w:trHeight w:val="100"/>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GGG MIDCO, LLC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9/27/2030</w:t>
            </w: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Services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8.67%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24,511</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24,433</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24,511</w:t>
            </w:r>
          </w:p>
        </w:tc>
      </w:tr>
      <w:tr>
        <w:trPr>
          <w:trHeight w:val="102"/>
        </w:trPr>
        <w:tc>
          <w:tcPr>
            <w:tcW w:w="1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Diversified Financial</w:t>
            </w: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100"/>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Global Holdings InterCo, LLC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6/8/2021</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3/16/2026</w:t>
            </w:r>
          </w:p>
        </w:tc>
        <w:tc>
          <w:tcPr>
            <w:tcW w:w="122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Services</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9.33%</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SOFR+560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3,344</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3,342</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3,344</w:t>
            </w:r>
          </w:p>
        </w:tc>
      </w:tr>
      <w:tr>
        <w:trPr>
          <w:trHeight w:val="102"/>
        </w:trPr>
        <w:tc>
          <w:tcPr>
            <w:tcW w:w="18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Trading Companies &amp;</w:t>
            </w:r>
          </w:p>
        </w:tc>
        <w:tc>
          <w:tcPr>
            <w:tcW w:w="64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r>
      <w:tr>
        <w:trPr>
          <w:trHeight w:val="100"/>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Graffiti Buyer, Inc.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3/15/2022</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8/10/2027</w:t>
            </w:r>
          </w:p>
        </w:tc>
        <w:tc>
          <w:tcPr>
            <w:tcW w:w="122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Distributors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9.42%</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SOFR+560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3,675</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3,653</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3,593</w:t>
            </w:r>
          </w:p>
        </w:tc>
      </w:tr>
      <w:tr>
        <w:trPr>
          <w:trHeight w:val="101"/>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Halo Buyer, Inc.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5/22/2025</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8/7/2029</w:t>
            </w:r>
          </w:p>
        </w:tc>
        <w:tc>
          <w:tcPr>
            <w:tcW w:w="122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Consumer Products</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9.72%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6,451</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6,332</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6,451</w:t>
            </w:r>
          </w:p>
        </w:tc>
      </w:tr>
      <w:tr>
        <w:trPr>
          <w:trHeight w:val="101"/>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Hancock Roofing And Construction, LLC</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1/27/2021</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12/31/2026</w:t>
            </w: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Insurance</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9.27%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SOFR+560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2,112</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2,102</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2,007</w:t>
            </w:r>
          </w:p>
        </w:tc>
      </w:tr>
      <w:tr>
        <w:trPr>
          <w:trHeight w:val="101"/>
        </w:trPr>
        <w:tc>
          <w:tcPr>
            <w:tcW w:w="1880" w:type="dxa"/>
            <w:vAlign w:val="bottom"/>
          </w:tcPr>
          <w:p>
            <w:pPr>
              <w:spacing w:after="0"/>
              <w:rPr>
                <w:sz w:val="20"/>
                <w:szCs w:val="20"/>
                <w:color w:val="auto"/>
              </w:rPr>
            </w:pPr>
            <w:r>
              <w:rPr>
                <w:rFonts w:ascii="Times New Roman" w:cs="Times New Roman" w:eastAsia="Times New Roman" w:hAnsi="Times New Roman"/>
                <w:sz w:val="8"/>
                <w:szCs w:val="8"/>
                <w:color w:val="auto"/>
              </w:rPr>
              <w:t>Harris &amp; Co, LLC</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11/26/2024</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w w:val="98"/>
              </w:rPr>
              <w:t>8/9/2030</w:t>
            </w:r>
          </w:p>
        </w:tc>
        <w:tc>
          <w:tcPr>
            <w:tcW w:w="122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Professional Services</w:t>
            </w:r>
          </w:p>
        </w:tc>
        <w:tc>
          <w:tcPr>
            <w:tcW w:w="6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rPr>
              <w:t>8.72%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19,750</w:t>
            </w:r>
          </w:p>
        </w:tc>
        <w:tc>
          <w:tcPr>
            <w:tcW w:w="160" w:type="dxa"/>
            <w:vAlign w:val="bottom"/>
          </w:tcPr>
          <w:p>
            <w:pPr>
              <w:spacing w:after="0"/>
              <w:rPr>
                <w:sz w:val="8"/>
                <w:szCs w:val="8"/>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19,601</w:t>
            </w:r>
          </w:p>
        </w:tc>
        <w:tc>
          <w:tcPr>
            <w:tcW w:w="22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19,602</w:t>
            </w:r>
          </w:p>
        </w:tc>
      </w:tr>
      <w:tr>
        <w:trPr>
          <w:trHeight w:val="102"/>
        </w:trPr>
        <w:tc>
          <w:tcPr>
            <w:tcW w:w="188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HEC Purchaser Corp.</w:t>
            </w:r>
          </w:p>
        </w:tc>
        <w:tc>
          <w:tcPr>
            <w:tcW w:w="6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9"/>
              </w:rPr>
              <w:t>Healthcare and</w:t>
            </w:r>
          </w:p>
        </w:tc>
        <w:tc>
          <w:tcPr>
            <w:tcW w:w="64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r>
      <w:tr>
        <w:trPr>
          <w:trHeight w:val="100"/>
        </w:trPr>
        <w:tc>
          <w:tcPr>
            <w:tcW w:w="1880" w:type="dxa"/>
            <w:vAlign w:val="bottom"/>
            <w:shd w:val="clear" w:color="auto" w:fill="CCECFF"/>
          </w:tcPr>
          <w:p>
            <w:pPr>
              <w:spacing w:after="0"/>
              <w:rPr>
                <w:sz w:val="8"/>
                <w:szCs w:val="8"/>
                <w:color w:val="auto"/>
              </w:rPr>
            </w:pP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w w:val="98"/>
              </w:rPr>
              <w:t>6/17/2029</w:t>
            </w:r>
          </w:p>
        </w:tc>
        <w:tc>
          <w:tcPr>
            <w:tcW w:w="122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9"/>
              </w:rPr>
              <w:t>Pharmaceuticals</w:t>
            </w:r>
          </w:p>
        </w:tc>
        <w:tc>
          <w:tcPr>
            <w:tcW w:w="6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rPr>
              <w:t>8.87%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6,634</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6,602</w:t>
            </w:r>
          </w:p>
        </w:tc>
        <w:tc>
          <w:tcPr>
            <w:tcW w:w="22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6,634</w:t>
            </w:r>
          </w:p>
        </w:tc>
      </w:tr>
    </w:tbl>
    <w:p>
      <w:pPr>
        <w:jc w:val="center"/>
        <w:ind w:right="20"/>
        <w:spacing w:after="0"/>
        <w:rPr>
          <w:sz w:val="20"/>
          <w:szCs w:val="20"/>
          <w:color w:val="auto"/>
        </w:rPr>
      </w:pPr>
      <w:r>
        <w:rPr>
          <w:rFonts w:ascii="Times New Roman" w:cs="Times New Roman" w:eastAsia="Times New Roman" w:hAnsi="Times New Roman"/>
          <w:sz w:val="11"/>
          <w:szCs w:val="1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349250</wp:posOffset>
            </wp:positionV>
            <wp:extent cx="526605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35" w:name="page36"/>
    <w:bookmarkEnd w:id="35"/>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22"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01"/>
        </w:trPr>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7"/>
              </w:rPr>
              <w:t>Spread</w:t>
            </w:r>
          </w:p>
        </w:tc>
        <w:tc>
          <w:tcPr>
            <w:tcW w:w="620" w:type="dxa"/>
            <w:vAlign w:val="bottom"/>
          </w:tcPr>
          <w:p>
            <w:pPr>
              <w:jc w:val="center"/>
              <w:ind w:right="40"/>
              <w:spacing w:after="0"/>
              <w:rPr>
                <w:sz w:val="20"/>
                <w:szCs w:val="20"/>
                <w:color w:val="auto"/>
              </w:rPr>
            </w:pPr>
            <w:r>
              <w:rPr>
                <w:rFonts w:ascii="Times New Roman" w:cs="Times New Roman" w:eastAsia="Times New Roman" w:hAnsi="Times New Roman"/>
                <w:sz w:val="8"/>
                <w:szCs w:val="8"/>
                <w:b w:val="1"/>
                <w:bCs w:val="1"/>
                <w:color w:val="auto"/>
                <w:w w:val="99"/>
              </w:rPr>
              <w:t>Par or</w:t>
            </w: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01"/>
        </w:trPr>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Above</w:t>
            </w:r>
          </w:p>
        </w:tc>
        <w:tc>
          <w:tcPr>
            <w:tcW w:w="620" w:type="dxa"/>
            <w:vAlign w:val="bottom"/>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Number</w:t>
            </w: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03"/>
        </w:trPr>
        <w:tc>
          <w:tcPr>
            <w:tcW w:w="18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700" w:type="dxa"/>
            <w:vAlign w:val="bottom"/>
          </w:tcPr>
          <w:p>
            <w:pPr>
              <w:ind w:left="20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680" w:type="dxa"/>
            <w:vAlign w:val="bottom"/>
          </w:tcPr>
          <w:p>
            <w:pPr>
              <w:ind w:left="12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Coupon</w:t>
            </w:r>
          </w:p>
        </w:tc>
        <w:tc>
          <w:tcPr>
            <w:tcW w:w="620" w:type="dxa"/>
            <w:vAlign w:val="bottom"/>
          </w:tcPr>
          <w:p>
            <w:pPr>
              <w:jc w:val="center"/>
              <w:spacing w:after="0" w:line="103" w:lineRule="exact"/>
              <w:rPr>
                <w:sz w:val="20"/>
                <w:szCs w:val="20"/>
                <w:color w:val="auto"/>
              </w:rPr>
            </w:pPr>
            <w:r>
              <w:rPr>
                <w:rFonts w:ascii="Times New Roman" w:cs="Times New Roman" w:eastAsia="Times New Roman" w:hAnsi="Times New Roman"/>
                <w:sz w:val="8"/>
                <w:szCs w:val="8"/>
                <w:b w:val="1"/>
                <w:bCs w:val="1"/>
                <w:color w:val="auto"/>
                <w:w w:val="95"/>
              </w:rPr>
              <w:t xml:space="preserve">Index </w:t>
            </w:r>
            <w:r>
              <w:rPr>
                <w:rFonts w:ascii="Times New Roman" w:cs="Times New Roman" w:eastAsia="Times New Roman" w:hAnsi="Times New Roman"/>
                <w:sz w:val="10"/>
                <w:szCs w:val="10"/>
                <w:b w:val="1"/>
                <w:bCs w:val="1"/>
                <w:color w:val="auto"/>
                <w:w w:val="95"/>
                <w:vertAlign w:val="superscript"/>
              </w:rPr>
              <w:t>(1)</w:t>
            </w:r>
          </w:p>
        </w:tc>
        <w:tc>
          <w:tcPr>
            <w:tcW w:w="620" w:type="dxa"/>
            <w:vAlign w:val="bottom"/>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of Shares</w:t>
            </w:r>
          </w:p>
        </w:tc>
        <w:tc>
          <w:tcPr>
            <w:tcW w:w="520" w:type="dxa"/>
            <w:vAlign w:val="bottom"/>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Cost</w:t>
            </w:r>
          </w:p>
        </w:tc>
        <w:tc>
          <w:tcPr>
            <w:tcW w:w="620" w:type="dxa"/>
            <w:vAlign w:val="bottom"/>
          </w:tcPr>
          <w:p>
            <w:pPr>
              <w:jc w:val="right"/>
              <w:ind w:right="60"/>
              <w:spacing w:after="0" w:line="103"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(2)</w:t>
            </w:r>
          </w:p>
        </w:tc>
      </w:tr>
      <w:tr>
        <w:trPr>
          <w:trHeight w:val="100"/>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Hills Distribution, Inc.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5/3/2024</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11/8/2029</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9.19%</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8,230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8,135</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8,148</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HW Holdco, LLC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5/11/2026</w:t>
            </w: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7"/>
              </w:rPr>
              <w:t>Media</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9.80%</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SOFR+590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3,441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3,433</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3,441</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Imagine Acquisitionco, Inc.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3/15/2022</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11/16/2027</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Software</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8.98%</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SOFR+510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9,036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8,948</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9,036</w:t>
            </w:r>
          </w:p>
        </w:tc>
      </w:tr>
      <w:tr>
        <w:trPr>
          <w:trHeight w:val="102"/>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Infinity Home Services Holdco, Inc.</w:t>
            </w:r>
          </w:p>
        </w:tc>
        <w:tc>
          <w:tcPr>
            <w:tcW w:w="7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Commercial Services &amp;</w:t>
            </w:r>
          </w:p>
        </w:tc>
        <w:tc>
          <w:tcPr>
            <w:tcW w:w="6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8"/>
                <w:szCs w:val="8"/>
                <w:color w:val="auto"/>
              </w:rPr>
            </w:pP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12/28/2028</w:t>
            </w: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Supplies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9.67%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SOFR+600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5,952</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5,882</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5,952</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Inovex Information Systems Incorporated</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3/3/2025</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12/17/2030</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Software</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8.92%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8,122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8,069</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8,122</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Inventus Power, Inc.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7/11/2023</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1/15/2026</w:t>
            </w: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Consumer Goods: Durable</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11.33%</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SOFR+761</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8,060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8,059</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8,060</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Kinetic Purchaser, LLC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11/30/2021</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11/10/2027</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Personal Products</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9.82%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SOFR+615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13,492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13,358</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10,962</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Lash OpCo, LLC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10/14/2021</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2/18/2027</w:t>
            </w: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Personal Products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10.94%</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SOFR+710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15,710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15,619</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15,317</w:t>
            </w:r>
          </w:p>
        </w:tc>
      </w:tr>
      <w:tr>
        <w:trPr>
          <w:trHeight w:val="101"/>
        </w:trPr>
        <w:tc>
          <w:tcPr>
            <w:tcW w:w="186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LAV Gear Holdings, Inc. - Takeback TL </w:t>
            </w:r>
            <w:r>
              <w:rPr>
                <w:rFonts w:ascii="Times New Roman" w:cs="Times New Roman" w:eastAsia="Times New Roman" w:hAnsi="Times New Roman"/>
                <w:sz w:val="10"/>
                <w:szCs w:val="10"/>
                <w:color w:val="auto"/>
                <w:vertAlign w:val="superscript"/>
              </w:rPr>
              <w:t>(5)</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7/31/2025</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7/31/2029</w:t>
            </w:r>
          </w:p>
        </w:tc>
        <w:tc>
          <w:tcPr>
            <w:tcW w:w="118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9"/>
              </w:rPr>
              <w:t>Capital Equipment</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9.65%</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SOFR+594</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7,660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7,660</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7,660</w:t>
            </w:r>
          </w:p>
        </w:tc>
      </w:tr>
      <w:tr>
        <w:trPr>
          <w:trHeight w:val="101"/>
        </w:trPr>
        <w:tc>
          <w:tcPr>
            <w:tcW w:w="186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LAV Gear Holdings, Inc. - Priority TL </w:t>
            </w:r>
            <w:r>
              <w:rPr>
                <w:rFonts w:ascii="Times New Roman" w:cs="Times New Roman" w:eastAsia="Times New Roman" w:hAnsi="Times New Roman"/>
                <w:sz w:val="10"/>
                <w:szCs w:val="10"/>
                <w:color w:val="auto"/>
                <w:vertAlign w:val="superscript"/>
              </w:rPr>
              <w:t>(5)</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7/31/2025</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7/31/2029</w:t>
            </w: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9"/>
              </w:rPr>
              <w:t>Capital Equipment</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9.65%</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SOFR+594</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2,424</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2,396</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2,945</w:t>
            </w:r>
          </w:p>
        </w:tc>
      </w:tr>
      <w:tr>
        <w:trPr>
          <w:trHeight w:val="102"/>
        </w:trPr>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Healthcare Providers and</w:t>
            </w: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00"/>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Lightspeed Buyer, Inc.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1/27/2021</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2/3/2027</w:t>
            </w:r>
          </w:p>
        </w:tc>
        <w:tc>
          <w:tcPr>
            <w:tcW w:w="118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Services</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8.42%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16,191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16,153</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16,191</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LJ Avalon Holdings, LLC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2/1/2030</w:t>
            </w: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Environmental Industries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8.46%</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SOFR+450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2,527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2,491</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2,527</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Loving Tan Intermediate II, Inc.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10/25/2023</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5/31/2028</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Personal Products</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8.67%</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12,205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12,098</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12,144</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MAG DS Corp.</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9/27/2023</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4/1/2027</w:t>
            </w: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9.27%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SOFR+560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2,187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2,147</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2,176</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Marketplace Events Acquisition, LLC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1/13/2025</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12/19/2030</w:t>
            </w:r>
          </w:p>
        </w:tc>
        <w:tc>
          <w:tcPr>
            <w:tcW w:w="118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7"/>
              </w:rPr>
              <w:t>Media</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9.12%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16,873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16,732</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16,873</w:t>
            </w:r>
          </w:p>
        </w:tc>
      </w:tr>
      <w:tr>
        <w:trPr>
          <w:trHeight w:val="102"/>
        </w:trPr>
        <w:tc>
          <w:tcPr>
            <w:tcW w:w="186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Internet Software and</w:t>
            </w:r>
          </w:p>
        </w:tc>
        <w:tc>
          <w:tcPr>
            <w:tcW w:w="6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MBS Holdings, Inc.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6/8/2021</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4/16/2027</w:t>
            </w: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Services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8.92%</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SOFR+510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8,223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8,173</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8,223</w:t>
            </w:r>
          </w:p>
        </w:tc>
      </w:tr>
      <w:tr>
        <w:trPr>
          <w:trHeight w:val="102"/>
        </w:trPr>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Chemicals, Plastics and</w:t>
            </w: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00"/>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MDI Buyer, Inc.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7/25/2028</w:t>
            </w:r>
          </w:p>
        </w:tc>
        <w:tc>
          <w:tcPr>
            <w:tcW w:w="118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Rubber</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8.57%</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6,235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6,171</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6,235</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Meadowlark Acquirer, LLC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1/29/2022</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12/10/2027</w:t>
            </w: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9.32%</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SOFR+565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2,317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2,300</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2,317</w:t>
            </w:r>
          </w:p>
        </w:tc>
      </w:tr>
      <w:tr>
        <w:trPr>
          <w:trHeight w:val="102"/>
        </w:trPr>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9"/>
              </w:rPr>
              <w:t>Healthcare and</w:t>
            </w: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00"/>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Medina Health, LLC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11/6/2023</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10/20/2028</w:t>
            </w:r>
          </w:p>
        </w:tc>
        <w:tc>
          <w:tcPr>
            <w:tcW w:w="118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9"/>
              </w:rPr>
              <w:t>Pharmaceuticals</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9.92%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SOFR+625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18,833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18,628</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18,833</w:t>
            </w:r>
          </w:p>
        </w:tc>
      </w:tr>
      <w:tr>
        <w:trPr>
          <w:trHeight w:val="102"/>
        </w:trPr>
        <w:tc>
          <w:tcPr>
            <w:tcW w:w="186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6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r>
      <w:tr>
        <w:trPr>
          <w:trHeight w:val="101"/>
        </w:trPr>
        <w:tc>
          <w:tcPr>
            <w:tcW w:w="186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Instruments, and</w:t>
            </w:r>
          </w:p>
        </w:tc>
        <w:tc>
          <w:tcPr>
            <w:tcW w:w="6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Megawatt Acquisitionco, Inc.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4/29/2024</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3/1/2030</w:t>
            </w: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Components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9.17%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15,474</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15,302</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15,474</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MOREgroup Holdings, Inc.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3/22/2024</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1/16/2030</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8.92%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17,890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17,750</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17,890</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MES Internediate, Inc.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10/1/2027</w:t>
            </w: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Distributors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8.42%</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3,351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3,328</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3,351</w:t>
            </w:r>
          </w:p>
        </w:tc>
      </w:tr>
      <w:tr>
        <w:trPr>
          <w:trHeight w:val="102"/>
        </w:trPr>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Healthcare, Education &amp;</w:t>
            </w: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00"/>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NBH Group, LLC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8/25/2021</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8/19/2026</w:t>
            </w:r>
          </w:p>
        </w:tc>
        <w:tc>
          <w:tcPr>
            <w:tcW w:w="118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Childcare</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9.71%</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SOFR+585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10,325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10,288</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10,325</w:t>
            </w:r>
          </w:p>
        </w:tc>
      </w:tr>
      <w:tr>
        <w:trPr>
          <w:trHeight w:val="102"/>
        </w:trPr>
        <w:tc>
          <w:tcPr>
            <w:tcW w:w="186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Healthcare Providers and</w:t>
            </w:r>
          </w:p>
        </w:tc>
        <w:tc>
          <w:tcPr>
            <w:tcW w:w="6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NORA Acquisition, LLC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10/2/2023</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8/31/2029</w:t>
            </w: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Services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10.02%</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SOFR+635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21,005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20,731</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20,375</w:t>
            </w:r>
          </w:p>
        </w:tc>
      </w:tr>
      <w:tr>
        <w:trPr>
          <w:trHeight w:val="102"/>
        </w:trPr>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Manufacturing/Basic</w:t>
            </w: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00"/>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North American Rail Solutions, LLC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8/29/2025</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8/29/2031</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7"/>
              </w:rPr>
              <w:t>Industry</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8.42%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17,456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17,383</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17,369</w:t>
            </w:r>
          </w:p>
        </w:tc>
      </w:tr>
      <w:tr>
        <w:trPr>
          <w:trHeight w:val="102"/>
        </w:trPr>
        <w:tc>
          <w:tcPr>
            <w:tcW w:w="186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Diversified Consumer</w:t>
            </w:r>
          </w:p>
        </w:tc>
        <w:tc>
          <w:tcPr>
            <w:tcW w:w="6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Omnia Exterior Solutions, LLC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11/1/2024</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12/31/2029</w:t>
            </w: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Services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8.92%</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16,915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16,787</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16,704</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One Stop Mailing, LLC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7/8/2021</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5/7/2027</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Air Freight and Logistics</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10.08%</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SOFR+636</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15,394</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15,283</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15,394</w:t>
            </w:r>
          </w:p>
        </w:tc>
      </w:tr>
      <w:tr>
        <w:trPr>
          <w:trHeight w:val="101"/>
        </w:trPr>
        <w:tc>
          <w:tcPr>
            <w:tcW w:w="186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ORL Acquisition, Inc. </w:t>
            </w:r>
            <w:r>
              <w:rPr>
                <w:rFonts w:ascii="Times New Roman" w:cs="Times New Roman" w:eastAsia="Times New Roman" w:hAnsi="Times New Roman"/>
                <w:sz w:val="10"/>
                <w:szCs w:val="10"/>
                <w:color w:val="auto"/>
                <w:vertAlign w:val="superscript"/>
              </w:rPr>
              <w:t>(5)</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5/22/2025</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9/3/2027</w:t>
            </w: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9"/>
              </w:rPr>
              <w:t>Consumer Finance</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13.07%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SOFR+940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2,284</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2,275</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1,782</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OSP Embedded Purchaser, LLC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11/19/2024</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12/17/2029</w:t>
            </w:r>
          </w:p>
        </w:tc>
        <w:tc>
          <w:tcPr>
            <w:tcW w:w="118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9.42%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14,862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14,668</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14,090</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Output Services Group, Inc. - First-Out Term Loan</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12/1/2023</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11/30/2028</w:t>
            </w: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12.16%</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SOFR+842</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821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821</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821</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Output Services Group, Inc. - Last-Out Term Loan</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12/1/2023</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5/30/2028</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10.41%</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SOFR+667</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1,667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1,667</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1,667</w:t>
            </w:r>
          </w:p>
        </w:tc>
      </w:tr>
      <w:tr>
        <w:trPr>
          <w:trHeight w:val="102"/>
        </w:trPr>
        <w:tc>
          <w:tcPr>
            <w:tcW w:w="186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Diversified Consumer</w:t>
            </w:r>
          </w:p>
        </w:tc>
        <w:tc>
          <w:tcPr>
            <w:tcW w:w="6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PCS MIDCO, Inc.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4/10/2025</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3/1/2030</w:t>
            </w: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Services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9.42%</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3,823</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3,781</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3,842</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Pacific Purchaser, LLC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1/12/2024</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10/2/2028</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9.85%</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SOFR+625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11,788</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11,649</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11,505</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PAR Excellence Holdings, Inc.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10/16/24</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9/3/2030</w:t>
            </w: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Healthcare Technology</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8.77%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10,905</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10,815</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10,714</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Paving Lessor Corp. First Lien -Term Loan</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8/28/2025</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7/1/2031</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8.94%</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19,877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19,744</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19,777</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PN Buyer, Inc.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9/8/2025</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7/31/2031</w:t>
            </w: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8.17%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SOFR+450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10,000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9,954</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9,950</w:t>
            </w:r>
          </w:p>
        </w:tc>
      </w:tr>
      <w:tr>
        <w:trPr>
          <w:trHeight w:val="102"/>
        </w:trPr>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Textiles, Apparel and</w:t>
            </w:r>
          </w:p>
        </w:tc>
        <w:tc>
          <w:tcPr>
            <w:tcW w:w="660" w:type="dxa"/>
            <w:vAlign w:val="bottom"/>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00"/>
        </w:trPr>
        <w:tc>
          <w:tcPr>
            <w:tcW w:w="186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Pink Lilly Holdco, LLC </w:t>
            </w:r>
            <w:r>
              <w:rPr>
                <w:rFonts w:ascii="Times New Roman" w:cs="Times New Roman" w:eastAsia="Times New Roman" w:hAnsi="Times New Roman"/>
                <w:sz w:val="10"/>
                <w:szCs w:val="10"/>
                <w:color w:val="auto"/>
                <w:vertAlign w:val="superscript"/>
              </w:rPr>
              <w:t>(4),(5)</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11/30/2021</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11/9/2027</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Luxury Goods</w:t>
            </w: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8,503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8,414</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1,063</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Podean Buyer, LLC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8/4/2025</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8/4/2031</w:t>
            </w: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Marketing Services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9.66%</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SOFR+600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4,988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4,942</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4,938</w:t>
            </w:r>
          </w:p>
        </w:tc>
      </w:tr>
      <w:tr>
        <w:trPr>
          <w:trHeight w:val="101"/>
        </w:trPr>
        <w:tc>
          <w:tcPr>
            <w:tcW w:w="186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Pragmatic Institute, LLC </w:t>
            </w:r>
            <w:r>
              <w:rPr>
                <w:rFonts w:ascii="Times New Roman" w:cs="Times New Roman" w:eastAsia="Times New Roman" w:hAnsi="Times New Roman"/>
                <w:sz w:val="10"/>
                <w:szCs w:val="10"/>
                <w:color w:val="auto"/>
                <w:vertAlign w:val="superscript"/>
              </w:rPr>
              <w:t>(4)</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3/28/2025</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3/28/2030</w:t>
            </w:r>
          </w:p>
        </w:tc>
        <w:tc>
          <w:tcPr>
            <w:tcW w:w="118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Education</w:t>
            </w:r>
          </w:p>
        </w:tc>
        <w:tc>
          <w:tcPr>
            <w:tcW w:w="660" w:type="dxa"/>
            <w:vAlign w:val="bottom"/>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4,292</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4,190</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2,608</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Project Granite Buyer, Inc.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5/22/2025</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12/31/2030</w:t>
            </w: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9.42%</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6,451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6,361</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6,516</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Puget Collision, LLC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10/3/2025</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10/3/2031</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Automobiles</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8.42%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15,000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14,918</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14,906</w:t>
            </w:r>
          </w:p>
        </w:tc>
      </w:tr>
      <w:tr>
        <w:trPr>
          <w:trHeight w:val="102"/>
        </w:trPr>
        <w:tc>
          <w:tcPr>
            <w:tcW w:w="186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Diversified Consumer</w:t>
            </w:r>
          </w:p>
        </w:tc>
        <w:tc>
          <w:tcPr>
            <w:tcW w:w="6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RRA Corporate, LLC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4/10/2025</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8/15/2029</w:t>
            </w: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Services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8.92%</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7,681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7,622</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7,443</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RTIC Subsidiary Holdings, LLC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11/1/2024</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5/3/2029</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Leisure Products</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9.42%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14,837</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14,679</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14,689</w:t>
            </w:r>
          </w:p>
        </w:tc>
      </w:tr>
      <w:tr>
        <w:trPr>
          <w:trHeight w:val="102"/>
        </w:trPr>
        <w:tc>
          <w:tcPr>
            <w:tcW w:w="186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Healthcare Providers and</w:t>
            </w:r>
          </w:p>
        </w:tc>
        <w:tc>
          <w:tcPr>
            <w:tcW w:w="6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Rancho Health MSO, Inc.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6/20/2029</w:t>
            </w: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Services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8.99%</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18,718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18,657</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18,718</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Recteq, LLC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2/24/2021</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1/29/2026</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Leisure Products</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10.07%</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SOFR+640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4,763</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4,761</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4,763</w:t>
            </w:r>
          </w:p>
        </w:tc>
      </w:tr>
      <w:tr>
        <w:trPr>
          <w:trHeight w:val="102"/>
        </w:trPr>
        <w:tc>
          <w:tcPr>
            <w:tcW w:w="186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Healthcare Providers and</w:t>
            </w:r>
          </w:p>
        </w:tc>
        <w:tc>
          <w:tcPr>
            <w:tcW w:w="6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Ro Health, LLC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3/3/2025</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1/17/2031</w:t>
            </w: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Services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8.17%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SOFR+450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10,490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10,422</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10,490</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Rosco Parent, LLC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9/9/2025</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9/12/2031</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8.42%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10,500</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10,432</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10,421</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Rural Sourcing Holdings, Inc.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9/6/2023</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6/15/2029</w:t>
            </w: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High Tech Industries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9.85%</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SOFR+625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4,349</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4,296</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3,914</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Sabel Systems Technology Solutions, LLC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11/11/2024</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10/31/2030</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Government Services</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9.72%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SOFR+600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5,955</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5,905</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5,955</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Safe Haven Defense US, LLC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9/19/2024</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5/23/2029</w:t>
            </w:r>
          </w:p>
        </w:tc>
        <w:tc>
          <w:tcPr>
            <w:tcW w:w="11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Construction and Building</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9.19%</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9,837</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9,726</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9,591</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Sales Benchmark Index, LLC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1/27/2021</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7/7/2026</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9.87%</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SOFR+620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9,158</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9,146</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9,158</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Sath Industries, LLC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4/10/2025</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12/17/2029</w:t>
            </w: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Event Services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9.17%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10,280</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10,193</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10,280</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Schlesinger Global, Inc.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9/30/2021</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3/31/2027</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9.82%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SOFR+610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6,711</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6,711</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6,376</w:t>
            </w:r>
          </w:p>
        </w:tc>
      </w:tr>
      <w:tr>
        <w:trPr>
          <w:trHeight w:val="102"/>
        </w:trPr>
        <w:tc>
          <w:tcPr>
            <w:tcW w:w="186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Chemicals, Plastics and</w:t>
            </w:r>
          </w:p>
        </w:tc>
        <w:tc>
          <w:tcPr>
            <w:tcW w:w="6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Seaway Buyer, LLC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6/13/2029</w:t>
            </w: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Rubber</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9.82%</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SOFR+615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4,838</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4,794</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4,620</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Sigma Defense Systems, LLC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12/27/2021</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12/20/2027</w:t>
            </w:r>
          </w:p>
        </w:tc>
        <w:tc>
          <w:tcPr>
            <w:tcW w:w="118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10.62%</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SOFR+690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20,486</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20,221</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20,281</w:t>
            </w:r>
          </w:p>
        </w:tc>
      </w:tr>
      <w:tr>
        <w:trPr>
          <w:trHeight w:val="102"/>
        </w:trPr>
        <w:tc>
          <w:tcPr>
            <w:tcW w:w="186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9"/>
              </w:rPr>
              <w:t>Healthcare and</w:t>
            </w:r>
          </w:p>
        </w:tc>
        <w:tc>
          <w:tcPr>
            <w:tcW w:w="6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Smile Brands, Inc.</w:t>
            </w:r>
          </w:p>
        </w:tc>
        <w:tc>
          <w:tcPr>
            <w:tcW w:w="7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1/27/2021</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10/12/2027</w:t>
            </w:r>
          </w:p>
        </w:tc>
        <w:tc>
          <w:tcPr>
            <w:tcW w:w="118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9"/>
              </w:rPr>
              <w:t>Pharmaceuticals</w:t>
            </w:r>
          </w:p>
        </w:tc>
        <w:tc>
          <w:tcPr>
            <w:tcW w:w="66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rPr>
              <w:t>9.77%</w:t>
            </w: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SOFR+600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12,341</w:t>
            </w:r>
          </w:p>
        </w:tc>
        <w:tc>
          <w:tcPr>
            <w:tcW w:w="5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12,256</w:t>
            </w:r>
          </w:p>
        </w:tc>
        <w:tc>
          <w:tcPr>
            <w:tcW w:w="6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10,848</w:t>
            </w:r>
          </w:p>
        </w:tc>
      </w:tr>
      <w:tr>
        <w:trPr>
          <w:trHeight w:val="103"/>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Spendmend Holdings, LLC</w:t>
            </w:r>
          </w:p>
        </w:tc>
        <w:tc>
          <w:tcPr>
            <w:tcW w:w="7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3/1/2028</w:t>
            </w:r>
          </w:p>
        </w:tc>
        <w:tc>
          <w:tcPr>
            <w:tcW w:w="11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Healthcare Technology</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rPr>
              <w:t>9.15%</w:t>
            </w:r>
          </w:p>
        </w:tc>
        <w:tc>
          <w:tcPr>
            <w:tcW w:w="6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SOFR+515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4,018</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3,983</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4,018</w:t>
            </w:r>
          </w:p>
        </w:tc>
      </w:tr>
    </w:tbl>
    <w:p>
      <w:pPr>
        <w:jc w:val="center"/>
        <w:ind w:right="20"/>
        <w:spacing w:after="0"/>
        <w:rPr>
          <w:sz w:val="20"/>
          <w:szCs w:val="20"/>
          <w:color w:val="auto"/>
        </w:rPr>
      </w:pPr>
      <w:r>
        <w:rPr>
          <w:rFonts w:ascii="Times New Roman" w:cs="Times New Roman" w:eastAsia="Times New Roman" w:hAnsi="Times New Roman"/>
          <w:sz w:val="11"/>
          <w:szCs w:val="1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22"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2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7"/>
              </w:rPr>
              <w:t>Spread</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9"/>
              </w:rPr>
              <w:t>Par or</w:t>
            </w: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0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420" w:type="dxa"/>
            <w:vAlign w:val="bottom"/>
          </w:tcPr>
          <w:p>
            <w:pPr>
              <w:jc w:val="center"/>
              <w:ind w:left="100"/>
              <w:spacing w:after="0"/>
              <w:rPr>
                <w:sz w:val="20"/>
                <w:szCs w:val="20"/>
                <w:color w:val="auto"/>
              </w:rPr>
            </w:pPr>
            <w:r>
              <w:rPr>
                <w:rFonts w:ascii="Times New Roman" w:cs="Times New Roman" w:eastAsia="Times New Roman" w:hAnsi="Times New Roman"/>
                <w:sz w:val="8"/>
                <w:szCs w:val="8"/>
                <w:b w:val="1"/>
                <w:bCs w:val="1"/>
                <w:color w:val="auto"/>
                <w:w w:val="99"/>
              </w:rPr>
              <w:t>Current</w:t>
            </w:r>
          </w:p>
        </w:tc>
        <w:tc>
          <w:tcPr>
            <w:tcW w:w="300" w:type="dxa"/>
            <w:vAlign w:val="bottom"/>
          </w:tcPr>
          <w:p>
            <w:pPr>
              <w:spacing w:after="0"/>
              <w:rPr>
                <w:sz w:val="9"/>
                <w:szCs w:val="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Above</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8"/>
              </w:rPr>
              <w:t>Number</w:t>
            </w:r>
          </w:p>
        </w:tc>
        <w:tc>
          <w:tcPr>
            <w:tcW w:w="340" w:type="dxa"/>
            <w:vAlign w:val="bottom"/>
            <w:vMerge w:val="restart"/>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Cost</w:t>
            </w:r>
          </w:p>
        </w:tc>
        <w:tc>
          <w:tcPr>
            <w:tcW w:w="140" w:type="dxa"/>
            <w:vAlign w:val="bottom"/>
          </w:tcPr>
          <w:p>
            <w:pPr>
              <w:spacing w:after="0"/>
              <w:rPr>
                <w:sz w:val="9"/>
                <w:szCs w:val="9"/>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Fair Value</w:t>
            </w:r>
          </w:p>
        </w:tc>
        <w:tc>
          <w:tcPr>
            <w:tcW w:w="0" w:type="dxa"/>
            <w:vAlign w:val="bottom"/>
          </w:tcPr>
          <w:p>
            <w:pPr>
              <w:spacing w:after="0"/>
              <w:rPr>
                <w:sz w:val="1"/>
                <w:szCs w:val="1"/>
                <w:color w:val="auto"/>
              </w:rPr>
            </w:pPr>
          </w:p>
        </w:tc>
      </w:tr>
      <w:tr>
        <w:trPr>
          <w:trHeight w:val="91"/>
        </w:trPr>
        <w:tc>
          <w:tcPr>
            <w:tcW w:w="20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420" w:type="dxa"/>
            <w:vAlign w:val="bottom"/>
          </w:tcPr>
          <w:p>
            <w:pPr>
              <w:jc w:val="center"/>
              <w:ind w:left="100"/>
              <w:spacing w:after="0" w:line="91" w:lineRule="exact"/>
              <w:rPr>
                <w:sz w:val="20"/>
                <w:szCs w:val="20"/>
                <w:color w:val="auto"/>
              </w:rPr>
            </w:pPr>
            <w:r>
              <w:rPr>
                <w:rFonts w:ascii="Times New Roman" w:cs="Times New Roman" w:eastAsia="Times New Roman" w:hAnsi="Times New Roman"/>
                <w:sz w:val="8"/>
                <w:szCs w:val="8"/>
                <w:b w:val="1"/>
                <w:bCs w:val="1"/>
                <w:color w:val="auto"/>
              </w:rPr>
              <w:t>Coupon</w:t>
            </w:r>
          </w:p>
        </w:tc>
        <w:tc>
          <w:tcPr>
            <w:tcW w:w="300" w:type="dxa"/>
            <w:vAlign w:val="bottom"/>
          </w:tcPr>
          <w:p>
            <w:pPr>
              <w:spacing w:after="0"/>
              <w:rPr>
                <w:sz w:val="7"/>
                <w:szCs w:val="7"/>
                <w:color w:val="auto"/>
              </w:rPr>
            </w:pPr>
          </w:p>
        </w:tc>
        <w:tc>
          <w:tcPr>
            <w:tcW w:w="600" w:type="dxa"/>
            <w:vAlign w:val="bottom"/>
          </w:tcPr>
          <w:p>
            <w:pPr>
              <w:jc w:val="center"/>
              <w:spacing w:after="0" w:line="91" w:lineRule="exact"/>
              <w:rPr>
                <w:sz w:val="20"/>
                <w:szCs w:val="20"/>
                <w:color w:val="auto"/>
              </w:rPr>
            </w:pPr>
            <w:r>
              <w:rPr>
                <w:rFonts w:ascii="Times New Roman" w:cs="Times New Roman" w:eastAsia="Times New Roman" w:hAnsi="Times New Roman"/>
                <w:sz w:val="8"/>
                <w:szCs w:val="8"/>
                <w:b w:val="1"/>
                <w:bCs w:val="1"/>
                <w:color w:val="auto"/>
                <w:w w:val="95"/>
              </w:rPr>
              <w:t xml:space="preserve">Index </w:t>
            </w:r>
            <w:r>
              <w:rPr>
                <w:rFonts w:ascii="Times New Roman" w:cs="Times New Roman" w:eastAsia="Times New Roman" w:hAnsi="Times New Roman"/>
                <w:sz w:val="10"/>
                <w:szCs w:val="10"/>
                <w:b w:val="1"/>
                <w:bCs w:val="1"/>
                <w:color w:val="auto"/>
                <w:w w:val="95"/>
                <w:vertAlign w:val="superscript"/>
              </w:rPr>
              <w:t>(1)</w:t>
            </w:r>
          </w:p>
        </w:tc>
        <w:tc>
          <w:tcPr>
            <w:tcW w:w="700" w:type="dxa"/>
            <w:vAlign w:val="bottom"/>
            <w:gridSpan w:val="2"/>
          </w:tcPr>
          <w:p>
            <w:pPr>
              <w:jc w:val="center"/>
              <w:ind w:right="140"/>
              <w:spacing w:after="0" w:line="91" w:lineRule="exact"/>
              <w:rPr>
                <w:sz w:val="20"/>
                <w:szCs w:val="20"/>
                <w:color w:val="auto"/>
              </w:rPr>
            </w:pPr>
            <w:r>
              <w:rPr>
                <w:rFonts w:ascii="Times New Roman" w:cs="Times New Roman" w:eastAsia="Times New Roman" w:hAnsi="Times New Roman"/>
                <w:sz w:val="8"/>
                <w:szCs w:val="8"/>
                <w:b w:val="1"/>
                <w:bCs w:val="1"/>
                <w:color w:val="auto"/>
              </w:rPr>
              <w:t>of Shares</w:t>
            </w:r>
          </w:p>
        </w:tc>
        <w:tc>
          <w:tcPr>
            <w:tcW w:w="3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5"/>
                <w:szCs w:val="5"/>
                <w:b w:val="1"/>
                <w:bCs w:val="1"/>
                <w:color w:val="auto"/>
              </w:rPr>
              <w:t>(2)</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00" w:type="dxa"/>
            <w:vAlign w:val="bottom"/>
            <w:shd w:val="clear" w:color="auto" w:fill="CCECFF"/>
          </w:tcPr>
          <w:p>
            <w:pPr>
              <w:spacing w:after="0" w:line="81" w:lineRule="exact"/>
              <w:rPr>
                <w:sz w:val="20"/>
                <w:szCs w:val="20"/>
                <w:color w:val="auto"/>
              </w:rPr>
            </w:pPr>
            <w:r>
              <w:rPr>
                <w:rFonts w:ascii="Times New Roman" w:cs="Times New Roman" w:eastAsia="Times New Roman" w:hAnsi="Times New Roman"/>
                <w:sz w:val="8"/>
                <w:szCs w:val="8"/>
                <w:color w:val="auto"/>
              </w:rPr>
              <w:t>STG Distribution, LLC - First Out New Money Term Loans</w:t>
            </w:r>
          </w:p>
        </w:tc>
        <w:tc>
          <w:tcPr>
            <w:tcW w:w="560" w:type="dxa"/>
            <w:vAlign w:val="bottom"/>
            <w:vMerge w:val="restart"/>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10/24/2024</w:t>
            </w:r>
          </w:p>
        </w:tc>
        <w:tc>
          <w:tcPr>
            <w:tcW w:w="780" w:type="dxa"/>
            <w:vAlign w:val="bottom"/>
            <w:vMerge w:val="restart"/>
            <w:shd w:val="clear" w:color="auto" w:fill="CCECFF"/>
          </w:tcPr>
          <w:p>
            <w:pPr>
              <w:jc w:val="center"/>
              <w:ind w:right="140"/>
              <w:spacing w:after="0"/>
              <w:rPr>
                <w:sz w:val="20"/>
                <w:szCs w:val="20"/>
                <w:color w:val="auto"/>
              </w:rPr>
            </w:pPr>
            <w:r>
              <w:rPr>
                <w:rFonts w:ascii="Times New Roman" w:cs="Times New Roman" w:eastAsia="Times New Roman" w:hAnsi="Times New Roman"/>
                <w:sz w:val="8"/>
                <w:szCs w:val="8"/>
                <w:color w:val="auto"/>
                <w:w w:val="98"/>
              </w:rPr>
              <w:t>10/3/2029</w:t>
            </w:r>
          </w:p>
        </w:tc>
        <w:tc>
          <w:tcPr>
            <w:tcW w:w="11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Air Freight and Logistics</w:t>
            </w:r>
          </w:p>
        </w:tc>
        <w:tc>
          <w:tcPr>
            <w:tcW w:w="420" w:type="dxa"/>
            <w:vAlign w:val="bottom"/>
            <w:shd w:val="clear" w:color="auto" w:fill="CCECFF"/>
          </w:tcPr>
          <w:p>
            <w:pPr>
              <w:spacing w:after="0"/>
              <w:rPr>
                <w:sz w:val="7"/>
                <w:szCs w:val="7"/>
                <w:color w:val="auto"/>
              </w:rPr>
            </w:pPr>
          </w:p>
        </w:tc>
        <w:tc>
          <w:tcPr>
            <w:tcW w:w="300" w:type="dxa"/>
            <w:vAlign w:val="bottom"/>
            <w:shd w:val="clear" w:color="auto" w:fill="CCECFF"/>
          </w:tcPr>
          <w:p>
            <w:pPr>
              <w:jc w:val="right"/>
              <w:ind w:right="120"/>
              <w:spacing w:after="0" w:line="81"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CFF"/>
          </w:tcPr>
          <w:p>
            <w:pPr>
              <w:ind w:left="420"/>
              <w:spacing w:after="0" w:line="81" w:lineRule="exact"/>
              <w:rPr>
                <w:sz w:val="20"/>
                <w:szCs w:val="20"/>
                <w:color w:val="auto"/>
              </w:rPr>
            </w:pPr>
            <w:r>
              <w:rPr>
                <w:rFonts w:ascii="Times New Roman" w:cs="Times New Roman" w:eastAsia="Times New Roman" w:hAnsi="Times New Roman"/>
                <w:sz w:val="8"/>
                <w:szCs w:val="8"/>
                <w:color w:val="auto"/>
              </w:rPr>
              <w:t>—</w:t>
            </w:r>
          </w:p>
        </w:tc>
        <w:tc>
          <w:tcPr>
            <w:tcW w:w="640" w:type="dxa"/>
            <w:vAlign w:val="bottom"/>
            <w:vMerge w:val="restart"/>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1,973</w:t>
            </w:r>
          </w:p>
        </w:tc>
        <w:tc>
          <w:tcPr>
            <w:tcW w:w="60" w:type="dxa"/>
            <w:vAlign w:val="bottom"/>
            <w:shd w:val="clear" w:color="auto" w:fill="CCECFF"/>
          </w:tcPr>
          <w:p>
            <w:pPr>
              <w:spacing w:after="0"/>
              <w:rPr>
                <w:sz w:val="7"/>
                <w:szCs w:val="7"/>
                <w:color w:val="auto"/>
              </w:rPr>
            </w:pPr>
          </w:p>
        </w:tc>
        <w:tc>
          <w:tcPr>
            <w:tcW w:w="3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1,887</w:t>
            </w:r>
          </w:p>
        </w:tc>
        <w:tc>
          <w:tcPr>
            <w:tcW w:w="14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3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1,677</w:t>
            </w:r>
          </w:p>
        </w:tc>
        <w:tc>
          <w:tcPr>
            <w:tcW w:w="8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5"/>
                <w:szCs w:val="5"/>
                <w:color w:val="auto"/>
              </w:rPr>
              <w:t>(4)(5)</w:t>
            </w:r>
          </w:p>
        </w:tc>
        <w:tc>
          <w:tcPr>
            <w:tcW w:w="560" w:type="dxa"/>
            <w:vAlign w:val="bottom"/>
            <w:tcBorders>
              <w:bottom w:val="single" w:sz="8" w:color="CCECFF"/>
            </w:tcBorders>
            <w:vMerge w:val="continue"/>
            <w:shd w:val="clear" w:color="auto" w:fill="CCECFF"/>
          </w:tcPr>
          <w:p>
            <w:pPr>
              <w:spacing w:after="0"/>
              <w:rPr>
                <w:sz w:val="6"/>
                <w:szCs w:val="6"/>
                <w:color w:val="auto"/>
              </w:rPr>
            </w:pPr>
          </w:p>
        </w:tc>
        <w:tc>
          <w:tcPr>
            <w:tcW w:w="780" w:type="dxa"/>
            <w:vAlign w:val="bottom"/>
            <w:tcBorders>
              <w:bottom w:val="single" w:sz="8" w:color="CCECFF"/>
            </w:tcBorders>
            <w:vMerge w:val="continue"/>
            <w:shd w:val="clear" w:color="auto" w:fill="CCECFF"/>
          </w:tcPr>
          <w:p>
            <w:pPr>
              <w:spacing w:after="0"/>
              <w:rPr>
                <w:sz w:val="6"/>
                <w:szCs w:val="6"/>
                <w:color w:val="auto"/>
              </w:rPr>
            </w:pPr>
          </w:p>
        </w:tc>
        <w:tc>
          <w:tcPr>
            <w:tcW w:w="1120" w:type="dxa"/>
            <w:vAlign w:val="bottom"/>
            <w:tcBorders>
              <w:bottom w:val="single" w:sz="8" w:color="CCECFF"/>
            </w:tcBorders>
            <w:vMerge w:val="continue"/>
            <w:shd w:val="clear" w:color="auto" w:fill="CCECFF"/>
          </w:tcPr>
          <w:p>
            <w:pPr>
              <w:spacing w:after="0"/>
              <w:rPr>
                <w:sz w:val="6"/>
                <w:szCs w:val="6"/>
                <w:color w:val="auto"/>
              </w:rPr>
            </w:pPr>
          </w:p>
        </w:tc>
        <w:tc>
          <w:tcPr>
            <w:tcW w:w="420" w:type="dxa"/>
            <w:vAlign w:val="bottom"/>
            <w:tcBorders>
              <w:bottom w:val="single" w:sz="8" w:color="CCECFF"/>
            </w:tcBorders>
            <w:shd w:val="clear" w:color="auto" w:fill="CCECFF"/>
          </w:tcPr>
          <w:p>
            <w:pPr>
              <w:spacing w:after="0"/>
              <w:rPr>
                <w:sz w:val="6"/>
                <w:szCs w:val="6"/>
                <w:color w:val="auto"/>
              </w:rPr>
            </w:pPr>
          </w:p>
        </w:tc>
        <w:tc>
          <w:tcPr>
            <w:tcW w:w="300" w:type="dxa"/>
            <w:vAlign w:val="bottom"/>
            <w:tcBorders>
              <w:bottom w:val="single" w:sz="8" w:color="CCECFF"/>
            </w:tcBorders>
            <w:shd w:val="clear" w:color="auto" w:fill="CCECFF"/>
          </w:tcPr>
          <w:p>
            <w:pPr>
              <w:spacing w:after="0"/>
              <w:rPr>
                <w:sz w:val="6"/>
                <w:szCs w:val="6"/>
                <w:color w:val="auto"/>
              </w:rPr>
            </w:pPr>
          </w:p>
        </w:tc>
        <w:tc>
          <w:tcPr>
            <w:tcW w:w="600" w:type="dxa"/>
            <w:vAlign w:val="bottom"/>
            <w:tcBorders>
              <w:bottom w:val="single" w:sz="8" w:color="CCECFF"/>
            </w:tcBorders>
            <w:shd w:val="clear" w:color="auto" w:fill="CCECFF"/>
          </w:tcPr>
          <w:p>
            <w:pPr>
              <w:spacing w:after="0"/>
              <w:rPr>
                <w:sz w:val="6"/>
                <w:szCs w:val="6"/>
                <w:color w:val="auto"/>
              </w:rPr>
            </w:pPr>
          </w:p>
        </w:tc>
        <w:tc>
          <w:tcPr>
            <w:tcW w:w="640" w:type="dxa"/>
            <w:vAlign w:val="bottom"/>
            <w:tcBorders>
              <w:bottom w:val="single" w:sz="8" w:color="CCECFF"/>
            </w:tcBorders>
            <w:vMerge w:val="continue"/>
            <w:shd w:val="clear" w:color="auto" w:fill="CCECFF"/>
          </w:tcPr>
          <w:p>
            <w:pPr>
              <w:spacing w:after="0"/>
              <w:rPr>
                <w:sz w:val="6"/>
                <w:szCs w:val="6"/>
                <w:color w:val="auto"/>
              </w:rPr>
            </w:pPr>
          </w:p>
        </w:tc>
        <w:tc>
          <w:tcPr>
            <w:tcW w:w="60" w:type="dxa"/>
            <w:vAlign w:val="bottom"/>
            <w:tcBorders>
              <w:bottom w:val="single" w:sz="8" w:color="CCECFF"/>
            </w:tcBorders>
            <w:shd w:val="clear" w:color="auto" w:fill="CCECFF"/>
          </w:tcPr>
          <w:p>
            <w:pPr>
              <w:spacing w:after="0"/>
              <w:rPr>
                <w:sz w:val="6"/>
                <w:szCs w:val="6"/>
                <w:color w:val="auto"/>
              </w:rPr>
            </w:pPr>
          </w:p>
        </w:tc>
        <w:tc>
          <w:tcPr>
            <w:tcW w:w="340" w:type="dxa"/>
            <w:vAlign w:val="bottom"/>
            <w:tcBorders>
              <w:bottom w:val="single" w:sz="8" w:color="CCECFF"/>
            </w:tcBorders>
            <w:vMerge w:val="continue"/>
            <w:shd w:val="clear" w:color="auto" w:fill="CCECFF"/>
          </w:tcPr>
          <w:p>
            <w:pPr>
              <w:spacing w:after="0"/>
              <w:rPr>
                <w:sz w:val="6"/>
                <w:szCs w:val="6"/>
                <w:color w:val="auto"/>
              </w:rPr>
            </w:pPr>
          </w:p>
        </w:tc>
        <w:tc>
          <w:tcPr>
            <w:tcW w:w="140" w:type="dxa"/>
            <w:vAlign w:val="bottom"/>
            <w:tcBorders>
              <w:bottom w:val="single" w:sz="8" w:color="CCECFF"/>
            </w:tcBorders>
            <w:shd w:val="clear" w:color="auto" w:fill="CCECFF"/>
          </w:tcPr>
          <w:p>
            <w:pPr>
              <w:spacing w:after="0"/>
              <w:rPr>
                <w:sz w:val="6"/>
                <w:szCs w:val="6"/>
                <w:color w:val="auto"/>
              </w:rPr>
            </w:pPr>
          </w:p>
        </w:tc>
        <w:tc>
          <w:tcPr>
            <w:tcW w:w="80" w:type="dxa"/>
            <w:vAlign w:val="bottom"/>
            <w:tcBorders>
              <w:bottom w:val="single" w:sz="8" w:color="CCECFF"/>
            </w:tcBorders>
            <w:shd w:val="clear" w:color="auto" w:fill="CCECFF"/>
          </w:tcPr>
          <w:p>
            <w:pPr>
              <w:spacing w:after="0"/>
              <w:rPr>
                <w:sz w:val="6"/>
                <w:szCs w:val="6"/>
                <w:color w:val="auto"/>
              </w:rPr>
            </w:pPr>
          </w:p>
        </w:tc>
        <w:tc>
          <w:tcPr>
            <w:tcW w:w="340" w:type="dxa"/>
            <w:vAlign w:val="bottom"/>
            <w:tcBorders>
              <w:bottom w:val="single" w:sz="8" w:color="CCECFF"/>
            </w:tcBorders>
            <w:vMerge w:val="continue"/>
            <w:shd w:val="clear" w:color="auto" w:fill="CCECFF"/>
          </w:tcPr>
          <w:p>
            <w:pPr>
              <w:spacing w:after="0"/>
              <w:rPr>
                <w:sz w:val="6"/>
                <w:szCs w:val="6"/>
                <w:color w:val="auto"/>
              </w:rPr>
            </w:pPr>
          </w:p>
        </w:tc>
        <w:tc>
          <w:tcPr>
            <w:tcW w:w="80" w:type="dxa"/>
            <w:vAlign w:val="bottom"/>
            <w:tcBorders>
              <w:bottom w:val="single" w:sz="8" w:color="CCECFF"/>
            </w:tcBorders>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STG Distribution, LLC - Second Out Term Loans </w:t>
            </w:r>
            <w:r>
              <w:rPr>
                <w:rFonts w:ascii="Times New Roman" w:cs="Times New Roman" w:eastAsia="Times New Roman" w:hAnsi="Times New Roman"/>
                <w:sz w:val="10"/>
                <w:szCs w:val="10"/>
                <w:color w:val="auto"/>
                <w:vertAlign w:val="superscript"/>
              </w:rPr>
              <w:t>(4),(5)</w:t>
            </w:r>
          </w:p>
        </w:tc>
        <w:tc>
          <w:tcPr>
            <w:tcW w:w="5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5/22/2025</w:t>
            </w:r>
          </w:p>
        </w:tc>
        <w:tc>
          <w:tcPr>
            <w:tcW w:w="780" w:type="dxa"/>
            <w:vAlign w:val="bottom"/>
          </w:tcPr>
          <w:p>
            <w:pPr>
              <w:jc w:val="center"/>
              <w:ind w:right="140"/>
              <w:spacing w:after="0"/>
              <w:rPr>
                <w:sz w:val="20"/>
                <w:szCs w:val="20"/>
                <w:color w:val="auto"/>
              </w:rPr>
            </w:pPr>
            <w:r>
              <w:rPr>
                <w:rFonts w:ascii="Times New Roman" w:cs="Times New Roman" w:eastAsia="Times New Roman" w:hAnsi="Times New Roman"/>
                <w:sz w:val="8"/>
                <w:szCs w:val="8"/>
                <w:color w:val="auto"/>
                <w:w w:val="98"/>
              </w:rPr>
              <w:t>10/3/2029</w:t>
            </w: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Air Freight and Logistics</w:t>
            </w:r>
          </w:p>
        </w:tc>
        <w:tc>
          <w:tcPr>
            <w:tcW w:w="420" w:type="dxa"/>
            <w:vAlign w:val="bottom"/>
          </w:tcPr>
          <w:p>
            <w:pPr>
              <w:spacing w:after="0"/>
              <w:rPr>
                <w:sz w:val="8"/>
                <w:szCs w:val="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4,559</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2,562</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SV-Aero Holdings, LLC</w:t>
            </w:r>
          </w:p>
        </w:tc>
        <w:tc>
          <w:tcPr>
            <w:tcW w:w="5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10/31/2024</w:t>
            </w:r>
          </w:p>
        </w:tc>
        <w:tc>
          <w:tcPr>
            <w:tcW w:w="780" w:type="dxa"/>
            <w:vAlign w:val="bottom"/>
            <w:shd w:val="clear" w:color="auto" w:fill="CCECFF"/>
          </w:tcPr>
          <w:p>
            <w:pPr>
              <w:jc w:val="center"/>
              <w:ind w:right="140"/>
              <w:spacing w:after="0"/>
              <w:rPr>
                <w:sz w:val="20"/>
                <w:szCs w:val="20"/>
                <w:color w:val="auto"/>
              </w:rPr>
            </w:pPr>
            <w:r>
              <w:rPr>
                <w:rFonts w:ascii="Times New Roman" w:cs="Times New Roman" w:eastAsia="Times New Roman" w:hAnsi="Times New Roman"/>
                <w:sz w:val="8"/>
                <w:szCs w:val="8"/>
                <w:color w:val="auto"/>
                <w:w w:val="98"/>
              </w:rPr>
              <w:t>11/1/2030</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42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8.67%</w:t>
            </w: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14,625</w:t>
            </w: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14,563</w:t>
            </w: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14,625</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Systems Planning And Analysis, Inc.</w:t>
            </w:r>
          </w:p>
        </w:tc>
        <w:tc>
          <w:tcPr>
            <w:tcW w:w="5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3/15/2022</w:t>
            </w:r>
          </w:p>
        </w:tc>
        <w:tc>
          <w:tcPr>
            <w:tcW w:w="780" w:type="dxa"/>
            <w:vAlign w:val="bottom"/>
          </w:tcPr>
          <w:p>
            <w:pPr>
              <w:jc w:val="center"/>
              <w:ind w:right="140"/>
              <w:spacing w:after="0"/>
              <w:rPr>
                <w:sz w:val="20"/>
                <w:szCs w:val="20"/>
                <w:color w:val="auto"/>
              </w:rPr>
            </w:pPr>
            <w:r>
              <w:rPr>
                <w:rFonts w:ascii="Times New Roman" w:cs="Times New Roman" w:eastAsia="Times New Roman" w:hAnsi="Times New Roman"/>
                <w:sz w:val="8"/>
                <w:szCs w:val="8"/>
                <w:color w:val="auto"/>
                <w:w w:val="98"/>
              </w:rPr>
              <w:t>8/16/2027</w:t>
            </w: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42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8.42%</w:t>
            </w:r>
          </w:p>
        </w:tc>
        <w:tc>
          <w:tcPr>
            <w:tcW w:w="300" w:type="dxa"/>
            <w:vAlign w:val="bottom"/>
          </w:tcPr>
          <w:p>
            <w:pPr>
              <w:spacing w:after="0"/>
              <w:rPr>
                <w:sz w:val="8"/>
                <w:szCs w:val="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14,400</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14,317</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14,357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Commercial Services &amp;</w:t>
            </w: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TMII Enterprises, LLC</w:t>
            </w:r>
          </w:p>
        </w:tc>
        <w:tc>
          <w:tcPr>
            <w:tcW w:w="5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4/11/2023</w:t>
            </w:r>
          </w:p>
        </w:tc>
        <w:tc>
          <w:tcPr>
            <w:tcW w:w="780" w:type="dxa"/>
            <w:vAlign w:val="bottom"/>
            <w:shd w:val="clear" w:color="auto" w:fill="CCECFF"/>
          </w:tcPr>
          <w:p>
            <w:pPr>
              <w:jc w:val="center"/>
              <w:ind w:right="140"/>
              <w:spacing w:after="0"/>
              <w:rPr>
                <w:sz w:val="20"/>
                <w:szCs w:val="20"/>
                <w:color w:val="auto"/>
              </w:rPr>
            </w:pPr>
            <w:r>
              <w:rPr>
                <w:rFonts w:ascii="Times New Roman" w:cs="Times New Roman" w:eastAsia="Times New Roman" w:hAnsi="Times New Roman"/>
                <w:sz w:val="8"/>
                <w:szCs w:val="8"/>
                <w:color w:val="auto"/>
                <w:w w:val="98"/>
              </w:rPr>
              <w:t>12/22/2028</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Supplies</w:t>
            </w:r>
          </w:p>
        </w:tc>
        <w:tc>
          <w:tcPr>
            <w:tcW w:w="42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8.22%</w:t>
            </w: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SOFR+450</w:t>
            </w: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2,866</w:t>
            </w: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2,831</w:t>
            </w: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2,866</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TCG 3.0 Jogger Acquisitionco, Inc.</w:t>
            </w:r>
          </w:p>
        </w:tc>
        <w:tc>
          <w:tcPr>
            <w:tcW w:w="5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4/26/2024</w:t>
            </w:r>
          </w:p>
        </w:tc>
        <w:tc>
          <w:tcPr>
            <w:tcW w:w="780" w:type="dxa"/>
            <w:vAlign w:val="bottom"/>
          </w:tcPr>
          <w:p>
            <w:pPr>
              <w:jc w:val="center"/>
              <w:ind w:right="140"/>
              <w:spacing w:after="0"/>
              <w:rPr>
                <w:sz w:val="20"/>
                <w:szCs w:val="20"/>
                <w:color w:val="auto"/>
              </w:rPr>
            </w:pPr>
            <w:r>
              <w:rPr>
                <w:rFonts w:ascii="Times New Roman" w:cs="Times New Roman" w:eastAsia="Times New Roman" w:hAnsi="Times New Roman"/>
                <w:sz w:val="8"/>
                <w:szCs w:val="8"/>
                <w:color w:val="auto"/>
                <w:w w:val="98"/>
              </w:rPr>
              <w:t>1/23/2029</w:t>
            </w: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42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10.17%</w:t>
            </w:r>
          </w:p>
        </w:tc>
        <w:tc>
          <w:tcPr>
            <w:tcW w:w="300" w:type="dxa"/>
            <w:vAlign w:val="bottom"/>
          </w:tcPr>
          <w:p>
            <w:pPr>
              <w:spacing w:after="0"/>
              <w:rPr>
                <w:sz w:val="8"/>
                <w:szCs w:val="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SOFR+650</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19,380</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19,146</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19,089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and</w:t>
            </w: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Team Services Group, LLC</w:t>
            </w:r>
          </w:p>
        </w:tc>
        <w:tc>
          <w:tcPr>
            <w:tcW w:w="5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10/4/2022</w:t>
            </w:r>
          </w:p>
        </w:tc>
        <w:tc>
          <w:tcPr>
            <w:tcW w:w="780" w:type="dxa"/>
            <w:vAlign w:val="bottom"/>
            <w:shd w:val="clear" w:color="auto" w:fill="CCECFF"/>
          </w:tcPr>
          <w:p>
            <w:pPr>
              <w:jc w:val="center"/>
              <w:ind w:right="140"/>
              <w:spacing w:after="0"/>
              <w:rPr>
                <w:sz w:val="20"/>
                <w:szCs w:val="20"/>
                <w:color w:val="auto"/>
              </w:rPr>
            </w:pPr>
            <w:r>
              <w:rPr>
                <w:rFonts w:ascii="Times New Roman" w:cs="Times New Roman" w:eastAsia="Times New Roman" w:hAnsi="Times New Roman"/>
                <w:sz w:val="8"/>
                <w:szCs w:val="8"/>
                <w:color w:val="auto"/>
                <w:w w:val="98"/>
              </w:rPr>
              <w:t>12/20/2027</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Pharmaceuticals</w:t>
            </w:r>
          </w:p>
        </w:tc>
        <w:tc>
          <w:tcPr>
            <w:tcW w:w="42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9.09%</w:t>
            </w: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5,314</w:t>
            </w: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5,147</w:t>
            </w: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5,292</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The Bluebird Group, LLC</w:t>
            </w:r>
          </w:p>
        </w:tc>
        <w:tc>
          <w:tcPr>
            <w:tcW w:w="5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w w:val="98"/>
              </w:rPr>
              <w:t>8/9/2021</w:t>
            </w:r>
          </w:p>
        </w:tc>
        <w:tc>
          <w:tcPr>
            <w:tcW w:w="780" w:type="dxa"/>
            <w:vAlign w:val="bottom"/>
          </w:tcPr>
          <w:p>
            <w:pPr>
              <w:jc w:val="center"/>
              <w:ind w:right="140"/>
              <w:spacing w:after="0"/>
              <w:rPr>
                <w:sz w:val="20"/>
                <w:szCs w:val="20"/>
                <w:color w:val="auto"/>
              </w:rPr>
            </w:pPr>
            <w:r>
              <w:rPr>
                <w:rFonts w:ascii="Times New Roman" w:cs="Times New Roman" w:eastAsia="Times New Roman" w:hAnsi="Times New Roman"/>
                <w:sz w:val="8"/>
                <w:szCs w:val="8"/>
                <w:color w:val="auto"/>
                <w:w w:val="98"/>
              </w:rPr>
              <w:t>7/28/2026</w:t>
            </w: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Professional Services</w:t>
            </w:r>
          </w:p>
        </w:tc>
        <w:tc>
          <w:tcPr>
            <w:tcW w:w="42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9.57%</w:t>
            </w:r>
          </w:p>
        </w:tc>
        <w:tc>
          <w:tcPr>
            <w:tcW w:w="300" w:type="dxa"/>
            <w:vAlign w:val="bottom"/>
          </w:tcPr>
          <w:p>
            <w:pPr>
              <w:spacing w:after="0"/>
              <w:rPr>
                <w:sz w:val="8"/>
                <w:szCs w:val="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SOFR+590</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7,214</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7,187</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7,214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Construction and</w:t>
            </w: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The Vertex Companies, LLC</w:t>
            </w:r>
          </w:p>
        </w:tc>
        <w:tc>
          <w:tcPr>
            <w:tcW w:w="5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4/11/2023</w:t>
            </w:r>
          </w:p>
        </w:tc>
        <w:tc>
          <w:tcPr>
            <w:tcW w:w="780" w:type="dxa"/>
            <w:vAlign w:val="bottom"/>
            <w:shd w:val="clear" w:color="auto" w:fill="CCECFF"/>
          </w:tcPr>
          <w:p>
            <w:pPr>
              <w:jc w:val="center"/>
              <w:ind w:right="140"/>
              <w:spacing w:after="0"/>
              <w:rPr>
                <w:sz w:val="20"/>
                <w:szCs w:val="20"/>
                <w:color w:val="auto"/>
              </w:rPr>
            </w:pPr>
            <w:r>
              <w:rPr>
                <w:rFonts w:ascii="Times New Roman" w:cs="Times New Roman" w:eastAsia="Times New Roman" w:hAnsi="Times New Roman"/>
                <w:sz w:val="8"/>
                <w:szCs w:val="8"/>
                <w:color w:val="auto"/>
                <w:w w:val="98"/>
              </w:rPr>
              <w:t>8/31/2028</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Engineering</w:t>
            </w:r>
          </w:p>
        </w:tc>
        <w:tc>
          <w:tcPr>
            <w:tcW w:w="42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8.75%</w:t>
            </w: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17,438</w:t>
            </w: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17,283</w:t>
            </w: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17,333</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Consumer Goods: Non-</w:t>
            </w: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TPC US Parent, LLC</w:t>
            </w:r>
          </w:p>
        </w:tc>
        <w:tc>
          <w:tcPr>
            <w:tcW w:w="5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4/11/2023</w:t>
            </w:r>
          </w:p>
        </w:tc>
        <w:tc>
          <w:tcPr>
            <w:tcW w:w="780" w:type="dxa"/>
            <w:vAlign w:val="bottom"/>
          </w:tcPr>
          <w:p>
            <w:pPr>
              <w:jc w:val="center"/>
              <w:ind w:right="140"/>
              <w:spacing w:after="0"/>
              <w:rPr>
                <w:sz w:val="20"/>
                <w:szCs w:val="20"/>
                <w:color w:val="auto"/>
              </w:rPr>
            </w:pPr>
            <w:r>
              <w:rPr>
                <w:rFonts w:ascii="Times New Roman" w:cs="Times New Roman" w:eastAsia="Times New Roman" w:hAnsi="Times New Roman"/>
                <w:sz w:val="8"/>
                <w:szCs w:val="8"/>
                <w:color w:val="auto"/>
                <w:w w:val="98"/>
              </w:rPr>
              <w:t>2/23/2026</w:t>
            </w: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Durable</w:t>
            </w:r>
          </w:p>
        </w:tc>
        <w:tc>
          <w:tcPr>
            <w:tcW w:w="42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9.89%</w:t>
            </w:r>
          </w:p>
        </w:tc>
        <w:tc>
          <w:tcPr>
            <w:tcW w:w="300" w:type="dxa"/>
            <w:vAlign w:val="bottom"/>
          </w:tcPr>
          <w:p>
            <w:pPr>
              <w:spacing w:after="0"/>
              <w:rPr>
                <w:sz w:val="8"/>
                <w:szCs w:val="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SOFR+590</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16,313</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16,302</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16,297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Transgo, LLC</w:t>
            </w:r>
          </w:p>
        </w:tc>
        <w:tc>
          <w:tcPr>
            <w:tcW w:w="5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1/19/2024</w:t>
            </w:r>
          </w:p>
        </w:tc>
        <w:tc>
          <w:tcPr>
            <w:tcW w:w="780" w:type="dxa"/>
            <w:vAlign w:val="bottom"/>
            <w:shd w:val="clear" w:color="auto" w:fill="CCECFF"/>
          </w:tcPr>
          <w:p>
            <w:pPr>
              <w:jc w:val="center"/>
              <w:ind w:right="140"/>
              <w:spacing w:after="0"/>
              <w:rPr>
                <w:sz w:val="20"/>
                <w:szCs w:val="20"/>
                <w:color w:val="auto"/>
              </w:rPr>
            </w:pPr>
            <w:r>
              <w:rPr>
                <w:rFonts w:ascii="Times New Roman" w:cs="Times New Roman" w:eastAsia="Times New Roman" w:hAnsi="Times New Roman"/>
                <w:sz w:val="8"/>
                <w:szCs w:val="8"/>
                <w:color w:val="auto"/>
                <w:w w:val="98"/>
              </w:rPr>
              <w:t>12/29/2028</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Automotive</w:t>
            </w:r>
          </w:p>
        </w:tc>
        <w:tc>
          <w:tcPr>
            <w:tcW w:w="42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9.47%</w:t>
            </w: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15,830</w:t>
            </w: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15,657</w:t>
            </w: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15,830</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Tyto Athene, LLC</w:t>
            </w:r>
          </w:p>
        </w:tc>
        <w:tc>
          <w:tcPr>
            <w:tcW w:w="5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w w:val="98"/>
              </w:rPr>
              <w:t>5/5/2021</w:t>
            </w:r>
          </w:p>
        </w:tc>
        <w:tc>
          <w:tcPr>
            <w:tcW w:w="780" w:type="dxa"/>
            <w:vAlign w:val="bottom"/>
          </w:tcPr>
          <w:p>
            <w:pPr>
              <w:jc w:val="center"/>
              <w:ind w:right="140"/>
              <w:spacing w:after="0"/>
              <w:rPr>
                <w:sz w:val="20"/>
                <w:szCs w:val="20"/>
                <w:color w:val="auto"/>
              </w:rPr>
            </w:pPr>
            <w:r>
              <w:rPr>
                <w:rFonts w:ascii="Times New Roman" w:cs="Times New Roman" w:eastAsia="Times New Roman" w:hAnsi="Times New Roman"/>
                <w:sz w:val="8"/>
                <w:szCs w:val="8"/>
                <w:color w:val="auto"/>
                <w:w w:val="98"/>
              </w:rPr>
              <w:t>4/3/2028</w:t>
            </w: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IT Services</w:t>
            </w:r>
          </w:p>
        </w:tc>
        <w:tc>
          <w:tcPr>
            <w:tcW w:w="42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8.88%</w:t>
            </w:r>
          </w:p>
        </w:tc>
        <w:tc>
          <w:tcPr>
            <w:tcW w:w="300" w:type="dxa"/>
            <w:vAlign w:val="bottom"/>
          </w:tcPr>
          <w:p>
            <w:pPr>
              <w:spacing w:after="0"/>
              <w:rPr>
                <w:sz w:val="8"/>
                <w:szCs w:val="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SOFR+490</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14,604</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14,545</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14,015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Walker Edison Furniture Company, LLC - Unfunded Term</w:t>
            </w:r>
          </w:p>
        </w:tc>
        <w:tc>
          <w:tcPr>
            <w:tcW w:w="56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11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11"/>
                <w:szCs w:val="11"/>
                <w:color w:val="auto"/>
                <w:vertAlign w:val="subscript"/>
              </w:rPr>
              <w:t>Loan</w:t>
            </w:r>
            <w:r>
              <w:rPr>
                <w:rFonts w:ascii="Times New Roman" w:cs="Times New Roman" w:eastAsia="Times New Roman" w:hAnsi="Times New Roman"/>
                <w:sz w:val="4"/>
                <w:szCs w:val="4"/>
                <w:color w:val="auto"/>
              </w:rPr>
              <w:t xml:space="preserve"> (3),(5)</w:t>
            </w:r>
          </w:p>
        </w:tc>
        <w:tc>
          <w:tcPr>
            <w:tcW w:w="5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8/29/2025</w:t>
            </w:r>
          </w:p>
        </w:tc>
        <w:tc>
          <w:tcPr>
            <w:tcW w:w="780" w:type="dxa"/>
            <w:vAlign w:val="bottom"/>
            <w:shd w:val="clear" w:color="auto" w:fill="CCECFF"/>
          </w:tcPr>
          <w:p>
            <w:pPr>
              <w:jc w:val="center"/>
              <w:ind w:right="140"/>
              <w:spacing w:after="0"/>
              <w:rPr>
                <w:sz w:val="20"/>
                <w:szCs w:val="20"/>
                <w:color w:val="auto"/>
              </w:rPr>
            </w:pPr>
            <w:r>
              <w:rPr>
                <w:rFonts w:ascii="Times New Roman" w:cs="Times New Roman" w:eastAsia="Times New Roman" w:hAnsi="Times New Roman"/>
                <w:sz w:val="8"/>
                <w:szCs w:val="8"/>
                <w:color w:val="auto"/>
                <w:w w:val="98"/>
              </w:rPr>
              <w:t>3/1/2029</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Wholesale</w:t>
            </w: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208</w:t>
            </w: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00" w:type="dxa"/>
            <w:vAlign w:val="bottom"/>
          </w:tcPr>
          <w:p>
            <w:pPr>
              <w:spacing w:after="0" w:line="81" w:lineRule="exact"/>
              <w:rPr>
                <w:sz w:val="20"/>
                <w:szCs w:val="20"/>
                <w:color w:val="auto"/>
              </w:rPr>
            </w:pPr>
            <w:r>
              <w:rPr>
                <w:rFonts w:ascii="Times New Roman" w:cs="Times New Roman" w:eastAsia="Times New Roman" w:hAnsi="Times New Roman"/>
                <w:sz w:val="8"/>
                <w:szCs w:val="8"/>
                <w:color w:val="auto"/>
              </w:rPr>
              <w:t>Walker Edison Furniture Company, LLC - New Money DIP</w:t>
            </w:r>
          </w:p>
        </w:tc>
        <w:tc>
          <w:tcPr>
            <w:tcW w:w="560" w:type="dxa"/>
            <w:vAlign w:val="bottom"/>
            <w:vMerge w:val="restart"/>
          </w:tcPr>
          <w:p>
            <w:pPr>
              <w:jc w:val="center"/>
              <w:ind w:right="20"/>
              <w:spacing w:after="0"/>
              <w:rPr>
                <w:sz w:val="20"/>
                <w:szCs w:val="20"/>
                <w:color w:val="auto"/>
              </w:rPr>
            </w:pPr>
            <w:r>
              <w:rPr>
                <w:rFonts w:ascii="Times New Roman" w:cs="Times New Roman" w:eastAsia="Times New Roman" w:hAnsi="Times New Roman"/>
                <w:sz w:val="8"/>
                <w:szCs w:val="8"/>
                <w:color w:val="auto"/>
              </w:rPr>
              <w:t>8/29/2025</w:t>
            </w: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8"/>
                <w:szCs w:val="8"/>
                <w:color w:val="auto"/>
                <w:w w:val="98"/>
              </w:rPr>
              <w:t>3/1/2029</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8"/>
                <w:szCs w:val="8"/>
                <w:color w:val="auto"/>
              </w:rPr>
              <w:t>Wholesale</w:t>
            </w:r>
          </w:p>
        </w:tc>
        <w:tc>
          <w:tcPr>
            <w:tcW w:w="420" w:type="dxa"/>
            <w:vAlign w:val="bottom"/>
            <w:vMerge w:val="restart"/>
          </w:tcPr>
          <w:p>
            <w:pPr>
              <w:jc w:val="center"/>
              <w:ind w:left="80"/>
              <w:spacing w:after="0"/>
              <w:rPr>
                <w:sz w:val="20"/>
                <w:szCs w:val="20"/>
                <w:color w:val="auto"/>
              </w:rPr>
            </w:pPr>
            <w:r>
              <w:rPr>
                <w:rFonts w:ascii="Times New Roman" w:cs="Times New Roman" w:eastAsia="Times New Roman" w:hAnsi="Times New Roman"/>
                <w:sz w:val="8"/>
                <w:szCs w:val="8"/>
                <w:color w:val="auto"/>
              </w:rPr>
              <w:t>10.00%</w:t>
            </w:r>
          </w:p>
        </w:tc>
        <w:tc>
          <w:tcPr>
            <w:tcW w:w="300" w:type="dxa"/>
            <w:vAlign w:val="bottom"/>
          </w:tcPr>
          <w:p>
            <w:pPr>
              <w:spacing w:after="0"/>
              <w:rPr>
                <w:sz w:val="7"/>
                <w:szCs w:val="7"/>
                <w:color w:val="auto"/>
              </w:rPr>
            </w:pPr>
          </w:p>
        </w:tc>
        <w:tc>
          <w:tcPr>
            <w:tcW w:w="600" w:type="dxa"/>
            <w:vAlign w:val="bottom"/>
          </w:tcPr>
          <w:p>
            <w:pPr>
              <w:ind w:left="420"/>
              <w:spacing w:after="0" w:line="81" w:lineRule="exact"/>
              <w:rPr>
                <w:sz w:val="20"/>
                <w:szCs w:val="20"/>
                <w:color w:val="auto"/>
              </w:rPr>
            </w:pPr>
            <w:r>
              <w:rPr>
                <w:rFonts w:ascii="Times New Roman" w:cs="Times New Roman" w:eastAsia="Times New Roman" w:hAnsi="Times New Roman"/>
                <w:sz w:val="8"/>
                <w:szCs w:val="8"/>
                <w:color w:val="auto"/>
              </w:rPr>
              <w:t>—</w:t>
            </w:r>
          </w:p>
        </w:tc>
        <w:tc>
          <w:tcPr>
            <w:tcW w:w="640" w:type="dxa"/>
            <w:vAlign w:val="bottom"/>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146</w:t>
            </w:r>
          </w:p>
        </w:tc>
        <w:tc>
          <w:tcPr>
            <w:tcW w:w="60" w:type="dxa"/>
            <w:vAlign w:val="bottom"/>
          </w:tcPr>
          <w:p>
            <w:pPr>
              <w:spacing w:after="0"/>
              <w:rPr>
                <w:sz w:val="7"/>
                <w:szCs w:val="7"/>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146</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151</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00" w:type="dxa"/>
            <w:vAlign w:val="bottom"/>
          </w:tcPr>
          <w:p>
            <w:pPr>
              <w:spacing w:after="0"/>
              <w:rPr>
                <w:sz w:val="20"/>
                <w:szCs w:val="20"/>
                <w:color w:val="auto"/>
              </w:rPr>
            </w:pPr>
            <w:r>
              <w:rPr>
                <w:rFonts w:ascii="Times New Roman" w:cs="Times New Roman" w:eastAsia="Times New Roman" w:hAnsi="Times New Roman"/>
                <w:sz w:val="5"/>
                <w:szCs w:val="5"/>
                <w:color w:val="auto"/>
              </w:rPr>
              <w:t>(5)</w:t>
            </w: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w:t>
            </w: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Watchtower Buyer, LLC</w:t>
            </w:r>
          </w:p>
        </w:tc>
        <w:tc>
          <w:tcPr>
            <w:tcW w:w="5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5/20/2024</w:t>
            </w:r>
          </w:p>
        </w:tc>
        <w:tc>
          <w:tcPr>
            <w:tcW w:w="780" w:type="dxa"/>
            <w:vAlign w:val="bottom"/>
            <w:shd w:val="clear" w:color="auto" w:fill="CCECFF"/>
          </w:tcPr>
          <w:p>
            <w:pPr>
              <w:jc w:val="center"/>
              <w:ind w:right="140"/>
              <w:spacing w:after="0"/>
              <w:rPr>
                <w:sz w:val="20"/>
                <w:szCs w:val="20"/>
                <w:color w:val="auto"/>
              </w:rPr>
            </w:pPr>
            <w:r>
              <w:rPr>
                <w:rFonts w:ascii="Times New Roman" w:cs="Times New Roman" w:eastAsia="Times New Roman" w:hAnsi="Times New Roman"/>
                <w:sz w:val="8"/>
                <w:szCs w:val="8"/>
                <w:color w:val="auto"/>
                <w:w w:val="98"/>
              </w:rPr>
              <w:t>12/3/2029</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42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9.67%</w:t>
            </w: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SOFR+600</w:t>
            </w: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12,036</w:t>
            </w: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11,895</w:t>
            </w: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12,036</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Wash &amp; Wax Systems LLC </w:t>
            </w:r>
            <w:r>
              <w:rPr>
                <w:rFonts w:ascii="Times New Roman" w:cs="Times New Roman" w:eastAsia="Times New Roman" w:hAnsi="Times New Roman"/>
                <w:sz w:val="10"/>
                <w:szCs w:val="10"/>
                <w:color w:val="auto"/>
                <w:vertAlign w:val="superscript"/>
              </w:rPr>
              <w:t>(5)</w:t>
            </w:r>
          </w:p>
        </w:tc>
        <w:tc>
          <w:tcPr>
            <w:tcW w:w="5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4/30/2025</w:t>
            </w:r>
          </w:p>
        </w:tc>
        <w:tc>
          <w:tcPr>
            <w:tcW w:w="780" w:type="dxa"/>
            <w:vAlign w:val="bottom"/>
          </w:tcPr>
          <w:p>
            <w:pPr>
              <w:jc w:val="center"/>
              <w:ind w:right="140"/>
              <w:spacing w:after="0"/>
              <w:rPr>
                <w:sz w:val="20"/>
                <w:szCs w:val="20"/>
                <w:color w:val="auto"/>
              </w:rPr>
            </w:pPr>
            <w:r>
              <w:rPr>
                <w:rFonts w:ascii="Times New Roman" w:cs="Times New Roman" w:eastAsia="Times New Roman" w:hAnsi="Times New Roman"/>
                <w:sz w:val="8"/>
                <w:szCs w:val="8"/>
                <w:color w:val="auto"/>
                <w:w w:val="98"/>
              </w:rPr>
              <w:t>4/30/2028</w:t>
            </w: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Automobiles</w:t>
            </w:r>
          </w:p>
        </w:tc>
        <w:tc>
          <w:tcPr>
            <w:tcW w:w="42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rPr>
              <w:t>9.34%</w:t>
            </w:r>
          </w:p>
        </w:tc>
        <w:tc>
          <w:tcPr>
            <w:tcW w:w="300" w:type="dxa"/>
            <w:vAlign w:val="bottom"/>
          </w:tcPr>
          <w:p>
            <w:pPr>
              <w:spacing w:after="0"/>
              <w:rPr>
                <w:sz w:val="8"/>
                <w:szCs w:val="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5,833</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5,924</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5,950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First Lien Secured Debt</w:t>
            </w:r>
          </w:p>
        </w:tc>
        <w:tc>
          <w:tcPr>
            <w:tcW w:w="56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11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7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9"/>
              </w:rPr>
              <w:t>1,206,530</w:t>
            </w:r>
          </w:p>
        </w:tc>
        <w:tc>
          <w:tcPr>
            <w:tcW w:w="220" w:type="dxa"/>
            <w:vAlign w:val="bottom"/>
            <w:gridSpan w:val="2"/>
            <w:shd w:val="clear" w:color="auto" w:fill="CCECFF"/>
          </w:tcPr>
          <w:p>
            <w:pPr>
              <w:jc w:val="right"/>
              <w:ind w:right="7"/>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9"/>
              </w:rPr>
              <w:t>1,181,870</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Subordinate Debt - 9.2% of Net Assets</w:t>
            </w: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w:t>
            </w: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Integrative Nutrition, LLC</w:t>
            </w:r>
          </w:p>
        </w:tc>
        <w:tc>
          <w:tcPr>
            <w:tcW w:w="5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4/17/2025</w:t>
            </w:r>
          </w:p>
        </w:tc>
        <w:tc>
          <w:tcPr>
            <w:tcW w:w="780" w:type="dxa"/>
            <w:vAlign w:val="bottom"/>
            <w:shd w:val="clear" w:color="auto" w:fill="CCECFF"/>
          </w:tcPr>
          <w:p>
            <w:pPr>
              <w:jc w:val="center"/>
              <w:ind w:right="140"/>
              <w:spacing w:after="0"/>
              <w:rPr>
                <w:sz w:val="20"/>
                <w:szCs w:val="20"/>
                <w:color w:val="auto"/>
              </w:rPr>
            </w:pPr>
            <w:r>
              <w:rPr>
                <w:rFonts w:ascii="Times New Roman" w:cs="Times New Roman" w:eastAsia="Times New Roman" w:hAnsi="Times New Roman"/>
                <w:sz w:val="8"/>
                <w:szCs w:val="8"/>
                <w:color w:val="auto"/>
                <w:w w:val="98"/>
              </w:rPr>
              <w:t>4/15/2030</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1,877</w:t>
            </w: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1,641</w:t>
            </w: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1,605</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w:t>
            </w:r>
          </w:p>
        </w:tc>
        <w:tc>
          <w:tcPr>
            <w:tcW w:w="420" w:type="dxa"/>
            <w:vAlign w:val="bottom"/>
          </w:tcPr>
          <w:p>
            <w:pPr>
              <w:spacing w:after="0"/>
              <w:rPr>
                <w:sz w:val="8"/>
                <w:szCs w:val="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Integrative Nutrition, LLC</w:t>
            </w:r>
          </w:p>
        </w:tc>
        <w:tc>
          <w:tcPr>
            <w:tcW w:w="5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4/17/2025</w:t>
            </w:r>
          </w:p>
        </w:tc>
        <w:tc>
          <w:tcPr>
            <w:tcW w:w="780" w:type="dxa"/>
            <w:vAlign w:val="bottom"/>
          </w:tcPr>
          <w:p>
            <w:pPr>
              <w:jc w:val="center"/>
              <w:ind w:right="140"/>
              <w:spacing w:after="0"/>
              <w:rPr>
                <w:sz w:val="20"/>
                <w:szCs w:val="20"/>
                <w:color w:val="auto"/>
              </w:rPr>
            </w:pPr>
            <w:r>
              <w:rPr>
                <w:rFonts w:ascii="Times New Roman" w:cs="Times New Roman" w:eastAsia="Times New Roman" w:hAnsi="Times New Roman"/>
                <w:sz w:val="8"/>
                <w:szCs w:val="8"/>
                <w:color w:val="auto"/>
                <w:w w:val="98"/>
              </w:rPr>
              <w:t>4/15/2033</w:t>
            </w: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4,275</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1,977</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1,977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Wash &amp; Wax Systems LLC</w:t>
            </w:r>
          </w:p>
        </w:tc>
        <w:tc>
          <w:tcPr>
            <w:tcW w:w="5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4/30/2025</w:t>
            </w:r>
          </w:p>
        </w:tc>
        <w:tc>
          <w:tcPr>
            <w:tcW w:w="780" w:type="dxa"/>
            <w:vAlign w:val="bottom"/>
            <w:shd w:val="clear" w:color="auto" w:fill="CCECFF"/>
          </w:tcPr>
          <w:p>
            <w:pPr>
              <w:jc w:val="center"/>
              <w:ind w:right="140"/>
              <w:spacing w:after="0"/>
              <w:rPr>
                <w:sz w:val="20"/>
                <w:szCs w:val="20"/>
                <w:color w:val="auto"/>
              </w:rPr>
            </w:pPr>
            <w:r>
              <w:rPr>
                <w:rFonts w:ascii="Times New Roman" w:cs="Times New Roman" w:eastAsia="Times New Roman" w:hAnsi="Times New Roman"/>
                <w:sz w:val="8"/>
                <w:szCs w:val="8"/>
                <w:color w:val="auto"/>
                <w:w w:val="98"/>
              </w:rPr>
              <w:t>7/30/2028</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Automobiles</w:t>
            </w:r>
          </w:p>
        </w:tc>
        <w:tc>
          <w:tcPr>
            <w:tcW w:w="42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rPr>
              <w:t>12.00%</w:t>
            </w: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4,052</w:t>
            </w: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4,053</w:t>
            </w: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4,052</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Subordinate Debt</w:t>
            </w: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7,671</w:t>
            </w:r>
          </w:p>
        </w:tc>
        <w:tc>
          <w:tcPr>
            <w:tcW w:w="220" w:type="dxa"/>
            <w:vAlign w:val="bottom"/>
            <w:gridSpan w:val="2"/>
          </w:tcPr>
          <w:p>
            <w:pPr>
              <w:jc w:val="right"/>
              <w:ind w:right="7"/>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7,634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Equity Securities - 6.6% of Net Assets</w:t>
            </w:r>
          </w:p>
        </w:tc>
        <w:tc>
          <w:tcPr>
            <w:tcW w:w="56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11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48Forty Intermediate Holdings, Inc. - Common Equity</w:t>
            </w:r>
          </w:p>
        </w:tc>
        <w:tc>
          <w:tcPr>
            <w:tcW w:w="5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11/5/2024</w:t>
            </w:r>
          </w:p>
        </w:tc>
        <w:tc>
          <w:tcPr>
            <w:tcW w:w="780" w:type="dxa"/>
            <w:vAlign w:val="bottom"/>
          </w:tcPr>
          <w:p>
            <w:pPr>
              <w:ind w:left="540"/>
              <w:spacing w:after="0"/>
              <w:rPr>
                <w:sz w:val="20"/>
                <w:szCs w:val="20"/>
                <w:color w:val="auto"/>
              </w:rPr>
            </w:pPr>
            <w:r>
              <w:rPr>
                <w:rFonts w:ascii="Times New Roman" w:cs="Times New Roman" w:eastAsia="Times New Roman" w:hAnsi="Times New Roman"/>
                <w:sz w:val="8"/>
                <w:szCs w:val="8"/>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Containers and Packaging</w:t>
            </w:r>
          </w:p>
        </w:tc>
        <w:tc>
          <w:tcPr>
            <w:tcW w:w="420" w:type="dxa"/>
            <w:vAlign w:val="bottom"/>
          </w:tcPr>
          <w:p>
            <w:pPr>
              <w:spacing w:after="0"/>
              <w:rPr>
                <w:sz w:val="8"/>
                <w:szCs w:val="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1,722</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78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8"/>
                <w:szCs w:val="8"/>
                <w:color w:val="auto"/>
              </w:rPr>
              <w:t>—</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w:t>
            </w: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New Insight Holdings, Inc. - Common Equity</w:t>
            </w:r>
          </w:p>
        </w:tc>
        <w:tc>
          <w:tcPr>
            <w:tcW w:w="5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7/15/2024</w:t>
            </w:r>
          </w:p>
        </w:tc>
        <w:tc>
          <w:tcPr>
            <w:tcW w:w="780" w:type="dxa"/>
            <w:vAlign w:val="bottom"/>
            <w:shd w:val="clear" w:color="auto" w:fill="CCECFF"/>
          </w:tcPr>
          <w:p>
            <w:pPr>
              <w:spacing w:after="0"/>
              <w:rPr>
                <w:sz w:val="8"/>
                <w:szCs w:val="8"/>
                <w:color w:val="auto"/>
              </w:rPr>
            </w:pP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116,055</w:t>
            </w: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2,031</w:t>
            </w: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1,322</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Output Services Group, Inc. - Common Equity</w:t>
            </w:r>
          </w:p>
        </w:tc>
        <w:tc>
          <w:tcPr>
            <w:tcW w:w="5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12/1/2023</w:t>
            </w:r>
          </w:p>
        </w:tc>
        <w:tc>
          <w:tcPr>
            <w:tcW w:w="780" w:type="dxa"/>
            <w:vAlign w:val="bottom"/>
          </w:tcPr>
          <w:p>
            <w:pPr>
              <w:ind w:left="540"/>
              <w:spacing w:after="0"/>
              <w:rPr>
                <w:sz w:val="20"/>
                <w:szCs w:val="20"/>
                <w:color w:val="auto"/>
              </w:rPr>
            </w:pPr>
            <w:r>
              <w:rPr>
                <w:rFonts w:ascii="Times New Roman" w:cs="Times New Roman" w:eastAsia="Times New Roman" w:hAnsi="Times New Roman"/>
                <w:sz w:val="8"/>
                <w:szCs w:val="8"/>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420" w:type="dxa"/>
            <w:vAlign w:val="bottom"/>
          </w:tcPr>
          <w:p>
            <w:pPr>
              <w:spacing w:after="0"/>
              <w:rPr>
                <w:sz w:val="8"/>
                <w:szCs w:val="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126,324</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1,012</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808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Pragmatic Holdco, Inc. - Common Equity</w:t>
            </w:r>
          </w:p>
        </w:tc>
        <w:tc>
          <w:tcPr>
            <w:tcW w:w="5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3/28/2025</w:t>
            </w:r>
          </w:p>
        </w:tc>
        <w:tc>
          <w:tcPr>
            <w:tcW w:w="78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8"/>
                <w:szCs w:val="8"/>
                <w:color w:val="auto"/>
              </w:rPr>
              <w:t>—</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Education</w:t>
            </w: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134</w:t>
            </w: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4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Wash &amp; Wax Group, LP - Common Equity</w:t>
            </w:r>
          </w:p>
        </w:tc>
        <w:tc>
          <w:tcPr>
            <w:tcW w:w="5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4/30/2025</w:t>
            </w:r>
          </w:p>
        </w:tc>
        <w:tc>
          <w:tcPr>
            <w:tcW w:w="780" w:type="dxa"/>
            <w:vAlign w:val="bottom"/>
          </w:tcPr>
          <w:p>
            <w:pPr>
              <w:ind w:left="540"/>
              <w:spacing w:after="0"/>
              <w:rPr>
                <w:sz w:val="20"/>
                <w:szCs w:val="20"/>
                <w:color w:val="auto"/>
              </w:rPr>
            </w:pPr>
            <w:r>
              <w:rPr>
                <w:rFonts w:ascii="Times New Roman" w:cs="Times New Roman" w:eastAsia="Times New Roman" w:hAnsi="Times New Roman"/>
                <w:sz w:val="8"/>
                <w:szCs w:val="8"/>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Automobiles</w:t>
            </w:r>
          </w:p>
        </w:tc>
        <w:tc>
          <w:tcPr>
            <w:tcW w:w="420" w:type="dxa"/>
            <w:vAlign w:val="bottom"/>
          </w:tcPr>
          <w:p>
            <w:pPr>
              <w:spacing w:after="0"/>
              <w:rPr>
                <w:sz w:val="8"/>
                <w:szCs w:val="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2,493</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4,449</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3,118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White Tiger Newco, LLC - Common Equity </w:t>
            </w:r>
            <w:r>
              <w:rPr>
                <w:rFonts w:ascii="Times New Roman" w:cs="Times New Roman" w:eastAsia="Times New Roman" w:hAnsi="Times New Roman"/>
                <w:sz w:val="10"/>
                <w:szCs w:val="10"/>
                <w:color w:val="auto"/>
                <w:vertAlign w:val="superscript"/>
              </w:rPr>
              <w:t>(5)</w:t>
            </w:r>
          </w:p>
        </w:tc>
        <w:tc>
          <w:tcPr>
            <w:tcW w:w="5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7/31/2025</w:t>
            </w:r>
          </w:p>
        </w:tc>
        <w:tc>
          <w:tcPr>
            <w:tcW w:w="78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8"/>
                <w:szCs w:val="8"/>
                <w:color w:val="auto"/>
              </w:rPr>
              <w:t>—</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Automobiles</w:t>
            </w: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35,834</w:t>
            </w: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2,734</w:t>
            </w: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264</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Equity Securities</w:t>
            </w: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10,226</w:t>
            </w:r>
          </w:p>
        </w:tc>
        <w:tc>
          <w:tcPr>
            <w:tcW w:w="220" w:type="dxa"/>
            <w:vAlign w:val="bottom"/>
            <w:gridSpan w:val="2"/>
          </w:tcPr>
          <w:p>
            <w:pPr>
              <w:jc w:val="right"/>
              <w:ind w:right="7"/>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5,512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b w:val="1"/>
                <w:bCs w:val="1"/>
                <w:color w:val="auto"/>
              </w:rPr>
              <w:t xml:space="preserve">Total Investments - 1,438.5% of Net Assets </w:t>
            </w:r>
            <w:r>
              <w:rPr>
                <w:rFonts w:ascii="Times New Roman" w:cs="Times New Roman" w:eastAsia="Times New Roman" w:hAnsi="Times New Roman"/>
                <w:sz w:val="10"/>
                <w:szCs w:val="10"/>
                <w:b w:val="1"/>
                <w:bCs w:val="1"/>
                <w:color w:val="auto"/>
                <w:vertAlign w:val="superscript"/>
              </w:rPr>
              <w:t>(6)(7)</w:t>
            </w:r>
          </w:p>
        </w:tc>
        <w:tc>
          <w:tcPr>
            <w:tcW w:w="56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11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7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9"/>
              </w:rPr>
              <w:t>1,224,427</w:t>
            </w:r>
          </w:p>
        </w:tc>
        <w:tc>
          <w:tcPr>
            <w:tcW w:w="220" w:type="dxa"/>
            <w:vAlign w:val="bottom"/>
            <w:gridSpan w:val="2"/>
            <w:shd w:val="clear" w:color="auto" w:fill="CCECFF"/>
          </w:tcPr>
          <w:p>
            <w:pPr>
              <w:jc w:val="right"/>
              <w:ind w:right="7"/>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9"/>
              </w:rPr>
              <w:t>1,195,016</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Cash Equivalents - 22.7% of Net Assets</w:t>
            </w:r>
          </w:p>
        </w:tc>
        <w:tc>
          <w:tcPr>
            <w:tcW w:w="56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11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BlackRock Federal FD Institutional 81 ( Money Market</w:t>
            </w: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Fund)</w:t>
            </w: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w w:val="86"/>
              </w:rPr>
              <w:t>3.69%</w:t>
            </w:r>
          </w:p>
        </w:tc>
        <w:tc>
          <w:tcPr>
            <w:tcW w:w="600" w:type="dxa"/>
            <w:vAlign w:val="bottom"/>
          </w:tcPr>
          <w:p>
            <w:pPr>
              <w:spacing w:after="0"/>
              <w:rPr>
                <w:sz w:val="8"/>
                <w:szCs w:val="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3,715</w:t>
            </w:r>
          </w:p>
        </w:tc>
        <w:tc>
          <w:tcPr>
            <w:tcW w:w="220" w:type="dxa"/>
            <w:vAlign w:val="bottom"/>
            <w:gridSpan w:val="2"/>
          </w:tcPr>
          <w:p>
            <w:pPr>
              <w:jc w:val="right"/>
              <w:ind w:right="7"/>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3,715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Blackrock Liquidity Fed Fund Inst (Money Market Fund)</w:t>
            </w:r>
          </w:p>
        </w:tc>
        <w:tc>
          <w:tcPr>
            <w:tcW w:w="56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11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jc w:val="right"/>
              <w:ind w:right="60"/>
              <w:spacing w:after="0"/>
              <w:rPr>
                <w:sz w:val="20"/>
                <w:szCs w:val="20"/>
                <w:color w:val="auto"/>
              </w:rPr>
            </w:pPr>
            <w:r>
              <w:rPr>
                <w:rFonts w:ascii="Times New Roman" w:cs="Times New Roman" w:eastAsia="Times New Roman" w:hAnsi="Times New Roman"/>
                <w:sz w:val="8"/>
                <w:szCs w:val="8"/>
                <w:color w:val="auto"/>
                <w:w w:val="86"/>
              </w:rPr>
              <w:t>3.64%</w:t>
            </w:r>
          </w:p>
        </w:tc>
        <w:tc>
          <w:tcPr>
            <w:tcW w:w="6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3,635</w:t>
            </w: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3,635</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JP Morgan USD Liquidity Inst (Money Market Fund)</w:t>
            </w: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w w:val="86"/>
              </w:rPr>
              <w:t>3.81%</w:t>
            </w: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4,293</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4,293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JP Morgan US Government Fund (Money Market Fund)</w:t>
            </w:r>
          </w:p>
        </w:tc>
        <w:tc>
          <w:tcPr>
            <w:tcW w:w="56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11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jc w:val="right"/>
              <w:ind w:right="60"/>
              <w:spacing w:after="0"/>
              <w:rPr>
                <w:sz w:val="20"/>
                <w:szCs w:val="20"/>
                <w:color w:val="auto"/>
              </w:rPr>
            </w:pPr>
            <w:r>
              <w:rPr>
                <w:rFonts w:ascii="Times New Roman" w:cs="Times New Roman" w:eastAsia="Times New Roman" w:hAnsi="Times New Roman"/>
                <w:sz w:val="8"/>
                <w:szCs w:val="8"/>
                <w:color w:val="auto"/>
                <w:w w:val="86"/>
              </w:rPr>
              <w:t>3.61%</w:t>
            </w:r>
          </w:p>
        </w:tc>
        <w:tc>
          <w:tcPr>
            <w:tcW w:w="6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2,206</w:t>
            </w: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2,206</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Goldman Sachs Financial Square Government Fund (Money</w:t>
            </w: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Market Fund)</w:t>
            </w: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w w:val="86"/>
              </w:rPr>
              <w:t>3.71%</w:t>
            </w: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5,014</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5,014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Cash Equivalents</w:t>
            </w:r>
          </w:p>
        </w:tc>
        <w:tc>
          <w:tcPr>
            <w:tcW w:w="56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11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7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18,863</w:t>
            </w:r>
          </w:p>
        </w:tc>
        <w:tc>
          <w:tcPr>
            <w:tcW w:w="220" w:type="dxa"/>
            <w:vAlign w:val="bottom"/>
            <w:gridSpan w:val="2"/>
            <w:shd w:val="clear" w:color="auto" w:fill="CCECFF"/>
          </w:tcPr>
          <w:p>
            <w:pPr>
              <w:jc w:val="right"/>
              <w:ind w:right="7"/>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18,863</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Cash - 17.9% of Net Assets</w:t>
            </w: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Cash</w:t>
            </w:r>
          </w:p>
        </w:tc>
        <w:tc>
          <w:tcPr>
            <w:tcW w:w="56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11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7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14,853</w:t>
            </w:r>
          </w:p>
        </w:tc>
        <w:tc>
          <w:tcPr>
            <w:tcW w:w="220" w:type="dxa"/>
            <w:vAlign w:val="bottom"/>
            <w:gridSpan w:val="2"/>
            <w:shd w:val="clear" w:color="auto" w:fill="CCECFF"/>
          </w:tcPr>
          <w:p>
            <w:pPr>
              <w:jc w:val="right"/>
              <w:ind w:right="7"/>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14,853</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Cash</w:t>
            </w: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14,853</w:t>
            </w:r>
          </w:p>
        </w:tc>
        <w:tc>
          <w:tcPr>
            <w:tcW w:w="220" w:type="dxa"/>
            <w:vAlign w:val="bottom"/>
            <w:gridSpan w:val="2"/>
          </w:tcPr>
          <w:p>
            <w:pPr>
              <w:jc w:val="right"/>
              <w:ind w:right="7"/>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14,853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Investments, Cash Equivalents, and Cash</w:t>
            </w:r>
          </w:p>
        </w:tc>
        <w:tc>
          <w:tcPr>
            <w:tcW w:w="56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11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700" w:type="dxa"/>
            <w:vAlign w:val="bottom"/>
            <w:gridSpan w:val="2"/>
            <w:vMerge w:val="restart"/>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9"/>
              </w:rPr>
              <w:t>1,258,143</w:t>
            </w:r>
          </w:p>
        </w:tc>
        <w:tc>
          <w:tcPr>
            <w:tcW w:w="220" w:type="dxa"/>
            <w:vAlign w:val="bottom"/>
            <w:gridSpan w:val="2"/>
            <w:vMerge w:val="restart"/>
            <w:shd w:val="clear" w:color="auto" w:fill="CCECFF"/>
          </w:tcPr>
          <w:p>
            <w:pPr>
              <w:jc w:val="right"/>
              <w:ind w:right="7"/>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9"/>
              </w:rPr>
              <w:t>1,228,732</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00" w:type="dxa"/>
            <w:vAlign w:val="bottom"/>
            <w:shd w:val="clear" w:color="auto" w:fill="CCECFF"/>
          </w:tcPr>
          <w:p>
            <w:pPr>
              <w:spacing w:after="0" w:line="62" w:lineRule="exact"/>
              <w:rPr>
                <w:sz w:val="20"/>
                <w:szCs w:val="20"/>
                <w:color w:val="auto"/>
              </w:rPr>
            </w:pPr>
            <w:r>
              <w:rPr>
                <w:rFonts w:ascii="Times New Roman" w:cs="Times New Roman" w:eastAsia="Times New Roman" w:hAnsi="Times New Roman"/>
                <w:sz w:val="7"/>
                <w:szCs w:val="7"/>
                <w:b w:val="1"/>
                <w:bCs w:val="1"/>
                <w:color w:val="auto"/>
              </w:rPr>
              <w:t>—1,479.1% of Net Assets</w:t>
            </w:r>
          </w:p>
        </w:tc>
        <w:tc>
          <w:tcPr>
            <w:tcW w:w="5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1120" w:type="dxa"/>
            <w:vAlign w:val="bottom"/>
            <w:shd w:val="clear" w:color="auto" w:fill="CCECFF"/>
          </w:tcPr>
          <w:p>
            <w:pPr>
              <w:spacing w:after="0"/>
              <w:rPr>
                <w:sz w:val="9"/>
                <w:szCs w:val="9"/>
                <w:color w:val="auto"/>
              </w:rPr>
            </w:pPr>
          </w:p>
        </w:tc>
        <w:tc>
          <w:tcPr>
            <w:tcW w:w="42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700" w:type="dxa"/>
            <w:vAlign w:val="bottom"/>
            <w:gridSpan w:val="2"/>
            <w:vMerge w:val="continue"/>
            <w:shd w:val="clear" w:color="auto" w:fill="CCECFF"/>
          </w:tcPr>
          <w:p>
            <w:pPr>
              <w:spacing w:after="0"/>
              <w:rPr>
                <w:sz w:val="9"/>
                <w:szCs w:val="9"/>
                <w:color w:val="auto"/>
              </w:rPr>
            </w:pPr>
          </w:p>
        </w:tc>
        <w:tc>
          <w:tcPr>
            <w:tcW w:w="340" w:type="dxa"/>
            <w:vAlign w:val="bottom"/>
            <w:vMerge w:val="continue"/>
            <w:shd w:val="clear" w:color="auto" w:fill="CCECFF"/>
          </w:tcPr>
          <w:p>
            <w:pPr>
              <w:spacing w:after="0"/>
              <w:rPr>
                <w:sz w:val="9"/>
                <w:szCs w:val="9"/>
                <w:color w:val="auto"/>
              </w:rPr>
            </w:pPr>
          </w:p>
        </w:tc>
        <w:tc>
          <w:tcPr>
            <w:tcW w:w="220" w:type="dxa"/>
            <w:vAlign w:val="bottom"/>
            <w:gridSpan w:val="2"/>
            <w:vMerge w:val="continue"/>
            <w:shd w:val="clear" w:color="auto" w:fill="CCECFF"/>
          </w:tcPr>
          <w:p>
            <w:pPr>
              <w:spacing w:after="0"/>
              <w:rPr>
                <w:sz w:val="9"/>
                <w:szCs w:val="9"/>
                <w:color w:val="auto"/>
              </w:rPr>
            </w:pPr>
          </w:p>
        </w:tc>
        <w:tc>
          <w:tcPr>
            <w:tcW w:w="340" w:type="dxa"/>
            <w:vAlign w:val="bottom"/>
            <w:vMerge w:val="continue"/>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00" w:type="dxa"/>
            <w:vAlign w:val="bottom"/>
            <w:tcBorders>
              <w:top w:val="single" w:sz="8" w:color="CCECFF"/>
            </w:tcBorders>
          </w:tcPr>
          <w:p>
            <w:pPr>
              <w:spacing w:after="0" w:line="70" w:lineRule="exact"/>
              <w:rPr>
                <w:sz w:val="20"/>
                <w:szCs w:val="20"/>
                <w:color w:val="auto"/>
              </w:rPr>
            </w:pPr>
            <w:r>
              <w:rPr>
                <w:rFonts w:ascii="Times New Roman" w:cs="Times New Roman" w:eastAsia="Times New Roman" w:hAnsi="Times New Roman"/>
                <w:sz w:val="8"/>
                <w:szCs w:val="8"/>
                <w:b w:val="1"/>
                <w:bCs w:val="1"/>
                <w:color w:val="auto"/>
              </w:rPr>
              <w:t>Liabilities in Excess of Other Assets — (1,379.1)% of</w:t>
            </w:r>
          </w:p>
        </w:tc>
        <w:tc>
          <w:tcPr>
            <w:tcW w:w="560" w:type="dxa"/>
            <w:vAlign w:val="bottom"/>
            <w:tcBorders>
              <w:top w:val="single" w:sz="8" w:color="CCECFF"/>
            </w:tcBorders>
          </w:tcPr>
          <w:p>
            <w:pPr>
              <w:spacing w:after="0"/>
              <w:rPr>
                <w:sz w:val="6"/>
                <w:szCs w:val="6"/>
                <w:color w:val="auto"/>
              </w:rPr>
            </w:pPr>
          </w:p>
        </w:tc>
        <w:tc>
          <w:tcPr>
            <w:tcW w:w="780" w:type="dxa"/>
            <w:vAlign w:val="bottom"/>
            <w:tcBorders>
              <w:top w:val="single" w:sz="8" w:color="CCECFF"/>
            </w:tcBorders>
          </w:tcPr>
          <w:p>
            <w:pPr>
              <w:spacing w:after="0"/>
              <w:rPr>
                <w:sz w:val="6"/>
                <w:szCs w:val="6"/>
                <w:color w:val="auto"/>
              </w:rPr>
            </w:pPr>
          </w:p>
        </w:tc>
        <w:tc>
          <w:tcPr>
            <w:tcW w:w="1120" w:type="dxa"/>
            <w:vAlign w:val="bottom"/>
            <w:tcBorders>
              <w:top w:val="single" w:sz="8" w:color="CCECFF"/>
            </w:tcBorders>
          </w:tcPr>
          <w:p>
            <w:pPr>
              <w:spacing w:after="0"/>
              <w:rPr>
                <w:sz w:val="6"/>
                <w:szCs w:val="6"/>
                <w:color w:val="auto"/>
              </w:rPr>
            </w:pPr>
          </w:p>
        </w:tc>
        <w:tc>
          <w:tcPr>
            <w:tcW w:w="420" w:type="dxa"/>
            <w:vAlign w:val="bottom"/>
            <w:tcBorders>
              <w:top w:val="single" w:sz="8" w:color="CCECFF"/>
            </w:tcBorders>
          </w:tcPr>
          <w:p>
            <w:pPr>
              <w:spacing w:after="0"/>
              <w:rPr>
                <w:sz w:val="6"/>
                <w:szCs w:val="6"/>
                <w:color w:val="auto"/>
              </w:rPr>
            </w:pPr>
          </w:p>
        </w:tc>
        <w:tc>
          <w:tcPr>
            <w:tcW w:w="300" w:type="dxa"/>
            <w:vAlign w:val="bottom"/>
            <w:tcBorders>
              <w:top w:val="single" w:sz="8" w:color="CCECFF"/>
            </w:tcBorders>
          </w:tcPr>
          <w:p>
            <w:pPr>
              <w:spacing w:after="0"/>
              <w:rPr>
                <w:sz w:val="6"/>
                <w:szCs w:val="6"/>
                <w:color w:val="auto"/>
              </w:rPr>
            </w:pPr>
          </w:p>
        </w:tc>
        <w:tc>
          <w:tcPr>
            <w:tcW w:w="600" w:type="dxa"/>
            <w:vAlign w:val="bottom"/>
            <w:tcBorders>
              <w:top w:val="single" w:sz="8" w:color="CCECFF"/>
            </w:tcBorders>
          </w:tcPr>
          <w:p>
            <w:pPr>
              <w:spacing w:after="0"/>
              <w:rPr>
                <w:sz w:val="6"/>
                <w:szCs w:val="6"/>
                <w:color w:val="auto"/>
              </w:rPr>
            </w:pPr>
          </w:p>
        </w:tc>
        <w:tc>
          <w:tcPr>
            <w:tcW w:w="640" w:type="dxa"/>
            <w:vAlign w:val="bottom"/>
            <w:tcBorders>
              <w:top w:val="single" w:sz="8" w:color="CCECFF"/>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40" w:type="dxa"/>
            <w:vAlign w:val="bottom"/>
            <w:tcBorders>
              <w:top w:val="single" w:sz="8" w:color="CCEC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jc w:val="right"/>
              <w:spacing w:after="0" w:line="70" w:lineRule="exact"/>
              <w:rPr>
                <w:sz w:val="20"/>
                <w:szCs w:val="20"/>
                <w:color w:val="auto"/>
              </w:rPr>
            </w:pPr>
            <w:r>
              <w:rPr>
                <w:rFonts w:ascii="Times New Roman" w:cs="Times New Roman" w:eastAsia="Times New Roman" w:hAnsi="Times New Roman"/>
                <w:sz w:val="8"/>
                <w:szCs w:val="8"/>
                <w:color w:val="auto"/>
              </w:rPr>
              <w:t>(1,145,65</w:t>
            </w:r>
          </w:p>
        </w:tc>
        <w:tc>
          <w:tcPr>
            <w:tcW w:w="80" w:type="dxa"/>
            <w:vAlign w:val="bottom"/>
            <w:tcBorders>
              <w:top w:val="single" w:sz="8" w:color="CCECFF"/>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Net Assets</w:t>
            </w: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41"/>
        </w:trPr>
        <w:tc>
          <w:tcPr>
            <w:tcW w:w="2000" w:type="dxa"/>
            <w:vAlign w:val="bottom"/>
            <w:tcBorders>
              <w:bottom w:val="single" w:sz="8" w:color="CCECFF"/>
            </w:tcBorders>
            <w:shd w:val="clear" w:color="auto" w:fill="CCECFF"/>
          </w:tcPr>
          <w:p>
            <w:pPr>
              <w:spacing w:after="0" w:line="91" w:lineRule="exact"/>
              <w:rPr>
                <w:sz w:val="20"/>
                <w:szCs w:val="20"/>
                <w:color w:val="auto"/>
              </w:rPr>
            </w:pPr>
            <w:r>
              <w:rPr>
                <w:rFonts w:ascii="Times New Roman" w:cs="Times New Roman" w:eastAsia="Times New Roman" w:hAnsi="Times New Roman"/>
                <w:sz w:val="8"/>
                <w:szCs w:val="8"/>
                <w:b w:val="1"/>
                <w:bCs w:val="1"/>
                <w:color w:val="auto"/>
              </w:rPr>
              <w:t>Members' Equity—100.0%</w:t>
            </w:r>
          </w:p>
        </w:tc>
        <w:tc>
          <w:tcPr>
            <w:tcW w:w="560" w:type="dxa"/>
            <w:vAlign w:val="bottom"/>
            <w:tcBorders>
              <w:bottom w:val="single" w:sz="8" w:color="CCECFF"/>
            </w:tcBorders>
            <w:shd w:val="clear" w:color="auto" w:fill="CCECFF"/>
          </w:tcPr>
          <w:p>
            <w:pPr>
              <w:spacing w:after="0"/>
              <w:rPr>
                <w:sz w:val="12"/>
                <w:szCs w:val="12"/>
                <w:color w:val="auto"/>
              </w:rPr>
            </w:pPr>
          </w:p>
        </w:tc>
        <w:tc>
          <w:tcPr>
            <w:tcW w:w="780" w:type="dxa"/>
            <w:vAlign w:val="bottom"/>
            <w:tcBorders>
              <w:bottom w:val="single" w:sz="8" w:color="CCECFF"/>
            </w:tcBorders>
            <w:shd w:val="clear" w:color="auto" w:fill="CCECFF"/>
          </w:tcPr>
          <w:p>
            <w:pPr>
              <w:spacing w:after="0"/>
              <w:rPr>
                <w:sz w:val="12"/>
                <w:szCs w:val="12"/>
                <w:color w:val="auto"/>
              </w:rPr>
            </w:pPr>
          </w:p>
        </w:tc>
        <w:tc>
          <w:tcPr>
            <w:tcW w:w="1120" w:type="dxa"/>
            <w:vAlign w:val="bottom"/>
            <w:tcBorders>
              <w:bottom w:val="single" w:sz="8" w:color="CCECFF"/>
            </w:tcBorders>
            <w:shd w:val="clear" w:color="auto" w:fill="CCECFF"/>
          </w:tcPr>
          <w:p>
            <w:pPr>
              <w:spacing w:after="0"/>
              <w:rPr>
                <w:sz w:val="12"/>
                <w:szCs w:val="12"/>
                <w:color w:val="auto"/>
              </w:rPr>
            </w:pPr>
          </w:p>
        </w:tc>
        <w:tc>
          <w:tcPr>
            <w:tcW w:w="42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ind w:right="7"/>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83,075</w:t>
            </w:r>
          </w:p>
        </w:tc>
        <w:tc>
          <w:tcPr>
            <w:tcW w:w="8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780" w:right="960"/>
        <w:spacing w:after="0" w:line="238" w:lineRule="auto"/>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8"/>
          <w:szCs w:val="8"/>
          <w:color w:val="auto"/>
        </w:rPr>
        <w:t>Represents floating rate instruments that accrue interest at a predetermined spread relative to an index, typically the applicable Secured Overnight Financing Rate or "SOFR". The spread may change based on the type of rate used. The terms in the Consolidated Schedule of Investments disclose the actual interest rate in effect as of the reporting period. All securities are subject to a SOFR floor where a spread is provided, unless noted. The spread provided includes PIK interest and other fee rates, if any.</w:t>
      </w:r>
    </w:p>
    <w:p>
      <w:pPr>
        <w:ind w:left="780"/>
        <w:spacing w:after="0" w:line="218" w:lineRule="auto"/>
        <w:rPr>
          <w:sz w:val="20"/>
          <w:szCs w:val="20"/>
          <w:color w:val="auto"/>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8"/>
          <w:szCs w:val="8"/>
          <w:color w:val="auto"/>
        </w:rPr>
        <w:t>Valued based on PSSL’s accounting policy.</w:t>
      </w:r>
    </w:p>
    <w:p>
      <w:pPr>
        <w:ind w:left="780"/>
        <w:spacing w:after="0" w:line="211" w:lineRule="auto"/>
        <w:rPr>
          <w:sz w:val="20"/>
          <w:szCs w:val="20"/>
          <w:color w:val="auto"/>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8"/>
          <w:szCs w:val="8"/>
          <w:color w:val="auto"/>
        </w:rPr>
        <w:t>Represents the purchase of a security with a delayed settlement or a revolving line of credit that is currently an unfunded investment. This security does not earn a basis point spread above an index while it is unfunded.</w:t>
      </w:r>
    </w:p>
    <w:p>
      <w:pPr>
        <w:ind w:left="780"/>
        <w:spacing w:after="0" w:line="210" w:lineRule="auto"/>
        <w:rPr>
          <w:sz w:val="20"/>
          <w:szCs w:val="20"/>
          <w:color w:val="auto"/>
        </w:rPr>
      </w:pP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8"/>
          <w:szCs w:val="8"/>
          <w:color w:val="auto"/>
        </w:rPr>
        <w:t>Non-accrual security.</w:t>
      </w:r>
    </w:p>
    <w:p>
      <w:pPr>
        <w:spacing w:after="0" w:line="1" w:lineRule="exact"/>
        <w:rPr>
          <w:sz w:val="20"/>
          <w:szCs w:val="20"/>
          <w:color w:val="auto"/>
        </w:rPr>
      </w:pPr>
    </w:p>
    <w:p>
      <w:pPr>
        <w:ind w:left="780" w:right="820"/>
        <w:spacing w:after="0" w:line="223" w:lineRule="auto"/>
        <w:rPr>
          <w:sz w:val="20"/>
          <w:szCs w:val="20"/>
          <w:color w:val="auto"/>
        </w:rPr>
      </w:pPr>
      <w:r>
        <w:rPr>
          <w:rFonts w:ascii="Times New Roman" w:cs="Times New Roman" w:eastAsia="Times New Roman" w:hAnsi="Times New Roman"/>
          <w:sz w:val="16"/>
          <w:szCs w:val="16"/>
          <w:color w:val="auto"/>
          <w:vertAlign w:val="superscript"/>
        </w:rPr>
        <w:t>(5)</w:t>
      </w:r>
      <w:r>
        <w:rPr>
          <w:rFonts w:ascii="Times New Roman" w:cs="Times New Roman" w:eastAsia="Times New Roman" w:hAnsi="Times New Roman"/>
          <w:sz w:val="8"/>
          <w:szCs w:val="8"/>
          <w:color w:val="auto"/>
        </w:rPr>
        <w:t>The securities, or a portion thereof, 1) are not pledged as collateral under the Credit Facility and held through Funding I; 2) do not secure the 2037-R Asset-Backed Debt and are not held through PennantPark CLO VI, Ltd, 3) do note secure the 2036 Asset-Backed Debt and are not held through PennantPark CLO II, Ltd. and, 4) do not secure the 2037 Asset-Backed Debt and are held through PennantPark CLO 12, LLC.</w:t>
      </w:r>
    </w:p>
    <w:p>
      <w:pPr>
        <w:ind w:left="780"/>
        <w:spacing w:after="0" w:line="218" w:lineRule="auto"/>
        <w:rPr>
          <w:sz w:val="20"/>
          <w:szCs w:val="20"/>
          <w:color w:val="auto"/>
        </w:rPr>
      </w:pPr>
      <w:r>
        <w:rPr>
          <w:rFonts w:ascii="Times New Roman" w:cs="Times New Roman" w:eastAsia="Times New Roman" w:hAnsi="Times New Roman"/>
          <w:sz w:val="16"/>
          <w:szCs w:val="16"/>
          <w:color w:val="auto"/>
          <w:vertAlign w:val="superscript"/>
        </w:rPr>
        <w:t>(6)</w:t>
      </w:r>
      <w:r>
        <w:rPr>
          <w:rFonts w:ascii="Times New Roman" w:cs="Times New Roman" w:eastAsia="Times New Roman" w:hAnsi="Times New Roman"/>
          <w:sz w:val="8"/>
          <w:szCs w:val="8"/>
          <w:color w:val="auto"/>
        </w:rPr>
        <w:t>As of December 31, 2025, all investments were in U.S Companies and total cost, fair value, percentage of Net Assets for the U.S Companies were $1,224.4 million, $1,195.0 million and 1,438.5%.</w:t>
      </w:r>
    </w:p>
    <w:p>
      <w:pPr>
        <w:ind w:left="780"/>
        <w:spacing w:after="0" w:line="201" w:lineRule="auto"/>
        <w:rPr>
          <w:sz w:val="20"/>
          <w:szCs w:val="20"/>
          <w:color w:val="auto"/>
        </w:rPr>
      </w:pPr>
      <w:r>
        <w:rPr>
          <w:rFonts w:ascii="Times New Roman" w:cs="Times New Roman" w:eastAsia="Times New Roman" w:hAnsi="Times New Roman"/>
          <w:sz w:val="16"/>
          <w:szCs w:val="16"/>
          <w:color w:val="auto"/>
          <w:vertAlign w:val="superscript"/>
        </w:rPr>
        <w:t>(7)</w:t>
      </w:r>
      <w:r>
        <w:rPr>
          <w:rFonts w:ascii="Times New Roman" w:cs="Times New Roman" w:eastAsia="Times New Roman" w:hAnsi="Times New Roman"/>
          <w:sz w:val="8"/>
          <w:szCs w:val="8"/>
          <w:color w:val="auto"/>
        </w:rPr>
        <w:t>All of our investments are not registered under the 1933 Act and have restrictions on resale.</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Below is a listing of PSSL’s individual investments as of September 30, 2025 (Par and $ in thousands):</w:t>
      </w:r>
    </w:p>
    <w:p>
      <w:pPr>
        <w:spacing w:after="0" w:line="284"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jc w:val="center"/>
              <w:ind w:left="20"/>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1"/>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b w:val="1"/>
                <w:bCs w:val="1"/>
                <w:color w:val="auto"/>
                <w:w w:val="97"/>
              </w:rPr>
              <w:t>Spread</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Par or</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1"/>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b w:val="1"/>
                <w:bCs w:val="1"/>
                <w:color w:val="auto"/>
                <w:w w:val="99"/>
              </w:rPr>
              <w:t>Current</w:t>
            </w:r>
          </w:p>
        </w:tc>
        <w:tc>
          <w:tcPr>
            <w:tcW w:w="680" w:type="dxa"/>
            <w:vAlign w:val="bottom"/>
          </w:tcPr>
          <w:p>
            <w:pPr>
              <w:jc w:val="center"/>
              <w:ind w:left="20"/>
              <w:spacing w:after="0"/>
              <w:rPr>
                <w:sz w:val="20"/>
                <w:szCs w:val="20"/>
                <w:color w:val="auto"/>
              </w:rPr>
            </w:pPr>
            <w:r>
              <w:rPr>
                <w:rFonts w:ascii="Times New Roman" w:cs="Times New Roman" w:eastAsia="Times New Roman" w:hAnsi="Times New Roman"/>
                <w:sz w:val="8"/>
                <w:szCs w:val="8"/>
                <w:b w:val="1"/>
                <w:bCs w:val="1"/>
                <w:color w:val="auto"/>
              </w:rPr>
              <w:t>Above</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Number</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58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660" w:type="dxa"/>
            <w:vAlign w:val="bottom"/>
          </w:tcPr>
          <w:p>
            <w:pPr>
              <w:ind w:left="14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240" w:type="dxa"/>
            <w:vAlign w:val="bottom"/>
          </w:tcPr>
          <w:p>
            <w:pPr>
              <w:ind w:left="52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5"/>
              </w:rPr>
              <w:t>Coupon</w:t>
            </w:r>
          </w:p>
        </w:tc>
        <w:tc>
          <w:tcPr>
            <w:tcW w:w="680" w:type="dxa"/>
            <w:vAlign w:val="bottom"/>
          </w:tcPr>
          <w:p>
            <w:pPr>
              <w:jc w:val="center"/>
              <w:ind w:left="40"/>
              <w:spacing w:after="0" w:line="101" w:lineRule="exact"/>
              <w:rPr>
                <w:sz w:val="20"/>
                <w:szCs w:val="20"/>
                <w:color w:val="auto"/>
              </w:rPr>
            </w:pPr>
            <w:r>
              <w:rPr>
                <w:rFonts w:ascii="Times New Roman" w:cs="Times New Roman" w:eastAsia="Times New Roman" w:hAnsi="Times New Roman"/>
                <w:sz w:val="8"/>
                <w:szCs w:val="8"/>
                <w:b w:val="1"/>
                <w:bCs w:val="1"/>
                <w:color w:val="auto"/>
                <w:w w:val="95"/>
              </w:rPr>
              <w:t xml:space="preserve">Index </w:t>
            </w:r>
            <w:r>
              <w:rPr>
                <w:rFonts w:ascii="Times New Roman" w:cs="Times New Roman" w:eastAsia="Times New Roman" w:hAnsi="Times New Roman"/>
                <w:sz w:val="10"/>
                <w:szCs w:val="10"/>
                <w:b w:val="1"/>
                <w:bCs w:val="1"/>
                <w:color w:val="auto"/>
                <w:w w:val="95"/>
                <w:vertAlign w:val="superscript"/>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of Shares</w:t>
            </w:r>
          </w:p>
        </w:tc>
        <w:tc>
          <w:tcPr>
            <w:tcW w:w="160" w:type="dxa"/>
            <w:vAlign w:val="bottom"/>
          </w:tcPr>
          <w:p>
            <w:pPr>
              <w:spacing w:after="0"/>
              <w:rPr>
                <w:sz w:val="8"/>
                <w:szCs w:val="8"/>
                <w:color w:val="auto"/>
              </w:rPr>
            </w:pP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Cost</w:t>
            </w:r>
          </w:p>
        </w:tc>
        <w:tc>
          <w:tcPr>
            <w:tcW w:w="600" w:type="dxa"/>
            <w:vAlign w:val="bottom"/>
            <w:gridSpan w:val="2"/>
          </w:tcPr>
          <w:p>
            <w:pPr>
              <w:ind w:left="60"/>
              <w:spacing w:after="0" w:line="101"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(2)</w:t>
            </w:r>
          </w:p>
        </w:tc>
      </w:tr>
      <w:tr>
        <w:trPr>
          <w:trHeight w:val="102"/>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First Lien Secured Debt - 2,106.3% of Net Assets</w:t>
            </w: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ACP Avenu Buyer, LLC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10/6/2023</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10/2/2029</w:t>
            </w:r>
          </w:p>
        </w:tc>
        <w:tc>
          <w:tcPr>
            <w:tcW w:w="124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9.29%</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14,825</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14,649</w:t>
            </w:r>
          </w:p>
        </w:tc>
        <w:tc>
          <w:tcPr>
            <w:tcW w:w="2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14,677</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ACP Falcon Buyer, Inc.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8/22/2023</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8/1/2029</w:t>
            </w:r>
          </w:p>
        </w:tc>
        <w:tc>
          <w:tcPr>
            <w:tcW w:w="124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9.79%</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SOFR+550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18,573</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18,304</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18,759</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Ad.net Acquisition, LLC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5/24/2021</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5/7/2026</w:t>
            </w: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7"/>
              </w:rPr>
              <w:t>10.26%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SOFR+626</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11,610</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11,566</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11,610</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Aechelon Technology, Inc.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8/16/2029</w:t>
            </w: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Aerospace and Defense</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9.91%</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11,640</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11,640</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11,640</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AFC-Dell Holding Corp.</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12/23/2024</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4/9/2027</w:t>
            </w:r>
          </w:p>
        </w:tc>
        <w:tc>
          <w:tcPr>
            <w:tcW w:w="124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9.83%</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SOFR+550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7,608</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7,576</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7,570</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Aphix Buyer, Inc.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9/3/2025</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7/17/2031</w:t>
            </w:r>
          </w:p>
        </w:tc>
        <w:tc>
          <w:tcPr>
            <w:tcW w:w="124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8.91%</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SOFR+475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9,000</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8,951</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8,955</w:t>
            </w:r>
          </w:p>
        </w:tc>
      </w:tr>
      <w:tr>
        <w:trPr>
          <w:trHeight w:val="101"/>
        </w:trPr>
        <w:tc>
          <w:tcPr>
            <w:tcW w:w="20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Alpine Acquisition Corp II </w:t>
            </w:r>
            <w:r>
              <w:rPr>
                <w:rFonts w:ascii="Times New Roman" w:cs="Times New Roman" w:eastAsia="Times New Roman" w:hAnsi="Times New Roman"/>
                <w:sz w:val="10"/>
                <w:szCs w:val="10"/>
                <w:color w:val="auto"/>
                <w:vertAlign w:val="superscript"/>
              </w:rPr>
              <w:t>(4)</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10/11/2022</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11/30/2026</w:t>
            </w: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Containers and Packaging</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13,154</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13,012</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6,840</w:t>
            </w:r>
          </w:p>
        </w:tc>
      </w:tr>
      <w:tr>
        <w:trPr>
          <w:trHeight w:val="102"/>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Media: Advertising, Printing</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Anteriad, LLC (f/k/a MeritDirect, LLC)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6/30/2026</w:t>
            </w:r>
          </w:p>
        </w:tc>
        <w:tc>
          <w:tcPr>
            <w:tcW w:w="124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8"/>
              </w:rPr>
              <w:t>&amp; Publishing</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9.90%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4,434</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4,357</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4,434</w:t>
            </w:r>
          </w:p>
        </w:tc>
      </w:tr>
      <w:tr>
        <w:trPr>
          <w:trHeight w:val="102"/>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Anteriad, LLC (f/k/a MeritDirect, LLC) - Incremental Term</w:t>
            </w:r>
          </w:p>
        </w:tc>
        <w:tc>
          <w:tcPr>
            <w:tcW w:w="5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Media: Advertising, Printing</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Loan</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6/30/2026</w:t>
            </w:r>
          </w:p>
        </w:tc>
        <w:tc>
          <w:tcPr>
            <w:tcW w:w="124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&amp; Publishing</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9.90%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4,375</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4,360</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4,375</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Arcfield Acquisition Corp.</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11/11/2024</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10/28/2031</w:t>
            </w: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Aerospace and Defense</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9.31%</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5,955</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5,946</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5,925</w:t>
            </w:r>
          </w:p>
        </w:tc>
      </w:tr>
      <w:tr>
        <w:trPr>
          <w:trHeight w:val="102"/>
        </w:trPr>
        <w:tc>
          <w:tcPr>
            <w:tcW w:w="20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Commercial Services &amp;</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Archer Lewis, LLC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11/22/2024</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8/28/2029</w:t>
            </w: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Supplies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9.75%</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9,900</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9,821</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9,900</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Argano, LLC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1/9/2025</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9/13/2029</w:t>
            </w:r>
          </w:p>
        </w:tc>
        <w:tc>
          <w:tcPr>
            <w:tcW w:w="124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9.89%</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9,900</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9,819</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9,752</w:t>
            </w:r>
          </w:p>
        </w:tc>
      </w:tr>
      <w:tr>
        <w:trPr>
          <w:trHeight w:val="102"/>
        </w:trPr>
        <w:tc>
          <w:tcPr>
            <w:tcW w:w="20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Diversified Consumer</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Azureon, LLC (F/K/A Tpcn Midco, LLC)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6/26/2029</w:t>
            </w: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9.75%</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4,975</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4,865</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4,831</w:t>
            </w:r>
          </w:p>
        </w:tc>
      </w:tr>
      <w:tr>
        <w:trPr>
          <w:trHeight w:val="102"/>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Healthcare and</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Beacon Behavioral Support Services, LLC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10/9/2024</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6/21/2029</w:t>
            </w: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Pharmaceuticals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9.50%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SOFR+550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17,748</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17,549</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17,748</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Best Practice Associates, LLC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11/8/2029</w:t>
            </w: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Aerospace and Defense</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7"/>
              </w:rPr>
              <w:t>10.91%</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SOFR+675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14,925</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14,792</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14,813</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Beta Plus Technologies, Inc.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7/21/2022</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7/2/2029</w:t>
            </w:r>
          </w:p>
        </w:tc>
        <w:tc>
          <w:tcPr>
            <w:tcW w:w="124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9.75%</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4,850</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4,794</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4,802</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Big Top Holdings, LLC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6/26/2024</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3/1/2030</w:t>
            </w:r>
          </w:p>
        </w:tc>
        <w:tc>
          <w:tcPr>
            <w:tcW w:w="124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9.25%</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SOFR+525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14,671</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14,458</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14,671</w:t>
            </w:r>
          </w:p>
        </w:tc>
      </w:tr>
      <w:tr>
        <w:trPr>
          <w:trHeight w:val="102"/>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Healthcare and</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BioDerm, Inc.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2/28/2023</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1/31/2028</w:t>
            </w: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Pharmaceuticals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10.77%</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SOFR+650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8,798</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8,730</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8,688</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Blackhawk Industrial Distribution, Inc.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6/30/2022</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9/17/2026</w:t>
            </w:r>
          </w:p>
        </w:tc>
        <w:tc>
          <w:tcPr>
            <w:tcW w:w="124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9.40%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SOFR+540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14,816</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14,714</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14,557</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BLC Holding Company, Inc.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11/20/2030</w:t>
            </w:r>
          </w:p>
        </w:tc>
        <w:tc>
          <w:tcPr>
            <w:tcW w:w="124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8.50%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SOFR+450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4,975</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4,952</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4,975</w:t>
            </w:r>
          </w:p>
        </w:tc>
      </w:tr>
      <w:tr>
        <w:trPr>
          <w:trHeight w:val="102"/>
        </w:trPr>
        <w:tc>
          <w:tcPr>
            <w:tcW w:w="20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Independent Power and</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1"/>
        </w:trPr>
        <w:tc>
          <w:tcPr>
            <w:tcW w:w="20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Renewable Electricity</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Boss Industries, LLC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12/27/2030</w:t>
            </w: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Producers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9.00%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4,975</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4,904</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4,975</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Burgess Point Purchaser Corporation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10/3/2022</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7/25/2029</w:t>
            </w:r>
          </w:p>
        </w:tc>
        <w:tc>
          <w:tcPr>
            <w:tcW w:w="124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9"/>
              </w:rPr>
              <w:t>Automotive</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9.51%</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SOFR+535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438</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416</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378</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By Light Professional IT Services, LLC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8/28/2025</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7/15/2031</w:t>
            </w: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High Tech Industries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9.66%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SOFR+550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5,000</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5,000</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4,963</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C5MI Acquisition, LLC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3/7/2025</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7/31/2029</w:t>
            </w: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IT 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10.00%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SOFR+600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14,850</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14,670</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14,850</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Capital Construction, LLC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8/28/2025</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10/22/2026</w:t>
            </w:r>
          </w:p>
        </w:tc>
        <w:tc>
          <w:tcPr>
            <w:tcW w:w="124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9.89%</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SOFR+590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4,263</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4,236</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4,220</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Carisk Buyer, Inc.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10/16/2024</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12/3/2029</w:t>
            </w: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Healthcare Technology</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9.00%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9,925</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9,863</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9,925</w:t>
            </w:r>
          </w:p>
        </w:tc>
      </w:tr>
      <w:tr>
        <w:trPr>
          <w:trHeight w:val="102"/>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Carnegie Dartlet, LLC</w:t>
            </w:r>
          </w:p>
        </w:tc>
        <w:tc>
          <w:tcPr>
            <w:tcW w:w="5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Media: Advertising, Printing</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8"/>
                <w:szCs w:val="8"/>
                <w:color w:val="auto"/>
              </w:rPr>
            </w:pP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4/11/2025</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2/7/2030</w:t>
            </w:r>
          </w:p>
        </w:tc>
        <w:tc>
          <w:tcPr>
            <w:tcW w:w="124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&amp; Publishing</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9.66%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SOFR+550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15,090</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14,897</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14,939</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Cartessa Aesthetics, LLC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6/14/2028</w:t>
            </w:r>
          </w:p>
        </w:tc>
        <w:tc>
          <w:tcPr>
            <w:tcW w:w="124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10.00%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SOFR+600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9,441</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9,359</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9,441</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Case Works, LLC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10/1/2029</w:t>
            </w: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Professional 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9.25%</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SOFR+525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14,887</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14,783</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14,218</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CF512, Inc.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12/27/2021</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8/20/2026</w:t>
            </w: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10.36%</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SOFR+619</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6,483</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6,447</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6,418</w:t>
            </w:r>
          </w:p>
        </w:tc>
      </w:tr>
      <w:tr>
        <w:trPr>
          <w:trHeight w:val="102"/>
        </w:trPr>
        <w:tc>
          <w:tcPr>
            <w:tcW w:w="20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Commercial Services &amp;</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Commercial Fire Protection Holdings, LLC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11/26/2024</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9/23/2030</w:t>
            </w: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Supplies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8.50%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SOFR+450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19,837</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19,746</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19,837</w:t>
            </w:r>
          </w:p>
        </w:tc>
      </w:tr>
      <w:tr>
        <w:trPr>
          <w:trHeight w:val="102"/>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Healthcare and</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Confluent Health, LLC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1/12/2024</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11/30/2028</w:t>
            </w: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Pharmaceuticals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11.66%</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SOFR+750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6,637</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6,479</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6,206</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CJX Borrower, LLC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7/29/2021</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7/13/2027</w:t>
            </w: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7"/>
              </w:rPr>
              <w:t>10.08%</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SOFR+576</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3,735</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3,708</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3,735</w:t>
            </w:r>
          </w:p>
        </w:tc>
      </w:tr>
      <w:tr>
        <w:trPr>
          <w:trHeight w:val="102"/>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Commercial Services &amp;</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Crane 1 Services, Inc.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8/16/2027</w:t>
            </w: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Supplies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10.03%</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SOFR+586</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2,046</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2,034</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2,031</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DRI Holding Inc.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9/15/2022</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12/21/2028</w:t>
            </w: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7"/>
              </w:rPr>
              <w:t>Media</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9.51%</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SOFR+535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2,574</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2,429</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2,522</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DRS Holdings III, Inc.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1/27/2021</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11/3/2025</w:t>
            </w:r>
          </w:p>
        </w:tc>
        <w:tc>
          <w:tcPr>
            <w:tcW w:w="124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Consumer Goods: Durable</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9.41%</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SOFR+525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4,487</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4,487</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4,532</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Duggal Acquisition, LLC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9/30/2030</w:t>
            </w:r>
          </w:p>
        </w:tc>
        <w:tc>
          <w:tcPr>
            <w:tcW w:w="124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9"/>
              </w:rPr>
              <w:t>Marketing 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8.75%</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SOFR+475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4,950</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4,909</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4,950</w:t>
            </w:r>
          </w:p>
        </w:tc>
      </w:tr>
      <w:tr>
        <w:trPr>
          <w:trHeight w:val="102"/>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Diversified Consumer</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200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Dynata, LLC - First Out Term Loan </w:t>
            </w:r>
            <w:r>
              <w:rPr>
                <w:rFonts w:ascii="Times New Roman" w:cs="Times New Roman" w:eastAsia="Times New Roman" w:hAnsi="Times New Roman"/>
                <w:sz w:val="10"/>
                <w:szCs w:val="10"/>
                <w:color w:val="auto"/>
                <w:vertAlign w:val="superscript"/>
              </w:rPr>
              <w:t>(5)</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7/15/2024</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7/17/2028</w:t>
            </w: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9.46%</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SOFR+526</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1,347</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1,273</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1,341</w:t>
            </w:r>
          </w:p>
        </w:tc>
      </w:tr>
      <w:tr>
        <w:trPr>
          <w:trHeight w:val="102"/>
        </w:trPr>
        <w:tc>
          <w:tcPr>
            <w:tcW w:w="20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Diversified Consumer</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Dynata, LLC - Last Out Term Loan</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7/15/2024</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10/16/2028</w:t>
            </w: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9.96%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SOFR+576</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8,354</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8,354</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6,802</w:t>
            </w:r>
          </w:p>
        </w:tc>
      </w:tr>
      <w:tr>
        <w:trPr>
          <w:trHeight w:val="102"/>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1"/>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Instruments, and</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EDS Buyer, LLC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1/10/2029</w:t>
            </w: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Components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8.75%</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SOFR+475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8,776</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8,694</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8,797</w:t>
            </w:r>
          </w:p>
        </w:tc>
      </w:tr>
      <w:tr>
        <w:trPr>
          <w:trHeight w:val="102"/>
        </w:trPr>
        <w:tc>
          <w:tcPr>
            <w:tcW w:w="20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4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Healthcare Providers and</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Emergency Care Partners, LLC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11/11/2024</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10/18/2027</w:t>
            </w: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9.00%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5,940</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5,911</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5,940</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Exigo Intermediate II, LLC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11/21/2022</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3/15/2027</w:t>
            </w: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Software</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10.51%</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SOFR+635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12,416</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12,335</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12,416</w:t>
            </w:r>
          </w:p>
        </w:tc>
      </w:tr>
      <w:tr>
        <w:trPr>
          <w:trHeight w:val="102"/>
        </w:trPr>
        <w:tc>
          <w:tcPr>
            <w:tcW w:w="20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Diversified Consumer</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ETE Intermediate II, LLC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6/12/2023</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5/29/2029</w:t>
            </w: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9.16%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12,124</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11,950</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12,124</w:t>
            </w:r>
          </w:p>
        </w:tc>
      </w:tr>
      <w:tr>
        <w:trPr>
          <w:trHeight w:val="102"/>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Healthcare and</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EvAL Home Care Solutions Intermediate, LLC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7/10/2024</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5/10/2030</w:t>
            </w: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Pharmaceuticals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9.91%</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8,822</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8,704</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8,822</w:t>
            </w:r>
          </w:p>
        </w:tc>
      </w:tr>
      <w:tr>
        <w:trPr>
          <w:trHeight w:val="102"/>
        </w:trPr>
        <w:tc>
          <w:tcPr>
            <w:tcW w:w="20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Diversified Consumer</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GGG MIDCO, LLC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9/27/2030</w:t>
            </w: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9.00%</w:t>
            </w:r>
          </w:p>
        </w:tc>
        <w:tc>
          <w:tcPr>
            <w:tcW w:w="6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SOFR+500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19,573</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19,491</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19,573</w:t>
            </w:r>
          </w:p>
        </w:tc>
      </w:tr>
      <w:tr>
        <w:trPr>
          <w:trHeight w:val="102"/>
        </w:trPr>
        <w:tc>
          <w:tcPr>
            <w:tcW w:w="2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Diversified Financial</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Global Holdings InterCo, LLC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6/8/2021</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3/16/2026</w:t>
            </w: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9.74%</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SOFR+560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3,505</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3,503</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3,505</w:t>
            </w:r>
          </w:p>
        </w:tc>
      </w:tr>
      <w:tr>
        <w:trPr>
          <w:trHeight w:val="102"/>
        </w:trPr>
        <w:tc>
          <w:tcPr>
            <w:tcW w:w="20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Trading Companies &amp;</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Graffiti Buyer, Inc.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3/15/2022</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8/10/2027</w:t>
            </w:r>
          </w:p>
        </w:tc>
        <w:tc>
          <w:tcPr>
            <w:tcW w:w="124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9.80%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SOFR+560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3,685</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3,660</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3,611</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Halo Buyer, Inc.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5/22/2025</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8/7/2029</w:t>
            </w: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Consumer Products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10.16%</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SOFR+600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6,468</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6,344</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6,468</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Hancock Roofing And Construction, LLC</w:t>
            </w: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1/27/2021</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12/31/2026</w:t>
            </w: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Insurance</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9.60%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SOFR+550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2,112</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2,100</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2,091</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Harris &amp; Co, LLC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11/26/2024</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8/9/2030</w:t>
            </w: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Professional 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9.16%</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19,800</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19,650</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19,627</w:t>
            </w:r>
          </w:p>
        </w:tc>
      </w:tr>
      <w:tr>
        <w:trPr>
          <w:trHeight w:val="102"/>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HEC Purchaser Corp.</w:t>
            </w:r>
          </w:p>
        </w:tc>
        <w:tc>
          <w:tcPr>
            <w:tcW w:w="58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Healthcare and</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8"/>
                <w:szCs w:val="8"/>
                <w:color w:val="auto"/>
              </w:rPr>
            </w:pPr>
          </w:p>
        </w:tc>
        <w:tc>
          <w:tcPr>
            <w:tcW w:w="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6/17/2029</w:t>
            </w:r>
          </w:p>
        </w:tc>
        <w:tc>
          <w:tcPr>
            <w:tcW w:w="12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Pharmaceuticals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8.87%</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3,606</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3,572</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3,606</w:t>
            </w:r>
          </w:p>
        </w:tc>
      </w:tr>
      <w:tr>
        <w:trPr>
          <w:trHeight w:val="103"/>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Hills Distribution, Inc.</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5/3/2024</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11/8/2029</w:t>
            </w:r>
          </w:p>
        </w:tc>
        <w:tc>
          <w:tcPr>
            <w:tcW w:w="124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10.32%</w:t>
            </w:r>
          </w:p>
        </w:tc>
        <w:tc>
          <w:tcPr>
            <w:tcW w:w="6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rPr>
              <w:t>SOFR+600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8,867</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8,761</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8,867</w:t>
            </w:r>
          </w:p>
        </w:tc>
      </w:tr>
    </w:tbl>
    <w:p>
      <w:pPr>
        <w:jc w:val="center"/>
        <w:ind w:right="20"/>
        <w:spacing w:after="0"/>
        <w:rPr>
          <w:sz w:val="20"/>
          <w:szCs w:val="20"/>
          <w:color w:val="auto"/>
        </w:rPr>
      </w:pPr>
      <w:r>
        <w:rPr>
          <w:rFonts w:ascii="Times New Roman" w:cs="Times New Roman" w:eastAsia="Times New Roman" w:hAnsi="Times New Roman"/>
          <w:sz w:val="11"/>
          <w:szCs w:val="1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22"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2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jc w:val="center"/>
              <w:ind w:left="20"/>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b w:val="1"/>
                <w:bCs w:val="1"/>
                <w:color w:val="auto"/>
                <w:w w:val="97"/>
              </w:rPr>
              <w:t>Spread</w:t>
            </w:r>
          </w:p>
        </w:tc>
        <w:tc>
          <w:tcPr>
            <w:tcW w:w="620" w:type="dxa"/>
            <w:vAlign w:val="bottom"/>
          </w:tcPr>
          <w:p>
            <w:pPr>
              <w:jc w:val="center"/>
              <w:ind w:right="40"/>
              <w:spacing w:after="0"/>
              <w:rPr>
                <w:sz w:val="20"/>
                <w:szCs w:val="20"/>
                <w:color w:val="auto"/>
              </w:rPr>
            </w:pPr>
            <w:r>
              <w:rPr>
                <w:rFonts w:ascii="Times New Roman" w:cs="Times New Roman" w:eastAsia="Times New Roman" w:hAnsi="Times New Roman"/>
                <w:sz w:val="8"/>
                <w:szCs w:val="8"/>
                <w:b w:val="1"/>
                <w:bCs w:val="1"/>
                <w:color w:val="auto"/>
                <w:w w:val="99"/>
              </w:rPr>
              <w:t>Par or</w:t>
            </w: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Current</w:t>
            </w:r>
          </w:p>
        </w:tc>
        <w:tc>
          <w:tcPr>
            <w:tcW w:w="680" w:type="dxa"/>
            <w:vAlign w:val="bottom"/>
          </w:tcPr>
          <w:p>
            <w:pPr>
              <w:jc w:val="center"/>
              <w:ind w:left="20"/>
              <w:spacing w:after="0"/>
              <w:rPr>
                <w:sz w:val="20"/>
                <w:szCs w:val="20"/>
                <w:color w:val="auto"/>
              </w:rPr>
            </w:pPr>
            <w:r>
              <w:rPr>
                <w:rFonts w:ascii="Times New Roman" w:cs="Times New Roman" w:eastAsia="Times New Roman" w:hAnsi="Times New Roman"/>
                <w:sz w:val="8"/>
                <w:szCs w:val="8"/>
                <w:b w:val="1"/>
                <w:bCs w:val="1"/>
                <w:color w:val="auto"/>
              </w:rPr>
              <w:t>Above</w:t>
            </w:r>
          </w:p>
        </w:tc>
        <w:tc>
          <w:tcPr>
            <w:tcW w:w="620" w:type="dxa"/>
            <w:vAlign w:val="bottom"/>
          </w:tcPr>
          <w:p>
            <w:pPr>
              <w:jc w:val="center"/>
              <w:ind w:right="60"/>
              <w:spacing w:after="0"/>
              <w:rPr>
                <w:sz w:val="20"/>
                <w:szCs w:val="20"/>
                <w:color w:val="auto"/>
              </w:rPr>
            </w:pPr>
            <w:r>
              <w:rPr>
                <w:rFonts w:ascii="Times New Roman" w:cs="Times New Roman" w:eastAsia="Times New Roman" w:hAnsi="Times New Roman"/>
                <w:sz w:val="8"/>
                <w:szCs w:val="8"/>
                <w:b w:val="1"/>
                <w:bCs w:val="1"/>
                <w:color w:val="auto"/>
                <w:w w:val="98"/>
              </w:rPr>
              <w:t>Number</w:t>
            </w: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560" w:type="dxa"/>
            <w:vAlign w:val="bottom"/>
          </w:tcPr>
          <w:p>
            <w:pPr>
              <w:ind w:left="6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680" w:type="dxa"/>
            <w:vAlign w:val="bottom"/>
          </w:tcPr>
          <w:p>
            <w:pPr>
              <w:ind w:left="14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200" w:type="dxa"/>
            <w:vAlign w:val="bottom"/>
          </w:tcPr>
          <w:p>
            <w:pPr>
              <w:ind w:left="50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5"/>
              </w:rPr>
              <w:t>Coupon</w:t>
            </w:r>
          </w:p>
        </w:tc>
        <w:tc>
          <w:tcPr>
            <w:tcW w:w="680" w:type="dxa"/>
            <w:vAlign w:val="bottom"/>
          </w:tcPr>
          <w:p>
            <w:pPr>
              <w:jc w:val="center"/>
              <w:ind w:left="40"/>
              <w:spacing w:after="0" w:line="103" w:lineRule="exact"/>
              <w:rPr>
                <w:sz w:val="20"/>
                <w:szCs w:val="20"/>
                <w:color w:val="auto"/>
              </w:rPr>
            </w:pPr>
            <w:r>
              <w:rPr>
                <w:rFonts w:ascii="Times New Roman" w:cs="Times New Roman" w:eastAsia="Times New Roman" w:hAnsi="Times New Roman"/>
                <w:sz w:val="8"/>
                <w:szCs w:val="8"/>
                <w:b w:val="1"/>
                <w:bCs w:val="1"/>
                <w:color w:val="auto"/>
                <w:w w:val="95"/>
              </w:rPr>
              <w:t xml:space="preserve">Index </w:t>
            </w:r>
            <w:r>
              <w:rPr>
                <w:rFonts w:ascii="Times New Roman" w:cs="Times New Roman" w:eastAsia="Times New Roman" w:hAnsi="Times New Roman"/>
                <w:sz w:val="10"/>
                <w:szCs w:val="10"/>
                <w:b w:val="1"/>
                <w:bCs w:val="1"/>
                <w:color w:val="auto"/>
                <w:w w:val="95"/>
                <w:vertAlign w:val="superscript"/>
              </w:rPr>
              <w:t>(1)</w:t>
            </w:r>
          </w:p>
        </w:tc>
        <w:tc>
          <w:tcPr>
            <w:tcW w:w="620" w:type="dxa"/>
            <w:vAlign w:val="bottom"/>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of Shares</w:t>
            </w:r>
          </w:p>
        </w:tc>
        <w:tc>
          <w:tcPr>
            <w:tcW w:w="500" w:type="dxa"/>
            <w:vAlign w:val="bottom"/>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Cost</w:t>
            </w:r>
          </w:p>
        </w:tc>
        <w:tc>
          <w:tcPr>
            <w:tcW w:w="600" w:type="dxa"/>
            <w:vAlign w:val="bottom"/>
          </w:tcPr>
          <w:p>
            <w:pPr>
              <w:jc w:val="right"/>
              <w:ind w:right="40"/>
              <w:spacing w:after="0" w:line="103"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(2)</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HW Holdco,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5/11/2026</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7"/>
              </w:rPr>
              <w:t>Media</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9.90%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SOFR+590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3,441</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3,431</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3,441</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Imagine Acquisitionco, Inc.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3/15/2022</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11/15/2027</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Software</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9.29%</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SOFR+510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9,060</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8,961</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9,060</w:t>
            </w:r>
          </w:p>
        </w:tc>
        <w:tc>
          <w:tcPr>
            <w:tcW w:w="0" w:type="dxa"/>
            <w:vAlign w:val="bottom"/>
          </w:tcPr>
          <w:p>
            <w:pPr>
              <w:spacing w:after="0"/>
              <w:rPr>
                <w:sz w:val="1"/>
                <w:szCs w:val="1"/>
                <w:color w:val="auto"/>
              </w:rPr>
            </w:pPr>
          </w:p>
        </w:tc>
      </w:tr>
      <w:tr>
        <w:trPr>
          <w:trHeight w:val="102"/>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Infinity Home Services Holdco, Inc.</w:t>
            </w:r>
          </w:p>
        </w:tc>
        <w:tc>
          <w:tcPr>
            <w:tcW w:w="5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Commercial Services &amp;</w:t>
            </w:r>
          </w:p>
        </w:tc>
        <w:tc>
          <w:tcPr>
            <w:tcW w:w="6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shd w:val="clear" w:color="auto" w:fill="CCECFF"/>
          </w:tcPr>
          <w:p>
            <w:pPr>
              <w:spacing w:after="0"/>
              <w:rPr>
                <w:sz w:val="8"/>
                <w:szCs w:val="8"/>
                <w:color w:val="auto"/>
              </w:rPr>
            </w:pP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12/28/2028</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Supplies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10.16%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SOFR+600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5,968</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5,891</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5,968</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Inovex Information Systems Incorporated</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3/3/2025</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12/17/2030</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Software</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9.25%</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SOFR+525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8,143</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8,087</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8,143</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Inventus Power, Inc.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7/11/2023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1/15/2026</w:t>
            </w:r>
          </w:p>
        </w:tc>
        <w:tc>
          <w:tcPr>
            <w:tcW w:w="12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Consumer Goods: Durable</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11.78%</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SOFR+761</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8,081</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8,062</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8,081</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Kinetic Purchaser, LLC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11/30/2021</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11/10/2027</w:t>
            </w: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Personal Products</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10.15%</w:t>
            </w:r>
          </w:p>
        </w:tc>
        <w:tc>
          <w:tcPr>
            <w:tcW w:w="6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rPr>
              <w:t>SOFR+615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13,492</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13,344</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11,468</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Lash OpCo,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10/14/2021</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2/18/2027</w:t>
            </w:r>
          </w:p>
        </w:tc>
        <w:tc>
          <w:tcPr>
            <w:tcW w:w="12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Personal Products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12.16%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SOFR+785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15,508</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15,400</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15,120</w:t>
            </w:r>
          </w:p>
        </w:tc>
        <w:tc>
          <w:tcPr>
            <w:tcW w:w="0" w:type="dxa"/>
            <w:vAlign w:val="bottom"/>
          </w:tcPr>
          <w:p>
            <w:pPr>
              <w:spacing w:after="0"/>
              <w:rPr>
                <w:sz w:val="1"/>
                <w:szCs w:val="1"/>
                <w:color w:val="auto"/>
              </w:rPr>
            </w:pPr>
          </w:p>
        </w:tc>
      </w:tr>
      <w:tr>
        <w:trPr>
          <w:trHeight w:val="101"/>
        </w:trPr>
        <w:tc>
          <w:tcPr>
            <w:tcW w:w="20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LAV Gear Holdings, Inc. - Takeback TL </w:t>
            </w:r>
            <w:r>
              <w:rPr>
                <w:rFonts w:ascii="Times New Roman" w:cs="Times New Roman" w:eastAsia="Times New Roman" w:hAnsi="Times New Roman"/>
                <w:sz w:val="10"/>
                <w:szCs w:val="10"/>
                <w:color w:val="auto"/>
                <w:vertAlign w:val="superscript"/>
              </w:rPr>
              <w:t>(5)</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7/31/2025</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7/31/2029</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Capital Equipment</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10.10%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SOFR+594</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7,612</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7,612</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7,612</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LAV Gear Holdings, Inc. - Priority TL </w:t>
            </w:r>
            <w:r>
              <w:rPr>
                <w:rFonts w:ascii="Times New Roman" w:cs="Times New Roman" w:eastAsia="Times New Roman" w:hAnsi="Times New Roman"/>
                <w:sz w:val="10"/>
                <w:szCs w:val="10"/>
                <w:color w:val="auto"/>
                <w:vertAlign w:val="superscript"/>
              </w:rPr>
              <w:t>(5)</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7/31/2025</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7/31/2029</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Capital Equipment</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10.10%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SOFR+594</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2,409</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2,381</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2,967</w:t>
            </w:r>
          </w:p>
        </w:tc>
        <w:tc>
          <w:tcPr>
            <w:tcW w:w="0" w:type="dxa"/>
            <w:vAlign w:val="bottom"/>
          </w:tcPr>
          <w:p>
            <w:pPr>
              <w:spacing w:after="0"/>
              <w:rPr>
                <w:sz w:val="1"/>
                <w:szCs w:val="1"/>
                <w:color w:val="auto"/>
              </w:rPr>
            </w:pPr>
          </w:p>
        </w:tc>
      </w:tr>
      <w:tr>
        <w:trPr>
          <w:trHeight w:val="102"/>
        </w:trPr>
        <w:tc>
          <w:tcPr>
            <w:tcW w:w="2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Healthcare Providers and</w:t>
            </w: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Lightspeed Buyer, Inc.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1/27/2021</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2/3/2027</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Services</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8.75%</w:t>
            </w:r>
          </w:p>
        </w:tc>
        <w:tc>
          <w:tcPr>
            <w:tcW w:w="68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rPr>
              <w:t>SOFR+475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16,232</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16,187</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16,232</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LJ Avalon Holdings,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2/1/2030</w:t>
            </w:r>
          </w:p>
        </w:tc>
        <w:tc>
          <w:tcPr>
            <w:tcW w:w="12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Environmental Industries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8.77%</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SOFR+450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2,533</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2,497</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2,533</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Loving Tan Intermediate II, Inc.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10/25/2023</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5/31/2028</w:t>
            </w: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Personal Products</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9.00%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12,279</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12,164</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12,279</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Lucky Bucks, LLC - First-Out Term Loan </w:t>
            </w:r>
            <w:r>
              <w:rPr>
                <w:rFonts w:ascii="Times New Roman" w:cs="Times New Roman" w:eastAsia="Times New Roman" w:hAnsi="Times New Roman"/>
                <w:sz w:val="10"/>
                <w:szCs w:val="10"/>
                <w:color w:val="auto"/>
                <w:vertAlign w:val="superscript"/>
              </w:rPr>
              <w:t>(5)</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10/2/2028</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Hotel, Gaming and Leisure</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11.66%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SOFR+765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256</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256</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238</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Lucky Bucks, LLC - Last-Out Term Loan</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5/20/2024</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10/2/2029</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Hotel, Gaming and Leisure</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11.66%</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SOFR+765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529</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529</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426</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MAG DS Corp.</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9/27/2023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4/1/2027</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Aerospace and Defense</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9.60%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SOFR+560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2,193</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2,146</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2,184</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Marketplace Events Acquisition, LLC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1/13/2025</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12/19/2030</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7"/>
              </w:rPr>
              <w:t>Media</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9.12%</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SOFR+525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16,915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16,769</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16,915</w:t>
            </w:r>
          </w:p>
        </w:tc>
        <w:tc>
          <w:tcPr>
            <w:tcW w:w="0" w:type="dxa"/>
            <w:vAlign w:val="bottom"/>
          </w:tcPr>
          <w:p>
            <w:pPr>
              <w:spacing w:after="0"/>
              <w:rPr>
                <w:sz w:val="1"/>
                <w:szCs w:val="1"/>
                <w:color w:val="auto"/>
              </w:rPr>
            </w:pPr>
          </w:p>
        </w:tc>
      </w:tr>
      <w:tr>
        <w:trPr>
          <w:trHeight w:val="102"/>
        </w:trPr>
        <w:tc>
          <w:tcPr>
            <w:tcW w:w="20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Internet Software and</w:t>
            </w:r>
          </w:p>
        </w:tc>
        <w:tc>
          <w:tcPr>
            <w:tcW w:w="6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MBS Holdings, Inc.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6/8/2021</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4/16/2027</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Services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9.30%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SOFR+510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8,244</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8,186</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8,244</w:t>
            </w:r>
          </w:p>
        </w:tc>
        <w:tc>
          <w:tcPr>
            <w:tcW w:w="0" w:type="dxa"/>
            <w:vAlign w:val="bottom"/>
          </w:tcPr>
          <w:p>
            <w:pPr>
              <w:spacing w:after="0"/>
              <w:rPr>
                <w:sz w:val="1"/>
                <w:szCs w:val="1"/>
                <w:color w:val="auto"/>
              </w:rPr>
            </w:pPr>
          </w:p>
        </w:tc>
      </w:tr>
      <w:tr>
        <w:trPr>
          <w:trHeight w:val="102"/>
        </w:trPr>
        <w:tc>
          <w:tcPr>
            <w:tcW w:w="2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Chemicals, Plastics and</w:t>
            </w: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MDI Buyer, Inc.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7/25/2028</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Rubber</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8.95%</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SOFR+475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6,251</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6,181</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6,251</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Meadowlark Acquirer,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1/29/2022</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12/10/2027</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Professional Services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9.65%</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SOFR+565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2,323</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2,303</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2,323</w:t>
            </w:r>
          </w:p>
        </w:tc>
        <w:tc>
          <w:tcPr>
            <w:tcW w:w="0" w:type="dxa"/>
            <w:vAlign w:val="bottom"/>
          </w:tcPr>
          <w:p>
            <w:pPr>
              <w:spacing w:after="0"/>
              <w:rPr>
                <w:sz w:val="1"/>
                <w:szCs w:val="1"/>
                <w:color w:val="auto"/>
              </w:rPr>
            </w:pPr>
          </w:p>
        </w:tc>
      </w:tr>
      <w:tr>
        <w:trPr>
          <w:trHeight w:val="102"/>
        </w:trPr>
        <w:tc>
          <w:tcPr>
            <w:tcW w:w="2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Healthcare and</w:t>
            </w: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Medina Health, LLC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11/6/2023</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10/20/2028</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Pharmaceuticals</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10.25%</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SOFR+625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18,833</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18,613</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18,927</w:t>
            </w:r>
          </w:p>
        </w:tc>
        <w:tc>
          <w:tcPr>
            <w:tcW w:w="0" w:type="dxa"/>
            <w:vAlign w:val="bottom"/>
          </w:tcPr>
          <w:p>
            <w:pPr>
              <w:spacing w:after="0"/>
              <w:rPr>
                <w:sz w:val="1"/>
                <w:szCs w:val="1"/>
                <w:color w:val="auto"/>
              </w:rPr>
            </w:pPr>
          </w:p>
        </w:tc>
      </w:tr>
      <w:tr>
        <w:trPr>
          <w:trHeight w:val="102"/>
        </w:trPr>
        <w:tc>
          <w:tcPr>
            <w:tcW w:w="20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6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Instruments, and</w:t>
            </w:r>
          </w:p>
        </w:tc>
        <w:tc>
          <w:tcPr>
            <w:tcW w:w="6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Megawatt Acquisitionco, Inc.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4/29/2024</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3/1/2030</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Components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9.25%</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SOFR+525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15,514</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15,338</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14,769</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MOREgroup Holdings, Inc.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3/22/2024</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1/16/2030</w:t>
            </w: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Business Services</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9.25%</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SOFR+525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12,935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12,788</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12,935</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Municipal Emergency Services, Inc.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10/1/2027</w:t>
            </w:r>
          </w:p>
        </w:tc>
        <w:tc>
          <w:tcPr>
            <w:tcW w:w="12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9"/>
              </w:rPr>
              <w:t>Distributors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9.15%</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SOFR+515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3,360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3,332</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3,360</w:t>
            </w:r>
          </w:p>
        </w:tc>
        <w:tc>
          <w:tcPr>
            <w:tcW w:w="0" w:type="dxa"/>
            <w:vAlign w:val="bottom"/>
          </w:tcPr>
          <w:p>
            <w:pPr>
              <w:spacing w:after="0"/>
              <w:rPr>
                <w:sz w:val="1"/>
                <w:szCs w:val="1"/>
                <w:color w:val="auto"/>
              </w:rPr>
            </w:pPr>
          </w:p>
        </w:tc>
      </w:tr>
      <w:tr>
        <w:trPr>
          <w:trHeight w:val="102"/>
        </w:trPr>
        <w:tc>
          <w:tcPr>
            <w:tcW w:w="2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Healthcare, Education &amp;</w:t>
            </w: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NBH Group, LLC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8/25/2021</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8/19/2026</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Childcare</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10.12%</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SOFR+585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10,352</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10,304</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10,352</w:t>
            </w:r>
          </w:p>
        </w:tc>
        <w:tc>
          <w:tcPr>
            <w:tcW w:w="0" w:type="dxa"/>
            <w:vAlign w:val="bottom"/>
          </w:tcPr>
          <w:p>
            <w:pPr>
              <w:spacing w:after="0"/>
              <w:rPr>
                <w:sz w:val="1"/>
                <w:szCs w:val="1"/>
                <w:color w:val="auto"/>
              </w:rPr>
            </w:pPr>
          </w:p>
        </w:tc>
      </w:tr>
      <w:tr>
        <w:trPr>
          <w:trHeight w:val="102"/>
        </w:trPr>
        <w:tc>
          <w:tcPr>
            <w:tcW w:w="20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Healthcare Providers and</w:t>
            </w:r>
          </w:p>
        </w:tc>
        <w:tc>
          <w:tcPr>
            <w:tcW w:w="6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NORA Acquisition,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10/2/2023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8/31/2029</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Services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10.35%</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SOFR+635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21,059</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20,761</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20,901</w:t>
            </w:r>
          </w:p>
        </w:tc>
        <w:tc>
          <w:tcPr>
            <w:tcW w:w="0" w:type="dxa"/>
            <w:vAlign w:val="bottom"/>
          </w:tcPr>
          <w:p>
            <w:pPr>
              <w:spacing w:after="0"/>
              <w:rPr>
                <w:sz w:val="1"/>
                <w:szCs w:val="1"/>
                <w:color w:val="auto"/>
              </w:rPr>
            </w:pPr>
          </w:p>
        </w:tc>
      </w:tr>
      <w:tr>
        <w:trPr>
          <w:trHeight w:val="102"/>
        </w:trPr>
        <w:tc>
          <w:tcPr>
            <w:tcW w:w="2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Diversified Consumer</w:t>
            </w: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Omnia Exterior Solutions, LLC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11/1/2024</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12/31/2029</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Services</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9.26%</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SOFR+525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16,958</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16,824</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16,619</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One Stop Mailing,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7/8/2021</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5/7/2027</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Air Freight and Logistics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10.53%</w:t>
            </w:r>
          </w:p>
        </w:tc>
        <w:tc>
          <w:tcPr>
            <w:tcW w:w="6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SOFR+636</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15,484</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15,358</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15,484</w:t>
            </w:r>
          </w:p>
        </w:tc>
        <w:tc>
          <w:tcPr>
            <w:tcW w:w="0" w:type="dxa"/>
            <w:vAlign w:val="bottom"/>
          </w:tcPr>
          <w:p>
            <w:pPr>
              <w:spacing w:after="0"/>
              <w:rPr>
                <w:sz w:val="1"/>
                <w:szCs w:val="1"/>
                <w:color w:val="auto"/>
              </w:rPr>
            </w:pPr>
          </w:p>
        </w:tc>
      </w:tr>
      <w:tr>
        <w:trPr>
          <w:trHeight w:val="101"/>
        </w:trPr>
        <w:tc>
          <w:tcPr>
            <w:tcW w:w="20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ORL Acquisition, Inc. </w:t>
            </w:r>
            <w:r>
              <w:rPr>
                <w:rFonts w:ascii="Times New Roman" w:cs="Times New Roman" w:eastAsia="Times New Roman" w:hAnsi="Times New Roman"/>
                <w:sz w:val="10"/>
                <w:szCs w:val="10"/>
                <w:color w:val="auto"/>
                <w:vertAlign w:val="superscript"/>
              </w:rPr>
              <w:t>(5)</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5/22/2025</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9/3/2027</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Consumer Finance</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13.70%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SOFR+940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2,231</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2,220</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1,975</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OSP Embedded Purchaser,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11/19/2024</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12/17/2029</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Aerospace and Defense</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9.76%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14,900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14,695</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14,691</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Output Services Group, Inc. - First-Out Term Loan</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12/1/2023</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11/30/2028</w:t>
            </w: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Business Services</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12.71%</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SOFR+843</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821</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821</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821</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Output Services Group, Inc. - Last-Out Term Loan</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5/30/2028</w:t>
            </w:r>
          </w:p>
        </w:tc>
        <w:tc>
          <w:tcPr>
            <w:tcW w:w="12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Business Services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10.96%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SOFR+668</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1,667</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1,667</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1,667</w:t>
            </w:r>
          </w:p>
        </w:tc>
        <w:tc>
          <w:tcPr>
            <w:tcW w:w="0" w:type="dxa"/>
            <w:vAlign w:val="bottom"/>
          </w:tcPr>
          <w:p>
            <w:pPr>
              <w:spacing w:after="0"/>
              <w:rPr>
                <w:sz w:val="1"/>
                <w:szCs w:val="1"/>
                <w:color w:val="auto"/>
              </w:rPr>
            </w:pPr>
          </w:p>
        </w:tc>
      </w:tr>
      <w:tr>
        <w:trPr>
          <w:trHeight w:val="102"/>
        </w:trPr>
        <w:tc>
          <w:tcPr>
            <w:tcW w:w="2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Diversified Consumer</w:t>
            </w: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PCS MIDCO, Inc.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3/1/2030</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Services</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9.75%</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3,833</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3,787</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3,833</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Pacific Purchaser,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1/12/2024</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10/2/2028</w:t>
            </w:r>
          </w:p>
        </w:tc>
        <w:tc>
          <w:tcPr>
            <w:tcW w:w="12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Business Services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10.42%</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SOFR+625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11,818</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11,669</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11,770</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PAR Excellence Holdings, Inc.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10/16/24</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9/3/2030</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Healthcare Technology</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9.17%</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10,933</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10,836</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10,741</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Paving Lessor Corp. First Lien -Term Loan</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8/28/2025</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7/1/2031</w:t>
            </w:r>
          </w:p>
        </w:tc>
        <w:tc>
          <w:tcPr>
            <w:tcW w:w="12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Business Services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9.25%</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SOFR+525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9,963</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9,896</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9,888</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Penta Group Holdings, Inc.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9/8/2025</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7/31/2031</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Professional Services</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8.81%</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SOFR+450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5,000</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4,979</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4,975</w:t>
            </w:r>
          </w:p>
        </w:tc>
        <w:tc>
          <w:tcPr>
            <w:tcW w:w="0" w:type="dxa"/>
            <w:vAlign w:val="bottom"/>
          </w:tcPr>
          <w:p>
            <w:pPr>
              <w:spacing w:after="0"/>
              <w:rPr>
                <w:sz w:val="1"/>
                <w:szCs w:val="1"/>
                <w:color w:val="auto"/>
              </w:rPr>
            </w:pPr>
          </w:p>
        </w:tc>
      </w:tr>
      <w:tr>
        <w:trPr>
          <w:trHeight w:val="102"/>
        </w:trPr>
        <w:tc>
          <w:tcPr>
            <w:tcW w:w="20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Textiles, Apparel and</w:t>
            </w:r>
          </w:p>
        </w:tc>
        <w:tc>
          <w:tcPr>
            <w:tcW w:w="600" w:type="dxa"/>
            <w:vAlign w:val="bottom"/>
            <w:shd w:val="clear" w:color="auto" w:fill="CCECFF"/>
          </w:tcPr>
          <w:p>
            <w:pPr>
              <w:spacing w:after="0"/>
              <w:rPr>
                <w:sz w:val="8"/>
                <w:szCs w:val="8"/>
                <w:color w:val="auto"/>
              </w:rPr>
            </w:pPr>
          </w:p>
        </w:tc>
        <w:tc>
          <w:tcPr>
            <w:tcW w:w="68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Pink Lily Holdco, LLC </w:t>
            </w:r>
            <w:r>
              <w:rPr>
                <w:rFonts w:ascii="Times New Roman" w:cs="Times New Roman" w:eastAsia="Times New Roman" w:hAnsi="Times New Roman"/>
                <w:sz w:val="10"/>
                <w:szCs w:val="10"/>
                <w:color w:val="auto"/>
                <w:vertAlign w:val="superscript"/>
              </w:rPr>
              <w:t>(5),(7)</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11/30/2021</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11/9/2027</w:t>
            </w:r>
          </w:p>
        </w:tc>
        <w:tc>
          <w:tcPr>
            <w:tcW w:w="12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8"/>
              </w:rPr>
              <w:t>Luxury Goods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4.35%</w:t>
            </w: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8,359</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8,323</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3,343</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Pragmatic Institute, LLC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3/28/2025</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3/28/2030</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Education</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9.50%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SOFR+550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4,200</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4,200</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3,045</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Project Granite Buyer, Inc.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5/22/2025</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12/31/2030</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Professional Services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9.75%</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6,467</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6,375</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6,532</w:t>
            </w:r>
          </w:p>
        </w:tc>
        <w:tc>
          <w:tcPr>
            <w:tcW w:w="0" w:type="dxa"/>
            <w:vAlign w:val="bottom"/>
          </w:tcPr>
          <w:p>
            <w:pPr>
              <w:spacing w:after="0"/>
              <w:rPr>
                <w:sz w:val="1"/>
                <w:szCs w:val="1"/>
                <w:color w:val="auto"/>
              </w:rPr>
            </w:pPr>
          </w:p>
        </w:tc>
      </w:tr>
      <w:tr>
        <w:trPr>
          <w:trHeight w:val="102"/>
        </w:trPr>
        <w:tc>
          <w:tcPr>
            <w:tcW w:w="2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Healthcare Providers and</w:t>
            </w: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Rancho Health MSO, Inc.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6/20/2029</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Services</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9.29%</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18,781</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18,717</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18,781</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Recteq,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2/24/2021</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1/29/2026</w:t>
            </w:r>
          </w:p>
        </w:tc>
        <w:tc>
          <w:tcPr>
            <w:tcW w:w="12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w w:val="99"/>
              </w:rPr>
              <w:t>Leisure Products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10.40%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SOFR+640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4,775</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4,768</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4,763</w:t>
            </w:r>
          </w:p>
        </w:tc>
        <w:tc>
          <w:tcPr>
            <w:tcW w:w="0" w:type="dxa"/>
            <w:vAlign w:val="bottom"/>
          </w:tcPr>
          <w:p>
            <w:pPr>
              <w:spacing w:after="0"/>
              <w:rPr>
                <w:sz w:val="1"/>
                <w:szCs w:val="1"/>
                <w:color w:val="auto"/>
              </w:rPr>
            </w:pPr>
          </w:p>
        </w:tc>
      </w:tr>
      <w:tr>
        <w:trPr>
          <w:trHeight w:val="102"/>
        </w:trPr>
        <w:tc>
          <w:tcPr>
            <w:tcW w:w="2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Healthcare Providers and</w:t>
            </w: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Ro Health, LLC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3/3/2025</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1/17/2031</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Services</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8.50%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SOFR+450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10,518</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10,449</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10,518</w:t>
            </w:r>
          </w:p>
        </w:tc>
        <w:tc>
          <w:tcPr>
            <w:tcW w:w="0" w:type="dxa"/>
            <w:vAlign w:val="bottom"/>
          </w:tcPr>
          <w:p>
            <w:pPr>
              <w:spacing w:after="0"/>
              <w:rPr>
                <w:sz w:val="1"/>
                <w:szCs w:val="1"/>
                <w:color w:val="auto"/>
              </w:rPr>
            </w:pPr>
          </w:p>
        </w:tc>
      </w:tr>
      <w:tr>
        <w:trPr>
          <w:trHeight w:val="102"/>
        </w:trPr>
        <w:tc>
          <w:tcPr>
            <w:tcW w:w="20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Diversified Consumer</w:t>
            </w:r>
          </w:p>
        </w:tc>
        <w:tc>
          <w:tcPr>
            <w:tcW w:w="6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RRA Corporate,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8/15/2029</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Services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9.25%</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SOFR+525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7,700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7,639</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7,654</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RTIC Subsidiary Holdings, LLC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11/1/2024</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5/3/2029</w:t>
            </w: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w w:val="99"/>
              </w:rPr>
              <w:t>Leisure Products</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9.75%</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9,875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9,758</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9,776</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Rural Sourcing Holdings, Inc.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9/6/2023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6/15/2029</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High Tech Industries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9.92%</w:t>
            </w:r>
          </w:p>
        </w:tc>
        <w:tc>
          <w:tcPr>
            <w:tcW w:w="6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SOFR+575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4,303</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4,245</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3,873</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Sabel Systems Technology Solutions, LLC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11/11/2024</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10/31/2030</w:t>
            </w: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Government Services</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9.91%</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5,955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5,905</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5,955</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Safe Haven Defense US,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9/19/2024</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5/23/2029</w:t>
            </w:r>
          </w:p>
        </w:tc>
        <w:tc>
          <w:tcPr>
            <w:tcW w:w="12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Construction and Building</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9.50%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SOFR+550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9,864</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9,747</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9,815</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Sales Benchmark Index, LLC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1/27/2021</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7/7/2026</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Professional Services</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10.20%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SOFR+620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9,186</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9,172</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9,186</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Sath Industries,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12/17/2029</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Event Services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9.66%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SOFR+550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10,306</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10,213</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10,306</w:t>
            </w:r>
          </w:p>
        </w:tc>
        <w:tc>
          <w:tcPr>
            <w:tcW w:w="0" w:type="dxa"/>
            <w:vAlign w:val="bottom"/>
          </w:tcPr>
          <w:p>
            <w:pPr>
              <w:spacing w:after="0"/>
              <w:rPr>
                <w:sz w:val="1"/>
                <w:szCs w:val="1"/>
                <w:color w:val="auto"/>
              </w:rPr>
            </w:pPr>
          </w:p>
        </w:tc>
      </w:tr>
      <w:tr>
        <w:trPr>
          <w:trHeight w:val="101"/>
        </w:trPr>
        <w:tc>
          <w:tcPr>
            <w:tcW w:w="20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Schlesinger Global, Inc. </w:t>
            </w:r>
            <w:r>
              <w:rPr>
                <w:rFonts w:ascii="Times New Roman" w:cs="Times New Roman" w:eastAsia="Times New Roman" w:hAnsi="Times New Roman"/>
                <w:sz w:val="10"/>
                <w:szCs w:val="10"/>
                <w:color w:val="auto"/>
                <w:vertAlign w:val="superscript"/>
              </w:rPr>
              <w:t>(6)</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9/30/2021</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10/24/2025</w:t>
            </w: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Business Services</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12.76%</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SOFR+860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6,647</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6,647</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6,315</w:t>
            </w:r>
          </w:p>
        </w:tc>
        <w:tc>
          <w:tcPr>
            <w:tcW w:w="0" w:type="dxa"/>
            <w:vAlign w:val="bottom"/>
          </w:tcPr>
          <w:p>
            <w:pPr>
              <w:spacing w:after="0"/>
              <w:rPr>
                <w:sz w:val="1"/>
                <w:szCs w:val="1"/>
                <w:color w:val="auto"/>
              </w:rPr>
            </w:pPr>
          </w:p>
        </w:tc>
      </w:tr>
      <w:tr>
        <w:trPr>
          <w:trHeight w:val="102"/>
        </w:trPr>
        <w:tc>
          <w:tcPr>
            <w:tcW w:w="20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Chemicals, Plastics and</w:t>
            </w:r>
          </w:p>
        </w:tc>
        <w:tc>
          <w:tcPr>
            <w:tcW w:w="6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Seaway Buyer,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6/13/2029</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Rubber</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10.15%</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SOFR+615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4,850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4,802</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4,523</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Sigma Defense Systems, LLC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12/27/2021</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12/20/2027</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Aerospace and Defense</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10.31%</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SOFR+615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18,078</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17,812</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18,078</w:t>
            </w:r>
          </w:p>
        </w:tc>
        <w:tc>
          <w:tcPr>
            <w:tcW w:w="0" w:type="dxa"/>
            <w:vAlign w:val="bottom"/>
          </w:tcPr>
          <w:p>
            <w:pPr>
              <w:spacing w:after="0"/>
              <w:rPr>
                <w:sz w:val="1"/>
                <w:szCs w:val="1"/>
                <w:color w:val="auto"/>
              </w:rPr>
            </w:pPr>
          </w:p>
        </w:tc>
      </w:tr>
      <w:tr>
        <w:trPr>
          <w:trHeight w:val="102"/>
        </w:trPr>
        <w:tc>
          <w:tcPr>
            <w:tcW w:w="20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Healthcare and</w:t>
            </w:r>
          </w:p>
        </w:tc>
        <w:tc>
          <w:tcPr>
            <w:tcW w:w="6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Smile Brands, Inc.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1/27/2021</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10/12/2027</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Pharmaceuticals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10.10%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SOFR+610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12,294</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12,212</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10,609</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Spendmend Holdings, LLC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3/1/2028</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Healthcare Technology</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9.15%</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SOFR+515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4,029</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3,989</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4,029</w:t>
            </w:r>
          </w:p>
        </w:tc>
        <w:tc>
          <w:tcPr>
            <w:tcW w:w="0" w:type="dxa"/>
            <w:vAlign w:val="bottom"/>
          </w:tcPr>
          <w:p>
            <w:pPr>
              <w:spacing w:after="0"/>
              <w:rPr>
                <w:sz w:val="1"/>
                <w:szCs w:val="1"/>
                <w:color w:val="auto"/>
              </w:rPr>
            </w:pPr>
          </w:p>
        </w:tc>
      </w:tr>
      <w:tr>
        <w:trPr>
          <w:trHeight w:val="81"/>
        </w:trPr>
        <w:tc>
          <w:tcPr>
            <w:tcW w:w="2020" w:type="dxa"/>
            <w:vAlign w:val="bottom"/>
            <w:shd w:val="clear" w:color="auto" w:fill="CCECFF"/>
          </w:tcPr>
          <w:p>
            <w:pPr>
              <w:spacing w:after="0" w:line="81" w:lineRule="exact"/>
              <w:rPr>
                <w:sz w:val="20"/>
                <w:szCs w:val="20"/>
                <w:color w:val="auto"/>
              </w:rPr>
            </w:pPr>
            <w:r>
              <w:rPr>
                <w:rFonts w:ascii="Times New Roman" w:cs="Times New Roman" w:eastAsia="Times New Roman" w:hAnsi="Times New Roman"/>
                <w:sz w:val="8"/>
                <w:szCs w:val="8"/>
                <w:color w:val="auto"/>
              </w:rPr>
              <w:t>STG Distribution, LLC - First Out New Money Term Loans</w:t>
            </w:r>
          </w:p>
        </w:tc>
        <w:tc>
          <w:tcPr>
            <w:tcW w:w="5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10/24/2024</w:t>
            </w:r>
          </w:p>
        </w:tc>
        <w:tc>
          <w:tcPr>
            <w:tcW w:w="680" w:type="dxa"/>
            <w:vAlign w:val="bottom"/>
            <w:vMerge w:val="restart"/>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10/3/2029</w:t>
            </w:r>
          </w:p>
        </w:tc>
        <w:tc>
          <w:tcPr>
            <w:tcW w:w="1200" w:type="dxa"/>
            <w:vAlign w:val="bottom"/>
            <w:vMerge w:val="restart"/>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Air Freight and Logistics</w:t>
            </w:r>
          </w:p>
        </w:tc>
        <w:tc>
          <w:tcPr>
            <w:tcW w:w="6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7"/>
              </w:rPr>
              <w:t>12.57%</w:t>
            </w:r>
          </w:p>
        </w:tc>
        <w:tc>
          <w:tcPr>
            <w:tcW w:w="680" w:type="dxa"/>
            <w:vAlign w:val="bottom"/>
            <w:vMerge w:val="restart"/>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SOFR+835</w:t>
            </w:r>
          </w:p>
        </w:tc>
        <w:tc>
          <w:tcPr>
            <w:tcW w:w="620" w:type="dxa"/>
            <w:vAlign w:val="bottom"/>
            <w:vMerge w:val="restart"/>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1,961</w:t>
            </w:r>
          </w:p>
        </w:tc>
        <w:tc>
          <w:tcPr>
            <w:tcW w:w="500" w:type="dxa"/>
            <w:vAlign w:val="bottom"/>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1,871</w:t>
            </w:r>
          </w:p>
        </w:tc>
        <w:tc>
          <w:tcPr>
            <w:tcW w:w="600" w:type="dxa"/>
            <w:vAlign w:val="bottom"/>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1,745</w:t>
            </w:r>
          </w:p>
        </w:tc>
        <w:tc>
          <w:tcPr>
            <w:tcW w:w="0" w:type="dxa"/>
            <w:vAlign w:val="bottom"/>
          </w:tcPr>
          <w:p>
            <w:pPr>
              <w:spacing w:after="0"/>
              <w:rPr>
                <w:sz w:val="1"/>
                <w:szCs w:val="1"/>
                <w:color w:val="auto"/>
              </w:rPr>
            </w:pPr>
          </w:p>
        </w:tc>
      </w:tr>
      <w:tr>
        <w:trPr>
          <w:trHeight w:val="71"/>
        </w:trPr>
        <w:tc>
          <w:tcPr>
            <w:tcW w:w="20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5"/>
                <w:szCs w:val="5"/>
                <w:color w:val="auto"/>
              </w:rPr>
              <w:t>(5)</w:t>
            </w:r>
          </w:p>
        </w:tc>
        <w:tc>
          <w:tcPr>
            <w:tcW w:w="560" w:type="dxa"/>
            <w:vAlign w:val="bottom"/>
            <w:tcBorders>
              <w:bottom w:val="single" w:sz="8" w:color="CCECFF"/>
            </w:tcBorders>
            <w:vMerge w:val="continue"/>
            <w:shd w:val="clear" w:color="auto" w:fill="CCECFF"/>
          </w:tcPr>
          <w:p>
            <w:pPr>
              <w:spacing w:after="0"/>
              <w:rPr>
                <w:sz w:val="6"/>
                <w:szCs w:val="6"/>
                <w:color w:val="auto"/>
              </w:rPr>
            </w:pPr>
          </w:p>
        </w:tc>
        <w:tc>
          <w:tcPr>
            <w:tcW w:w="680" w:type="dxa"/>
            <w:vAlign w:val="bottom"/>
            <w:tcBorders>
              <w:bottom w:val="single" w:sz="8" w:color="CCECFF"/>
            </w:tcBorders>
            <w:vMerge w:val="continue"/>
            <w:shd w:val="clear" w:color="auto" w:fill="CCECFF"/>
          </w:tcPr>
          <w:p>
            <w:pPr>
              <w:spacing w:after="0"/>
              <w:rPr>
                <w:sz w:val="6"/>
                <w:szCs w:val="6"/>
                <w:color w:val="auto"/>
              </w:rPr>
            </w:pPr>
          </w:p>
        </w:tc>
        <w:tc>
          <w:tcPr>
            <w:tcW w:w="1200" w:type="dxa"/>
            <w:vAlign w:val="bottom"/>
            <w:tcBorders>
              <w:bottom w:val="single" w:sz="8" w:color="CCECFF"/>
            </w:tcBorders>
            <w:vMerge w:val="continue"/>
            <w:shd w:val="clear" w:color="auto" w:fill="CCECFF"/>
          </w:tcPr>
          <w:p>
            <w:pPr>
              <w:spacing w:after="0"/>
              <w:rPr>
                <w:sz w:val="6"/>
                <w:szCs w:val="6"/>
                <w:color w:val="auto"/>
              </w:rPr>
            </w:pPr>
          </w:p>
        </w:tc>
        <w:tc>
          <w:tcPr>
            <w:tcW w:w="600" w:type="dxa"/>
            <w:vAlign w:val="bottom"/>
            <w:tcBorders>
              <w:bottom w:val="single" w:sz="8" w:color="CCECFF"/>
            </w:tcBorders>
            <w:vMerge w:val="continue"/>
            <w:shd w:val="clear" w:color="auto" w:fill="CCECFF"/>
          </w:tcPr>
          <w:p>
            <w:pPr>
              <w:spacing w:after="0"/>
              <w:rPr>
                <w:sz w:val="6"/>
                <w:szCs w:val="6"/>
                <w:color w:val="auto"/>
              </w:rPr>
            </w:pPr>
          </w:p>
        </w:tc>
        <w:tc>
          <w:tcPr>
            <w:tcW w:w="680" w:type="dxa"/>
            <w:vAlign w:val="bottom"/>
            <w:tcBorders>
              <w:bottom w:val="single" w:sz="8" w:color="CCECFF"/>
            </w:tcBorders>
            <w:vMerge w:val="continue"/>
            <w:shd w:val="clear" w:color="auto" w:fill="CCECFF"/>
          </w:tcPr>
          <w:p>
            <w:pPr>
              <w:spacing w:after="0"/>
              <w:rPr>
                <w:sz w:val="6"/>
                <w:szCs w:val="6"/>
                <w:color w:val="auto"/>
              </w:rPr>
            </w:pPr>
          </w:p>
        </w:tc>
        <w:tc>
          <w:tcPr>
            <w:tcW w:w="620" w:type="dxa"/>
            <w:vAlign w:val="bottom"/>
            <w:tcBorders>
              <w:bottom w:val="single" w:sz="8" w:color="CCECFF"/>
            </w:tcBorders>
            <w:vMerge w:val="continue"/>
            <w:shd w:val="clear" w:color="auto" w:fill="CCECFF"/>
          </w:tcPr>
          <w:p>
            <w:pPr>
              <w:spacing w:after="0"/>
              <w:rPr>
                <w:sz w:val="6"/>
                <w:szCs w:val="6"/>
                <w:color w:val="auto"/>
              </w:rPr>
            </w:pPr>
          </w:p>
        </w:tc>
        <w:tc>
          <w:tcPr>
            <w:tcW w:w="500" w:type="dxa"/>
            <w:vAlign w:val="bottom"/>
            <w:tcBorders>
              <w:bottom w:val="single" w:sz="8" w:color="CCECFF"/>
            </w:tcBorders>
            <w:vMerge w:val="continue"/>
            <w:shd w:val="clear" w:color="auto" w:fill="CCECFF"/>
          </w:tcPr>
          <w:p>
            <w:pPr>
              <w:spacing w:after="0"/>
              <w:rPr>
                <w:sz w:val="6"/>
                <w:szCs w:val="6"/>
                <w:color w:val="auto"/>
              </w:rPr>
            </w:pPr>
          </w:p>
        </w:tc>
        <w:tc>
          <w:tcPr>
            <w:tcW w:w="600" w:type="dxa"/>
            <w:vAlign w:val="bottom"/>
            <w:tcBorders>
              <w:bottom w:val="single" w:sz="8" w:color="CCECFF"/>
            </w:tcBorders>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STG Distribution, LLC - Second Out Term Loans </w:t>
            </w:r>
            <w:r>
              <w:rPr>
                <w:rFonts w:ascii="Times New Roman" w:cs="Times New Roman" w:eastAsia="Times New Roman" w:hAnsi="Times New Roman"/>
                <w:sz w:val="10"/>
                <w:szCs w:val="10"/>
                <w:color w:val="auto"/>
                <w:vertAlign w:val="superscript"/>
              </w:rPr>
              <w:t>(5),(7)</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5/22/2025</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10/3/2029</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Air Freight and Logistics</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5.32%</w:t>
            </w:r>
          </w:p>
        </w:tc>
        <w:tc>
          <w:tcPr>
            <w:tcW w:w="680" w:type="dxa"/>
            <w:vAlign w:val="bottom"/>
          </w:tcPr>
          <w:p>
            <w:pPr>
              <w:ind w:left="50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4,535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2,562</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363</w:t>
            </w: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SV-Aero Holdings,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10/31/2024</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11/1/2030</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Aerospace and Defense</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9.00%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14,719</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14,656</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14,719</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Systems Planning And Analysis, Inc.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3/15/2022</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8/16/2027</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Aerospace and Defense</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8.92%</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SOFR+475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14,438</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14,345</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14,322</w:t>
            </w:r>
          </w:p>
        </w:tc>
        <w:tc>
          <w:tcPr>
            <w:tcW w:w="0" w:type="dxa"/>
            <w:vAlign w:val="bottom"/>
          </w:tcPr>
          <w:p>
            <w:pPr>
              <w:spacing w:after="0"/>
              <w:rPr>
                <w:sz w:val="1"/>
                <w:szCs w:val="1"/>
                <w:color w:val="auto"/>
              </w:rPr>
            </w:pPr>
          </w:p>
        </w:tc>
      </w:tr>
      <w:tr>
        <w:trPr>
          <w:trHeight w:val="102"/>
        </w:trPr>
        <w:tc>
          <w:tcPr>
            <w:tcW w:w="20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Commercial Services &amp;</w:t>
            </w:r>
          </w:p>
        </w:tc>
        <w:tc>
          <w:tcPr>
            <w:tcW w:w="6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TMII Enterprises,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12/22/2028</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Supplies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8.66%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SOFR+450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2,873</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2,835</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2,873</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TCG 3.0 Jogger Acquisitionco, Inc.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4/26/2024</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1/23/2029</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7"/>
              </w:rPr>
              <w:t>Media</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10.52%</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SOFR+650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19,429</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19,179</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19,332</w:t>
            </w:r>
          </w:p>
        </w:tc>
        <w:tc>
          <w:tcPr>
            <w:tcW w:w="0" w:type="dxa"/>
            <w:vAlign w:val="bottom"/>
          </w:tcPr>
          <w:p>
            <w:pPr>
              <w:spacing w:after="0"/>
              <w:rPr>
                <w:sz w:val="1"/>
                <w:szCs w:val="1"/>
                <w:color w:val="auto"/>
              </w:rPr>
            </w:pPr>
          </w:p>
        </w:tc>
      </w:tr>
      <w:tr>
        <w:trPr>
          <w:trHeight w:val="102"/>
        </w:trPr>
        <w:tc>
          <w:tcPr>
            <w:tcW w:w="20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Healthcare and</w:t>
            </w:r>
          </w:p>
        </w:tc>
        <w:tc>
          <w:tcPr>
            <w:tcW w:w="6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Team Services Group,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10/4/2022</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12/20/2027</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Pharmaceuticals</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9.56%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SOFR+525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5,327</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5,141</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5,305</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The Bluebird Group, LLC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8/9/2021</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7/28/2026</w:t>
            </w: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Professional Services</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9.90%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SOFR+590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7,985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7,943</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7,985</w:t>
            </w:r>
          </w:p>
        </w:tc>
        <w:tc>
          <w:tcPr>
            <w:tcW w:w="0" w:type="dxa"/>
            <w:vAlign w:val="bottom"/>
          </w:tcPr>
          <w:p>
            <w:pPr>
              <w:spacing w:after="0"/>
              <w:rPr>
                <w:sz w:val="1"/>
                <w:szCs w:val="1"/>
                <w:color w:val="auto"/>
              </w:rPr>
            </w:pPr>
          </w:p>
        </w:tc>
      </w:tr>
      <w:tr>
        <w:trPr>
          <w:trHeight w:val="102"/>
        </w:trPr>
        <w:tc>
          <w:tcPr>
            <w:tcW w:w="20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Construction and</w:t>
            </w:r>
          </w:p>
        </w:tc>
        <w:tc>
          <w:tcPr>
            <w:tcW w:w="6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The Vertex Companies,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8/31/2028</w:t>
            </w:r>
          </w:p>
        </w:tc>
        <w:tc>
          <w:tcPr>
            <w:tcW w:w="12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Engineering</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8.93%</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SOFR+475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17,482</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17,309</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17,395</w:t>
            </w:r>
          </w:p>
        </w:tc>
        <w:tc>
          <w:tcPr>
            <w:tcW w:w="0" w:type="dxa"/>
            <w:vAlign w:val="bottom"/>
          </w:tcPr>
          <w:p>
            <w:pPr>
              <w:spacing w:after="0"/>
              <w:rPr>
                <w:sz w:val="1"/>
                <w:szCs w:val="1"/>
                <w:color w:val="auto"/>
              </w:rPr>
            </w:pPr>
          </w:p>
        </w:tc>
      </w:tr>
      <w:tr>
        <w:trPr>
          <w:trHeight w:val="102"/>
        </w:trPr>
        <w:tc>
          <w:tcPr>
            <w:tcW w:w="2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Consumer Goods: Non-</w:t>
            </w: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TPC US Parent, LLC</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11/24/2025</w:t>
            </w: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Durable</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10.19%</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SOFR+590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16,355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16,341</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16,224</w:t>
            </w:r>
          </w:p>
        </w:tc>
        <w:tc>
          <w:tcPr>
            <w:tcW w:w="0" w:type="dxa"/>
            <w:vAlign w:val="bottom"/>
          </w:tcPr>
          <w:p>
            <w:pPr>
              <w:spacing w:after="0"/>
              <w:rPr>
                <w:sz w:val="1"/>
                <w:szCs w:val="1"/>
                <w:color w:val="auto"/>
              </w:rPr>
            </w:pPr>
          </w:p>
        </w:tc>
      </w:tr>
    </w:tbl>
    <w:p>
      <w:pPr>
        <w:jc w:val="center"/>
        <w:ind w:right="20"/>
        <w:spacing w:after="0"/>
        <w:rPr>
          <w:sz w:val="20"/>
          <w:szCs w:val="20"/>
          <w:color w:val="auto"/>
        </w:rPr>
      </w:pPr>
      <w:r>
        <w:rPr>
          <w:rFonts w:ascii="Times New Roman" w:cs="Times New Roman" w:eastAsia="Times New Roman" w:hAnsi="Times New Roman"/>
          <w:sz w:val="11"/>
          <w:szCs w:val="1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22"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2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b w:val="1"/>
                <w:bCs w:val="1"/>
                <w:color w:val="auto"/>
                <w:w w:val="97"/>
              </w:rPr>
              <w:t>Spread</w:t>
            </w: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9"/>
              </w:rPr>
              <w:t>Par or</w:t>
            </w: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2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700" w:type="dxa"/>
            <w:vAlign w:val="bottom"/>
          </w:tcPr>
          <w:p>
            <w:pPr>
              <w:jc w:val="right"/>
              <w:ind w:right="24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Above</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8"/>
              </w:rPr>
              <w:t>Number</w:t>
            </w:r>
          </w:p>
        </w:tc>
        <w:tc>
          <w:tcPr>
            <w:tcW w:w="360" w:type="dxa"/>
            <w:vAlign w:val="bottom"/>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Cost</w:t>
            </w:r>
          </w:p>
        </w:tc>
        <w:tc>
          <w:tcPr>
            <w:tcW w:w="20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w w:val="87"/>
              </w:rPr>
              <w:t>Fair Value</w:t>
            </w:r>
          </w:p>
        </w:tc>
        <w:tc>
          <w:tcPr>
            <w:tcW w:w="0" w:type="dxa"/>
            <w:vAlign w:val="bottom"/>
          </w:tcPr>
          <w:p>
            <w:pPr>
              <w:spacing w:after="0"/>
              <w:rPr>
                <w:sz w:val="1"/>
                <w:szCs w:val="1"/>
                <w:color w:val="auto"/>
              </w:rPr>
            </w:pPr>
          </w:p>
        </w:tc>
      </w:tr>
      <w:tr>
        <w:trPr>
          <w:trHeight w:val="91"/>
        </w:trPr>
        <w:tc>
          <w:tcPr>
            <w:tcW w:w="20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700" w:type="dxa"/>
            <w:vAlign w:val="bottom"/>
          </w:tcPr>
          <w:p>
            <w:pPr>
              <w:jc w:val="right"/>
              <w:ind w:right="240"/>
              <w:spacing w:after="0" w:line="91" w:lineRule="exact"/>
              <w:rPr>
                <w:sz w:val="20"/>
                <w:szCs w:val="20"/>
                <w:color w:val="auto"/>
              </w:rPr>
            </w:pPr>
            <w:r>
              <w:rPr>
                <w:rFonts w:ascii="Times New Roman" w:cs="Times New Roman" w:eastAsia="Times New Roman" w:hAnsi="Times New Roman"/>
                <w:sz w:val="8"/>
                <w:szCs w:val="8"/>
                <w:b w:val="1"/>
                <w:bCs w:val="1"/>
                <w:color w:val="auto"/>
              </w:rPr>
              <w:t>Coupon</w:t>
            </w:r>
          </w:p>
        </w:tc>
        <w:tc>
          <w:tcPr>
            <w:tcW w:w="580" w:type="dxa"/>
            <w:vAlign w:val="bottom"/>
          </w:tcPr>
          <w:p>
            <w:pPr>
              <w:jc w:val="center"/>
              <w:ind w:right="20"/>
              <w:spacing w:after="0" w:line="91" w:lineRule="exact"/>
              <w:rPr>
                <w:sz w:val="20"/>
                <w:szCs w:val="20"/>
                <w:color w:val="auto"/>
              </w:rPr>
            </w:pPr>
            <w:r>
              <w:rPr>
                <w:rFonts w:ascii="Times New Roman" w:cs="Times New Roman" w:eastAsia="Times New Roman" w:hAnsi="Times New Roman"/>
                <w:sz w:val="8"/>
                <w:szCs w:val="8"/>
                <w:b w:val="1"/>
                <w:bCs w:val="1"/>
                <w:color w:val="auto"/>
                <w:w w:val="95"/>
              </w:rPr>
              <w:t xml:space="preserve">Index </w:t>
            </w:r>
            <w:r>
              <w:rPr>
                <w:rFonts w:ascii="Times New Roman" w:cs="Times New Roman" w:eastAsia="Times New Roman" w:hAnsi="Times New Roman"/>
                <w:sz w:val="10"/>
                <w:szCs w:val="10"/>
                <w:b w:val="1"/>
                <w:bCs w:val="1"/>
                <w:color w:val="auto"/>
                <w:w w:val="95"/>
                <w:vertAlign w:val="superscript"/>
              </w:rPr>
              <w:t>(1)</w:t>
            </w:r>
          </w:p>
        </w:tc>
        <w:tc>
          <w:tcPr>
            <w:tcW w:w="70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8"/>
                <w:szCs w:val="8"/>
                <w:b w:val="1"/>
                <w:bCs w:val="1"/>
                <w:color w:val="auto"/>
              </w:rPr>
              <w:t>of Shares</w:t>
            </w:r>
          </w:p>
        </w:tc>
        <w:tc>
          <w:tcPr>
            <w:tcW w:w="3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jc w:val="right"/>
              <w:ind w:right="140"/>
              <w:spacing w:after="0"/>
              <w:rPr>
                <w:sz w:val="20"/>
                <w:szCs w:val="20"/>
                <w:color w:val="auto"/>
              </w:rPr>
            </w:pPr>
            <w:r>
              <w:rPr>
                <w:rFonts w:ascii="Times New Roman" w:cs="Times New Roman" w:eastAsia="Times New Roman" w:hAnsi="Times New Roman"/>
                <w:sz w:val="5"/>
                <w:szCs w:val="5"/>
                <w:b w:val="1"/>
                <w:bCs w:val="1"/>
                <w:color w:val="auto"/>
              </w:rPr>
              <w:t>(2)</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Transgo, LLC</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1/19/2024</w:t>
            </w:r>
          </w:p>
        </w:tc>
        <w:tc>
          <w:tcPr>
            <w:tcW w:w="7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8"/>
              </w:rPr>
              <w:t>12/29/2028</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Automotive</w:t>
            </w:r>
          </w:p>
        </w:tc>
        <w:tc>
          <w:tcPr>
            <w:tcW w:w="70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9.91%</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SOFR+575</w:t>
            </w: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15,880</w:t>
            </w:r>
          </w:p>
        </w:tc>
        <w:tc>
          <w:tcPr>
            <w:tcW w:w="60" w:type="dxa"/>
            <w:vAlign w:val="bottom"/>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15,694</w:t>
            </w:r>
          </w:p>
        </w:tc>
        <w:tc>
          <w:tcPr>
            <w:tcW w:w="200" w:type="dxa"/>
            <w:vAlign w:val="bottom"/>
            <w:tcBorders>
              <w:right w:val="single" w:sz="8" w:color="CCECFF"/>
            </w:tcBorders>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16,005</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Tyto Athene, LLC</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5/5/2021</w:t>
            </w:r>
          </w:p>
        </w:tc>
        <w:tc>
          <w:tcPr>
            <w:tcW w:w="7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8"/>
              </w:rPr>
              <w:t>4/3/2028</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IT Services</w:t>
            </w:r>
          </w:p>
        </w:tc>
        <w:tc>
          <w:tcPr>
            <w:tcW w:w="70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9.19%</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SOFR+490</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14,604</w:t>
            </w: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14,530</w:t>
            </w:r>
          </w:p>
        </w:tc>
        <w:tc>
          <w:tcPr>
            <w:tcW w:w="20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14,238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2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and</w:t>
            </w:r>
          </w:p>
        </w:tc>
        <w:tc>
          <w:tcPr>
            <w:tcW w:w="7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360" w:type="dxa"/>
            <w:vAlign w:val="bottom"/>
            <w:shd w:val="clear" w:color="auto" w:fill="CCECFF"/>
          </w:tcPr>
          <w:p>
            <w:pPr>
              <w:spacing w:after="0"/>
              <w:rPr>
                <w:sz w:val="8"/>
                <w:szCs w:val="8"/>
                <w:color w:val="auto"/>
              </w:rPr>
            </w:pPr>
          </w:p>
        </w:tc>
        <w:tc>
          <w:tcPr>
            <w:tcW w:w="200" w:type="dxa"/>
            <w:vAlign w:val="bottom"/>
            <w:tcBorders>
              <w:right w:val="single" w:sz="8" w:color="CCECFF"/>
            </w:tcBorders>
            <w:shd w:val="clear" w:color="auto" w:fill="CCECFF"/>
          </w:tcPr>
          <w:p>
            <w:pPr>
              <w:spacing w:after="0"/>
              <w:rPr>
                <w:sz w:val="8"/>
                <w:szCs w:val="8"/>
                <w:color w:val="auto"/>
              </w:rPr>
            </w:pPr>
          </w:p>
        </w:tc>
        <w:tc>
          <w:tcPr>
            <w:tcW w:w="3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Urology Management Holdings, Inc.</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4/11/2023</w:t>
            </w:r>
          </w:p>
        </w:tc>
        <w:tc>
          <w:tcPr>
            <w:tcW w:w="7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8"/>
              </w:rPr>
              <w:t>6/15/2027</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Pharmaceuticals</w:t>
            </w:r>
          </w:p>
        </w:tc>
        <w:tc>
          <w:tcPr>
            <w:tcW w:w="70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9.66%</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SOFR+550</w:t>
            </w: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6,753</w:t>
            </w:r>
          </w:p>
        </w:tc>
        <w:tc>
          <w:tcPr>
            <w:tcW w:w="60" w:type="dxa"/>
            <w:vAlign w:val="bottom"/>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6,718</w:t>
            </w:r>
          </w:p>
        </w:tc>
        <w:tc>
          <w:tcPr>
            <w:tcW w:w="200" w:type="dxa"/>
            <w:vAlign w:val="bottom"/>
            <w:tcBorders>
              <w:right w:val="single" w:sz="8" w:color="CCECFF"/>
            </w:tcBorders>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6,753</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Walker Edison Furniture Company, LLC - Unfunded Term</w:t>
            </w: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vertAlign w:val="subscript"/>
              </w:rPr>
              <w:t>Loan</w:t>
            </w:r>
            <w:r>
              <w:rPr>
                <w:rFonts w:ascii="Times New Roman" w:cs="Times New Roman" w:eastAsia="Times New Roman" w:hAnsi="Times New Roman"/>
                <w:sz w:val="4"/>
                <w:szCs w:val="4"/>
                <w:color w:val="auto"/>
              </w:rPr>
              <w:t xml:space="preserve"> (3),(5)</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8/29/2025</w:t>
            </w:r>
          </w:p>
        </w:tc>
        <w:tc>
          <w:tcPr>
            <w:tcW w:w="7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8"/>
              </w:rPr>
              <w:t>3/1/2029</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Wholesale</w:t>
            </w: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353</w:t>
            </w: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20" w:type="dxa"/>
            <w:vAlign w:val="bottom"/>
            <w:shd w:val="clear" w:color="auto" w:fill="CCECFF"/>
          </w:tcPr>
          <w:p>
            <w:pPr>
              <w:spacing w:after="0" w:line="81" w:lineRule="exact"/>
              <w:rPr>
                <w:sz w:val="20"/>
                <w:szCs w:val="20"/>
                <w:color w:val="auto"/>
              </w:rPr>
            </w:pPr>
            <w:r>
              <w:rPr>
                <w:rFonts w:ascii="Times New Roman" w:cs="Times New Roman" w:eastAsia="Times New Roman" w:hAnsi="Times New Roman"/>
                <w:sz w:val="8"/>
                <w:szCs w:val="8"/>
                <w:color w:val="auto"/>
              </w:rPr>
              <w:t>Walker Edison Furniture Company, LLC - New Money DIP</w:t>
            </w:r>
          </w:p>
        </w:tc>
        <w:tc>
          <w:tcPr>
            <w:tcW w:w="580" w:type="dxa"/>
            <w:vAlign w:val="bottom"/>
            <w:vMerge w:val="restart"/>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8/29/2025</w:t>
            </w:r>
          </w:p>
        </w:tc>
        <w:tc>
          <w:tcPr>
            <w:tcW w:w="740" w:type="dxa"/>
            <w:vAlign w:val="bottom"/>
            <w:vMerge w:val="restart"/>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8"/>
              </w:rPr>
              <w:t>3/1/2029</w:t>
            </w:r>
          </w:p>
        </w:tc>
        <w:tc>
          <w:tcPr>
            <w:tcW w:w="11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Wholesale</w:t>
            </w:r>
          </w:p>
        </w:tc>
        <w:tc>
          <w:tcPr>
            <w:tcW w:w="700" w:type="dxa"/>
            <w:vAlign w:val="bottom"/>
            <w:vMerge w:val="restart"/>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7"/>
              </w:rPr>
              <w:t>10.00%</w:t>
            </w:r>
          </w:p>
        </w:tc>
        <w:tc>
          <w:tcPr>
            <w:tcW w:w="580" w:type="dxa"/>
            <w:vAlign w:val="bottom"/>
            <w:shd w:val="clear" w:color="auto" w:fill="CCECFF"/>
          </w:tcPr>
          <w:p>
            <w:pPr>
              <w:ind w:left="380"/>
              <w:spacing w:after="0" w:line="81" w:lineRule="exact"/>
              <w:rPr>
                <w:sz w:val="20"/>
                <w:szCs w:val="20"/>
                <w:color w:val="auto"/>
              </w:rPr>
            </w:pPr>
            <w:r>
              <w:rPr>
                <w:rFonts w:ascii="Times New Roman" w:cs="Times New Roman" w:eastAsia="Times New Roman" w:hAnsi="Times New Roman"/>
                <w:sz w:val="8"/>
                <w:szCs w:val="8"/>
                <w:color w:val="auto"/>
              </w:rPr>
              <w:t>—</w:t>
            </w:r>
          </w:p>
        </w:tc>
        <w:tc>
          <w:tcPr>
            <w:tcW w:w="640" w:type="dxa"/>
            <w:vAlign w:val="bottom"/>
            <w:vMerge w:val="restart"/>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134</w:t>
            </w:r>
          </w:p>
        </w:tc>
        <w:tc>
          <w:tcPr>
            <w:tcW w:w="60" w:type="dxa"/>
            <w:vAlign w:val="bottom"/>
            <w:shd w:val="clear" w:color="auto" w:fill="CCECFF"/>
          </w:tcPr>
          <w:p>
            <w:pPr>
              <w:spacing w:after="0"/>
              <w:rPr>
                <w:sz w:val="7"/>
                <w:szCs w:val="7"/>
                <w:color w:val="auto"/>
              </w:rPr>
            </w:pPr>
          </w:p>
        </w:tc>
        <w:tc>
          <w:tcPr>
            <w:tcW w:w="3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134</w:t>
            </w:r>
          </w:p>
        </w:tc>
        <w:tc>
          <w:tcPr>
            <w:tcW w:w="200" w:type="dxa"/>
            <w:vAlign w:val="bottom"/>
            <w:tcBorders>
              <w:right w:val="single" w:sz="8" w:color="CCECFF"/>
            </w:tcBorders>
            <w:shd w:val="clear" w:color="auto" w:fill="CCECFF"/>
          </w:tcPr>
          <w:p>
            <w:pPr>
              <w:spacing w:after="0"/>
              <w:rPr>
                <w:sz w:val="7"/>
                <w:szCs w:val="7"/>
                <w:color w:val="auto"/>
              </w:rPr>
            </w:pPr>
          </w:p>
        </w:tc>
        <w:tc>
          <w:tcPr>
            <w:tcW w:w="3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136</w:t>
            </w:r>
          </w:p>
        </w:tc>
        <w:tc>
          <w:tcPr>
            <w:tcW w:w="8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5"/>
                <w:szCs w:val="5"/>
                <w:color w:val="auto"/>
              </w:rPr>
              <w:t>(5)</w:t>
            </w:r>
          </w:p>
        </w:tc>
        <w:tc>
          <w:tcPr>
            <w:tcW w:w="580" w:type="dxa"/>
            <w:vAlign w:val="bottom"/>
            <w:tcBorders>
              <w:bottom w:val="single" w:sz="8" w:color="CCECFF"/>
            </w:tcBorders>
            <w:vMerge w:val="continue"/>
            <w:shd w:val="clear" w:color="auto" w:fill="CCECFF"/>
          </w:tcPr>
          <w:p>
            <w:pPr>
              <w:spacing w:after="0"/>
              <w:rPr>
                <w:sz w:val="6"/>
                <w:szCs w:val="6"/>
                <w:color w:val="auto"/>
              </w:rPr>
            </w:pPr>
          </w:p>
        </w:tc>
        <w:tc>
          <w:tcPr>
            <w:tcW w:w="740" w:type="dxa"/>
            <w:vAlign w:val="bottom"/>
            <w:tcBorders>
              <w:bottom w:val="single" w:sz="8" w:color="CCECFF"/>
            </w:tcBorders>
            <w:vMerge w:val="continue"/>
            <w:shd w:val="clear" w:color="auto" w:fill="CCECFF"/>
          </w:tcPr>
          <w:p>
            <w:pPr>
              <w:spacing w:after="0"/>
              <w:rPr>
                <w:sz w:val="6"/>
                <w:szCs w:val="6"/>
                <w:color w:val="auto"/>
              </w:rPr>
            </w:pPr>
          </w:p>
        </w:tc>
        <w:tc>
          <w:tcPr>
            <w:tcW w:w="1140" w:type="dxa"/>
            <w:vAlign w:val="bottom"/>
            <w:tcBorders>
              <w:bottom w:val="single" w:sz="8" w:color="CCECFF"/>
            </w:tcBorders>
            <w:vMerge w:val="continue"/>
            <w:shd w:val="clear" w:color="auto" w:fill="CCECFF"/>
          </w:tcPr>
          <w:p>
            <w:pPr>
              <w:spacing w:after="0"/>
              <w:rPr>
                <w:sz w:val="6"/>
                <w:szCs w:val="6"/>
                <w:color w:val="auto"/>
              </w:rPr>
            </w:pPr>
          </w:p>
        </w:tc>
        <w:tc>
          <w:tcPr>
            <w:tcW w:w="700" w:type="dxa"/>
            <w:vAlign w:val="bottom"/>
            <w:tcBorders>
              <w:bottom w:val="single" w:sz="8" w:color="CCECFF"/>
            </w:tcBorders>
            <w:vMerge w:val="continue"/>
            <w:shd w:val="clear" w:color="auto" w:fill="CCECFF"/>
          </w:tcPr>
          <w:p>
            <w:pPr>
              <w:spacing w:after="0"/>
              <w:rPr>
                <w:sz w:val="6"/>
                <w:szCs w:val="6"/>
                <w:color w:val="auto"/>
              </w:rPr>
            </w:pPr>
          </w:p>
        </w:tc>
        <w:tc>
          <w:tcPr>
            <w:tcW w:w="580" w:type="dxa"/>
            <w:vAlign w:val="bottom"/>
            <w:tcBorders>
              <w:bottom w:val="single" w:sz="8" w:color="CCECFF"/>
            </w:tcBorders>
            <w:shd w:val="clear" w:color="auto" w:fill="CCECFF"/>
          </w:tcPr>
          <w:p>
            <w:pPr>
              <w:spacing w:after="0"/>
              <w:rPr>
                <w:sz w:val="6"/>
                <w:szCs w:val="6"/>
                <w:color w:val="auto"/>
              </w:rPr>
            </w:pPr>
          </w:p>
        </w:tc>
        <w:tc>
          <w:tcPr>
            <w:tcW w:w="640" w:type="dxa"/>
            <w:vAlign w:val="bottom"/>
            <w:tcBorders>
              <w:bottom w:val="single" w:sz="8" w:color="CCECFF"/>
            </w:tcBorders>
            <w:vMerge w:val="continue"/>
            <w:shd w:val="clear" w:color="auto" w:fill="CCECFF"/>
          </w:tcPr>
          <w:p>
            <w:pPr>
              <w:spacing w:after="0"/>
              <w:rPr>
                <w:sz w:val="6"/>
                <w:szCs w:val="6"/>
                <w:color w:val="auto"/>
              </w:rPr>
            </w:pPr>
          </w:p>
        </w:tc>
        <w:tc>
          <w:tcPr>
            <w:tcW w:w="60" w:type="dxa"/>
            <w:vAlign w:val="bottom"/>
            <w:tcBorders>
              <w:bottom w:val="single" w:sz="8" w:color="CCECFF"/>
            </w:tcBorders>
            <w:shd w:val="clear" w:color="auto" w:fill="CCECFF"/>
          </w:tcPr>
          <w:p>
            <w:pPr>
              <w:spacing w:after="0"/>
              <w:rPr>
                <w:sz w:val="6"/>
                <w:szCs w:val="6"/>
                <w:color w:val="auto"/>
              </w:rPr>
            </w:pPr>
          </w:p>
        </w:tc>
        <w:tc>
          <w:tcPr>
            <w:tcW w:w="360" w:type="dxa"/>
            <w:vAlign w:val="bottom"/>
            <w:tcBorders>
              <w:bottom w:val="single" w:sz="8" w:color="CCECFF"/>
            </w:tcBorders>
            <w:vMerge w:val="continue"/>
            <w:shd w:val="clear" w:color="auto" w:fill="CCECFF"/>
          </w:tcPr>
          <w:p>
            <w:pPr>
              <w:spacing w:after="0"/>
              <w:rPr>
                <w:sz w:val="6"/>
                <w:szCs w:val="6"/>
                <w:color w:val="auto"/>
              </w:rPr>
            </w:pPr>
          </w:p>
        </w:tc>
        <w:tc>
          <w:tcPr>
            <w:tcW w:w="200" w:type="dxa"/>
            <w:vAlign w:val="bottom"/>
            <w:tcBorders>
              <w:bottom w:val="single" w:sz="8" w:color="CCECFF"/>
              <w:right w:val="single" w:sz="8" w:color="CCECFF"/>
            </w:tcBorders>
            <w:shd w:val="clear" w:color="auto" w:fill="CCECFF"/>
          </w:tcPr>
          <w:p>
            <w:pPr>
              <w:spacing w:after="0"/>
              <w:rPr>
                <w:sz w:val="6"/>
                <w:szCs w:val="6"/>
                <w:color w:val="auto"/>
              </w:rPr>
            </w:pPr>
          </w:p>
        </w:tc>
        <w:tc>
          <w:tcPr>
            <w:tcW w:w="360" w:type="dxa"/>
            <w:vAlign w:val="bottom"/>
            <w:tcBorders>
              <w:bottom w:val="single" w:sz="8" w:color="CCECFF"/>
            </w:tcBorders>
            <w:vMerge w:val="continue"/>
            <w:shd w:val="clear" w:color="auto" w:fill="CCECFF"/>
          </w:tcPr>
          <w:p>
            <w:pPr>
              <w:spacing w:after="0"/>
              <w:rPr>
                <w:sz w:val="6"/>
                <w:szCs w:val="6"/>
                <w:color w:val="auto"/>
              </w:rPr>
            </w:pPr>
          </w:p>
        </w:tc>
        <w:tc>
          <w:tcPr>
            <w:tcW w:w="80" w:type="dxa"/>
            <w:vAlign w:val="bottom"/>
            <w:tcBorders>
              <w:bottom w:val="single" w:sz="8" w:color="CCECFF"/>
            </w:tcBorders>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w:t>
            </w: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Watchtower Buyer, LLC</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5/20/2024</w:t>
            </w:r>
          </w:p>
        </w:tc>
        <w:tc>
          <w:tcPr>
            <w:tcW w:w="7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8"/>
              </w:rPr>
              <w:t>12/3/2029</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70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7"/>
              </w:rPr>
              <w:t>10.00%</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SOFR+600</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12,066</w:t>
            </w: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11,914</w:t>
            </w:r>
          </w:p>
        </w:tc>
        <w:tc>
          <w:tcPr>
            <w:tcW w:w="20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11,946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Wash &amp; Wax Systems LLC </w:t>
            </w:r>
            <w:r>
              <w:rPr>
                <w:rFonts w:ascii="Times New Roman" w:cs="Times New Roman" w:eastAsia="Times New Roman" w:hAnsi="Times New Roman"/>
                <w:sz w:val="10"/>
                <w:szCs w:val="10"/>
                <w:color w:val="auto"/>
                <w:vertAlign w:val="superscript"/>
              </w:rPr>
              <w:t>(5)</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4/30/2025</w:t>
            </w:r>
          </w:p>
        </w:tc>
        <w:tc>
          <w:tcPr>
            <w:tcW w:w="7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8"/>
              </w:rPr>
              <w:t>4/30/2028</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70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9.81%</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SOFR+550</w:t>
            </w: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5,847</w:t>
            </w:r>
          </w:p>
        </w:tc>
        <w:tc>
          <w:tcPr>
            <w:tcW w:w="60" w:type="dxa"/>
            <w:vAlign w:val="bottom"/>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5,947</w:t>
            </w:r>
          </w:p>
        </w:tc>
        <w:tc>
          <w:tcPr>
            <w:tcW w:w="200" w:type="dxa"/>
            <w:vAlign w:val="bottom"/>
            <w:tcBorders>
              <w:right w:val="single" w:sz="8" w:color="CCECFF"/>
            </w:tcBorders>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5,964</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First Lien Secured Debt</w:t>
            </w: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1,083,891</w:t>
            </w:r>
          </w:p>
        </w:tc>
        <w:tc>
          <w:tcPr>
            <w:tcW w:w="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1,066,863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Subordinate Debt - 14.8% of Net Assets</w:t>
            </w:r>
          </w:p>
        </w:tc>
        <w:tc>
          <w:tcPr>
            <w:tcW w:w="58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360" w:type="dxa"/>
            <w:vAlign w:val="bottom"/>
            <w:shd w:val="clear" w:color="auto" w:fill="CCECFF"/>
          </w:tcPr>
          <w:p>
            <w:pPr>
              <w:spacing w:after="0"/>
              <w:rPr>
                <w:sz w:val="8"/>
                <w:szCs w:val="8"/>
                <w:color w:val="auto"/>
              </w:rPr>
            </w:pPr>
          </w:p>
        </w:tc>
        <w:tc>
          <w:tcPr>
            <w:tcW w:w="200" w:type="dxa"/>
            <w:vAlign w:val="bottom"/>
            <w:tcBorders>
              <w:right w:val="single" w:sz="8" w:color="CCECFF"/>
            </w:tcBorders>
            <w:shd w:val="clear" w:color="auto" w:fill="CCECFF"/>
          </w:tcPr>
          <w:p>
            <w:pPr>
              <w:spacing w:after="0"/>
              <w:rPr>
                <w:sz w:val="8"/>
                <w:szCs w:val="8"/>
                <w:color w:val="auto"/>
              </w:rPr>
            </w:pPr>
          </w:p>
        </w:tc>
        <w:tc>
          <w:tcPr>
            <w:tcW w:w="3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Integrative Nutrition, LLC</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4/17/2025</w:t>
            </w:r>
          </w:p>
        </w:tc>
        <w:tc>
          <w:tcPr>
            <w:tcW w:w="7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8"/>
              </w:rPr>
              <w:t>4/15/2030</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1,877</w:t>
            </w: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1,628</w:t>
            </w:r>
          </w:p>
        </w:tc>
        <w:tc>
          <w:tcPr>
            <w:tcW w:w="20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1,605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2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w:t>
            </w:r>
          </w:p>
        </w:tc>
        <w:tc>
          <w:tcPr>
            <w:tcW w:w="7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360" w:type="dxa"/>
            <w:vAlign w:val="bottom"/>
            <w:shd w:val="clear" w:color="auto" w:fill="CCECFF"/>
          </w:tcPr>
          <w:p>
            <w:pPr>
              <w:spacing w:after="0"/>
              <w:rPr>
                <w:sz w:val="8"/>
                <w:szCs w:val="8"/>
                <w:color w:val="auto"/>
              </w:rPr>
            </w:pPr>
          </w:p>
        </w:tc>
        <w:tc>
          <w:tcPr>
            <w:tcW w:w="200" w:type="dxa"/>
            <w:vAlign w:val="bottom"/>
            <w:tcBorders>
              <w:right w:val="single" w:sz="8" w:color="CCECFF"/>
            </w:tcBorders>
            <w:shd w:val="clear" w:color="auto" w:fill="CCECFF"/>
          </w:tcPr>
          <w:p>
            <w:pPr>
              <w:spacing w:after="0"/>
              <w:rPr>
                <w:sz w:val="8"/>
                <w:szCs w:val="8"/>
                <w:color w:val="auto"/>
              </w:rPr>
            </w:pPr>
          </w:p>
        </w:tc>
        <w:tc>
          <w:tcPr>
            <w:tcW w:w="3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Integrative Nutrition, LLC</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4/17/2025</w:t>
            </w:r>
          </w:p>
        </w:tc>
        <w:tc>
          <w:tcPr>
            <w:tcW w:w="7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8"/>
              </w:rPr>
              <w:t>4/15/2033</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7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4,275</w:t>
            </w:r>
          </w:p>
        </w:tc>
        <w:tc>
          <w:tcPr>
            <w:tcW w:w="60" w:type="dxa"/>
            <w:vAlign w:val="bottom"/>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1,977</w:t>
            </w:r>
          </w:p>
        </w:tc>
        <w:tc>
          <w:tcPr>
            <w:tcW w:w="200" w:type="dxa"/>
            <w:vAlign w:val="bottom"/>
            <w:tcBorders>
              <w:right w:val="single" w:sz="8" w:color="CCECFF"/>
            </w:tcBorders>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1,977</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Wash &amp; Wax Systems LLC</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4/30/2025</w:t>
            </w:r>
          </w:p>
        </w:tc>
        <w:tc>
          <w:tcPr>
            <w:tcW w:w="74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8"/>
              </w:rPr>
              <w:t>7/30/2028</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70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7"/>
              </w:rPr>
              <w:t>12.00%</w:t>
            </w:r>
          </w:p>
        </w:tc>
        <w:tc>
          <w:tcPr>
            <w:tcW w:w="580" w:type="dxa"/>
            <w:vAlign w:val="bottom"/>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3,932</w:t>
            </w: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3,932</w:t>
            </w:r>
          </w:p>
        </w:tc>
        <w:tc>
          <w:tcPr>
            <w:tcW w:w="20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3,932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Subordinate Debt</w:t>
            </w:r>
          </w:p>
        </w:tc>
        <w:tc>
          <w:tcPr>
            <w:tcW w:w="58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7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7,537</w:t>
            </w:r>
          </w:p>
        </w:tc>
        <w:tc>
          <w:tcPr>
            <w:tcW w:w="20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7,514</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Equity Securities - 20.3% of Net Assets</w:t>
            </w: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48Forty Intermediate Holdings, Inc. - Common Equity</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11/5/2024</w:t>
            </w:r>
          </w:p>
        </w:tc>
        <w:tc>
          <w:tcPr>
            <w:tcW w:w="7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8"/>
                <w:szCs w:val="8"/>
                <w:color w:val="auto"/>
              </w:rPr>
              <w:t>—</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Containers and Packaging</w:t>
            </w:r>
          </w:p>
        </w:tc>
        <w:tc>
          <w:tcPr>
            <w:tcW w:w="7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1,722</w:t>
            </w:r>
          </w:p>
        </w:tc>
        <w:tc>
          <w:tcPr>
            <w:tcW w:w="60" w:type="dxa"/>
            <w:vAlign w:val="bottom"/>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Borders>
              <w:right w:val="single" w:sz="8" w:color="CCECFF"/>
            </w:tcBorders>
            <w:shd w:val="clear" w:color="auto" w:fill="CCECFF"/>
          </w:tcPr>
          <w:p>
            <w:pPr>
              <w:spacing w:after="0"/>
              <w:rPr>
                <w:sz w:val="8"/>
                <w:szCs w:val="8"/>
                <w:color w:val="auto"/>
              </w:rPr>
            </w:pPr>
          </w:p>
        </w:tc>
        <w:tc>
          <w:tcPr>
            <w:tcW w:w="4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2"/>
        </w:trPr>
        <w:tc>
          <w:tcPr>
            <w:tcW w:w="2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ind w:left="520"/>
              <w:spacing w:after="0"/>
              <w:rPr>
                <w:sz w:val="20"/>
                <w:szCs w:val="20"/>
                <w:color w:val="auto"/>
              </w:rPr>
            </w:pPr>
            <w:r>
              <w:rPr>
                <w:rFonts w:ascii="Times New Roman" w:cs="Times New Roman" w:eastAsia="Times New Roman" w:hAnsi="Times New Roman"/>
                <w:sz w:val="8"/>
                <w:szCs w:val="8"/>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New Insight Holdings, Inc. - Common Equity</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7/15/2024</w:t>
            </w:r>
          </w:p>
        </w:tc>
        <w:tc>
          <w:tcPr>
            <w:tcW w:w="74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116,055</w:t>
            </w: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2,031</w:t>
            </w:r>
          </w:p>
        </w:tc>
        <w:tc>
          <w:tcPr>
            <w:tcW w:w="20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1,740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Lucky Bucks, LLC - Common Equity</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12/1/2023</w:t>
            </w:r>
          </w:p>
        </w:tc>
        <w:tc>
          <w:tcPr>
            <w:tcW w:w="7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8"/>
                <w:szCs w:val="8"/>
                <w:color w:val="auto"/>
              </w:rPr>
              <w:t>—</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Hotel, Gaming and Leisure</w:t>
            </w:r>
          </w:p>
        </w:tc>
        <w:tc>
          <w:tcPr>
            <w:tcW w:w="7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73,870</w:t>
            </w:r>
          </w:p>
        </w:tc>
        <w:tc>
          <w:tcPr>
            <w:tcW w:w="60" w:type="dxa"/>
            <w:vAlign w:val="bottom"/>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2,062</w:t>
            </w:r>
          </w:p>
        </w:tc>
        <w:tc>
          <w:tcPr>
            <w:tcW w:w="200" w:type="dxa"/>
            <w:vAlign w:val="bottom"/>
            <w:tcBorders>
              <w:right w:val="single" w:sz="8" w:color="CCECFF"/>
            </w:tcBorders>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392</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Output Services Group, Inc. - Common Equity</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12/1/2023</w:t>
            </w:r>
          </w:p>
        </w:tc>
        <w:tc>
          <w:tcPr>
            <w:tcW w:w="740" w:type="dxa"/>
            <w:vAlign w:val="bottom"/>
          </w:tcPr>
          <w:p>
            <w:pPr>
              <w:ind w:left="520"/>
              <w:spacing w:after="0"/>
              <w:rPr>
                <w:sz w:val="20"/>
                <w:szCs w:val="20"/>
                <w:color w:val="auto"/>
              </w:rPr>
            </w:pPr>
            <w:r>
              <w:rPr>
                <w:rFonts w:ascii="Times New Roman" w:cs="Times New Roman" w:eastAsia="Times New Roman" w:hAnsi="Times New Roman"/>
                <w:sz w:val="8"/>
                <w:szCs w:val="8"/>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126,324</w:t>
            </w: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1,012</w:t>
            </w:r>
          </w:p>
        </w:tc>
        <w:tc>
          <w:tcPr>
            <w:tcW w:w="20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1,037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Pragmatic Holdco, Inc. - Common Equity</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3/28/2025</w:t>
            </w:r>
          </w:p>
        </w:tc>
        <w:tc>
          <w:tcPr>
            <w:tcW w:w="7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8"/>
                <w:szCs w:val="8"/>
                <w:color w:val="auto"/>
              </w:rPr>
              <w:t>—</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Education</w:t>
            </w:r>
          </w:p>
        </w:tc>
        <w:tc>
          <w:tcPr>
            <w:tcW w:w="7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134</w:t>
            </w:r>
          </w:p>
        </w:tc>
        <w:tc>
          <w:tcPr>
            <w:tcW w:w="60" w:type="dxa"/>
            <w:vAlign w:val="bottom"/>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Borders>
              <w:right w:val="single" w:sz="8" w:color="CCECFF"/>
            </w:tcBorders>
            <w:shd w:val="clear" w:color="auto" w:fill="CCECFF"/>
          </w:tcPr>
          <w:p>
            <w:pPr>
              <w:spacing w:after="0"/>
              <w:rPr>
                <w:sz w:val="8"/>
                <w:szCs w:val="8"/>
                <w:color w:val="auto"/>
              </w:rPr>
            </w:pPr>
          </w:p>
        </w:tc>
        <w:tc>
          <w:tcPr>
            <w:tcW w:w="4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Wash &amp; Wax Group, LP - Common Equity</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4/30/2025</w:t>
            </w:r>
          </w:p>
        </w:tc>
        <w:tc>
          <w:tcPr>
            <w:tcW w:w="740" w:type="dxa"/>
            <w:vAlign w:val="bottom"/>
          </w:tcPr>
          <w:p>
            <w:pPr>
              <w:ind w:left="520"/>
              <w:spacing w:after="0"/>
              <w:rPr>
                <w:sz w:val="20"/>
                <w:szCs w:val="20"/>
                <w:color w:val="auto"/>
              </w:rPr>
            </w:pPr>
            <w:r>
              <w:rPr>
                <w:rFonts w:ascii="Times New Roman" w:cs="Times New Roman" w:eastAsia="Times New Roman" w:hAnsi="Times New Roman"/>
                <w:sz w:val="8"/>
                <w:szCs w:val="8"/>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rPr>
              <w:t>2,493</w:t>
            </w: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4,449</w:t>
            </w:r>
          </w:p>
        </w:tc>
        <w:tc>
          <w:tcPr>
            <w:tcW w:w="20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4,593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White Tiger Newco, LLC - Common Equity </w:t>
            </w:r>
            <w:r>
              <w:rPr>
                <w:rFonts w:ascii="Times New Roman" w:cs="Times New Roman" w:eastAsia="Times New Roman" w:hAnsi="Times New Roman"/>
                <w:sz w:val="10"/>
                <w:szCs w:val="10"/>
                <w:color w:val="auto"/>
                <w:vertAlign w:val="superscript"/>
              </w:rPr>
              <w:t>(5)</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7/31/2025</w:t>
            </w:r>
          </w:p>
        </w:tc>
        <w:tc>
          <w:tcPr>
            <w:tcW w:w="7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8"/>
                <w:szCs w:val="8"/>
                <w:color w:val="auto"/>
              </w:rPr>
              <w:t>—</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7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20"/>
              <w:spacing w:after="0"/>
              <w:rPr>
                <w:sz w:val="20"/>
                <w:szCs w:val="20"/>
                <w:color w:val="auto"/>
              </w:rPr>
            </w:pPr>
            <w:r>
              <w:rPr>
                <w:rFonts w:ascii="Times New Roman" w:cs="Times New Roman" w:eastAsia="Times New Roman" w:hAnsi="Times New Roman"/>
                <w:sz w:val="8"/>
                <w:szCs w:val="8"/>
                <w:color w:val="auto"/>
              </w:rPr>
              <w:t>35,834</w:t>
            </w:r>
          </w:p>
        </w:tc>
        <w:tc>
          <w:tcPr>
            <w:tcW w:w="60" w:type="dxa"/>
            <w:vAlign w:val="bottom"/>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2,734</w:t>
            </w:r>
          </w:p>
        </w:tc>
        <w:tc>
          <w:tcPr>
            <w:tcW w:w="200" w:type="dxa"/>
            <w:vAlign w:val="bottom"/>
            <w:tcBorders>
              <w:right w:val="single" w:sz="8" w:color="CCECFF"/>
            </w:tcBorders>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2,510</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Equity Securities</w:t>
            </w: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12,288</w:t>
            </w:r>
          </w:p>
        </w:tc>
        <w:tc>
          <w:tcPr>
            <w:tcW w:w="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10,272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b w:val="1"/>
                <w:bCs w:val="1"/>
                <w:color w:val="auto"/>
              </w:rPr>
              <w:t xml:space="preserve">Total Investments - 2,141.5% of Net Assets </w:t>
            </w:r>
            <w:r>
              <w:rPr>
                <w:rFonts w:ascii="Times New Roman" w:cs="Times New Roman" w:eastAsia="Times New Roman" w:hAnsi="Times New Roman"/>
                <w:sz w:val="10"/>
                <w:szCs w:val="10"/>
                <w:b w:val="1"/>
                <w:bCs w:val="1"/>
                <w:color w:val="auto"/>
                <w:vertAlign w:val="superscript"/>
              </w:rPr>
              <w:t>(6)(8)</w:t>
            </w:r>
          </w:p>
        </w:tc>
        <w:tc>
          <w:tcPr>
            <w:tcW w:w="58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7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1,103,716</w:t>
            </w:r>
          </w:p>
        </w:tc>
        <w:tc>
          <w:tcPr>
            <w:tcW w:w="20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1,084,649</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Cash Equivalents - 94.5% of Net Assets</w:t>
            </w:r>
          </w:p>
        </w:tc>
        <w:tc>
          <w:tcPr>
            <w:tcW w:w="58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360" w:type="dxa"/>
            <w:vAlign w:val="bottom"/>
            <w:shd w:val="clear" w:color="auto" w:fill="CCECFF"/>
          </w:tcPr>
          <w:p>
            <w:pPr>
              <w:spacing w:after="0"/>
              <w:rPr>
                <w:sz w:val="8"/>
                <w:szCs w:val="8"/>
                <w:color w:val="auto"/>
              </w:rPr>
            </w:pPr>
          </w:p>
        </w:tc>
        <w:tc>
          <w:tcPr>
            <w:tcW w:w="200" w:type="dxa"/>
            <w:vAlign w:val="bottom"/>
            <w:tcBorders>
              <w:right w:val="single" w:sz="8" w:color="CCECFF"/>
            </w:tcBorders>
            <w:shd w:val="clear" w:color="auto" w:fill="CCECFF"/>
          </w:tcPr>
          <w:p>
            <w:pPr>
              <w:spacing w:after="0"/>
              <w:rPr>
                <w:sz w:val="8"/>
                <w:szCs w:val="8"/>
                <w:color w:val="auto"/>
              </w:rPr>
            </w:pPr>
          </w:p>
        </w:tc>
        <w:tc>
          <w:tcPr>
            <w:tcW w:w="3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BlackRock Federal FD Institutional 81 ( Money Market</w:t>
            </w: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Fund)</w:t>
            </w: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4.11%</w:t>
            </w:r>
          </w:p>
        </w:tc>
        <w:tc>
          <w:tcPr>
            <w:tcW w:w="580" w:type="dxa"/>
            <w:vAlign w:val="bottom"/>
          </w:tcPr>
          <w:p>
            <w:pPr>
              <w:spacing w:after="0"/>
              <w:rPr>
                <w:sz w:val="8"/>
                <w:szCs w:val="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12,475</w:t>
            </w:r>
          </w:p>
        </w:tc>
        <w:tc>
          <w:tcPr>
            <w:tcW w:w="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12,475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Blackrock Liquidity Fed Fund Inst (Money Market Fund)</w:t>
            </w:r>
          </w:p>
        </w:tc>
        <w:tc>
          <w:tcPr>
            <w:tcW w:w="58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7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4.02%</w:t>
            </w:r>
          </w:p>
        </w:tc>
        <w:tc>
          <w:tcPr>
            <w:tcW w:w="58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4,265</w:t>
            </w:r>
          </w:p>
        </w:tc>
        <w:tc>
          <w:tcPr>
            <w:tcW w:w="200" w:type="dxa"/>
            <w:vAlign w:val="bottom"/>
            <w:tcBorders>
              <w:right w:val="single" w:sz="8" w:color="CCECFF"/>
            </w:tcBorders>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4,265</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JP Morgan USD Liquidity Inst (Money Market Fund)</w:t>
            </w: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4.10%</w:t>
            </w: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14,682</w:t>
            </w:r>
          </w:p>
        </w:tc>
        <w:tc>
          <w:tcPr>
            <w:tcW w:w="20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14,682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JP Morgan US Government Fund (Money Market Fund)</w:t>
            </w:r>
          </w:p>
        </w:tc>
        <w:tc>
          <w:tcPr>
            <w:tcW w:w="58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7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4.02%</w:t>
            </w:r>
          </w:p>
        </w:tc>
        <w:tc>
          <w:tcPr>
            <w:tcW w:w="58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10,539</w:t>
            </w:r>
          </w:p>
        </w:tc>
        <w:tc>
          <w:tcPr>
            <w:tcW w:w="200" w:type="dxa"/>
            <w:vAlign w:val="bottom"/>
            <w:tcBorders>
              <w:right w:val="single" w:sz="8" w:color="CCECFF"/>
            </w:tcBorders>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10,539</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Goldman Sachs Financial Square Government Fund (Money</w:t>
            </w: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tcPr>
          <w:p>
            <w:pPr>
              <w:spacing w:after="0"/>
              <w:rPr>
                <w:sz w:val="20"/>
                <w:szCs w:val="20"/>
                <w:color w:val="auto"/>
              </w:rPr>
            </w:pPr>
            <w:r>
              <w:rPr>
                <w:rFonts w:ascii="Times New Roman" w:cs="Times New Roman" w:eastAsia="Times New Roman" w:hAnsi="Times New Roman"/>
                <w:sz w:val="8"/>
                <w:szCs w:val="8"/>
                <w:color w:val="auto"/>
              </w:rPr>
              <w:t>Market Fund)</w:t>
            </w: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4.10%</w:t>
            </w: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5,909</w:t>
            </w:r>
          </w:p>
        </w:tc>
        <w:tc>
          <w:tcPr>
            <w:tcW w:w="20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5,909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Cash Equivalents</w:t>
            </w:r>
          </w:p>
        </w:tc>
        <w:tc>
          <w:tcPr>
            <w:tcW w:w="58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7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47,870</w:t>
            </w:r>
          </w:p>
        </w:tc>
        <w:tc>
          <w:tcPr>
            <w:tcW w:w="20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47,870</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Cash - 27.0% of Net Assets</w:t>
            </w: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Cash</w:t>
            </w:r>
          </w:p>
        </w:tc>
        <w:tc>
          <w:tcPr>
            <w:tcW w:w="58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7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13,690</w:t>
            </w:r>
          </w:p>
        </w:tc>
        <w:tc>
          <w:tcPr>
            <w:tcW w:w="20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13,690</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Cash</w:t>
            </w: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13,690</w:t>
            </w:r>
          </w:p>
        </w:tc>
        <w:tc>
          <w:tcPr>
            <w:tcW w:w="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13,690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Investments, Cash Equivalents, and Cash</w:t>
            </w:r>
          </w:p>
        </w:tc>
        <w:tc>
          <w:tcPr>
            <w:tcW w:w="58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700" w:type="dxa"/>
            <w:vAlign w:val="bottom"/>
            <w:gridSpan w:val="2"/>
            <w:vMerge w:val="restart"/>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1,165,276</w:t>
            </w:r>
          </w:p>
        </w:tc>
        <w:tc>
          <w:tcPr>
            <w:tcW w:w="200" w:type="dxa"/>
            <w:vAlign w:val="bottom"/>
            <w:tcBorders>
              <w:right w:val="single" w:sz="8" w:color="CCECFF"/>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1,146,209</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20" w:type="dxa"/>
            <w:vAlign w:val="bottom"/>
            <w:shd w:val="clear" w:color="auto" w:fill="CCECFF"/>
          </w:tcPr>
          <w:p>
            <w:pPr>
              <w:spacing w:after="0" w:line="62" w:lineRule="exact"/>
              <w:rPr>
                <w:sz w:val="20"/>
                <w:szCs w:val="20"/>
                <w:color w:val="auto"/>
              </w:rPr>
            </w:pPr>
            <w:r>
              <w:rPr>
                <w:rFonts w:ascii="Times New Roman" w:cs="Times New Roman" w:eastAsia="Times New Roman" w:hAnsi="Times New Roman"/>
                <w:sz w:val="7"/>
                <w:szCs w:val="7"/>
                <w:b w:val="1"/>
                <w:bCs w:val="1"/>
                <w:color w:val="auto"/>
              </w:rPr>
              <w:t>—2,263.0% of Net Assets</w:t>
            </w:r>
          </w:p>
        </w:tc>
        <w:tc>
          <w:tcPr>
            <w:tcW w:w="58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14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700" w:type="dxa"/>
            <w:vAlign w:val="bottom"/>
            <w:gridSpan w:val="2"/>
            <w:vMerge w:val="continue"/>
            <w:shd w:val="clear" w:color="auto" w:fill="CCECFF"/>
          </w:tcPr>
          <w:p>
            <w:pPr>
              <w:spacing w:after="0"/>
              <w:rPr>
                <w:sz w:val="9"/>
                <w:szCs w:val="9"/>
                <w:color w:val="auto"/>
              </w:rPr>
            </w:pPr>
          </w:p>
        </w:tc>
        <w:tc>
          <w:tcPr>
            <w:tcW w:w="360" w:type="dxa"/>
            <w:vAlign w:val="bottom"/>
            <w:vMerge w:val="continue"/>
            <w:shd w:val="clear" w:color="auto" w:fill="CCECFF"/>
          </w:tcPr>
          <w:p>
            <w:pPr>
              <w:spacing w:after="0"/>
              <w:rPr>
                <w:sz w:val="9"/>
                <w:szCs w:val="9"/>
                <w:color w:val="auto"/>
              </w:rPr>
            </w:pPr>
          </w:p>
        </w:tc>
        <w:tc>
          <w:tcPr>
            <w:tcW w:w="200" w:type="dxa"/>
            <w:vAlign w:val="bottom"/>
            <w:tcBorders>
              <w:right w:val="single" w:sz="8" w:color="CCECFF"/>
            </w:tcBorders>
            <w:vMerge w:val="continue"/>
            <w:shd w:val="clear" w:color="auto" w:fill="CCECFF"/>
          </w:tcPr>
          <w:p>
            <w:pPr>
              <w:spacing w:after="0"/>
              <w:rPr>
                <w:sz w:val="9"/>
                <w:szCs w:val="9"/>
                <w:color w:val="auto"/>
              </w:rPr>
            </w:pPr>
          </w:p>
        </w:tc>
        <w:tc>
          <w:tcPr>
            <w:tcW w:w="360" w:type="dxa"/>
            <w:vAlign w:val="bottom"/>
            <w:vMerge w:val="continue"/>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20" w:type="dxa"/>
            <w:vAlign w:val="bottom"/>
            <w:tcBorders>
              <w:top w:val="single" w:sz="8" w:color="CCECFF"/>
            </w:tcBorders>
          </w:tcPr>
          <w:p>
            <w:pPr>
              <w:spacing w:after="0" w:line="70" w:lineRule="exact"/>
              <w:rPr>
                <w:sz w:val="20"/>
                <w:szCs w:val="20"/>
                <w:color w:val="auto"/>
              </w:rPr>
            </w:pPr>
            <w:r>
              <w:rPr>
                <w:rFonts w:ascii="Times New Roman" w:cs="Times New Roman" w:eastAsia="Times New Roman" w:hAnsi="Times New Roman"/>
                <w:sz w:val="8"/>
                <w:szCs w:val="8"/>
                <w:b w:val="1"/>
                <w:bCs w:val="1"/>
                <w:color w:val="auto"/>
              </w:rPr>
              <w:t>Liabilities in Excess of Other Assets — (2,163.0)% of Net</w:t>
            </w:r>
          </w:p>
        </w:tc>
        <w:tc>
          <w:tcPr>
            <w:tcW w:w="580" w:type="dxa"/>
            <w:vAlign w:val="bottom"/>
            <w:tcBorders>
              <w:top w:val="single" w:sz="8" w:color="CCECFF"/>
            </w:tcBorders>
          </w:tcPr>
          <w:p>
            <w:pPr>
              <w:spacing w:after="0"/>
              <w:rPr>
                <w:sz w:val="6"/>
                <w:szCs w:val="6"/>
                <w:color w:val="auto"/>
              </w:rPr>
            </w:pPr>
          </w:p>
        </w:tc>
        <w:tc>
          <w:tcPr>
            <w:tcW w:w="740" w:type="dxa"/>
            <w:vAlign w:val="bottom"/>
            <w:tcBorders>
              <w:top w:val="single" w:sz="8" w:color="CCECFF"/>
            </w:tcBorders>
          </w:tcPr>
          <w:p>
            <w:pPr>
              <w:spacing w:after="0"/>
              <w:rPr>
                <w:sz w:val="6"/>
                <w:szCs w:val="6"/>
                <w:color w:val="auto"/>
              </w:rPr>
            </w:pPr>
          </w:p>
        </w:tc>
        <w:tc>
          <w:tcPr>
            <w:tcW w:w="1140" w:type="dxa"/>
            <w:vAlign w:val="bottom"/>
            <w:tcBorders>
              <w:top w:val="single" w:sz="8" w:color="CCECFF"/>
            </w:tcBorders>
          </w:tcPr>
          <w:p>
            <w:pPr>
              <w:spacing w:after="0"/>
              <w:rPr>
                <w:sz w:val="6"/>
                <w:szCs w:val="6"/>
                <w:color w:val="auto"/>
              </w:rPr>
            </w:pPr>
          </w:p>
        </w:tc>
        <w:tc>
          <w:tcPr>
            <w:tcW w:w="700" w:type="dxa"/>
            <w:vAlign w:val="bottom"/>
            <w:tcBorders>
              <w:top w:val="single" w:sz="8" w:color="CCECFF"/>
            </w:tcBorders>
          </w:tcPr>
          <w:p>
            <w:pPr>
              <w:spacing w:after="0"/>
              <w:rPr>
                <w:sz w:val="6"/>
                <w:szCs w:val="6"/>
                <w:color w:val="auto"/>
              </w:rPr>
            </w:pPr>
          </w:p>
        </w:tc>
        <w:tc>
          <w:tcPr>
            <w:tcW w:w="580" w:type="dxa"/>
            <w:vAlign w:val="bottom"/>
            <w:tcBorders>
              <w:top w:val="single" w:sz="8" w:color="CCECFF"/>
            </w:tcBorders>
          </w:tcPr>
          <w:p>
            <w:pPr>
              <w:spacing w:after="0"/>
              <w:rPr>
                <w:sz w:val="6"/>
                <w:szCs w:val="6"/>
                <w:color w:val="auto"/>
              </w:rPr>
            </w:pPr>
          </w:p>
        </w:tc>
        <w:tc>
          <w:tcPr>
            <w:tcW w:w="640" w:type="dxa"/>
            <w:vAlign w:val="bottom"/>
            <w:tcBorders>
              <w:top w:val="single" w:sz="8" w:color="CCECFF"/>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200" w:type="dxa"/>
            <w:vAlign w:val="bottom"/>
            <w:tcBorders>
              <w:top w:val="single" w:sz="8" w:color="CCECFF"/>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 w:type="dxa"/>
            <w:vAlign w:val="bottom"/>
            <w:tcBorders>
              <w:top w:val="single" w:sz="8" w:color="CCECFF"/>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96"/>
              </w:rPr>
              <w:t>(1,095,559)</w:t>
            </w:r>
          </w:p>
        </w:tc>
        <w:tc>
          <w:tcPr>
            <w:tcW w:w="0" w:type="dxa"/>
            <w:vAlign w:val="bottom"/>
          </w:tcPr>
          <w:p>
            <w:pPr>
              <w:spacing w:after="0"/>
              <w:rPr>
                <w:sz w:val="1"/>
                <w:szCs w:val="1"/>
                <w:color w:val="auto"/>
              </w:rPr>
            </w:pPr>
          </w:p>
        </w:tc>
      </w:tr>
      <w:tr>
        <w:trPr>
          <w:trHeight w:val="121"/>
        </w:trPr>
        <w:tc>
          <w:tcPr>
            <w:tcW w:w="2020" w:type="dxa"/>
            <w:vAlign w:val="bottom"/>
            <w:shd w:val="clear" w:color="auto" w:fill="CCECFF"/>
          </w:tcPr>
          <w:p>
            <w:pPr>
              <w:spacing w:after="0" w:line="91" w:lineRule="exact"/>
              <w:rPr>
                <w:sz w:val="20"/>
                <w:szCs w:val="20"/>
                <w:color w:val="auto"/>
              </w:rPr>
            </w:pPr>
            <w:r>
              <w:rPr>
                <w:rFonts w:ascii="Times New Roman" w:cs="Times New Roman" w:eastAsia="Times New Roman" w:hAnsi="Times New Roman"/>
                <w:sz w:val="8"/>
                <w:szCs w:val="8"/>
                <w:b w:val="1"/>
                <w:bCs w:val="1"/>
                <w:color w:val="auto"/>
              </w:rPr>
              <w:t>Members' Equity—100.0%</w:t>
            </w:r>
          </w:p>
        </w:tc>
        <w:tc>
          <w:tcPr>
            <w:tcW w:w="58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14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360" w:type="dxa"/>
            <w:vAlign w:val="bottom"/>
            <w:shd w:val="clear" w:color="auto" w:fill="CCECFF"/>
          </w:tcPr>
          <w:p>
            <w:pPr>
              <w:spacing w:after="0"/>
              <w:rPr>
                <w:sz w:val="10"/>
                <w:szCs w:val="10"/>
                <w:color w:val="auto"/>
              </w:rPr>
            </w:pPr>
          </w:p>
        </w:tc>
        <w:tc>
          <w:tcPr>
            <w:tcW w:w="20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50,650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740" w:type="dxa"/>
            <w:vAlign w:val="bottom"/>
            <w:tcBorders>
              <w:top w:val="single" w:sz="8" w:color="CCECFF"/>
            </w:tcBorders>
            <w:shd w:val="clear" w:color="auto" w:fill="CCECFF"/>
          </w:tcPr>
          <w:p>
            <w:pPr>
              <w:spacing w:after="0" w:line="20" w:lineRule="exact"/>
              <w:rPr>
                <w:sz w:val="1"/>
                <w:szCs w:val="1"/>
                <w:color w:val="auto"/>
              </w:rPr>
            </w:pPr>
          </w:p>
        </w:tc>
        <w:tc>
          <w:tcPr>
            <w:tcW w:w="1140" w:type="dxa"/>
            <w:vAlign w:val="bottom"/>
            <w:tcBorders>
              <w:top w:val="single" w:sz="8" w:color="CCECFF"/>
            </w:tcBorders>
            <w:shd w:val="clear" w:color="auto" w:fill="CCECFF"/>
          </w:tcPr>
          <w:p>
            <w:pPr>
              <w:spacing w:after="0" w:line="20" w:lineRule="exact"/>
              <w:rPr>
                <w:sz w:val="1"/>
                <w:szCs w:val="1"/>
                <w:color w:val="auto"/>
              </w:rPr>
            </w:pPr>
          </w:p>
        </w:tc>
        <w:tc>
          <w:tcPr>
            <w:tcW w:w="70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640" w:type="dxa"/>
            <w:vAlign w:val="bottom"/>
            <w:tcBorders>
              <w:top w:val="single" w:sz="8" w:color="CCECFF"/>
            </w:tcBorders>
            <w:shd w:val="clear" w:color="auto" w:fill="CCECFF"/>
          </w:tcPr>
          <w:p>
            <w:pPr>
              <w:spacing w:after="0" w:line="20" w:lineRule="exact"/>
              <w:rPr>
                <w:sz w:val="1"/>
                <w:szCs w:val="1"/>
                <w:color w:val="auto"/>
              </w:rPr>
            </w:pPr>
          </w:p>
        </w:tc>
        <w:tc>
          <w:tcPr>
            <w:tcW w:w="60" w:type="dxa"/>
            <w:vAlign w:val="bottom"/>
            <w:tcBorders>
              <w:top w:val="single" w:sz="8" w:color="CCECFF"/>
            </w:tcBorders>
            <w:shd w:val="clear" w:color="auto" w:fill="CCECFF"/>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CCECFF"/>
              <w:right w:val="single" w:sz="8" w:color="auto"/>
            </w:tcBorders>
            <w:shd w:val="clear" w:color="auto" w:fill="CCEC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780" w:right="960"/>
        <w:spacing w:after="0" w:line="219" w:lineRule="auto"/>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8"/>
          <w:szCs w:val="8"/>
          <w:color w:val="auto"/>
        </w:rPr>
        <w:t>Represents floating rate instruments that accrue interest at a predetermined spread relative to an index, typically the applicable Secured Overnight Financing Rate or "SOFR". The spread may change based on the type of rate used. The terms in the Consolidated Schedule of Investments disclose the actual interest rate in effect as of the reporting period. All securities are subject to a SOFR floor where a spread is provided, unless noted. The spread provided includes PIK interest and other fee rates, if any.</w:t>
      </w:r>
    </w:p>
    <w:p>
      <w:pPr>
        <w:ind w:left="780"/>
        <w:spacing w:after="0" w:line="189" w:lineRule="auto"/>
        <w:rPr>
          <w:sz w:val="20"/>
          <w:szCs w:val="20"/>
          <w:color w:val="auto"/>
        </w:rPr>
      </w:pP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8"/>
          <w:szCs w:val="8"/>
          <w:color w:val="auto"/>
        </w:rPr>
        <w:t>Valued based on PSSL’s accounting policy.</w:t>
      </w:r>
    </w:p>
    <w:p>
      <w:pPr>
        <w:ind w:left="780"/>
        <w:spacing w:after="0" w:line="183" w:lineRule="auto"/>
        <w:rPr>
          <w:sz w:val="20"/>
          <w:szCs w:val="20"/>
          <w:color w:val="auto"/>
        </w:rPr>
      </w:pPr>
      <w:r>
        <w:rPr>
          <w:rFonts w:ascii="Times New Roman" w:cs="Times New Roman" w:eastAsia="Times New Roman" w:hAnsi="Times New Roman"/>
          <w:sz w:val="15"/>
          <w:szCs w:val="15"/>
          <w:color w:val="auto"/>
          <w:vertAlign w:val="superscript"/>
        </w:rPr>
        <w:t>(3)</w:t>
      </w:r>
      <w:r>
        <w:rPr>
          <w:rFonts w:ascii="Times New Roman" w:cs="Times New Roman" w:eastAsia="Times New Roman" w:hAnsi="Times New Roman"/>
          <w:sz w:val="8"/>
          <w:szCs w:val="8"/>
          <w:color w:val="auto"/>
        </w:rPr>
        <w:t>Represents the purchase of a security with a delayed settlement or a revolving line of credit that is currently an unfunded investment. This security does not earn a basis point spread above an index while it is unfunded.</w:t>
      </w:r>
    </w:p>
    <w:p>
      <w:pPr>
        <w:ind w:left="780"/>
        <w:spacing w:after="0" w:line="182" w:lineRule="auto"/>
        <w:rPr>
          <w:sz w:val="20"/>
          <w:szCs w:val="20"/>
          <w:color w:val="auto"/>
        </w:rPr>
      </w:pPr>
      <w:r>
        <w:rPr>
          <w:rFonts w:ascii="Times New Roman" w:cs="Times New Roman" w:eastAsia="Times New Roman" w:hAnsi="Times New Roman"/>
          <w:sz w:val="15"/>
          <w:szCs w:val="15"/>
          <w:color w:val="auto"/>
          <w:vertAlign w:val="superscript"/>
        </w:rPr>
        <w:t>(4)</w:t>
      </w:r>
      <w:r>
        <w:rPr>
          <w:rFonts w:ascii="Times New Roman" w:cs="Times New Roman" w:eastAsia="Times New Roman" w:hAnsi="Times New Roman"/>
          <w:sz w:val="8"/>
          <w:szCs w:val="8"/>
          <w:color w:val="auto"/>
        </w:rPr>
        <w:t>Non-accrual security.</w:t>
      </w:r>
    </w:p>
    <w:p>
      <w:pPr>
        <w:ind w:left="780"/>
        <w:spacing w:after="0" w:line="183" w:lineRule="auto"/>
        <w:rPr>
          <w:sz w:val="20"/>
          <w:szCs w:val="20"/>
          <w:color w:val="auto"/>
        </w:rPr>
      </w:pPr>
      <w:r>
        <w:rPr>
          <w:rFonts w:ascii="Times New Roman" w:cs="Times New Roman" w:eastAsia="Times New Roman" w:hAnsi="Times New Roman"/>
          <w:sz w:val="15"/>
          <w:szCs w:val="15"/>
          <w:color w:val="auto"/>
          <w:vertAlign w:val="superscript"/>
        </w:rPr>
        <w:t>(5)</w:t>
      </w:r>
      <w:r>
        <w:rPr>
          <w:rFonts w:ascii="Times New Roman" w:cs="Times New Roman" w:eastAsia="Times New Roman" w:hAnsi="Times New Roman"/>
          <w:sz w:val="8"/>
          <w:szCs w:val="8"/>
          <w:color w:val="auto"/>
        </w:rPr>
        <w:t>The securities, or a portion thereof, are not 1) pledged as collateral under the Credit Facility and held through Funding I; or, 2) securing the 2037-R Asset-Backed Debt and held through PennantPark CLO VI, LLC, or, 3)</w:t>
      </w:r>
    </w:p>
    <w:p>
      <w:pPr>
        <w:ind w:left="780"/>
        <w:spacing w:after="0"/>
        <w:rPr>
          <w:sz w:val="20"/>
          <w:szCs w:val="20"/>
          <w:color w:val="auto"/>
        </w:rPr>
      </w:pPr>
      <w:r>
        <w:rPr>
          <w:rFonts w:ascii="Times New Roman" w:cs="Times New Roman" w:eastAsia="Times New Roman" w:hAnsi="Times New Roman"/>
          <w:sz w:val="8"/>
          <w:szCs w:val="8"/>
          <w:color w:val="auto"/>
        </w:rPr>
        <w:t>securing the 2036 Asset-Backed Debt and held through PennantPark CLO II, Ltd. or, 4) securing the 2037 Asset-Backed Debt held through PennantPark CLO 12, LLC.</w:t>
      </w:r>
    </w:p>
    <w:p>
      <w:pPr>
        <w:ind w:left="780"/>
        <w:spacing w:after="0" w:line="182" w:lineRule="auto"/>
        <w:rPr>
          <w:sz w:val="20"/>
          <w:szCs w:val="20"/>
          <w:color w:val="auto"/>
        </w:rPr>
      </w:pPr>
      <w:r>
        <w:rPr>
          <w:rFonts w:ascii="Times New Roman" w:cs="Times New Roman" w:eastAsia="Times New Roman" w:hAnsi="Times New Roman"/>
          <w:sz w:val="16"/>
          <w:szCs w:val="16"/>
          <w:color w:val="auto"/>
          <w:vertAlign w:val="superscript"/>
        </w:rPr>
        <w:t>(6)</w:t>
      </w:r>
      <w:r>
        <w:rPr>
          <w:rFonts w:ascii="Times New Roman" w:cs="Times New Roman" w:eastAsia="Times New Roman" w:hAnsi="Times New Roman"/>
          <w:sz w:val="8"/>
          <w:szCs w:val="8"/>
          <w:color w:val="auto"/>
        </w:rPr>
        <w:t>As of September 30, 2025, all investments are in U.S Companies. Total cost, fair value, and percentage of Net Assets for the U.S Companies were $1,103.7 million, $1,084.6 million and 2,141.5%.</w:t>
      </w:r>
    </w:p>
    <w:p>
      <w:pPr>
        <w:ind w:left="780"/>
        <w:spacing w:after="0" w:line="183" w:lineRule="auto"/>
        <w:rPr>
          <w:sz w:val="20"/>
          <w:szCs w:val="20"/>
          <w:color w:val="auto"/>
        </w:rPr>
      </w:pPr>
      <w:r>
        <w:rPr>
          <w:rFonts w:ascii="Times New Roman" w:cs="Times New Roman" w:eastAsia="Times New Roman" w:hAnsi="Times New Roman"/>
          <w:sz w:val="15"/>
          <w:szCs w:val="15"/>
          <w:color w:val="auto"/>
          <w:vertAlign w:val="superscript"/>
        </w:rPr>
        <w:t>(7)</w:t>
      </w:r>
      <w:r>
        <w:rPr>
          <w:rFonts w:ascii="Times New Roman" w:cs="Times New Roman" w:eastAsia="Times New Roman" w:hAnsi="Times New Roman"/>
          <w:sz w:val="8"/>
          <w:szCs w:val="8"/>
          <w:color w:val="auto"/>
        </w:rPr>
        <w:t>Partial PIK non-accrual security</w:t>
      </w:r>
    </w:p>
    <w:p>
      <w:pPr>
        <w:ind w:left="780"/>
        <w:spacing w:after="0"/>
        <w:rPr>
          <w:sz w:val="20"/>
          <w:szCs w:val="20"/>
          <w:color w:val="auto"/>
        </w:rPr>
      </w:pPr>
      <w:r>
        <w:rPr>
          <w:rFonts w:ascii="Times New Roman" w:cs="Times New Roman" w:eastAsia="Times New Roman" w:hAnsi="Times New Roman"/>
          <w:sz w:val="16"/>
          <w:szCs w:val="16"/>
          <w:color w:val="auto"/>
          <w:vertAlign w:val="superscript"/>
        </w:rPr>
        <w:t>(8)</w:t>
      </w:r>
      <w:r>
        <w:rPr>
          <w:rFonts w:ascii="Times New Roman" w:cs="Times New Roman" w:eastAsia="Times New Roman" w:hAnsi="Times New Roman"/>
          <w:sz w:val="8"/>
          <w:szCs w:val="8"/>
          <w:color w:val="auto"/>
        </w:rPr>
        <w:t>All of our investments are not registered under the 1933 Act and have restrictions on resale.</w:t>
      </w:r>
    </w:p>
    <w:p>
      <w:pPr>
        <w:spacing w:after="0" w:line="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44" w:lineRule="exact"/>
        <w:rPr>
          <w:sz w:val="20"/>
          <w:szCs w:val="20"/>
          <w:color w:val="auto"/>
        </w:rPr>
      </w:pPr>
    </w:p>
    <w:tbl>
      <w:tblPr>
        <w:tblLayout w:type="fixed"/>
        <w:tblInd w:w="780" w:type="dxa"/>
        <w:tblCellMar>
          <w:top w:w="0" w:type="dxa"/>
          <w:left w:w="0" w:type="dxa"/>
          <w:bottom w:w="0" w:type="dxa"/>
          <w:right w:w="0" w:type="dxa"/>
        </w:tblCellMar>
      </w:tblPr>
      <w:tr>
        <w:trPr>
          <w:trHeight w:val="143"/>
        </w:trPr>
        <w:tc>
          <w:tcPr>
            <w:tcW w:w="51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Below are the Consolidated Statements of Assets and Liabilities for PSSL ($ in thousands):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5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8"/>
              </w:rPr>
              <w:t>December 31, 2025</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3"/>
        </w:trPr>
        <w:tc>
          <w:tcPr>
            <w:tcW w:w="5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40" w:type="dxa"/>
            <w:vAlign w:val="bottom"/>
          </w:tcPr>
          <w:p>
            <w:pPr>
              <w:spacing w:after="0"/>
              <w:rPr>
                <w:sz w:val="12"/>
                <w:szCs w:val="12"/>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September 30, 2025</w:t>
            </w:r>
          </w:p>
        </w:tc>
      </w:tr>
      <w:tr>
        <w:trPr>
          <w:trHeight w:val="13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Investments at fair value (amortized cost—$1,224,427 and $1,103,716, respectively)</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1,195,016</w:t>
            </w:r>
          </w:p>
        </w:tc>
        <w:tc>
          <w:tcPr>
            <w:tcW w:w="140" w:type="dxa"/>
            <w:vAlign w:val="bottom"/>
          </w:tcPr>
          <w:p>
            <w:pPr>
              <w:spacing w:after="0"/>
              <w:rPr>
                <w:sz w:val="11"/>
                <w:szCs w:val="11"/>
                <w:color w:val="auto"/>
              </w:rPr>
            </w:pPr>
          </w:p>
        </w:tc>
        <w:tc>
          <w:tcPr>
            <w:tcW w:w="260" w:type="dxa"/>
            <w:vAlign w:val="bottom"/>
            <w:gridSpan w:val="2"/>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1,084,649</w:t>
            </w:r>
          </w:p>
        </w:tc>
        <w:tc>
          <w:tcPr>
            <w:tcW w:w="80" w:type="dxa"/>
            <w:vAlign w:val="bottom"/>
          </w:tcPr>
          <w:p>
            <w:pPr>
              <w:spacing w:after="0"/>
              <w:rPr>
                <w:sz w:val="11"/>
                <w:szCs w:val="11"/>
                <w:color w:val="auto"/>
              </w:rPr>
            </w:pPr>
          </w:p>
        </w:tc>
      </w:tr>
      <w:tr>
        <w:trPr>
          <w:trHeight w:val="13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Cash equivalents (cost—$18,863 and $47,870, respectively)</w:t>
            </w:r>
          </w:p>
        </w:tc>
        <w:tc>
          <w:tcPr>
            <w:tcW w:w="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18,863</w:t>
            </w:r>
          </w:p>
        </w:tc>
        <w:tc>
          <w:tcPr>
            <w:tcW w:w="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47,870</w:t>
            </w:r>
          </w:p>
        </w:tc>
      </w:tr>
      <w:tr>
        <w:trPr>
          <w:trHeight w:val="131"/>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Cash (cost—$14,853 and $13,690, respectively)</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14,853</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13,690</w:t>
            </w:r>
          </w:p>
        </w:tc>
      </w:tr>
      <w:tr>
        <w:trPr>
          <w:trHeight w:val="13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Interest receivable</w:t>
            </w:r>
          </w:p>
        </w:tc>
        <w:tc>
          <w:tcPr>
            <w:tcW w:w="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4,177</w:t>
            </w:r>
          </w:p>
        </w:tc>
        <w:tc>
          <w:tcPr>
            <w:tcW w:w="1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4,138</w:t>
            </w: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Receivable for investments sold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838</w:t>
            </w:r>
          </w:p>
        </w:tc>
        <w:tc>
          <w:tcPr>
            <w:tcW w:w="80" w:type="dxa"/>
            <w:vAlign w:val="bottom"/>
          </w:tcPr>
          <w:p>
            <w:pPr>
              <w:spacing w:after="0"/>
              <w:rPr>
                <w:sz w:val="11"/>
                <w:szCs w:val="11"/>
                <w:color w:val="auto"/>
              </w:rPr>
            </w:pPr>
          </w:p>
        </w:tc>
      </w:tr>
      <w:tr>
        <w:trPr>
          <w:trHeight w:val="13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Due from affiliate</w:t>
            </w:r>
          </w:p>
        </w:tc>
        <w:tc>
          <w:tcPr>
            <w:tcW w:w="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1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2,142</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2,296</w:t>
            </w:r>
          </w:p>
        </w:tc>
        <w:tc>
          <w:tcPr>
            <w:tcW w:w="80" w:type="dxa"/>
            <w:vAlign w:val="bottom"/>
          </w:tcPr>
          <w:p>
            <w:pPr>
              <w:spacing w:after="0"/>
              <w:rPr>
                <w:sz w:val="11"/>
                <w:szCs w:val="11"/>
                <w:color w:val="auto"/>
              </w:rPr>
            </w:pPr>
          </w:p>
        </w:tc>
      </w:tr>
      <w:tr>
        <w:trPr>
          <w:trHeight w:val="131"/>
        </w:trPr>
        <w:tc>
          <w:tcPr>
            <w:tcW w:w="514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1,235,184</w:t>
            </w:r>
          </w:p>
        </w:tc>
        <w:tc>
          <w:tcPr>
            <w:tcW w:w="1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1,153,689</w:t>
            </w: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Credit facility payable</w:t>
            </w:r>
          </w:p>
        </w:tc>
        <w:tc>
          <w:tcPr>
            <w:tcW w:w="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130,500</w:t>
            </w:r>
          </w:p>
        </w:tc>
        <w:tc>
          <w:tcPr>
            <w:tcW w:w="1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74,500</w:t>
            </w:r>
          </w:p>
        </w:tc>
      </w:tr>
      <w:tr>
        <w:trPr>
          <w:trHeight w:val="121"/>
        </w:trPr>
        <w:tc>
          <w:tcPr>
            <w:tcW w:w="51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2036 Asset-backed debt, net (par—$246,000) (unamortized deferred financing costs of $1,269 and $1,341,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1"/>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respectively)</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244,731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244,659</w:t>
            </w:r>
          </w:p>
        </w:tc>
        <w:tc>
          <w:tcPr>
            <w:tcW w:w="80" w:type="dxa"/>
            <w:vAlign w:val="bottom"/>
          </w:tcPr>
          <w:p>
            <w:pPr>
              <w:spacing w:after="0"/>
              <w:rPr>
                <w:sz w:val="12"/>
                <w:szCs w:val="12"/>
                <w:color w:val="auto"/>
              </w:rPr>
            </w:pPr>
          </w:p>
        </w:tc>
      </w:tr>
      <w:tr>
        <w:trPr>
          <w:trHeight w:val="121"/>
        </w:trPr>
        <w:tc>
          <w:tcPr>
            <w:tcW w:w="5140" w:type="dxa"/>
            <w:vAlign w:val="bottom"/>
            <w:shd w:val="clear" w:color="auto" w:fill="CCECFF"/>
          </w:tcPr>
          <w:p>
            <w:pPr>
              <w:spacing w:after="0" w:line="121" w:lineRule="exact"/>
              <w:rPr>
                <w:sz w:val="20"/>
                <w:szCs w:val="20"/>
                <w:color w:val="auto"/>
              </w:rPr>
            </w:pPr>
            <w:r>
              <w:rPr>
                <w:rFonts w:ascii="Times New Roman" w:cs="Times New Roman" w:eastAsia="Times New Roman" w:hAnsi="Times New Roman"/>
                <w:sz w:val="11"/>
                <w:szCs w:val="11"/>
                <w:color w:val="auto"/>
              </w:rPr>
              <w:t>2037 Asset-backed debt, net (par—$246,000) (unamortized deferred financing costs of $1,818 and $1,904,</w:t>
            </w:r>
          </w:p>
        </w:tc>
        <w:tc>
          <w:tcPr>
            <w:tcW w:w="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4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respectively)</w:t>
            </w:r>
          </w:p>
        </w:tc>
        <w:tc>
          <w:tcPr>
            <w:tcW w:w="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244,182</w:t>
            </w:r>
          </w:p>
        </w:tc>
        <w:tc>
          <w:tcPr>
            <w:tcW w:w="14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244,096</w:t>
            </w:r>
          </w:p>
        </w:tc>
        <w:tc>
          <w:tcPr>
            <w:tcW w:w="80" w:type="dxa"/>
            <w:vAlign w:val="bottom"/>
            <w:shd w:val="clear" w:color="auto" w:fill="CCECFF"/>
          </w:tcPr>
          <w:p>
            <w:pPr>
              <w:spacing w:after="0"/>
              <w:rPr>
                <w:sz w:val="12"/>
                <w:szCs w:val="12"/>
                <w:color w:val="auto"/>
              </w:rPr>
            </w:pPr>
          </w:p>
        </w:tc>
      </w:tr>
      <w:tr>
        <w:trPr>
          <w:trHeight w:val="121"/>
        </w:trPr>
        <w:tc>
          <w:tcPr>
            <w:tcW w:w="51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2037-R Asset-backed debt, net (par—$246,000) (unamortized deferred financing costs of $2,407 and $2,518,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1"/>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respectively)</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243,593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243,481</w:t>
            </w:r>
          </w:p>
        </w:tc>
        <w:tc>
          <w:tcPr>
            <w:tcW w:w="80" w:type="dxa"/>
            <w:vAlign w:val="bottom"/>
          </w:tcPr>
          <w:p>
            <w:pPr>
              <w:spacing w:after="0"/>
              <w:rPr>
                <w:sz w:val="12"/>
                <w:szCs w:val="12"/>
                <w:color w:val="auto"/>
              </w:rPr>
            </w:pPr>
          </w:p>
        </w:tc>
      </w:tr>
      <w:tr>
        <w:trPr>
          <w:trHeight w:val="13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Notes payable to members</w:t>
            </w:r>
          </w:p>
        </w:tc>
        <w:tc>
          <w:tcPr>
            <w:tcW w:w="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271,600</w:t>
            </w:r>
          </w:p>
        </w:tc>
        <w:tc>
          <w:tcPr>
            <w:tcW w:w="1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271,600</w:t>
            </w: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Interest payable on credit facility and asset backed debt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9,802</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16,868</w:t>
            </w:r>
          </w:p>
        </w:tc>
      </w:tr>
      <w:tr>
        <w:trPr>
          <w:trHeight w:val="13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Interest payable on notes to members</w:t>
            </w:r>
          </w:p>
        </w:tc>
        <w:tc>
          <w:tcPr>
            <w:tcW w:w="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6,545</w:t>
            </w:r>
          </w:p>
        </w:tc>
        <w:tc>
          <w:tcPr>
            <w:tcW w:w="1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6,788</w:t>
            </w: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Accrued expenses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w:t>
            </w:r>
          </w:p>
        </w:tc>
        <w:tc>
          <w:tcPr>
            <w:tcW w:w="80" w:type="dxa"/>
            <w:vAlign w:val="bottom"/>
          </w:tcPr>
          <w:p>
            <w:pPr>
              <w:spacing w:after="0"/>
              <w:rPr>
                <w:sz w:val="11"/>
                <w:szCs w:val="11"/>
                <w:color w:val="auto"/>
              </w:rPr>
            </w:pPr>
          </w:p>
        </w:tc>
      </w:tr>
      <w:tr>
        <w:trPr>
          <w:trHeight w:val="13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Due to affiliate</w:t>
            </w:r>
          </w:p>
        </w:tc>
        <w:tc>
          <w:tcPr>
            <w:tcW w:w="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1,152,108</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1,103,039</w:t>
            </w:r>
          </w:p>
        </w:tc>
        <w:tc>
          <w:tcPr>
            <w:tcW w:w="80" w:type="dxa"/>
            <w:vAlign w:val="bottom"/>
          </w:tcPr>
          <w:p>
            <w:pPr>
              <w:spacing w:after="0"/>
              <w:rPr>
                <w:sz w:val="11"/>
                <w:szCs w:val="11"/>
                <w:color w:val="auto"/>
              </w:rPr>
            </w:pPr>
          </w:p>
        </w:tc>
      </w:tr>
      <w:tr>
        <w:trPr>
          <w:trHeight w:val="131"/>
        </w:trPr>
        <w:tc>
          <w:tcPr>
            <w:tcW w:w="514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b w:val="1"/>
                <w:bCs w:val="1"/>
                <w:color w:val="auto"/>
              </w:rPr>
              <w:t>Members' equity</w:t>
            </w:r>
          </w:p>
        </w:tc>
        <w:tc>
          <w:tcPr>
            <w:tcW w:w="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83,076</w:t>
            </w:r>
          </w:p>
        </w:tc>
        <w:tc>
          <w:tcPr>
            <w:tcW w:w="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50,650</w:t>
            </w:r>
          </w:p>
        </w:tc>
      </w:tr>
      <w:tr>
        <w:trPr>
          <w:trHeight w:val="131"/>
        </w:trPr>
        <w:tc>
          <w:tcPr>
            <w:tcW w:w="514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Total liabilities and members' equity</w:t>
            </w: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1,235,184</w:t>
            </w:r>
          </w:p>
        </w:tc>
        <w:tc>
          <w:tcPr>
            <w:tcW w:w="140" w:type="dxa"/>
            <w:vAlign w:val="bottom"/>
          </w:tcPr>
          <w:p>
            <w:pPr>
              <w:spacing w:after="0"/>
              <w:rPr>
                <w:sz w:val="11"/>
                <w:szCs w:val="11"/>
                <w:color w:val="auto"/>
              </w:rPr>
            </w:pPr>
          </w:p>
        </w:tc>
        <w:tc>
          <w:tcPr>
            <w:tcW w:w="260" w:type="dxa"/>
            <w:vAlign w:val="bottom"/>
            <w:tcBorders>
              <w:bottom w:val="single" w:sz="8" w:color="auto"/>
            </w:tcBorders>
            <w:gridSpan w:val="2"/>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1,153,689</w:t>
            </w:r>
          </w:p>
        </w:tc>
        <w:tc>
          <w:tcPr>
            <w:tcW w:w="80" w:type="dxa"/>
            <w:vAlign w:val="bottom"/>
          </w:tcPr>
          <w:p>
            <w:pPr>
              <w:spacing w:after="0"/>
              <w:rPr>
                <w:sz w:val="11"/>
                <w:szCs w:val="11"/>
                <w:color w:val="auto"/>
              </w:rPr>
            </w:pPr>
          </w:p>
        </w:tc>
      </w:tr>
      <w:tr>
        <w:trPr>
          <w:trHeight w:val="20"/>
        </w:trPr>
        <w:tc>
          <w:tcPr>
            <w:tcW w:w="5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0"/>
        </w:trPr>
        <w:tc>
          <w:tcPr>
            <w:tcW w:w="6360" w:type="dxa"/>
            <w:vAlign w:val="bottom"/>
            <w:gridSpan w:val="6"/>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9"/>
                <w:szCs w:val="9"/>
                <w:color w:val="auto"/>
              </w:rPr>
              <w:t>As of December 31, 2025 and September 30, 2025, PSSL had unfunded commitments to fund investments of $0.2 and $0.4 million, respectively.</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7"/>
        </w:trPr>
        <w:tc>
          <w:tcPr>
            <w:tcW w:w="51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Below are the Consolidated Statements of Operations for PSSL ($ in thousands):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38"/>
        </w:trPr>
        <w:tc>
          <w:tcPr>
            <w:tcW w:w="5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gridSpan w:val="7"/>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r>
      <w:tr>
        <w:trPr>
          <w:trHeight w:val="143"/>
        </w:trPr>
        <w:tc>
          <w:tcPr>
            <w:tcW w:w="5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ind w:right="32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2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r>
      <w:tr>
        <w:trPr>
          <w:trHeight w:val="13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Investment income:</w:t>
            </w:r>
          </w:p>
        </w:tc>
        <w:tc>
          <w:tcPr>
            <w:tcW w:w="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29,167</w:t>
            </w:r>
          </w:p>
        </w:tc>
        <w:tc>
          <w:tcPr>
            <w:tcW w:w="140" w:type="dxa"/>
            <w:vAlign w:val="bottom"/>
          </w:tcPr>
          <w:p>
            <w:pPr>
              <w:spacing w:after="0"/>
              <w:rPr>
                <w:sz w:val="11"/>
                <w:szCs w:val="11"/>
                <w:color w:val="auto"/>
              </w:rPr>
            </w:pPr>
          </w:p>
        </w:tc>
        <w:tc>
          <w:tcPr>
            <w:tcW w:w="260" w:type="dxa"/>
            <w:vAlign w:val="bottom"/>
            <w:gridSpan w:val="2"/>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29,425</w:t>
            </w:r>
          </w:p>
        </w:tc>
      </w:tr>
      <w:tr>
        <w:trPr>
          <w:trHeight w:val="131"/>
        </w:trPr>
        <w:tc>
          <w:tcPr>
            <w:tcW w:w="51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Other income</w:t>
            </w:r>
          </w:p>
        </w:tc>
        <w:tc>
          <w:tcPr>
            <w:tcW w:w="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583</w:t>
            </w: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Total investment income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29,473</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30,008</w:t>
            </w:r>
          </w:p>
        </w:tc>
      </w:tr>
      <w:tr>
        <w:trPr>
          <w:trHeight w:val="131"/>
        </w:trPr>
        <w:tc>
          <w:tcPr>
            <w:tcW w:w="5140" w:type="dxa"/>
            <w:vAlign w:val="bottom"/>
            <w:shd w:val="clear" w:color="auto" w:fill="CCECFF"/>
          </w:tcPr>
          <w:p>
            <w:pPr>
              <w:spacing w:after="0" w:line="131" w:lineRule="exact"/>
              <w:rPr>
                <w:sz w:val="20"/>
                <w:szCs w:val="20"/>
                <w:color w:val="auto"/>
              </w:rPr>
            </w:pPr>
            <w:r>
              <w:rPr>
                <w:rFonts w:ascii="Times New Roman" w:cs="Times New Roman" w:eastAsia="Times New Roman" w:hAnsi="Times New Roman"/>
                <w:sz w:val="11"/>
                <w:szCs w:val="11"/>
                <w:b w:val="1"/>
                <w:bCs w:val="1"/>
                <w:color w:val="auto"/>
              </w:rPr>
              <w:t>Expenses:</w:t>
            </w:r>
            <w:r>
              <w:rPr>
                <w:rFonts w:ascii="Times New Roman" w:cs="Times New Roman" w:eastAsia="Times New Roman" w:hAnsi="Times New Roman"/>
                <w:sz w:val="14"/>
                <w:szCs w:val="14"/>
                <w:b w:val="1"/>
                <w:bCs w:val="1"/>
                <w:color w:val="auto"/>
                <w:vertAlign w:val="superscript"/>
              </w:rPr>
              <w:t>(1)</w:t>
            </w:r>
          </w:p>
        </w:tc>
        <w:tc>
          <w:tcPr>
            <w:tcW w:w="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and expense on credit facility and asset-backed debt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14,302</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14,085</w:t>
            </w:r>
          </w:p>
        </w:tc>
      </w:tr>
      <w:tr>
        <w:trPr>
          <w:trHeight w:val="131"/>
        </w:trPr>
        <w:tc>
          <w:tcPr>
            <w:tcW w:w="51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Interest expense on notes to members</w:t>
            </w:r>
          </w:p>
        </w:tc>
        <w:tc>
          <w:tcPr>
            <w:tcW w:w="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8,312</w:t>
            </w:r>
          </w:p>
        </w:tc>
        <w:tc>
          <w:tcPr>
            <w:tcW w:w="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8,853</w:t>
            </w: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Administration fees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w:t>
            </w:r>
          </w:p>
        </w:tc>
        <w:tc>
          <w:tcPr>
            <w:tcW w:w="80" w:type="dxa"/>
            <w:vAlign w:val="bottom"/>
          </w:tcPr>
          <w:p>
            <w:pPr>
              <w:spacing w:after="0"/>
              <w:rPr>
                <w:sz w:val="11"/>
                <w:szCs w:val="11"/>
                <w:color w:val="auto"/>
              </w:rPr>
            </w:pPr>
          </w:p>
        </w:tc>
      </w:tr>
      <w:tr>
        <w:trPr>
          <w:trHeight w:val="131"/>
        </w:trPr>
        <w:tc>
          <w:tcPr>
            <w:tcW w:w="51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General and administrative expenses</w:t>
            </w:r>
          </w:p>
        </w:tc>
        <w:tc>
          <w:tcPr>
            <w:tcW w:w="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463</w:t>
            </w:r>
          </w:p>
        </w:tc>
        <w:tc>
          <w:tcPr>
            <w:tcW w:w="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w:t>
            </w: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Total expenses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23,835</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24,099</w:t>
            </w:r>
          </w:p>
        </w:tc>
      </w:tr>
      <w:tr>
        <w:trPr>
          <w:trHeight w:val="131"/>
        </w:trPr>
        <w:tc>
          <w:tcPr>
            <w:tcW w:w="51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b w:val="1"/>
                <w:bCs w:val="1"/>
                <w:color w:val="auto"/>
              </w:rPr>
              <w:t>Net investment income</w:t>
            </w:r>
          </w:p>
        </w:tc>
        <w:tc>
          <w:tcPr>
            <w:tcW w:w="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5,638</w:t>
            </w:r>
          </w:p>
        </w:tc>
        <w:tc>
          <w:tcPr>
            <w:tcW w:w="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5,909</w:t>
            </w: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Realized and unrealized gain (loss) on investments: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1"/>
        </w:trPr>
        <w:tc>
          <w:tcPr>
            <w:tcW w:w="51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Net realized gain (loss) on investments</w:t>
            </w:r>
          </w:p>
        </w:tc>
        <w:tc>
          <w:tcPr>
            <w:tcW w:w="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(2,176)</w:t>
            </w:r>
          </w:p>
        </w:tc>
        <w:tc>
          <w:tcPr>
            <w:tcW w:w="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1,333</w:t>
            </w: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change in unrealized appreciation (depreciation) on investments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(10,386)</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(10,890)</w:t>
            </w:r>
          </w:p>
        </w:tc>
      </w:tr>
      <w:tr>
        <w:trPr>
          <w:trHeight w:val="131"/>
        </w:trPr>
        <w:tc>
          <w:tcPr>
            <w:tcW w:w="51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b w:val="1"/>
                <w:bCs w:val="1"/>
                <w:color w:val="auto"/>
              </w:rPr>
              <w:t>Net realized and unrealized gain (loss) on investments</w:t>
            </w:r>
          </w:p>
        </w:tc>
        <w:tc>
          <w:tcPr>
            <w:tcW w:w="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11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(12,562)</w:t>
            </w:r>
          </w:p>
        </w:tc>
        <w:tc>
          <w:tcPr>
            <w:tcW w:w="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(9,557)</w:t>
            </w:r>
          </w:p>
        </w:tc>
      </w:tr>
      <w:tr>
        <w:trPr>
          <w:trHeight w:val="131"/>
        </w:trPr>
        <w:tc>
          <w:tcPr>
            <w:tcW w:w="5140" w:type="dxa"/>
            <w:vAlign w:val="bottom"/>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Net increase (decrease) in members' equity resulting from operations</w:t>
            </w:r>
          </w:p>
        </w:tc>
        <w:tc>
          <w:tcPr>
            <w:tcW w:w="12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3"/>
          </w:tcPr>
          <w:p>
            <w:pPr>
              <w:jc w:val="right"/>
              <w:ind w:right="140"/>
              <w:spacing w:after="0" w:line="111" w:lineRule="exact"/>
              <w:rPr>
                <w:sz w:val="20"/>
                <w:szCs w:val="20"/>
                <w:color w:val="auto"/>
              </w:rPr>
            </w:pPr>
            <w:r>
              <w:rPr>
                <w:rFonts w:ascii="Times New Roman" w:cs="Times New Roman" w:eastAsia="Times New Roman" w:hAnsi="Times New Roman"/>
                <w:sz w:val="8"/>
                <w:szCs w:val="8"/>
                <w:color w:val="auto"/>
              </w:rPr>
              <w:t>(6,924</w:t>
            </w:r>
            <w:r>
              <w:rPr>
                <w:rFonts w:ascii="Times New Roman" w:cs="Times New Roman" w:eastAsia="Times New Roman" w:hAnsi="Times New Roman"/>
                <w:sz w:val="12"/>
                <w:szCs w:val="12"/>
                <w:color w:val="auto"/>
                <w:vertAlign w:val="subscript"/>
              </w:rPr>
              <w:t>)</w:t>
            </w:r>
          </w:p>
        </w:tc>
        <w:tc>
          <w:tcPr>
            <w:tcW w:w="260" w:type="dxa"/>
            <w:vAlign w:val="bottom"/>
            <w:gridSpan w:val="2"/>
          </w:tcPr>
          <w:p>
            <w:pPr>
              <w:jc w:val="right"/>
              <w:ind w:right="105"/>
              <w:spacing w:after="0" w:line="111"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8"/>
                <w:szCs w:val="8"/>
                <w:color w:val="auto"/>
              </w:rPr>
              <w:t>(3,648</w:t>
            </w:r>
            <w:r>
              <w:rPr>
                <w:rFonts w:ascii="Times New Roman" w:cs="Times New Roman" w:eastAsia="Times New Roman" w:hAnsi="Times New Roman"/>
                <w:sz w:val="12"/>
                <w:szCs w:val="12"/>
                <w:color w:val="auto"/>
                <w:vertAlign w:val="subscript"/>
              </w:rPr>
              <w:t>)</w:t>
            </w:r>
          </w:p>
        </w:tc>
      </w:tr>
      <w:tr>
        <w:trPr>
          <w:trHeight w:val="20"/>
        </w:trPr>
        <w:tc>
          <w:tcPr>
            <w:tcW w:w="5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left="780" w:right="840" w:hanging="5"/>
        <w:spacing w:after="0" w:line="226" w:lineRule="auto"/>
        <w:tabs>
          <w:tab w:leader="none" w:pos="891" w:val="left"/>
        </w:tabs>
        <w:numPr>
          <w:ilvl w:val="0"/>
          <w:numId w:val="1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No management or incentive fees are payable by PSSL. If any fees were to be charged, they would be separately disclosed in the Consolidated Statement of Operations. PSSL pays the Administrator an annual fee of 0.25% of average gross assets under management on a quarterly basis.</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41" w:name="page42"/>
    <w:bookmarkEnd w:id="41"/>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PennantPark Senior Secured Loan Fund II LLC</w:t>
      </w:r>
    </w:p>
    <w:p>
      <w:pPr>
        <w:spacing w:after="0" w:line="124" w:lineRule="exact"/>
        <w:rPr>
          <w:sz w:val="20"/>
          <w:szCs w:val="20"/>
          <w:color w:val="auto"/>
        </w:rPr>
      </w:pPr>
    </w:p>
    <w:p>
      <w:pPr>
        <w:ind w:left="780" w:right="800" w:firstLine="282"/>
        <w:spacing w:after="0" w:line="255" w:lineRule="auto"/>
        <w:rPr>
          <w:sz w:val="20"/>
          <w:szCs w:val="20"/>
          <w:color w:val="auto"/>
        </w:rPr>
      </w:pPr>
      <w:r>
        <w:rPr>
          <w:rFonts w:ascii="Times New Roman" w:cs="Times New Roman" w:eastAsia="Times New Roman" w:hAnsi="Times New Roman"/>
          <w:sz w:val="11"/>
          <w:szCs w:val="11"/>
          <w:color w:val="auto"/>
        </w:rPr>
        <w:t>In August 2025, we and Hamilton Lane ("HL") formed PSSL II, an unconsolidated joint venture. PSSL II invests primarily in middle-market and other corporate debt securities consistent with our strategy. PSSL II was formed as a Delaware limited liability company. PSSL II invests in portfolio companies in the same industries in which we may directly invest. PSSL II commenced operations on November 18, 2025. As of December 31, 2025, PSSL II had total assets of $201.7 million and its investment portfolio consisted of investments in 41 portfolio companies. As of December 31, 2025, at fair value, the largest investment in a single portfolio company in PSSL II was $7.0 million and the five largest investments totaled $34.9 million. PSSL II invests in portfolio companies in the same industries in which we may directly invest.</w:t>
      </w:r>
    </w:p>
    <w:p>
      <w:pPr>
        <w:spacing w:after="0" w:line="112" w:lineRule="exact"/>
        <w:rPr>
          <w:sz w:val="20"/>
          <w:szCs w:val="20"/>
          <w:color w:val="auto"/>
        </w:rPr>
      </w:pPr>
    </w:p>
    <w:p>
      <w:pPr>
        <w:ind w:left="780" w:right="860" w:firstLine="282"/>
        <w:spacing w:after="0" w:line="255" w:lineRule="auto"/>
        <w:rPr>
          <w:sz w:val="20"/>
          <w:szCs w:val="20"/>
          <w:color w:val="auto"/>
        </w:rPr>
      </w:pPr>
      <w:r>
        <w:rPr>
          <w:rFonts w:ascii="Times New Roman" w:cs="Times New Roman" w:eastAsia="Times New Roman" w:hAnsi="Times New Roman"/>
          <w:sz w:val="11"/>
          <w:szCs w:val="11"/>
          <w:color w:val="auto"/>
        </w:rPr>
        <w:t>We and HL have committed to invest up to $200.0 million in the aggregate in the PSSL II, with the Company committing to invest up to $150.0 million and HL committing to invest up to $50.0 million. Investments by each of the Company and HL are made in the form of membership interests and secured notes. The Company's commitment consists of $105.0 million in secured notes and $45.0 million in membership interests. HL's commitment consists of $35.0 million in secured notes and $15.0 million in membership interests. All material decisions regarding PSSL II must be submitted to its board of managers, which is comprised of an equal number of representatives from each of the Company and HL. Further, all portfolio and other material decisions require the affirmative vote of at least one board member designated by the Company and one board member from HL.</w:t>
      </w:r>
    </w:p>
    <w:p>
      <w:pPr>
        <w:spacing w:after="0" w:line="112" w:lineRule="exact"/>
        <w:rPr>
          <w:sz w:val="20"/>
          <w:szCs w:val="20"/>
          <w:color w:val="auto"/>
        </w:rPr>
      </w:pPr>
    </w:p>
    <w:p>
      <w:pPr>
        <w:ind w:left="780" w:right="860" w:firstLine="282"/>
        <w:spacing w:after="0" w:line="259" w:lineRule="auto"/>
        <w:rPr>
          <w:sz w:val="20"/>
          <w:szCs w:val="20"/>
          <w:color w:val="auto"/>
        </w:rPr>
      </w:pPr>
      <w:r>
        <w:rPr>
          <w:rFonts w:ascii="Times New Roman" w:cs="Times New Roman" w:eastAsia="Times New Roman" w:hAnsi="Times New Roman"/>
          <w:sz w:val="11"/>
          <w:szCs w:val="11"/>
          <w:color w:val="auto"/>
        </w:rPr>
        <w:t>We and HL provide capital to PSSL II in the form of secured notes and equity interests. As of December 31, 2025, our investment in PSSL II consisted of secured notes of $39.4 million ($65.6 million remaining unfunded) and equity interests of $16.9 million ($28.1 million remaining unfunded). During the three months ended December 31, 2025, the Company made capital contributions of approximately $56.2 million of assets at their most recent fair market value as of the date of the transaction.</w:t>
      </w:r>
    </w:p>
    <w:p>
      <w:pPr>
        <w:spacing w:after="0" w:line="110" w:lineRule="exact"/>
        <w:rPr>
          <w:sz w:val="20"/>
          <w:szCs w:val="20"/>
          <w:color w:val="auto"/>
        </w:rPr>
      </w:pPr>
    </w:p>
    <w:p>
      <w:pPr>
        <w:ind w:left="780" w:right="820" w:firstLine="282"/>
        <w:spacing w:after="0" w:line="279" w:lineRule="auto"/>
        <w:rPr>
          <w:sz w:val="20"/>
          <w:szCs w:val="20"/>
          <w:color w:val="auto"/>
        </w:rPr>
      </w:pPr>
      <w:r>
        <w:rPr>
          <w:rFonts w:ascii="Times New Roman" w:cs="Times New Roman" w:eastAsia="Times New Roman" w:hAnsi="Times New Roman"/>
          <w:sz w:val="11"/>
          <w:szCs w:val="11"/>
          <w:color w:val="auto"/>
        </w:rPr>
        <w:t>In November 2025, PSSL II entered into a $150.0 million revolving credit facility which bears all-in interest rate at SOFR plus 1.85% with Goldman Sachs Bank USA through its wholly owned subsidiary, PSSL II SPV LLC, subject to leverage and borrowing base restrictions.</w:t>
      </w:r>
    </w:p>
    <w:p>
      <w:pPr>
        <w:spacing w:after="0" w:line="9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Below is a summary of PSSL II's portfolio at fair value:</w:t>
      </w:r>
    </w:p>
    <w:p>
      <w:pPr>
        <w:spacing w:after="0" w:line="285" w:lineRule="exact"/>
        <w:rPr>
          <w:sz w:val="20"/>
          <w:szCs w:val="20"/>
          <w:color w:val="auto"/>
        </w:rPr>
      </w:pPr>
    </w:p>
    <w:tbl>
      <w:tblPr>
        <w:tblLayout w:type="fixed"/>
        <w:tblInd w:w="380" w:type="dxa"/>
        <w:tblCellMar>
          <w:top w:w="0" w:type="dxa"/>
          <w:left w:w="0" w:type="dxa"/>
          <w:bottom w:w="0" w:type="dxa"/>
          <w:right w:w="0" w:type="dxa"/>
        </w:tblCellMar>
      </w:tblPr>
      <w:tr>
        <w:trPr>
          <w:trHeight w:val="143"/>
        </w:trPr>
        <w:tc>
          <w:tcPr>
            <w:tcW w:w="400" w:type="dxa"/>
            <w:vAlign w:val="bottom"/>
          </w:tcPr>
          <w:p>
            <w:pPr>
              <w:spacing w:after="0"/>
              <w:rPr>
                <w:sz w:val="12"/>
                <w:szCs w:val="12"/>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 in thousands)</w:t>
            </w:r>
          </w:p>
        </w:tc>
        <w:tc>
          <w:tcPr>
            <w:tcW w:w="300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31"/>
        </w:trPr>
        <w:tc>
          <w:tcPr>
            <w:tcW w:w="400" w:type="dxa"/>
            <w:vAlign w:val="bottom"/>
          </w:tcPr>
          <w:p>
            <w:pPr>
              <w:spacing w:after="0"/>
              <w:rPr>
                <w:sz w:val="11"/>
                <w:szCs w:val="11"/>
                <w:color w:val="auto"/>
              </w:rPr>
            </w:pPr>
          </w:p>
        </w:tc>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Total investments</w:t>
            </w:r>
          </w:p>
        </w:tc>
        <w:tc>
          <w:tcPr>
            <w:tcW w:w="3000" w:type="dxa"/>
            <w:vAlign w:val="bottom"/>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rPr>
              <w:t>193,151</w:t>
            </w: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Weighted average cost yield on income producing investments</w:t>
            </w:r>
          </w:p>
        </w:tc>
        <w:tc>
          <w:tcPr>
            <w:tcW w:w="30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Number of portfolio companies in PSSL II</w:t>
            </w:r>
          </w:p>
        </w:tc>
        <w:tc>
          <w:tcPr>
            <w:tcW w:w="3000" w:type="dxa"/>
            <w:vAlign w:val="bottom"/>
            <w:shd w:val="clear" w:color="auto" w:fill="CCECFF"/>
          </w:tcPr>
          <w:p>
            <w:pPr>
              <w:spacing w:after="0"/>
              <w:rPr>
                <w:sz w:val="11"/>
                <w:szCs w:val="11"/>
                <w:color w:val="auto"/>
              </w:rPr>
            </w:pPr>
          </w:p>
        </w:tc>
        <w:tc>
          <w:tcPr>
            <w:tcW w:w="124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rPr>
              <w:t>41</w:t>
            </w: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Largest portfolio company investment</w:t>
            </w:r>
          </w:p>
        </w:tc>
        <w:tc>
          <w:tcPr>
            <w:tcW w:w="30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6,983</w:t>
            </w: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Total of five largest portfolio company investments</w:t>
            </w:r>
          </w:p>
        </w:tc>
        <w:tc>
          <w:tcPr>
            <w:tcW w:w="3000" w:type="dxa"/>
            <w:vAlign w:val="bottom"/>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rPr>
              <w:t>34,905</w:t>
            </w:r>
          </w:p>
        </w:tc>
        <w:tc>
          <w:tcPr>
            <w:tcW w:w="400" w:type="dxa"/>
            <w:vAlign w:val="bottom"/>
          </w:tcPr>
          <w:p>
            <w:pPr>
              <w:spacing w:after="0"/>
              <w:rPr>
                <w:sz w:val="11"/>
                <w:szCs w:val="11"/>
                <w:color w:val="auto"/>
              </w:rPr>
            </w:pPr>
          </w:p>
        </w:tc>
      </w:tr>
      <w:tr>
        <w:trPr>
          <w:trHeight w:val="284"/>
        </w:trPr>
        <w:tc>
          <w:tcPr>
            <w:tcW w:w="4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00" w:type="dxa"/>
            <w:vAlign w:val="bottom"/>
          </w:tcPr>
          <w:p>
            <w:pPr>
              <w:jc w:val="right"/>
              <w:ind w:right="2385"/>
              <w:spacing w:after="0"/>
              <w:rPr>
                <w:sz w:val="20"/>
                <w:szCs w:val="20"/>
                <w:color w:val="auto"/>
              </w:rPr>
            </w:pPr>
            <w:r>
              <w:rPr>
                <w:rFonts w:ascii="Times New Roman" w:cs="Times New Roman" w:eastAsia="Times New Roman" w:hAnsi="Times New Roman"/>
                <w:sz w:val="11"/>
                <w:szCs w:val="11"/>
                <w:color w:val="auto"/>
              </w:rPr>
              <w:t>42</w:t>
            </w: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73"/>
        </w:trPr>
        <w:tc>
          <w:tcPr>
            <w:tcW w:w="400" w:type="dxa"/>
            <w:vAlign w:val="bottom"/>
            <w:tcBorders>
              <w:bottom w:val="single" w:sz="8" w:color="EEEEEE"/>
            </w:tcBorders>
          </w:tcPr>
          <w:p>
            <w:pPr>
              <w:spacing w:after="0"/>
              <w:rPr>
                <w:sz w:val="24"/>
                <w:szCs w:val="24"/>
                <w:color w:val="auto"/>
              </w:rPr>
            </w:pPr>
          </w:p>
        </w:tc>
        <w:tc>
          <w:tcPr>
            <w:tcW w:w="3220" w:type="dxa"/>
            <w:vAlign w:val="bottom"/>
            <w:tcBorders>
              <w:bottom w:val="single" w:sz="8" w:color="EEEEEE"/>
            </w:tcBorders>
          </w:tcPr>
          <w:p>
            <w:pPr>
              <w:spacing w:after="0"/>
              <w:rPr>
                <w:sz w:val="24"/>
                <w:szCs w:val="24"/>
                <w:color w:val="auto"/>
              </w:rPr>
            </w:pPr>
          </w:p>
        </w:tc>
        <w:tc>
          <w:tcPr>
            <w:tcW w:w="300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-24765</wp:posOffset>
            </wp:positionV>
            <wp:extent cx="526605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42" w:name="page43"/>
    <w:bookmarkEnd w:id="42"/>
    <w:p>
      <w:pPr>
        <w:ind w:left="266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Below is a listing of PSSL II’s individual investments as of December 31, 2025 (Par and $ in thousands):</w:t>
      </w:r>
    </w:p>
    <w:p>
      <w:pPr>
        <w:spacing w:after="0" w:line="284"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jc w:val="center"/>
              <w:ind w:left="100"/>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b w:val="1"/>
                <w:bCs w:val="1"/>
                <w:color w:val="auto"/>
                <w:w w:val="97"/>
              </w:rPr>
              <w:t>Spread</w:t>
            </w:r>
          </w:p>
        </w:tc>
        <w:tc>
          <w:tcPr>
            <w:tcW w:w="600" w:type="dxa"/>
            <w:vAlign w:val="bottom"/>
          </w:tcPr>
          <w:p>
            <w:pPr>
              <w:jc w:val="center"/>
              <w:ind w:right="60"/>
              <w:spacing w:after="0"/>
              <w:rPr>
                <w:sz w:val="20"/>
                <w:szCs w:val="20"/>
                <w:color w:val="auto"/>
              </w:rPr>
            </w:pPr>
            <w:r>
              <w:rPr>
                <w:rFonts w:ascii="Times New Roman" w:cs="Times New Roman" w:eastAsia="Times New Roman" w:hAnsi="Times New Roman"/>
                <w:sz w:val="8"/>
                <w:szCs w:val="8"/>
                <w:b w:val="1"/>
                <w:bCs w:val="1"/>
                <w:color w:val="auto"/>
                <w:w w:val="99"/>
              </w:rPr>
              <w:t>Par or</w:t>
            </w: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86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380" w:type="dxa"/>
            <w:vAlign w:val="bottom"/>
            <w:vMerge w:val="restart"/>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b w:val="1"/>
                <w:bCs w:val="1"/>
                <w:color w:val="auto"/>
                <w:w w:val="99"/>
              </w:rPr>
              <w:t>Current</w:t>
            </w:r>
          </w:p>
        </w:tc>
        <w:tc>
          <w:tcPr>
            <w:tcW w:w="680" w:type="dxa"/>
            <w:vAlign w:val="bottom"/>
          </w:tcPr>
          <w:p>
            <w:pPr>
              <w:jc w:val="center"/>
              <w:ind w:left="100"/>
              <w:spacing w:after="0"/>
              <w:rPr>
                <w:sz w:val="20"/>
                <w:szCs w:val="20"/>
                <w:color w:val="auto"/>
              </w:rPr>
            </w:pPr>
            <w:r>
              <w:rPr>
                <w:rFonts w:ascii="Times New Roman" w:cs="Times New Roman" w:eastAsia="Times New Roman" w:hAnsi="Times New Roman"/>
                <w:sz w:val="8"/>
                <w:szCs w:val="8"/>
                <w:b w:val="1"/>
                <w:bCs w:val="1"/>
                <w:color w:val="auto"/>
              </w:rPr>
              <w:t>Above</w:t>
            </w:r>
          </w:p>
        </w:tc>
        <w:tc>
          <w:tcPr>
            <w:tcW w:w="600" w:type="dxa"/>
            <w:vAlign w:val="bottom"/>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Number</w:t>
            </w:r>
          </w:p>
        </w:tc>
        <w:tc>
          <w:tcPr>
            <w:tcW w:w="500" w:type="dxa"/>
            <w:vAlign w:val="bottom"/>
            <w:vMerge w:val="restart"/>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Cost</w:t>
            </w:r>
          </w:p>
        </w:tc>
        <w:tc>
          <w:tcPr>
            <w:tcW w:w="560" w:type="dxa"/>
            <w:vAlign w:val="bottom"/>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Fair Value</w:t>
            </w:r>
          </w:p>
        </w:tc>
        <w:tc>
          <w:tcPr>
            <w:tcW w:w="0" w:type="dxa"/>
            <w:vAlign w:val="bottom"/>
          </w:tcPr>
          <w:p>
            <w:pPr>
              <w:spacing w:after="0"/>
              <w:rPr>
                <w:sz w:val="1"/>
                <w:szCs w:val="1"/>
                <w:color w:val="auto"/>
              </w:rPr>
            </w:pPr>
          </w:p>
        </w:tc>
      </w:tr>
      <w:tr>
        <w:trPr>
          <w:trHeight w:val="90"/>
        </w:trPr>
        <w:tc>
          <w:tcPr>
            <w:tcW w:w="18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660" w:type="dxa"/>
            <w:vAlign w:val="bottom"/>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w w:val="95"/>
              </w:rPr>
              <w:t>Coupon</w:t>
            </w:r>
          </w:p>
        </w:tc>
        <w:tc>
          <w:tcPr>
            <w:tcW w:w="680" w:type="dxa"/>
            <w:vAlign w:val="bottom"/>
          </w:tcPr>
          <w:p>
            <w:pPr>
              <w:jc w:val="center"/>
              <w:ind w:left="120"/>
              <w:spacing w:after="0" w:line="90" w:lineRule="exact"/>
              <w:rPr>
                <w:sz w:val="20"/>
                <w:szCs w:val="20"/>
                <w:color w:val="auto"/>
              </w:rPr>
            </w:pPr>
            <w:r>
              <w:rPr>
                <w:rFonts w:ascii="Times New Roman" w:cs="Times New Roman" w:eastAsia="Times New Roman" w:hAnsi="Times New Roman"/>
                <w:sz w:val="8"/>
                <w:szCs w:val="8"/>
                <w:b w:val="1"/>
                <w:bCs w:val="1"/>
                <w:color w:val="auto"/>
                <w:w w:val="95"/>
              </w:rPr>
              <w:t xml:space="preserve">Index </w:t>
            </w:r>
            <w:r>
              <w:rPr>
                <w:rFonts w:ascii="Times New Roman" w:cs="Times New Roman" w:eastAsia="Times New Roman" w:hAnsi="Times New Roman"/>
                <w:sz w:val="10"/>
                <w:szCs w:val="10"/>
                <w:b w:val="1"/>
                <w:bCs w:val="1"/>
                <w:color w:val="auto"/>
                <w:w w:val="95"/>
                <w:vertAlign w:val="superscript"/>
              </w:rPr>
              <w:t>(1)</w:t>
            </w:r>
          </w:p>
        </w:tc>
        <w:tc>
          <w:tcPr>
            <w:tcW w:w="600" w:type="dxa"/>
            <w:vAlign w:val="bottom"/>
          </w:tcPr>
          <w:p>
            <w:pPr>
              <w:jc w:val="center"/>
              <w:ind w:right="80"/>
              <w:spacing w:after="0" w:line="90" w:lineRule="exact"/>
              <w:rPr>
                <w:sz w:val="20"/>
                <w:szCs w:val="20"/>
                <w:color w:val="auto"/>
              </w:rPr>
            </w:pPr>
            <w:r>
              <w:rPr>
                <w:rFonts w:ascii="Times New Roman" w:cs="Times New Roman" w:eastAsia="Times New Roman" w:hAnsi="Times New Roman"/>
                <w:sz w:val="8"/>
                <w:szCs w:val="8"/>
                <w:b w:val="1"/>
                <w:bCs w:val="1"/>
                <w:color w:val="auto"/>
              </w:rPr>
              <w:t>of Shares</w:t>
            </w:r>
          </w:p>
        </w:tc>
        <w:tc>
          <w:tcPr>
            <w:tcW w:w="500" w:type="dxa"/>
            <w:vAlign w:val="bottom"/>
            <w:vMerge w:val="continue"/>
          </w:tcPr>
          <w:p>
            <w:pPr>
              <w:spacing w:after="0"/>
              <w:rPr>
                <w:sz w:val="7"/>
                <w:szCs w:val="7"/>
                <w:color w:val="auto"/>
              </w:rPr>
            </w:pPr>
          </w:p>
        </w:tc>
        <w:tc>
          <w:tcPr>
            <w:tcW w:w="560" w:type="dxa"/>
            <w:vAlign w:val="bottom"/>
          </w:tcPr>
          <w:p>
            <w:pPr>
              <w:jc w:val="right"/>
              <w:ind w:right="220"/>
              <w:spacing w:after="0"/>
              <w:rPr>
                <w:sz w:val="20"/>
                <w:szCs w:val="20"/>
                <w:color w:val="auto"/>
              </w:rPr>
            </w:pPr>
            <w:r>
              <w:rPr>
                <w:rFonts w:ascii="Times New Roman" w:cs="Times New Roman" w:eastAsia="Times New Roman" w:hAnsi="Times New Roman"/>
                <w:sz w:val="5"/>
                <w:szCs w:val="5"/>
                <w:b w:val="1"/>
                <w:bCs w:val="1"/>
                <w:color w:val="auto"/>
              </w:rPr>
              <w:t>(2)</w:t>
            </w:r>
          </w:p>
        </w:tc>
        <w:tc>
          <w:tcPr>
            <w:tcW w:w="0" w:type="dxa"/>
            <w:vAlign w:val="bottom"/>
          </w:tcPr>
          <w:p>
            <w:pPr>
              <w:spacing w:after="0"/>
              <w:rPr>
                <w:sz w:val="1"/>
                <w:szCs w:val="1"/>
                <w:color w:val="auto"/>
              </w:rPr>
            </w:pPr>
          </w:p>
        </w:tc>
      </w:tr>
      <w:tr>
        <w:trPr>
          <w:trHeight w:val="102"/>
        </w:trPr>
        <w:tc>
          <w:tcPr>
            <w:tcW w:w="18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First Lien Secured Debt - 859.4% of Net Assets</w:t>
            </w: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ACP Avenu Buyer,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11/19/2025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10/2/2029</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IT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8.74%</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SOFR+475</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7,000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6,943</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6,983</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ACP Falcon Buyer, Inc.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8/1/2029</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Internet Software and Services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9.49%</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SOFR+550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816</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824</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825</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APT OPCO,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9/30/2031</w:t>
            </w:r>
          </w:p>
        </w:tc>
        <w:tc>
          <w:tcPr>
            <w:tcW w:w="138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Healthcare Providers &amp;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8.67%</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4,988</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4,926</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4,925</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Archer Lewis,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8/28/2029</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9.75%</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SOFR+575</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1,130</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1,130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1,130</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Beacon Behavioral Support Services,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6/21/2029</w:t>
            </w:r>
          </w:p>
        </w:tc>
        <w:tc>
          <w:tcPr>
            <w:tcW w:w="138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Healthcare Providers &amp;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9.17%</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SOFR+550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5,079</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5,030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5,079</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Big Top Holdings,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3/1/2030</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9"/>
              </w:rPr>
              <w:t>Construction and Engineering</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8.92%</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SOFR+525</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6,982</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6,982</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6,982</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BLC Holding Company, Inc.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11/20/2030</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8.17%</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SOFR+450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3,791</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3,791</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3,791</w:t>
            </w:r>
          </w:p>
        </w:tc>
        <w:tc>
          <w:tcPr>
            <w:tcW w:w="0" w:type="dxa"/>
            <w:vAlign w:val="bottom"/>
          </w:tcPr>
          <w:p>
            <w:pPr>
              <w:spacing w:after="0"/>
              <w:rPr>
                <w:sz w:val="1"/>
                <w:szCs w:val="1"/>
                <w:color w:val="auto"/>
              </w:rPr>
            </w:pPr>
          </w:p>
        </w:tc>
      </w:tr>
      <w:tr>
        <w:trPr>
          <w:trHeight w:val="102"/>
        </w:trPr>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Independent Power and Renewable</w:t>
            </w: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Boss Industries,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12/27/2030</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Electricity Producers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8.71%</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5,853</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5,853</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5,853</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By Light Professional IT Services,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11/19/2025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7/15/2031</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9.22%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SOFR+550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7,000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6,947</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6,930</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Carisk Buyer, Inc.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11/21/2025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12/3/2029</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Healthcare Technology</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8.67%</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5,877</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5,877</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5,921</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Case Works,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10/1/2029</w:t>
            </w:r>
          </w:p>
        </w:tc>
        <w:tc>
          <w:tcPr>
            <w:tcW w:w="138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8.92%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SOFR+525</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4,480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4,379</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4,404</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Commercial Fire Protection Holdings,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9/23/2030</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8.17%</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SOFR+450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6,982</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6,982</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6,982</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Crane 1 Services, Inc.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11/18/2005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8/16/2027</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9.08%</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SOFR+536</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2,517</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2,498</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EDS Buyer,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1/10/2029</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8.17%</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SOFR+450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1,975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1,980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1,980</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Emergency Care Partners,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11/20/2025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10/18/2027</w:t>
            </w:r>
          </w:p>
        </w:tc>
        <w:tc>
          <w:tcPr>
            <w:tcW w:w="138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Healthcare Providers &amp;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8.67%</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6,282</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6,282</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6,282</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ETE Intermediate II,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5/29/2029</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Auto Components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8.72%</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975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975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975</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GGG MIDCO,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9/27/2030</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8.67%</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6,982</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6,982</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6,982</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Harris &amp; Co,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8/9/2030</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8.72%</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6,982</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6,982</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6,930</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HEC Purchaser Corp.</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6/17/2029</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9"/>
              </w:rPr>
              <w:t>Health Care Equipment &amp; supplies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8.67%</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5,000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5,000</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Hills Distribution, Inc.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12/2/2025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11/8/2029</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Distributors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9.19%</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SOFR+550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1,501</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1,486</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MBS Holdings, Inc.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11/19/2025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4/16/2027</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Internet Software and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8.92%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SOFR+510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5,132</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5,132</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5,132</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Medina Health,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10/20/2028</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Healthcare and Pharmaceuticals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9.92%</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SOFR+625</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3,314</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3,323</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3,314</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MES Intermediate, Inc.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11/19/2025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10/1/2027</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Distributors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8.42%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SOFR+475</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4,691</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4,691</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4,691</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North American Rail Solutions</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11/21/2025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8/29/2031</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Road and Rail</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8.42%</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SOFR+475</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7,000</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6,966</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6,965</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OSP Embedded Purchaser,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12/17/2029</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9.42%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SOFR+575</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6,982</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6,874</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6,619</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PCS MIDCO, Inc.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11/25/2025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3/1/2030</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9.42%</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SOFR+575</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2,615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2,628</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2,628</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PD Tri-State Holdco,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11/19/2025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10/14/2030</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8.92%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SOFR+525</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2,970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2,944</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2,952</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Pacific Purchaser,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10/2/2028</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9.85%</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SOFR+625</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2,205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2,182</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2,152</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PAR Excellence Holdings, Inc.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9/3/2030</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Healthcare Technology</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8.74%</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6,982</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6,915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6,860</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Project Granite Buyer, Inc.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12/31/2030</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9.42%</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SOFR+575</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3,944</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3,983</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3,983</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Puget Collision,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10/3/2031</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Automobiles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8.42%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SOFR+475</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7,000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6,957</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6,956</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Rancho Health MSO, Inc.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6/20/2029</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Healthcare Providers &amp; Services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8.99%</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6,862</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6,862</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6,862</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Sath Industries,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12/17/2029</w:t>
            </w:r>
          </w:p>
        </w:tc>
        <w:tc>
          <w:tcPr>
            <w:tcW w:w="138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w w:val="99"/>
              </w:rPr>
              <w:t>Building Products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9.17%</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SOFR+550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3,346</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3,346</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3,346</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Sigma Defense Systems,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12/20/2027</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10.62%</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SOFR+690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6,969</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6,969</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6,899</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Smartronix,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12/3/2025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2/6/2032</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8.42%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SOFR+450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5,970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5,947</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5,885</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Systems Planning And Analysis, Inc.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11/20/2025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8/16/2027</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8.46%</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SOFR+475</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6,997</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6,945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6,976</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TMII Enterprises,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12/22/2028</w:t>
            </w:r>
          </w:p>
        </w:tc>
        <w:tc>
          <w:tcPr>
            <w:tcW w:w="138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8.22%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SOFR+450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1,975</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1,975</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The Bluebird Group,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7/28/2026</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9.57%</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SOFR+590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5,042</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5,042</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5,042</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The Vertex Companies,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8/31/2028</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9"/>
              </w:rPr>
              <w:t>Construction and Engineering</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8.82%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SOFR+510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6,982</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6,969</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6,941</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Transgo,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12/29/2028</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Auto Components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9.47%</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SOFR+575</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594</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597</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594</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Tyto Athene,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11/26/2025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4/3/2028</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IT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8.88%</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SOFR+490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4,626</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4,520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4,441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First Lien Secured Debt</w:t>
            </w:r>
          </w:p>
        </w:tc>
        <w:tc>
          <w:tcPr>
            <w:tcW w:w="2320" w:type="dxa"/>
            <w:vAlign w:val="bottom"/>
          </w:tcPr>
          <w:p>
            <w:pPr>
              <w:spacing w:after="0"/>
              <w:rPr>
                <w:sz w:val="8"/>
                <w:szCs w:val="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193,632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193,151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440" w:type="dxa"/>
            <w:vAlign w:val="bottom"/>
            <w:shd w:val="clear" w:color="auto" w:fill="CCECFF"/>
          </w:tcPr>
          <w:p>
            <w:pPr>
              <w:spacing w:after="0"/>
              <w:rPr>
                <w:sz w:val="8"/>
                <w:szCs w:val="8"/>
                <w:color w:val="auto"/>
              </w:rPr>
            </w:pPr>
          </w:p>
        </w:tc>
        <w:tc>
          <w:tcPr>
            <w:tcW w:w="232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440" w:type="dxa"/>
            <w:vAlign w:val="bottom"/>
          </w:tcPr>
          <w:p>
            <w:pPr>
              <w:spacing w:after="0" w:line="101" w:lineRule="exact"/>
              <w:rPr>
                <w:sz w:val="20"/>
                <w:szCs w:val="20"/>
                <w:color w:val="auto"/>
              </w:rPr>
            </w:pPr>
            <w:r>
              <w:rPr>
                <w:rFonts w:ascii="Times New Roman" w:cs="Times New Roman" w:eastAsia="Times New Roman" w:hAnsi="Times New Roman"/>
                <w:sz w:val="8"/>
                <w:szCs w:val="8"/>
                <w:b w:val="1"/>
                <w:bCs w:val="1"/>
                <w:color w:val="auto"/>
              </w:rPr>
              <w:t xml:space="preserve">Total Investments - 859.4% of Net Assets </w:t>
            </w:r>
            <w:r>
              <w:rPr>
                <w:rFonts w:ascii="Times New Roman" w:cs="Times New Roman" w:eastAsia="Times New Roman" w:hAnsi="Times New Roman"/>
                <w:sz w:val="10"/>
                <w:szCs w:val="10"/>
                <w:b w:val="1"/>
                <w:bCs w:val="1"/>
                <w:color w:val="auto"/>
                <w:vertAlign w:val="superscript"/>
              </w:rPr>
              <w:t>(3)(4)</w:t>
            </w:r>
          </w:p>
        </w:tc>
        <w:tc>
          <w:tcPr>
            <w:tcW w:w="2320" w:type="dxa"/>
            <w:vAlign w:val="bottom"/>
          </w:tcPr>
          <w:p>
            <w:pPr>
              <w:spacing w:after="0"/>
              <w:rPr>
                <w:sz w:val="8"/>
                <w:szCs w:val="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193,632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193,151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440" w:type="dxa"/>
            <w:vAlign w:val="bottom"/>
            <w:shd w:val="clear" w:color="auto" w:fill="CCECFF"/>
          </w:tcPr>
          <w:p>
            <w:pPr>
              <w:spacing w:after="0"/>
              <w:rPr>
                <w:sz w:val="8"/>
                <w:szCs w:val="8"/>
                <w:color w:val="auto"/>
              </w:rPr>
            </w:pPr>
          </w:p>
        </w:tc>
        <w:tc>
          <w:tcPr>
            <w:tcW w:w="232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Cash Equivalents - 0.1% of Net Assets</w:t>
            </w:r>
          </w:p>
        </w:tc>
        <w:tc>
          <w:tcPr>
            <w:tcW w:w="2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BlackRock Federal FD Instl 81</w:t>
            </w:r>
          </w:p>
        </w:tc>
        <w:tc>
          <w:tcPr>
            <w:tcW w:w="2320" w:type="dxa"/>
            <w:vAlign w:val="bottom"/>
            <w:shd w:val="clear" w:color="auto" w:fill="CCECFF"/>
          </w:tcPr>
          <w:p>
            <w:pPr>
              <w:jc w:val="right"/>
              <w:ind w:right="600"/>
              <w:spacing w:after="0"/>
              <w:rPr>
                <w:sz w:val="20"/>
                <w:szCs w:val="20"/>
                <w:color w:val="auto"/>
              </w:rPr>
            </w:pPr>
            <w:r>
              <w:rPr>
                <w:rFonts w:ascii="Times New Roman" w:cs="Times New Roman" w:eastAsia="Times New Roman" w:hAnsi="Times New Roman"/>
                <w:sz w:val="8"/>
                <w:szCs w:val="8"/>
                <w:color w:val="auto"/>
              </w:rPr>
              <w:t>3.69%</w:t>
            </w:r>
          </w:p>
        </w:tc>
        <w:tc>
          <w:tcPr>
            <w:tcW w:w="7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Cash Equivalents</w:t>
            </w:r>
          </w:p>
        </w:tc>
        <w:tc>
          <w:tcPr>
            <w:tcW w:w="2320" w:type="dxa"/>
            <w:vAlign w:val="bottom"/>
          </w:tcPr>
          <w:p>
            <w:pPr>
              <w:spacing w:after="0"/>
              <w:rPr>
                <w:sz w:val="8"/>
                <w:szCs w:val="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Cash - 30.2% of Net Assets</w:t>
            </w:r>
          </w:p>
        </w:tc>
        <w:tc>
          <w:tcPr>
            <w:tcW w:w="232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440" w:type="dxa"/>
            <w:vAlign w:val="bottom"/>
          </w:tcPr>
          <w:p>
            <w:pPr>
              <w:spacing w:after="0"/>
              <w:rPr>
                <w:sz w:val="20"/>
                <w:szCs w:val="20"/>
                <w:color w:val="auto"/>
              </w:rPr>
            </w:pPr>
            <w:r>
              <w:rPr>
                <w:rFonts w:ascii="Times New Roman" w:cs="Times New Roman" w:eastAsia="Times New Roman" w:hAnsi="Times New Roman"/>
                <w:sz w:val="8"/>
                <w:szCs w:val="8"/>
                <w:color w:val="auto"/>
              </w:rPr>
              <w:t>Cash</w:t>
            </w:r>
          </w:p>
        </w:tc>
        <w:tc>
          <w:tcPr>
            <w:tcW w:w="2320" w:type="dxa"/>
            <w:vAlign w:val="bottom"/>
          </w:tcPr>
          <w:p>
            <w:pPr>
              <w:spacing w:after="0"/>
              <w:rPr>
                <w:sz w:val="8"/>
                <w:szCs w:val="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6,775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6,775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Cash</w:t>
            </w:r>
          </w:p>
        </w:tc>
        <w:tc>
          <w:tcPr>
            <w:tcW w:w="2320" w:type="dxa"/>
            <w:vAlign w:val="bottom"/>
            <w:shd w:val="clear" w:color="auto" w:fill="CCECFF"/>
          </w:tcPr>
          <w:p>
            <w:pPr>
              <w:spacing w:after="0"/>
              <w:rPr>
                <w:sz w:val="8"/>
                <w:szCs w:val="8"/>
                <w:color w:val="auto"/>
              </w:rPr>
            </w:pPr>
          </w:p>
        </w:tc>
        <w:tc>
          <w:tcPr>
            <w:tcW w:w="7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6,775</w:t>
            </w:r>
          </w:p>
        </w:tc>
        <w:tc>
          <w:tcPr>
            <w:tcW w:w="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6,775</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Investments, Cash Equivalents, and Cash —889.6%</w:t>
            </w:r>
          </w:p>
        </w:tc>
        <w:tc>
          <w:tcPr>
            <w:tcW w:w="2320" w:type="dxa"/>
            <w:vAlign w:val="bottom"/>
          </w:tcPr>
          <w:p>
            <w:pPr>
              <w:spacing w:after="0"/>
              <w:rPr>
                <w:sz w:val="8"/>
                <w:szCs w:val="8"/>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200,409</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199,928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3440" w:type="dxa"/>
            <w:vAlign w:val="bottom"/>
          </w:tcPr>
          <w:p>
            <w:pPr>
              <w:spacing w:after="0" w:line="62" w:lineRule="exact"/>
              <w:rPr>
                <w:sz w:val="20"/>
                <w:szCs w:val="20"/>
                <w:color w:val="auto"/>
              </w:rPr>
            </w:pPr>
            <w:r>
              <w:rPr>
                <w:rFonts w:ascii="Times New Roman" w:cs="Times New Roman" w:eastAsia="Times New Roman" w:hAnsi="Times New Roman"/>
                <w:sz w:val="7"/>
                <w:szCs w:val="7"/>
                <w:b w:val="1"/>
                <w:bCs w:val="1"/>
                <w:color w:val="auto"/>
              </w:rPr>
              <w:t>of Net Assets</w:t>
            </w:r>
          </w:p>
        </w:tc>
        <w:tc>
          <w:tcPr>
            <w:tcW w:w="2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3440" w:type="dxa"/>
            <w:vAlign w:val="bottom"/>
            <w:shd w:val="clear" w:color="auto" w:fill="CCECFF"/>
          </w:tcPr>
          <w:p>
            <w:pPr>
              <w:spacing w:after="0" w:line="70" w:lineRule="exact"/>
              <w:rPr>
                <w:sz w:val="20"/>
                <w:szCs w:val="20"/>
                <w:color w:val="auto"/>
              </w:rPr>
            </w:pPr>
            <w:r>
              <w:rPr>
                <w:rFonts w:ascii="Times New Roman" w:cs="Times New Roman" w:eastAsia="Times New Roman" w:hAnsi="Times New Roman"/>
                <w:sz w:val="8"/>
                <w:szCs w:val="8"/>
                <w:b w:val="1"/>
                <w:bCs w:val="1"/>
                <w:color w:val="auto"/>
              </w:rPr>
              <w:t>Liabilities in Excess of Other Assets — (789.6)% of Net</w:t>
            </w:r>
          </w:p>
        </w:tc>
        <w:tc>
          <w:tcPr>
            <w:tcW w:w="2320" w:type="dxa"/>
            <w:vAlign w:val="bottom"/>
            <w:shd w:val="clear" w:color="auto" w:fill="CCECFF"/>
          </w:tcPr>
          <w:p>
            <w:pPr>
              <w:spacing w:after="0"/>
              <w:rPr>
                <w:sz w:val="6"/>
                <w:szCs w:val="6"/>
                <w:color w:val="auto"/>
              </w:rPr>
            </w:pPr>
          </w:p>
        </w:tc>
        <w:tc>
          <w:tcPr>
            <w:tcW w:w="66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320" w:type="dxa"/>
            <w:vAlign w:val="bottom"/>
            <w:shd w:val="clear" w:color="auto" w:fill="CCECFF"/>
          </w:tcPr>
          <w:p>
            <w:pPr>
              <w:spacing w:after="0"/>
              <w:rPr>
                <w:sz w:val="6"/>
                <w:szCs w:val="6"/>
                <w:color w:val="auto"/>
              </w:rPr>
            </w:pPr>
          </w:p>
        </w:tc>
        <w:tc>
          <w:tcPr>
            <w:tcW w:w="14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34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232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8"/>
                <w:szCs w:val="8"/>
                <w:color w:val="auto"/>
              </w:rPr>
              <w:t>(177,453)</w:t>
            </w:r>
          </w:p>
        </w:tc>
        <w:tc>
          <w:tcPr>
            <w:tcW w:w="0" w:type="dxa"/>
            <w:vAlign w:val="bottom"/>
          </w:tcPr>
          <w:p>
            <w:pPr>
              <w:spacing w:after="0"/>
              <w:rPr>
                <w:sz w:val="1"/>
                <w:szCs w:val="1"/>
                <w:color w:val="auto"/>
              </w:rPr>
            </w:pPr>
          </w:p>
        </w:tc>
      </w:tr>
      <w:tr>
        <w:trPr>
          <w:trHeight w:val="101"/>
        </w:trPr>
        <w:tc>
          <w:tcPr>
            <w:tcW w:w="3440" w:type="dxa"/>
            <w:vAlign w:val="bottom"/>
          </w:tcPr>
          <w:p>
            <w:pPr>
              <w:spacing w:after="0" w:line="91" w:lineRule="exact"/>
              <w:rPr>
                <w:sz w:val="20"/>
                <w:szCs w:val="20"/>
                <w:color w:val="auto"/>
              </w:rPr>
            </w:pPr>
            <w:r>
              <w:rPr>
                <w:rFonts w:ascii="Times New Roman" w:cs="Times New Roman" w:eastAsia="Times New Roman" w:hAnsi="Times New Roman"/>
                <w:sz w:val="8"/>
                <w:szCs w:val="8"/>
                <w:b w:val="1"/>
                <w:bCs w:val="1"/>
                <w:color w:val="auto"/>
              </w:rPr>
              <w:t>Members' Equity—100.0%</w:t>
            </w:r>
          </w:p>
        </w:tc>
        <w:tc>
          <w:tcPr>
            <w:tcW w:w="2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22,475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8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6" w:lineRule="exact"/>
        <w:rPr>
          <w:sz w:val="20"/>
          <w:szCs w:val="20"/>
          <w:color w:val="auto"/>
        </w:rPr>
      </w:pPr>
    </w:p>
    <w:p>
      <w:pPr>
        <w:ind w:left="780" w:right="960"/>
        <w:spacing w:after="0" w:line="225" w:lineRule="auto"/>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8"/>
          <w:szCs w:val="8"/>
          <w:color w:val="auto"/>
        </w:rPr>
        <w:t>Represents floating rate instruments that accrue interest at a predetermined spread relative to an index, typically the applicable Secured Overnight Financing Rate or "SOFR". The spread may change based on the type of rate used. The terms in the Consolidated Schedule of Investments disclose the actual interest rate in effect as of the reporting period. All securities are subject to a SOFR floor where a spread is provided, unless noted. The spread provided includes PIK interest and other fee rates, if any.</w:t>
      </w:r>
    </w:p>
    <w:p>
      <w:pPr>
        <w:ind w:left="780"/>
        <w:spacing w:after="0" w:line="190" w:lineRule="auto"/>
        <w:rPr>
          <w:sz w:val="20"/>
          <w:szCs w:val="20"/>
          <w:color w:val="auto"/>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8"/>
          <w:szCs w:val="8"/>
          <w:color w:val="auto"/>
        </w:rPr>
        <w:t>Valued based on PSSL II’s accounting policy.</w:t>
      </w:r>
    </w:p>
    <w:p>
      <w:pPr>
        <w:ind w:left="780"/>
        <w:spacing w:after="0" w:line="185" w:lineRule="auto"/>
        <w:rPr>
          <w:sz w:val="20"/>
          <w:szCs w:val="20"/>
          <w:color w:val="auto"/>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8"/>
          <w:szCs w:val="8"/>
          <w:color w:val="auto"/>
        </w:rPr>
        <w:t>As of December 31, 2025, all investments were in U.S Companies, and total cost, fair value, percentage of Net Assets for the U.S Companies were $193.6 million, $193.2 million and 859.4%.</w:t>
      </w:r>
    </w:p>
    <w:p>
      <w:pPr>
        <w:ind w:left="780"/>
        <w:spacing w:after="0"/>
        <w:rPr>
          <w:sz w:val="20"/>
          <w:szCs w:val="20"/>
          <w:color w:val="auto"/>
        </w:rPr>
      </w:pP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8"/>
          <w:szCs w:val="8"/>
          <w:color w:val="auto"/>
        </w:rPr>
        <w:t>All of our investments are not registered under the 1933 Act and have restrictions on resale.</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5" w:lineRule="exact"/>
        <w:rPr>
          <w:sz w:val="20"/>
          <w:szCs w:val="20"/>
          <w:color w:val="auto"/>
        </w:rPr>
      </w:pPr>
    </w:p>
    <w:tbl>
      <w:tblPr>
        <w:tblLayout w:type="fixed"/>
        <w:tblInd w:w="780" w:type="dxa"/>
        <w:tblCellMar>
          <w:top w:w="0" w:type="dxa"/>
          <w:left w:w="0" w:type="dxa"/>
          <w:bottom w:w="0" w:type="dxa"/>
          <w:right w:w="0" w:type="dxa"/>
        </w:tblCellMar>
      </w:tblPr>
      <w:tr>
        <w:trPr>
          <w:trHeight w:val="143"/>
        </w:trPr>
        <w:tc>
          <w:tcPr>
            <w:tcW w:w="6040" w:type="dxa"/>
            <w:vAlign w:val="bottom"/>
          </w:tcPr>
          <w:p>
            <w:pPr>
              <w:spacing w:after="0"/>
              <w:rPr>
                <w:sz w:val="20"/>
                <w:szCs w:val="20"/>
                <w:color w:val="auto"/>
              </w:rPr>
            </w:pPr>
            <w:r>
              <w:rPr>
                <w:rFonts w:ascii="Times New Roman" w:cs="Times New Roman" w:eastAsia="Times New Roman" w:hAnsi="Times New Roman"/>
                <w:sz w:val="11"/>
                <w:szCs w:val="11"/>
                <w:color w:val="auto"/>
              </w:rPr>
              <w:t>Below are the Consolidated Statements of Assets and Liabilities for PSSL II ($ in thousands):</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388"/>
        </w:trPr>
        <w:tc>
          <w:tcPr>
            <w:tcW w:w="6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43"/>
        </w:trPr>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31"/>
        </w:trPr>
        <w:tc>
          <w:tcPr>
            <w:tcW w:w="60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40" w:type="dxa"/>
            <w:vAlign w:val="bottom"/>
            <w:shd w:val="clear" w:color="auto" w:fill="CCECFF"/>
          </w:tcPr>
          <w:p>
            <w:pPr>
              <w:spacing w:after="0"/>
              <w:rPr>
                <w:sz w:val="11"/>
                <w:szCs w:val="11"/>
                <w:color w:val="auto"/>
              </w:rPr>
            </w:pPr>
          </w:p>
        </w:tc>
        <w:tc>
          <w:tcPr>
            <w:tcW w:w="11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r>
      <w:tr>
        <w:trPr>
          <w:trHeight w:val="131"/>
        </w:trPr>
        <w:tc>
          <w:tcPr>
            <w:tcW w:w="6040" w:type="dxa"/>
            <w:vAlign w:val="bottom"/>
          </w:tcPr>
          <w:p>
            <w:pPr>
              <w:spacing w:after="0"/>
              <w:rPr>
                <w:sz w:val="20"/>
                <w:szCs w:val="20"/>
                <w:color w:val="auto"/>
              </w:rPr>
            </w:pPr>
            <w:r>
              <w:rPr>
                <w:rFonts w:ascii="Times New Roman" w:cs="Times New Roman" w:eastAsia="Times New Roman" w:hAnsi="Times New Roman"/>
                <w:sz w:val="11"/>
                <w:szCs w:val="11"/>
                <w:color w:val="auto"/>
              </w:rPr>
              <w:t>Investments at fair value (amortized cost—$193,632)</w:t>
            </w:r>
          </w:p>
        </w:tc>
        <w:tc>
          <w:tcPr>
            <w:tcW w:w="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193,151</w:t>
            </w:r>
          </w:p>
        </w:tc>
        <w:tc>
          <w:tcPr>
            <w:tcW w:w="180" w:type="dxa"/>
            <w:vAlign w:val="bottom"/>
          </w:tcPr>
          <w:p>
            <w:pPr>
              <w:spacing w:after="0"/>
              <w:rPr>
                <w:sz w:val="11"/>
                <w:szCs w:val="11"/>
                <w:color w:val="auto"/>
              </w:rPr>
            </w:pPr>
          </w:p>
        </w:tc>
      </w:tr>
      <w:tr>
        <w:trPr>
          <w:trHeight w:val="131"/>
        </w:trPr>
        <w:tc>
          <w:tcPr>
            <w:tcW w:w="60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Cash equivalents (cost—$2)</w:t>
            </w:r>
          </w:p>
        </w:tc>
        <w:tc>
          <w:tcPr>
            <w:tcW w:w="140" w:type="dxa"/>
            <w:vAlign w:val="bottom"/>
            <w:shd w:val="clear" w:color="auto" w:fill="CCECFF"/>
          </w:tcPr>
          <w:p>
            <w:pPr>
              <w:spacing w:after="0"/>
              <w:rPr>
                <w:sz w:val="11"/>
                <w:szCs w:val="11"/>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shd w:val="clear" w:color="auto" w:fill="CCECFF"/>
          </w:tcPr>
          <w:p>
            <w:pPr>
              <w:spacing w:after="0"/>
              <w:rPr>
                <w:sz w:val="11"/>
                <w:szCs w:val="11"/>
                <w:color w:val="auto"/>
              </w:rPr>
            </w:pPr>
          </w:p>
        </w:tc>
      </w:tr>
      <w:tr>
        <w:trPr>
          <w:trHeight w:val="131"/>
        </w:trPr>
        <w:tc>
          <w:tcPr>
            <w:tcW w:w="6040" w:type="dxa"/>
            <w:vAlign w:val="bottom"/>
          </w:tcPr>
          <w:p>
            <w:pPr>
              <w:spacing w:after="0"/>
              <w:rPr>
                <w:sz w:val="20"/>
                <w:szCs w:val="20"/>
                <w:color w:val="auto"/>
              </w:rPr>
            </w:pPr>
            <w:r>
              <w:rPr>
                <w:rFonts w:ascii="Times New Roman" w:cs="Times New Roman" w:eastAsia="Times New Roman" w:hAnsi="Times New Roman"/>
                <w:sz w:val="11"/>
                <w:szCs w:val="11"/>
                <w:color w:val="auto"/>
              </w:rPr>
              <w:t>Cash (cost—$6,775)</w:t>
            </w: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6,775</w:t>
            </w:r>
          </w:p>
        </w:tc>
        <w:tc>
          <w:tcPr>
            <w:tcW w:w="180" w:type="dxa"/>
            <w:vAlign w:val="bottom"/>
          </w:tcPr>
          <w:p>
            <w:pPr>
              <w:spacing w:after="0"/>
              <w:rPr>
                <w:sz w:val="11"/>
                <w:szCs w:val="11"/>
                <w:color w:val="auto"/>
              </w:rPr>
            </w:pPr>
          </w:p>
        </w:tc>
      </w:tr>
      <w:tr>
        <w:trPr>
          <w:trHeight w:val="131"/>
        </w:trPr>
        <w:tc>
          <w:tcPr>
            <w:tcW w:w="60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Interest receivable</w:t>
            </w:r>
          </w:p>
        </w:tc>
        <w:tc>
          <w:tcPr>
            <w:tcW w:w="140" w:type="dxa"/>
            <w:vAlign w:val="bottom"/>
            <w:shd w:val="clear" w:color="auto" w:fill="CCECFF"/>
          </w:tcPr>
          <w:p>
            <w:pPr>
              <w:spacing w:after="0"/>
              <w:rPr>
                <w:sz w:val="11"/>
                <w:szCs w:val="11"/>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401</w:t>
            </w:r>
          </w:p>
        </w:tc>
        <w:tc>
          <w:tcPr>
            <w:tcW w:w="180" w:type="dxa"/>
            <w:vAlign w:val="bottom"/>
            <w:shd w:val="clear" w:color="auto" w:fill="CCECFF"/>
          </w:tcPr>
          <w:p>
            <w:pPr>
              <w:spacing w:after="0"/>
              <w:rPr>
                <w:sz w:val="11"/>
                <w:szCs w:val="11"/>
                <w:color w:val="auto"/>
              </w:rPr>
            </w:pPr>
          </w:p>
        </w:tc>
      </w:tr>
      <w:tr>
        <w:trPr>
          <w:trHeight w:val="131"/>
        </w:trPr>
        <w:tc>
          <w:tcPr>
            <w:tcW w:w="6040" w:type="dxa"/>
            <w:vAlign w:val="bottom"/>
          </w:tcPr>
          <w:p>
            <w:pPr>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1,347</w:t>
            </w:r>
          </w:p>
        </w:tc>
        <w:tc>
          <w:tcPr>
            <w:tcW w:w="180" w:type="dxa"/>
            <w:vAlign w:val="bottom"/>
          </w:tcPr>
          <w:p>
            <w:pPr>
              <w:spacing w:after="0"/>
              <w:rPr>
                <w:sz w:val="11"/>
                <w:szCs w:val="11"/>
                <w:color w:val="auto"/>
              </w:rPr>
            </w:pPr>
          </w:p>
        </w:tc>
      </w:tr>
      <w:tr>
        <w:trPr>
          <w:trHeight w:val="131"/>
        </w:trPr>
        <w:tc>
          <w:tcPr>
            <w:tcW w:w="604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40" w:type="dxa"/>
            <w:vAlign w:val="bottom"/>
            <w:shd w:val="clear" w:color="auto" w:fill="CCECFF"/>
          </w:tcPr>
          <w:p>
            <w:pPr>
              <w:spacing w:after="0"/>
              <w:rPr>
                <w:sz w:val="11"/>
                <w:szCs w:val="11"/>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201,676</w:t>
            </w:r>
          </w:p>
        </w:tc>
        <w:tc>
          <w:tcPr>
            <w:tcW w:w="180" w:type="dxa"/>
            <w:vAlign w:val="bottom"/>
            <w:shd w:val="clear" w:color="auto" w:fill="CCECFF"/>
          </w:tcPr>
          <w:p>
            <w:pPr>
              <w:spacing w:after="0"/>
              <w:rPr>
                <w:sz w:val="11"/>
                <w:szCs w:val="11"/>
                <w:color w:val="auto"/>
              </w:rPr>
            </w:pPr>
          </w:p>
        </w:tc>
      </w:tr>
      <w:tr>
        <w:trPr>
          <w:trHeight w:val="131"/>
        </w:trPr>
        <w:tc>
          <w:tcPr>
            <w:tcW w:w="6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1"/>
        </w:trPr>
        <w:tc>
          <w:tcPr>
            <w:tcW w:w="60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Credit facility payable</w:t>
            </w:r>
          </w:p>
        </w:tc>
        <w:tc>
          <w:tcPr>
            <w:tcW w:w="140" w:type="dxa"/>
            <w:vAlign w:val="bottom"/>
            <w:shd w:val="clear" w:color="auto" w:fill="CCECFF"/>
          </w:tcPr>
          <w:p>
            <w:pPr>
              <w:spacing w:after="0"/>
              <w:rPr>
                <w:sz w:val="11"/>
                <w:szCs w:val="11"/>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180" w:type="dxa"/>
            <w:vAlign w:val="bottom"/>
            <w:shd w:val="clear" w:color="auto" w:fill="CCECFF"/>
          </w:tcPr>
          <w:p>
            <w:pPr>
              <w:spacing w:after="0"/>
              <w:rPr>
                <w:sz w:val="11"/>
                <w:szCs w:val="11"/>
                <w:color w:val="auto"/>
              </w:rPr>
            </w:pPr>
          </w:p>
        </w:tc>
      </w:tr>
      <w:tr>
        <w:trPr>
          <w:trHeight w:val="131"/>
        </w:trPr>
        <w:tc>
          <w:tcPr>
            <w:tcW w:w="6040" w:type="dxa"/>
            <w:vAlign w:val="bottom"/>
          </w:tcPr>
          <w:p>
            <w:pPr>
              <w:spacing w:after="0"/>
              <w:rPr>
                <w:sz w:val="20"/>
                <w:szCs w:val="20"/>
                <w:color w:val="auto"/>
              </w:rPr>
            </w:pPr>
            <w:r>
              <w:rPr>
                <w:rFonts w:ascii="Times New Roman" w:cs="Times New Roman" w:eastAsia="Times New Roman" w:hAnsi="Times New Roman"/>
                <w:sz w:val="11"/>
                <w:szCs w:val="11"/>
                <w:color w:val="auto"/>
              </w:rPr>
              <w:t>Notes payable to members</w:t>
            </w:r>
          </w:p>
        </w:tc>
        <w:tc>
          <w:tcPr>
            <w:tcW w:w="140" w:type="dxa"/>
            <w:vAlign w:val="bottom"/>
          </w:tcPr>
          <w:p>
            <w:pPr>
              <w:spacing w:after="0"/>
              <w:rPr>
                <w:sz w:val="11"/>
                <w:szCs w:val="1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52,500</w:t>
            </w:r>
          </w:p>
        </w:tc>
      </w:tr>
      <w:tr>
        <w:trPr>
          <w:trHeight w:val="131"/>
        </w:trPr>
        <w:tc>
          <w:tcPr>
            <w:tcW w:w="60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Interest payable on credit facility</w:t>
            </w:r>
          </w:p>
        </w:tc>
        <w:tc>
          <w:tcPr>
            <w:tcW w:w="140" w:type="dxa"/>
            <w:vAlign w:val="bottom"/>
            <w:shd w:val="clear" w:color="auto" w:fill="CCECFF"/>
          </w:tcPr>
          <w:p>
            <w:pPr>
              <w:spacing w:after="0"/>
              <w:rPr>
                <w:sz w:val="11"/>
                <w:szCs w:val="11"/>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777</w:t>
            </w:r>
          </w:p>
        </w:tc>
        <w:tc>
          <w:tcPr>
            <w:tcW w:w="180" w:type="dxa"/>
            <w:vAlign w:val="bottom"/>
            <w:shd w:val="clear" w:color="auto" w:fill="CCECFF"/>
          </w:tcPr>
          <w:p>
            <w:pPr>
              <w:spacing w:after="0"/>
              <w:rPr>
                <w:sz w:val="11"/>
                <w:szCs w:val="11"/>
                <w:color w:val="auto"/>
              </w:rPr>
            </w:pPr>
          </w:p>
        </w:tc>
      </w:tr>
      <w:tr>
        <w:trPr>
          <w:trHeight w:val="131"/>
        </w:trPr>
        <w:tc>
          <w:tcPr>
            <w:tcW w:w="6040" w:type="dxa"/>
            <w:vAlign w:val="bottom"/>
          </w:tcPr>
          <w:p>
            <w:pPr>
              <w:spacing w:after="0"/>
              <w:rPr>
                <w:sz w:val="20"/>
                <w:szCs w:val="20"/>
                <w:color w:val="auto"/>
              </w:rPr>
            </w:pPr>
            <w:r>
              <w:rPr>
                <w:rFonts w:ascii="Times New Roman" w:cs="Times New Roman" w:eastAsia="Times New Roman" w:hAnsi="Times New Roman"/>
                <w:sz w:val="11"/>
                <w:szCs w:val="11"/>
                <w:color w:val="auto"/>
              </w:rPr>
              <w:t>Interest payable on notes to members</w:t>
            </w: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780</w:t>
            </w:r>
          </w:p>
        </w:tc>
        <w:tc>
          <w:tcPr>
            <w:tcW w:w="180" w:type="dxa"/>
            <w:vAlign w:val="bottom"/>
          </w:tcPr>
          <w:p>
            <w:pPr>
              <w:spacing w:after="0"/>
              <w:rPr>
                <w:sz w:val="11"/>
                <w:szCs w:val="11"/>
                <w:color w:val="auto"/>
              </w:rPr>
            </w:pPr>
          </w:p>
        </w:tc>
      </w:tr>
      <w:tr>
        <w:trPr>
          <w:trHeight w:val="131"/>
        </w:trPr>
        <w:tc>
          <w:tcPr>
            <w:tcW w:w="60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Accrued expenses</w:t>
            </w:r>
          </w:p>
        </w:tc>
        <w:tc>
          <w:tcPr>
            <w:tcW w:w="140" w:type="dxa"/>
            <w:vAlign w:val="bottom"/>
            <w:shd w:val="clear" w:color="auto" w:fill="CCECFF"/>
          </w:tcPr>
          <w:p>
            <w:pPr>
              <w:spacing w:after="0"/>
              <w:rPr>
                <w:sz w:val="11"/>
                <w:szCs w:val="11"/>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180" w:type="dxa"/>
            <w:vAlign w:val="bottom"/>
            <w:shd w:val="clear" w:color="auto" w:fill="CCECFF"/>
          </w:tcPr>
          <w:p>
            <w:pPr>
              <w:spacing w:after="0"/>
              <w:rPr>
                <w:sz w:val="11"/>
                <w:szCs w:val="11"/>
                <w:color w:val="auto"/>
              </w:rPr>
            </w:pPr>
          </w:p>
        </w:tc>
      </w:tr>
      <w:tr>
        <w:trPr>
          <w:trHeight w:val="131"/>
        </w:trPr>
        <w:tc>
          <w:tcPr>
            <w:tcW w:w="604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179,201</w:t>
            </w:r>
          </w:p>
        </w:tc>
        <w:tc>
          <w:tcPr>
            <w:tcW w:w="180" w:type="dxa"/>
            <w:vAlign w:val="bottom"/>
          </w:tcPr>
          <w:p>
            <w:pPr>
              <w:spacing w:after="0"/>
              <w:rPr>
                <w:sz w:val="11"/>
                <w:szCs w:val="11"/>
                <w:color w:val="auto"/>
              </w:rPr>
            </w:pPr>
          </w:p>
        </w:tc>
      </w:tr>
      <w:tr>
        <w:trPr>
          <w:trHeight w:val="131"/>
        </w:trPr>
        <w:tc>
          <w:tcPr>
            <w:tcW w:w="604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b w:val="1"/>
                <w:bCs w:val="1"/>
                <w:color w:val="auto"/>
              </w:rPr>
              <w:t>Members' equity</w:t>
            </w:r>
          </w:p>
        </w:tc>
        <w:tc>
          <w:tcPr>
            <w:tcW w:w="140" w:type="dxa"/>
            <w:vAlign w:val="bottom"/>
            <w:shd w:val="clear" w:color="auto" w:fill="CCECFF"/>
          </w:tcPr>
          <w:p>
            <w:pPr>
              <w:spacing w:after="0"/>
              <w:rPr>
                <w:sz w:val="11"/>
                <w:szCs w:val="11"/>
                <w:color w:val="auto"/>
              </w:rPr>
            </w:pPr>
          </w:p>
        </w:tc>
        <w:tc>
          <w:tcPr>
            <w:tcW w:w="12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22,475</w:t>
            </w:r>
          </w:p>
        </w:tc>
      </w:tr>
      <w:tr>
        <w:trPr>
          <w:trHeight w:val="131"/>
        </w:trPr>
        <w:tc>
          <w:tcPr>
            <w:tcW w:w="604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Total liabilities and members' equity</w:t>
            </w:r>
          </w:p>
        </w:tc>
        <w:tc>
          <w:tcPr>
            <w:tcW w:w="1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201,676</w:t>
            </w:r>
          </w:p>
        </w:tc>
        <w:tc>
          <w:tcPr>
            <w:tcW w:w="180" w:type="dxa"/>
            <w:vAlign w:val="bottom"/>
          </w:tcPr>
          <w:p>
            <w:pPr>
              <w:spacing w:after="0"/>
              <w:rPr>
                <w:sz w:val="11"/>
                <w:szCs w:val="11"/>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ind w:left="780"/>
        <w:spacing w:after="0"/>
        <w:rPr>
          <w:sz w:val="20"/>
          <w:szCs w:val="20"/>
          <w:color w:val="auto"/>
        </w:rPr>
      </w:pPr>
      <w:r>
        <w:rPr>
          <w:rFonts w:ascii="Times New Roman" w:cs="Times New Roman" w:eastAsia="Times New Roman" w:hAnsi="Times New Roman"/>
          <w:sz w:val="11"/>
          <w:szCs w:val="11"/>
          <w:color w:val="auto"/>
        </w:rPr>
        <w:t>—————————————————</w:t>
      </w:r>
    </w:p>
    <w:p>
      <w:pPr>
        <w:spacing w:after="0" w:line="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9"/>
          <w:szCs w:val="9"/>
          <w:color w:val="auto"/>
        </w:rPr>
        <w:t>As of December 31, 2025, PSSL II had unfunded commitments to fund investments of zero.</w:t>
      </w:r>
    </w:p>
    <w:p>
      <w:pPr>
        <w:spacing w:after="0" w:line="66" w:lineRule="exact"/>
        <w:rPr>
          <w:sz w:val="20"/>
          <w:szCs w:val="20"/>
          <w:color w:val="auto"/>
        </w:rPr>
      </w:pPr>
    </w:p>
    <w:tbl>
      <w:tblPr>
        <w:tblLayout w:type="fixed"/>
        <w:tblInd w:w="780" w:type="dxa"/>
        <w:tblCellMar>
          <w:top w:w="0" w:type="dxa"/>
          <w:left w:w="0" w:type="dxa"/>
          <w:bottom w:w="0" w:type="dxa"/>
          <w:right w:w="0" w:type="dxa"/>
        </w:tblCellMar>
      </w:tblPr>
      <w:tr>
        <w:trPr>
          <w:trHeight w:val="143"/>
        </w:trPr>
        <w:tc>
          <w:tcPr>
            <w:tcW w:w="50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Below are the Consolidated Statements of Operations for PSSL II ($ in thousands):</w:t>
            </w: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5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For the period November 18, 2025</w:t>
            </w:r>
          </w:p>
        </w:tc>
        <w:tc>
          <w:tcPr>
            <w:tcW w:w="0" w:type="dxa"/>
            <w:vAlign w:val="bottom"/>
          </w:tcPr>
          <w:p>
            <w:pPr>
              <w:spacing w:after="0"/>
              <w:rPr>
                <w:sz w:val="1"/>
                <w:szCs w:val="1"/>
                <w:color w:val="auto"/>
              </w:rPr>
            </w:pPr>
          </w:p>
        </w:tc>
      </w:tr>
      <w:tr>
        <w:trPr>
          <w:trHeight w:val="131"/>
        </w:trPr>
        <w:tc>
          <w:tcPr>
            <w:tcW w:w="5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(commencement of operations) through</w:t>
            </w:r>
          </w:p>
        </w:tc>
        <w:tc>
          <w:tcPr>
            <w:tcW w:w="0" w:type="dxa"/>
            <w:vAlign w:val="bottom"/>
          </w:tcPr>
          <w:p>
            <w:pPr>
              <w:spacing w:after="0"/>
              <w:rPr>
                <w:sz w:val="1"/>
                <w:szCs w:val="1"/>
                <w:color w:val="auto"/>
              </w:rPr>
            </w:pPr>
          </w:p>
        </w:tc>
      </w:tr>
      <w:tr>
        <w:trPr>
          <w:trHeight w:val="145"/>
        </w:trPr>
        <w:tc>
          <w:tcPr>
            <w:tcW w:w="50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Investment income:</w:t>
            </w:r>
          </w:p>
        </w:tc>
        <w:tc>
          <w:tcPr>
            <w:tcW w:w="140" w:type="dxa"/>
            <w:vAlign w:val="bottom"/>
          </w:tcPr>
          <w:p>
            <w:pPr>
              <w:spacing w:after="0"/>
              <w:rPr>
                <w:sz w:val="12"/>
                <w:szCs w:val="12"/>
                <w:color w:val="auto"/>
              </w:rPr>
            </w:pP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29"/>
        </w:trPr>
        <w:tc>
          <w:tcPr>
            <w:tcW w:w="50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Interest</w:t>
            </w:r>
          </w:p>
        </w:tc>
        <w:tc>
          <w:tcPr>
            <w:tcW w:w="140" w:type="dxa"/>
            <w:vAlign w:val="bottom"/>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2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2,201</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income</w:t>
            </w:r>
          </w:p>
        </w:tc>
        <w:tc>
          <w:tcPr>
            <w:tcW w:w="140" w:type="dxa"/>
            <w:vAlign w:val="bottom"/>
          </w:tcPr>
          <w:p>
            <w:pPr>
              <w:spacing w:after="0"/>
              <w:rPr>
                <w:sz w:val="11"/>
                <w:szCs w:val="1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investment income</w:t>
            </w:r>
          </w:p>
        </w:tc>
        <w:tc>
          <w:tcPr>
            <w:tcW w:w="140" w:type="dxa"/>
            <w:vAlign w:val="bottom"/>
            <w:shd w:val="clear" w:color="auto" w:fill="CCECFF"/>
          </w:tcPr>
          <w:p>
            <w:pPr>
              <w:spacing w:after="0"/>
              <w:rPr>
                <w:sz w:val="11"/>
                <w:szCs w:val="11"/>
                <w:color w:val="auto"/>
              </w:rPr>
            </w:pPr>
          </w:p>
        </w:tc>
        <w:tc>
          <w:tcPr>
            <w:tcW w:w="2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2,208</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tcPr>
          <w:p>
            <w:pPr>
              <w:spacing w:after="0" w:line="131" w:lineRule="exact"/>
              <w:rPr>
                <w:sz w:val="20"/>
                <w:szCs w:val="20"/>
                <w:color w:val="auto"/>
              </w:rPr>
            </w:pPr>
            <w:r>
              <w:rPr>
                <w:rFonts w:ascii="Times New Roman" w:cs="Times New Roman" w:eastAsia="Times New Roman" w:hAnsi="Times New Roman"/>
                <w:sz w:val="11"/>
                <w:szCs w:val="11"/>
                <w:b w:val="1"/>
                <w:bCs w:val="1"/>
                <w:color w:val="auto"/>
              </w:rPr>
              <w:t>Expenses:</w:t>
            </w:r>
            <w:r>
              <w:rPr>
                <w:rFonts w:ascii="Times New Roman" w:cs="Times New Roman" w:eastAsia="Times New Roman" w:hAnsi="Times New Roman"/>
                <w:sz w:val="14"/>
                <w:szCs w:val="14"/>
                <w:b w:val="1"/>
                <w:bCs w:val="1"/>
                <w:color w:val="auto"/>
                <w:vertAlign w:val="superscript"/>
              </w:rPr>
              <w:t>(1)</w:t>
            </w:r>
          </w:p>
        </w:tc>
        <w:tc>
          <w:tcPr>
            <w:tcW w:w="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Interest and expense on credit facility and asset-backed debt</w:t>
            </w:r>
          </w:p>
        </w:tc>
        <w:tc>
          <w:tcPr>
            <w:tcW w:w="140" w:type="dxa"/>
            <w:vAlign w:val="bottom"/>
            <w:shd w:val="clear" w:color="auto" w:fill="CCECFF"/>
          </w:tcPr>
          <w:p>
            <w:pPr>
              <w:spacing w:after="0"/>
              <w:rPr>
                <w:sz w:val="11"/>
                <w:szCs w:val="11"/>
                <w:color w:val="auto"/>
              </w:rPr>
            </w:pPr>
          </w:p>
        </w:tc>
        <w:tc>
          <w:tcPr>
            <w:tcW w:w="2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827</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expense on notes to members</w:t>
            </w:r>
          </w:p>
        </w:tc>
        <w:tc>
          <w:tcPr>
            <w:tcW w:w="140" w:type="dxa"/>
            <w:vAlign w:val="bottom"/>
          </w:tcPr>
          <w:p>
            <w:pPr>
              <w:spacing w:after="0"/>
              <w:rPr>
                <w:sz w:val="11"/>
                <w:szCs w:val="1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Administration fees</w:t>
            </w:r>
          </w:p>
        </w:tc>
        <w:tc>
          <w:tcPr>
            <w:tcW w:w="140" w:type="dxa"/>
            <w:vAlign w:val="bottom"/>
            <w:shd w:val="clear" w:color="auto" w:fill="CCECFF"/>
          </w:tcPr>
          <w:p>
            <w:pPr>
              <w:spacing w:after="0"/>
              <w:rPr>
                <w:sz w:val="11"/>
                <w:szCs w:val="11"/>
                <w:color w:val="auto"/>
              </w:rPr>
            </w:pPr>
          </w:p>
        </w:tc>
        <w:tc>
          <w:tcPr>
            <w:tcW w:w="2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General and administrative expenses</w:t>
            </w:r>
          </w:p>
        </w:tc>
        <w:tc>
          <w:tcPr>
            <w:tcW w:w="140" w:type="dxa"/>
            <w:vAlign w:val="bottom"/>
          </w:tcPr>
          <w:p>
            <w:pPr>
              <w:spacing w:after="0"/>
              <w:rPr>
                <w:sz w:val="11"/>
                <w:szCs w:val="1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expenses</w:t>
            </w:r>
          </w:p>
        </w:tc>
        <w:tc>
          <w:tcPr>
            <w:tcW w:w="140" w:type="dxa"/>
            <w:vAlign w:val="bottom"/>
            <w:shd w:val="clear" w:color="auto" w:fill="CCECFF"/>
          </w:tcPr>
          <w:p>
            <w:pPr>
              <w:spacing w:after="0"/>
              <w:rPr>
                <w:sz w:val="11"/>
                <w:szCs w:val="11"/>
                <w:color w:val="auto"/>
              </w:rPr>
            </w:pPr>
          </w:p>
        </w:tc>
        <w:tc>
          <w:tcPr>
            <w:tcW w:w="2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1,752</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Net investment income</w:t>
            </w:r>
          </w:p>
        </w:tc>
        <w:tc>
          <w:tcPr>
            <w:tcW w:w="140" w:type="dxa"/>
            <w:vAlign w:val="bottom"/>
          </w:tcPr>
          <w:p>
            <w:pPr>
              <w:spacing w:after="0"/>
              <w:rPr>
                <w:sz w:val="11"/>
                <w:szCs w:val="1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Realized and unrealized gain (loss) on investments:</w:t>
            </w:r>
          </w:p>
        </w:tc>
        <w:tc>
          <w:tcPr>
            <w:tcW w:w="1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realized gain (loss) on investments</w:t>
            </w:r>
          </w:p>
        </w:tc>
        <w:tc>
          <w:tcPr>
            <w:tcW w:w="140" w:type="dxa"/>
            <w:vAlign w:val="bottom"/>
          </w:tcPr>
          <w:p>
            <w:pPr>
              <w:spacing w:after="0"/>
              <w:rPr>
                <w:sz w:val="11"/>
                <w:szCs w:val="11"/>
                <w:color w:val="auto"/>
              </w:rPr>
            </w:pPr>
          </w:p>
        </w:tc>
        <w:tc>
          <w:tcPr>
            <w:tcW w:w="22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5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Net change in unrealized appreciation (depreciation) on investments</w:t>
            </w:r>
          </w:p>
        </w:tc>
        <w:tc>
          <w:tcPr>
            <w:tcW w:w="140" w:type="dxa"/>
            <w:vAlign w:val="bottom"/>
            <w:shd w:val="clear" w:color="auto" w:fill="CCECFF"/>
          </w:tcPr>
          <w:p>
            <w:pPr>
              <w:spacing w:after="0"/>
              <w:rPr>
                <w:sz w:val="11"/>
                <w:szCs w:val="11"/>
                <w:color w:val="auto"/>
              </w:rPr>
            </w:pPr>
          </w:p>
        </w:tc>
        <w:tc>
          <w:tcPr>
            <w:tcW w:w="22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(481)</w:t>
            </w:r>
          </w:p>
        </w:tc>
        <w:tc>
          <w:tcPr>
            <w:tcW w:w="0" w:type="dxa"/>
            <w:vAlign w:val="bottom"/>
          </w:tcPr>
          <w:p>
            <w:pPr>
              <w:spacing w:after="0"/>
              <w:rPr>
                <w:sz w:val="1"/>
                <w:szCs w:val="1"/>
                <w:color w:val="auto"/>
              </w:rPr>
            </w:pPr>
          </w:p>
        </w:tc>
      </w:tr>
      <w:tr>
        <w:trPr>
          <w:trHeight w:val="131"/>
        </w:trPr>
        <w:tc>
          <w:tcPr>
            <w:tcW w:w="50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Net realized and unrealized gain (loss) on investments</w:t>
            </w:r>
          </w:p>
        </w:tc>
        <w:tc>
          <w:tcPr>
            <w:tcW w:w="140" w:type="dxa"/>
            <w:vAlign w:val="bottom"/>
          </w:tcPr>
          <w:p>
            <w:pPr>
              <w:spacing w:after="0"/>
              <w:rPr>
                <w:sz w:val="11"/>
                <w:szCs w:val="11"/>
                <w:color w:val="auto"/>
              </w:rPr>
            </w:pP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(481)</w:t>
            </w:r>
          </w:p>
        </w:tc>
        <w:tc>
          <w:tcPr>
            <w:tcW w:w="0" w:type="dxa"/>
            <w:vAlign w:val="bottom"/>
          </w:tcPr>
          <w:p>
            <w:pPr>
              <w:spacing w:after="0"/>
              <w:rPr>
                <w:sz w:val="1"/>
                <w:szCs w:val="1"/>
                <w:color w:val="auto"/>
              </w:rPr>
            </w:pPr>
          </w:p>
        </w:tc>
      </w:tr>
      <w:tr>
        <w:trPr>
          <w:trHeight w:val="171"/>
        </w:trPr>
        <w:tc>
          <w:tcPr>
            <w:tcW w:w="5060" w:type="dxa"/>
            <w:vAlign w:val="bottom"/>
            <w:shd w:val="clear" w:color="auto" w:fill="CCECFF"/>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Net increase (decrease) in members' equity resulting from operations</w:t>
            </w:r>
          </w:p>
        </w:tc>
        <w:tc>
          <w:tcPr>
            <w:tcW w:w="140" w:type="dxa"/>
            <w:vAlign w:val="bottom"/>
            <w:shd w:val="clear" w:color="auto" w:fill="CCECFF"/>
          </w:tcPr>
          <w:p>
            <w:pPr>
              <w:jc w:val="right"/>
              <w:ind w:right="25"/>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2260" w:type="dxa"/>
            <w:vAlign w:val="bottom"/>
            <w:gridSpan w:val="2"/>
            <w:shd w:val="clear" w:color="auto" w:fill="CCECFF"/>
          </w:tcPr>
          <w:p>
            <w:pPr>
              <w:jc w:val="right"/>
              <w:ind w:right="40"/>
              <w:spacing w:after="0" w:line="111" w:lineRule="exact"/>
              <w:rPr>
                <w:sz w:val="20"/>
                <w:szCs w:val="20"/>
                <w:color w:val="auto"/>
              </w:rPr>
            </w:pPr>
            <w:r>
              <w:rPr>
                <w:rFonts w:ascii="Times New Roman" w:cs="Times New Roman" w:eastAsia="Times New Roman" w:hAnsi="Times New Roman"/>
                <w:sz w:val="8"/>
                <w:szCs w:val="8"/>
                <w:color w:val="auto"/>
              </w:rPr>
              <w:t>(25</w:t>
            </w:r>
            <w:r>
              <w:rPr>
                <w:rFonts w:ascii="Times New Roman" w:cs="Times New Roman" w:eastAsia="Times New Roman" w:hAnsi="Times New Roman"/>
                <w:sz w:val="12"/>
                <w:szCs w:val="12"/>
                <w:color w:val="auto"/>
                <w:vertAlign w:val="subscript"/>
              </w:rPr>
              <w:t>)</w:t>
            </w:r>
          </w:p>
        </w:tc>
        <w:tc>
          <w:tcPr>
            <w:tcW w:w="0" w:type="dxa"/>
            <w:vAlign w:val="bottom"/>
          </w:tcPr>
          <w:p>
            <w:pPr>
              <w:spacing w:after="0"/>
              <w:rPr>
                <w:sz w:val="1"/>
                <w:szCs w:val="1"/>
                <w:color w:val="auto"/>
              </w:rPr>
            </w:pPr>
          </w:p>
        </w:tc>
      </w:tr>
      <w:tr>
        <w:trPr>
          <w:trHeight w:val="113"/>
        </w:trPr>
        <w:tc>
          <w:tcPr>
            <w:tcW w:w="5060" w:type="dxa"/>
            <w:vAlign w:val="bottom"/>
            <w:tcBorders>
              <w:top w:val="single" w:sz="8" w:color="CCECFF"/>
            </w:tcBorders>
          </w:tcPr>
          <w:p>
            <w:pPr>
              <w:spacing w:after="0" w:line="11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auto"/>
            </w:tcBorders>
          </w:tcPr>
          <w:p>
            <w:pPr>
              <w:spacing w:after="0"/>
              <w:rPr>
                <w:sz w:val="9"/>
                <w:szCs w:val="9"/>
                <w:color w:val="auto"/>
              </w:rPr>
            </w:pPr>
          </w:p>
        </w:tc>
        <w:tc>
          <w:tcPr>
            <w:tcW w:w="2180" w:type="dxa"/>
            <w:vAlign w:val="bottom"/>
            <w:tcBorders>
              <w:top w:val="single" w:sz="8" w:color="auto"/>
            </w:tcBorders>
          </w:tcPr>
          <w:p>
            <w:pPr>
              <w:spacing w:after="0"/>
              <w:rPr>
                <w:sz w:val="9"/>
                <w:szCs w:val="9"/>
                <w:color w:val="auto"/>
              </w:rPr>
            </w:pPr>
          </w:p>
        </w:tc>
        <w:tc>
          <w:tcPr>
            <w:tcW w:w="80" w:type="dxa"/>
            <w:vAlign w:val="bottom"/>
            <w:tcBorders>
              <w:top w:val="single" w:sz="8" w:color="CCECFF"/>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780" w:right="800" w:hanging="5"/>
        <w:spacing w:after="0" w:line="226" w:lineRule="auto"/>
        <w:tabs>
          <w:tab w:leader="none" w:pos="871" w:val="left"/>
        </w:tabs>
        <w:numPr>
          <w:ilvl w:val="0"/>
          <w:numId w:val="1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No management or incentive fees are payable by PSSL II. If any fees were to be charged, they would be separately disclosed in the Consolidated Statement of Operations. PSSL II pays the Administrator an annual fee of 0.25% of the total assets under management on a quarterly basis.</w:t>
      </w:r>
    </w:p>
    <w:p>
      <w:pPr>
        <w:spacing w:after="0" w:line="1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5. FAIR VALUE OF FINANCIAL INSTRUMENTS</w:t>
      </w:r>
    </w:p>
    <w:p>
      <w:pPr>
        <w:spacing w:after="0" w:line="138" w:lineRule="exact"/>
        <w:rPr>
          <w:sz w:val="20"/>
          <w:szCs w:val="20"/>
          <w:color w:val="auto"/>
        </w:rPr>
      </w:pPr>
    </w:p>
    <w:p>
      <w:pPr>
        <w:ind w:left="780" w:right="820" w:firstLine="282"/>
        <w:spacing w:after="0" w:line="255" w:lineRule="auto"/>
        <w:rPr>
          <w:sz w:val="20"/>
          <w:szCs w:val="20"/>
          <w:color w:val="auto"/>
        </w:rPr>
      </w:pPr>
      <w:r>
        <w:rPr>
          <w:rFonts w:ascii="Times New Roman" w:cs="Times New Roman" w:eastAsia="Times New Roman" w:hAnsi="Times New Roman"/>
          <w:sz w:val="11"/>
          <w:szCs w:val="11"/>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ASC 820 classifies the inputs used to measure these fair values into the following hierarchies:</w:t>
      </w:r>
    </w:p>
    <w:p>
      <w:pPr>
        <w:spacing w:after="0" w:line="156" w:lineRule="exact"/>
        <w:rPr>
          <w:sz w:val="20"/>
          <w:szCs w:val="20"/>
          <w:color w:val="auto"/>
        </w:rPr>
      </w:pPr>
    </w:p>
    <w:p>
      <w:pPr>
        <w:ind w:left="960"/>
        <w:spacing w:after="0"/>
        <w:tabs>
          <w:tab w:leader="none" w:pos="1760" w:val="left"/>
        </w:tabs>
        <w:rPr>
          <w:sz w:val="20"/>
          <w:szCs w:val="20"/>
          <w:color w:val="auto"/>
        </w:rPr>
      </w:pPr>
      <w:r>
        <w:rPr>
          <w:rFonts w:ascii="Times New Roman" w:cs="Times New Roman" w:eastAsia="Times New Roman" w:hAnsi="Times New Roman"/>
          <w:sz w:val="11"/>
          <w:szCs w:val="11"/>
          <w:color w:val="auto"/>
        </w:rPr>
        <w:t>Level 1:</w:t>
      </w:r>
      <w:r>
        <w:rPr>
          <w:sz w:val="20"/>
          <w:szCs w:val="20"/>
          <w:color w:val="auto"/>
        </w:rPr>
        <w:tab/>
      </w:r>
      <w:r>
        <w:rPr>
          <w:rFonts w:ascii="Times New Roman" w:cs="Times New Roman" w:eastAsia="Times New Roman" w:hAnsi="Times New Roman"/>
          <w:sz w:val="11"/>
          <w:szCs w:val="11"/>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780" w:right="1080" w:hanging="826"/>
        <w:spacing w:after="0" w:line="264" w:lineRule="auto"/>
        <w:tabs>
          <w:tab w:leader="none" w:pos="1760" w:val="left"/>
        </w:tabs>
        <w:rPr>
          <w:sz w:val="20"/>
          <w:szCs w:val="20"/>
          <w:color w:val="auto"/>
        </w:rPr>
      </w:pPr>
      <w:r>
        <w:rPr>
          <w:rFonts w:ascii="Times New Roman" w:cs="Times New Roman" w:eastAsia="Times New Roman" w:hAnsi="Times New Roman"/>
          <w:sz w:val="11"/>
          <w:szCs w:val="11"/>
          <w:color w:val="auto"/>
        </w:rPr>
        <w:t>Level 2:</w:t>
      </w:r>
      <w:r>
        <w:rPr>
          <w:sz w:val="20"/>
          <w:szCs w:val="20"/>
          <w:color w:val="auto"/>
        </w:rPr>
        <w:tab/>
      </w:r>
      <w:r>
        <w:rPr>
          <w:rFonts w:ascii="Times New Roman" w:cs="Times New Roman" w:eastAsia="Times New Roman" w:hAnsi="Times New Roman"/>
          <w:sz w:val="11"/>
          <w:szCs w:val="11"/>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07" w:lineRule="exact"/>
        <w:rPr>
          <w:sz w:val="20"/>
          <w:szCs w:val="20"/>
          <w:color w:val="auto"/>
        </w:rPr>
      </w:pPr>
    </w:p>
    <w:p>
      <w:pPr>
        <w:ind w:left="1780" w:right="1140" w:hanging="826"/>
        <w:spacing w:after="0" w:line="279" w:lineRule="auto"/>
        <w:tabs>
          <w:tab w:leader="none" w:pos="1760" w:val="left"/>
        </w:tabs>
        <w:rPr>
          <w:sz w:val="20"/>
          <w:szCs w:val="20"/>
          <w:color w:val="auto"/>
        </w:rPr>
      </w:pPr>
      <w:r>
        <w:rPr>
          <w:rFonts w:ascii="Times New Roman" w:cs="Times New Roman" w:eastAsia="Times New Roman" w:hAnsi="Times New Roman"/>
          <w:sz w:val="11"/>
          <w:szCs w:val="11"/>
          <w:color w:val="auto"/>
        </w:rPr>
        <w:t>Level 3:</w:t>
      </w:r>
      <w:r>
        <w:rPr>
          <w:sz w:val="20"/>
          <w:szCs w:val="20"/>
          <w:color w:val="auto"/>
        </w:rPr>
        <w:tab/>
      </w:r>
      <w:r>
        <w:rPr>
          <w:rFonts w:ascii="Times New Roman" w:cs="Times New Roman" w:eastAsia="Times New Roman" w:hAnsi="Times New Roman"/>
          <w:sz w:val="11"/>
          <w:szCs w:val="11"/>
          <w:color w:val="auto"/>
        </w:rPr>
        <w:t>Inputs that are unobservable for an asset or liability because they are based on our own assumptions about how market participants would price the asset or liability.</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5" w:lineRule="exact"/>
        <w:rPr>
          <w:sz w:val="20"/>
          <w:szCs w:val="20"/>
          <w:color w:val="auto"/>
        </w:rPr>
      </w:pPr>
    </w:p>
    <w:p>
      <w:pPr>
        <w:ind w:left="780" w:right="820" w:firstLine="282"/>
        <w:spacing w:after="0" w:line="251" w:lineRule="auto"/>
        <w:rPr>
          <w:sz w:val="20"/>
          <w:szCs w:val="20"/>
          <w:color w:val="auto"/>
        </w:rPr>
      </w:pPr>
      <w:r>
        <w:rPr>
          <w:rFonts w:ascii="Times New Roman" w:cs="Times New Roman" w:eastAsia="Times New Roman" w:hAnsi="Times New Roman"/>
          <w:sz w:val="11"/>
          <w:szCs w:val="11"/>
          <w:color w:val="auto"/>
        </w:rPr>
        <w:t>A financial instrument’s categorization within the valuation hierarchy is based upon the lowest level of input that is significant to the fair value measurement. Generally, most of our investments, including our 2036 Asset-Backed Debt, 2036-R Asset-Backed Debt, 2037 Asset-Backed Debt and our Credit Facility are classified as Level 3. Our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4" w:lineRule="exact"/>
        <w:rPr>
          <w:sz w:val="20"/>
          <w:szCs w:val="20"/>
          <w:color w:val="auto"/>
        </w:rPr>
      </w:pPr>
    </w:p>
    <w:p>
      <w:pPr>
        <w:ind w:left="780" w:right="800" w:firstLine="282"/>
        <w:spacing w:after="0" w:line="255" w:lineRule="auto"/>
        <w:rPr>
          <w:sz w:val="20"/>
          <w:szCs w:val="20"/>
          <w:color w:val="auto"/>
        </w:rPr>
      </w:pPr>
      <w:r>
        <w:rPr>
          <w:rFonts w:ascii="Times New Roman" w:cs="Times New Roman" w:eastAsia="Times New Roman" w:hAnsi="Times New Roman"/>
          <w:sz w:val="11"/>
          <w:szCs w:val="11"/>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2" w:lineRule="exact"/>
        <w:rPr>
          <w:sz w:val="20"/>
          <w:szCs w:val="20"/>
          <w:color w:val="auto"/>
        </w:rPr>
      </w:pPr>
    </w:p>
    <w:p>
      <w:pPr>
        <w:ind w:left="780" w:right="880" w:firstLine="282"/>
        <w:spacing w:after="0" w:line="256" w:lineRule="auto"/>
        <w:rPr>
          <w:sz w:val="20"/>
          <w:szCs w:val="20"/>
          <w:color w:val="auto"/>
        </w:rPr>
      </w:pPr>
      <w:r>
        <w:rPr>
          <w:rFonts w:ascii="Times New Roman" w:cs="Times New Roman" w:eastAsia="Times New Roman" w:hAnsi="Times New Roman"/>
          <w:sz w:val="11"/>
          <w:szCs w:val="11"/>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2" w:lineRule="exact"/>
        <w:rPr>
          <w:sz w:val="20"/>
          <w:szCs w:val="20"/>
          <w:color w:val="auto"/>
        </w:rPr>
      </w:pPr>
    </w:p>
    <w:p>
      <w:pPr>
        <w:ind w:left="780" w:right="1460" w:firstLine="282"/>
        <w:spacing w:after="0" w:line="279" w:lineRule="auto"/>
        <w:rPr>
          <w:sz w:val="20"/>
          <w:szCs w:val="20"/>
          <w:color w:val="auto"/>
        </w:rPr>
      </w:pPr>
      <w:r>
        <w:rPr>
          <w:rFonts w:ascii="Times New Roman" w:cs="Times New Roman" w:eastAsia="Times New Roman" w:hAnsi="Times New Roman"/>
          <w:sz w:val="11"/>
          <w:szCs w:val="11"/>
          <w:color w:val="auto"/>
        </w:rPr>
        <w:t>A review of fair value hierarchy classifications is conducted on a quarterly basis. Changes in our ability to observe valuation inputs may result in a reclassification for certain financial assets or liabilities.</w:t>
      </w:r>
    </w:p>
    <w:p>
      <w:pPr>
        <w:spacing w:after="0" w:line="99" w:lineRule="exact"/>
        <w:rPr>
          <w:sz w:val="20"/>
          <w:szCs w:val="20"/>
          <w:color w:val="auto"/>
        </w:rPr>
      </w:pPr>
    </w:p>
    <w:p>
      <w:pPr>
        <w:ind w:left="780" w:right="820" w:firstLine="282"/>
        <w:spacing w:after="0" w:line="264" w:lineRule="auto"/>
        <w:rPr>
          <w:sz w:val="20"/>
          <w:szCs w:val="20"/>
          <w:color w:val="auto"/>
        </w:rPr>
      </w:pPr>
      <w:r>
        <w:rPr>
          <w:rFonts w:ascii="Times New Roman" w:cs="Times New Roman" w:eastAsia="Times New Roman" w:hAnsi="Times New Roman"/>
          <w:sz w:val="11"/>
          <w:szCs w:val="11"/>
          <w:color w:val="auto"/>
        </w:rPr>
        <w:t>In addition to using the above inputs to value cash equivalents, investments, our 2026 Notes, our 2036 Asset-Backed Debt, 2036-R Asset-Backed Debt, our 2037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07" w:lineRule="exact"/>
        <w:rPr>
          <w:sz w:val="20"/>
          <w:szCs w:val="20"/>
          <w:color w:val="auto"/>
        </w:rPr>
      </w:pPr>
    </w:p>
    <w:p>
      <w:pPr>
        <w:ind w:left="780" w:right="820" w:firstLine="282"/>
        <w:spacing w:after="0" w:line="255" w:lineRule="auto"/>
        <w:rPr>
          <w:sz w:val="20"/>
          <w:szCs w:val="20"/>
          <w:color w:val="auto"/>
        </w:rPr>
      </w:pPr>
      <w:r>
        <w:rPr>
          <w:rFonts w:ascii="Times New Roman" w:cs="Times New Roman" w:eastAsia="Times New Roman" w:hAnsi="Times New Roman"/>
          <w:sz w:val="11"/>
          <w:szCs w:val="11"/>
          <w:color w:val="auto"/>
        </w:rPr>
        <w:t>As outlined in the table below, some of our Level 3 investments use a market-based valuation technique which values such assets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net asset value per share as a practical expedient within the fair value hierarchy.</w:t>
      </w:r>
    </w:p>
    <w:p>
      <w:pPr>
        <w:spacing w:after="0" w:line="112" w:lineRule="exact"/>
        <w:rPr>
          <w:sz w:val="20"/>
          <w:szCs w:val="20"/>
          <w:color w:val="auto"/>
        </w:rPr>
      </w:pPr>
    </w:p>
    <w:p>
      <w:pPr>
        <w:ind w:left="780" w:right="800" w:firstLine="282"/>
        <w:spacing w:after="0" w:line="251" w:lineRule="auto"/>
        <w:rPr>
          <w:sz w:val="20"/>
          <w:szCs w:val="20"/>
          <w:color w:val="auto"/>
        </w:rPr>
      </w:pPr>
      <w:r>
        <w:rPr>
          <w:rFonts w:ascii="Times New Roman" w:cs="Times New Roman" w:eastAsia="Times New Roman" w:hAnsi="Times New Roman"/>
          <w:sz w:val="11"/>
          <w:szCs w:val="11"/>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discounted for lack of marketability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earnings before interest, taxes, depreciation and amortization, or EBITDA, multiple will result in an increase in the valuation of an investment, while a decrease in an EBITDA multiple will have the opposite effect.</w:t>
      </w:r>
    </w:p>
    <w:p>
      <w:pPr>
        <w:spacing w:after="0" w:line="11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Our Level 3 valuation techniques, unobservable inputs and ranges were categorized as follows for ASC 820 purposes ($ in thousands):</w:t>
      </w:r>
    </w:p>
    <w:p>
      <w:pPr>
        <w:spacing w:after="0" w:line="150" w:lineRule="exact"/>
        <w:rPr>
          <w:sz w:val="20"/>
          <w:szCs w:val="20"/>
          <w:color w:val="auto"/>
        </w:rPr>
      </w:pPr>
    </w:p>
    <w:tbl>
      <w:tblPr>
        <w:tblLayout w:type="fixed"/>
        <w:tblInd w:w="380" w:type="dxa"/>
        <w:tblCellMar>
          <w:top w:w="0" w:type="dxa"/>
          <w:left w:w="0" w:type="dxa"/>
          <w:bottom w:w="0" w:type="dxa"/>
          <w:right w:w="0" w:type="dxa"/>
        </w:tblCellMar>
      </w:tblPr>
      <w:tr>
        <w:trPr>
          <w:trHeight w:val="126"/>
        </w:trPr>
        <w:tc>
          <w:tcPr>
            <w:tcW w:w="4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Fair value at December</w:t>
            </w:r>
          </w:p>
        </w:tc>
        <w:tc>
          <w:tcPr>
            <w:tcW w:w="1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4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Range of Input</w:t>
            </w:r>
          </w:p>
        </w:tc>
        <w:tc>
          <w:tcPr>
            <w:tcW w:w="0" w:type="dxa"/>
            <w:vAlign w:val="bottom"/>
          </w:tcPr>
          <w:p>
            <w:pPr>
              <w:spacing w:after="0"/>
              <w:rPr>
                <w:sz w:val="1"/>
                <w:szCs w:val="1"/>
                <w:color w:val="auto"/>
              </w:rPr>
            </w:pPr>
          </w:p>
        </w:tc>
      </w:tr>
      <w:tr>
        <w:trPr>
          <w:trHeight w:val="152"/>
        </w:trPr>
        <w:tc>
          <w:tcPr>
            <w:tcW w:w="400" w:type="dxa"/>
            <w:vAlign w:val="bottom"/>
          </w:tcPr>
          <w:p>
            <w:pPr>
              <w:spacing w:after="0"/>
              <w:rPr>
                <w:sz w:val="13"/>
                <w:szCs w:val="13"/>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 Category</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345"/>
              <w:spacing w:after="0"/>
              <w:rPr>
                <w:sz w:val="20"/>
                <w:szCs w:val="20"/>
                <w:color w:val="auto"/>
              </w:rPr>
            </w:pPr>
            <w:r>
              <w:rPr>
                <w:rFonts w:ascii="Times New Roman" w:cs="Times New Roman" w:eastAsia="Times New Roman" w:hAnsi="Times New Roman"/>
                <w:sz w:val="11"/>
                <w:szCs w:val="11"/>
                <w:b w:val="1"/>
                <w:bCs w:val="1"/>
                <w:color w:val="auto"/>
              </w:rPr>
              <w:t>31, 2025</w:t>
            </w:r>
          </w:p>
        </w:tc>
        <w:tc>
          <w:tcPr>
            <w:tcW w:w="1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Valuation Technique</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640" w:type="dxa"/>
            <w:vAlign w:val="bottom"/>
            <w:gridSpan w:val="3"/>
          </w:tcPr>
          <w:p>
            <w:pPr>
              <w:jc w:val="center"/>
              <w:ind w:right="380"/>
              <w:spacing w:after="0" w:line="152" w:lineRule="exact"/>
              <w:rPr>
                <w:sz w:val="20"/>
                <w:szCs w:val="20"/>
                <w:color w:val="auto"/>
              </w:rPr>
            </w:pPr>
            <w:r>
              <w:rPr>
                <w:rFonts w:ascii="Times New Roman" w:cs="Times New Roman" w:eastAsia="Times New Roman" w:hAnsi="Times New Roman"/>
                <w:sz w:val="11"/>
                <w:szCs w:val="11"/>
                <w:b w:val="1"/>
                <w:bCs w:val="1"/>
                <w:color w:val="auto"/>
                <w:w w:val="98"/>
              </w:rPr>
              <w:t xml:space="preserve">(Weighted Average) </w:t>
            </w:r>
            <w:r>
              <w:rPr>
                <w:rFonts w:ascii="Times New Roman" w:cs="Times New Roman" w:eastAsia="Times New Roman" w:hAnsi="Times New Roman"/>
                <w:sz w:val="14"/>
                <w:szCs w:val="14"/>
                <w:b w:val="1"/>
                <w:bCs w:val="1"/>
                <w:color w:val="auto"/>
                <w:w w:val="98"/>
                <w:vertAlign w:val="superscript"/>
              </w:rPr>
              <w:t>(1)</w:t>
            </w: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20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First lien</w:t>
            </w:r>
          </w:p>
        </w:tc>
        <w:tc>
          <w:tcPr>
            <w:tcW w:w="320" w:type="dxa"/>
            <w:vAlign w:val="bottom"/>
            <w:gridSpan w:val="2"/>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105,885</w:t>
            </w:r>
          </w:p>
        </w:tc>
        <w:tc>
          <w:tcPr>
            <w:tcW w:w="100" w:type="dxa"/>
            <w:vAlign w:val="bottom"/>
            <w:shd w:val="clear" w:color="auto" w:fill="CCECFF"/>
          </w:tcPr>
          <w:p>
            <w:pPr>
              <w:spacing w:after="0"/>
              <w:rPr>
                <w:sz w:val="11"/>
                <w:szCs w:val="11"/>
                <w:color w:val="auto"/>
              </w:rPr>
            </w:pPr>
          </w:p>
        </w:tc>
        <w:tc>
          <w:tcPr>
            <w:tcW w:w="12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Market Comparable</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Broker/Dealer bids or quotes</w:t>
            </w:r>
          </w:p>
        </w:tc>
        <w:tc>
          <w:tcPr>
            <w:tcW w:w="740" w:type="dxa"/>
            <w:vAlign w:val="bottom"/>
            <w:shd w:val="clear" w:color="auto" w:fill="CCECFF"/>
          </w:tcPr>
          <w:p>
            <w:pPr>
              <w:jc w:val="center"/>
              <w:ind w:left="445"/>
              <w:spacing w:after="0"/>
              <w:rPr>
                <w:sz w:val="20"/>
                <w:szCs w:val="20"/>
                <w:color w:val="auto"/>
              </w:rPr>
            </w:pPr>
            <w:r>
              <w:rPr>
                <w:rFonts w:ascii="Times New Roman" w:cs="Times New Roman" w:eastAsia="Times New Roman" w:hAnsi="Times New Roman"/>
                <w:sz w:val="11"/>
                <w:szCs w:val="11"/>
                <w:color w:val="auto"/>
              </w:rPr>
              <w:t>N/A</w:t>
            </w:r>
          </w:p>
        </w:tc>
        <w:tc>
          <w:tcPr>
            <w:tcW w:w="500" w:type="dxa"/>
            <w:vAlign w:val="bottom"/>
            <w:shd w:val="clear" w:color="auto" w:fill="CCECFF"/>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1"/>
                <w:szCs w:val="11"/>
                <w:color w:val="auto"/>
              </w:rPr>
              <w:t>First lien</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2,185,345</w:t>
            </w:r>
          </w:p>
        </w:tc>
        <w:tc>
          <w:tcPr>
            <w:tcW w:w="100" w:type="dxa"/>
            <w:vAlign w:val="bottom"/>
          </w:tcPr>
          <w:p>
            <w:pPr>
              <w:spacing w:after="0"/>
              <w:rPr>
                <w:sz w:val="11"/>
                <w:szCs w:val="1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Market Comparable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Market yield</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4.0% - 27.3% (10.1%)</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20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First lien</w:t>
            </w:r>
          </w:p>
        </w:tc>
        <w:tc>
          <w:tcPr>
            <w:tcW w:w="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18,160</w:t>
            </w:r>
          </w:p>
        </w:tc>
        <w:tc>
          <w:tcPr>
            <w:tcW w:w="12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Enterprise Market Value</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EBITDA multiple</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7.5x - 8.0x</w:t>
            </w:r>
          </w:p>
        </w:tc>
        <w:tc>
          <w:tcPr>
            <w:tcW w:w="5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(7.7x)</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1"/>
                <w:szCs w:val="11"/>
                <w:color w:val="auto"/>
              </w:rPr>
              <w:t>First lien</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852</w:t>
            </w:r>
          </w:p>
        </w:tc>
        <w:tc>
          <w:tcPr>
            <w:tcW w:w="100" w:type="dxa"/>
            <w:vAlign w:val="bottom"/>
          </w:tcPr>
          <w:p>
            <w:pPr>
              <w:spacing w:after="0"/>
              <w:rPr>
                <w:sz w:val="11"/>
                <w:szCs w:val="1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Market Comparable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Revenue multiple</w:t>
            </w:r>
          </w:p>
        </w:tc>
        <w:tc>
          <w:tcPr>
            <w:tcW w:w="740" w:type="dxa"/>
            <w:vAlign w:val="bottom"/>
          </w:tcPr>
          <w:p>
            <w:pPr>
              <w:jc w:val="center"/>
              <w:ind w:left="445"/>
              <w:spacing w:after="0"/>
              <w:rPr>
                <w:sz w:val="20"/>
                <w:szCs w:val="20"/>
                <w:color w:val="auto"/>
              </w:rPr>
            </w:pPr>
            <w:r>
              <w:rPr>
                <w:rFonts w:ascii="Times New Roman" w:cs="Times New Roman" w:eastAsia="Times New Roman" w:hAnsi="Times New Roman"/>
                <w:sz w:val="11"/>
                <w:szCs w:val="11"/>
                <w:color w:val="auto"/>
              </w:rPr>
              <w:t>0.3x</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20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Second Lien</w:t>
            </w:r>
          </w:p>
        </w:tc>
        <w:tc>
          <w:tcPr>
            <w:tcW w:w="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995</w:t>
            </w:r>
          </w:p>
        </w:tc>
        <w:tc>
          <w:tcPr>
            <w:tcW w:w="100" w:type="dxa"/>
            <w:vAlign w:val="bottom"/>
            <w:shd w:val="clear" w:color="auto" w:fill="CCECFF"/>
          </w:tcPr>
          <w:p>
            <w:pPr>
              <w:spacing w:after="0"/>
              <w:rPr>
                <w:sz w:val="11"/>
                <w:szCs w:val="11"/>
                <w:color w:val="auto"/>
              </w:rPr>
            </w:pPr>
          </w:p>
        </w:tc>
        <w:tc>
          <w:tcPr>
            <w:tcW w:w="12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Market Comparable</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Broker/Dealer bids or quotes</w:t>
            </w:r>
          </w:p>
        </w:tc>
        <w:tc>
          <w:tcPr>
            <w:tcW w:w="740" w:type="dxa"/>
            <w:vAlign w:val="bottom"/>
            <w:shd w:val="clear" w:color="auto" w:fill="CCECFF"/>
          </w:tcPr>
          <w:p>
            <w:pPr>
              <w:jc w:val="center"/>
              <w:ind w:left="445"/>
              <w:spacing w:after="0"/>
              <w:rPr>
                <w:sz w:val="20"/>
                <w:szCs w:val="20"/>
                <w:color w:val="auto"/>
              </w:rPr>
            </w:pPr>
            <w:r>
              <w:rPr>
                <w:rFonts w:ascii="Times New Roman" w:cs="Times New Roman" w:eastAsia="Times New Roman" w:hAnsi="Times New Roman"/>
                <w:sz w:val="11"/>
                <w:szCs w:val="11"/>
                <w:color w:val="auto"/>
              </w:rPr>
              <w:t>N/A</w:t>
            </w:r>
          </w:p>
        </w:tc>
        <w:tc>
          <w:tcPr>
            <w:tcW w:w="500" w:type="dxa"/>
            <w:vAlign w:val="bottom"/>
            <w:shd w:val="clear" w:color="auto" w:fill="CCECFF"/>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1"/>
                <w:szCs w:val="11"/>
                <w:color w:val="auto"/>
              </w:rPr>
              <w:t>Subordinated debt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18,610</w:t>
            </w: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Market Comparable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Market yield</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1.4% - 25.3% (17.7%)</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20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Subordinated debt</w:t>
            </w:r>
          </w:p>
        </w:tc>
        <w:tc>
          <w:tcPr>
            <w:tcW w:w="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100" w:type="dxa"/>
            <w:vAlign w:val="bottom"/>
            <w:shd w:val="clear" w:color="auto" w:fill="CCECFF"/>
          </w:tcPr>
          <w:p>
            <w:pPr>
              <w:spacing w:after="0"/>
              <w:rPr>
                <w:sz w:val="11"/>
                <w:szCs w:val="11"/>
                <w:color w:val="auto"/>
              </w:rPr>
            </w:pPr>
          </w:p>
        </w:tc>
        <w:tc>
          <w:tcPr>
            <w:tcW w:w="12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Enterprise Market Value</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EBITDA multiple</w:t>
            </w:r>
          </w:p>
        </w:tc>
        <w:tc>
          <w:tcPr>
            <w:tcW w:w="740" w:type="dxa"/>
            <w:vAlign w:val="bottom"/>
            <w:shd w:val="clear" w:color="auto" w:fill="CCECFF"/>
          </w:tcPr>
          <w:p>
            <w:pPr>
              <w:jc w:val="center"/>
              <w:ind w:left="445"/>
              <w:spacing w:after="0"/>
              <w:rPr>
                <w:sz w:val="20"/>
                <w:szCs w:val="20"/>
                <w:color w:val="auto"/>
              </w:rPr>
            </w:pPr>
            <w:r>
              <w:rPr>
                <w:rFonts w:ascii="Times New Roman" w:cs="Times New Roman" w:eastAsia="Times New Roman" w:hAnsi="Times New Roman"/>
                <w:sz w:val="11"/>
                <w:szCs w:val="11"/>
                <w:color w:val="auto"/>
                <w:w w:val="96"/>
              </w:rPr>
              <w:t>14.5x</w:t>
            </w:r>
          </w:p>
        </w:tc>
        <w:tc>
          <w:tcPr>
            <w:tcW w:w="500" w:type="dxa"/>
            <w:vAlign w:val="bottom"/>
            <w:shd w:val="clear" w:color="auto" w:fill="CCECFF"/>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1"/>
                <w:szCs w:val="11"/>
                <w:color w:val="auto"/>
              </w:rPr>
              <w:t>Equity</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185,414</w:t>
            </w:r>
          </w:p>
        </w:tc>
        <w:tc>
          <w:tcPr>
            <w:tcW w:w="100" w:type="dxa"/>
            <w:vAlign w:val="bottom"/>
          </w:tcPr>
          <w:p>
            <w:pPr>
              <w:spacing w:after="0"/>
              <w:rPr>
                <w:sz w:val="11"/>
                <w:szCs w:val="1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Enterprise Market Value</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EBITDA multiple</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0.3x - 16.8x</w:t>
            </w:r>
          </w:p>
        </w:tc>
        <w:tc>
          <w:tcPr>
            <w:tcW w:w="500" w:type="dxa"/>
            <w:vAlign w:val="bottom"/>
          </w:tcPr>
          <w:p>
            <w:pPr>
              <w:spacing w:after="0"/>
              <w:rPr>
                <w:sz w:val="20"/>
                <w:szCs w:val="20"/>
                <w:color w:val="auto"/>
              </w:rPr>
            </w:pPr>
            <w:r>
              <w:rPr>
                <w:rFonts w:ascii="Times New Roman" w:cs="Times New Roman" w:eastAsia="Times New Roman" w:hAnsi="Times New Roman"/>
                <w:sz w:val="11"/>
                <w:szCs w:val="11"/>
                <w:color w:val="auto"/>
              </w:rPr>
              <w:t>(11.0x)</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208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Total Level 3 investments</w:t>
            </w:r>
          </w:p>
        </w:tc>
        <w:tc>
          <w:tcPr>
            <w:tcW w:w="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2,515,800</w:t>
            </w:r>
          </w:p>
        </w:tc>
        <w:tc>
          <w:tcPr>
            <w:tcW w:w="100" w:type="dxa"/>
            <w:vAlign w:val="bottom"/>
            <w:tcBorders>
              <w:bottom w:val="single" w:sz="8" w:color="CCECFF"/>
            </w:tcBorders>
            <w:shd w:val="clear" w:color="auto" w:fill="CCECFF"/>
          </w:tcPr>
          <w:p>
            <w:pPr>
              <w:spacing w:after="0"/>
              <w:rPr>
                <w:sz w:val="14"/>
                <w:szCs w:val="14"/>
                <w:color w:val="auto"/>
              </w:rPr>
            </w:pPr>
          </w:p>
        </w:tc>
        <w:tc>
          <w:tcPr>
            <w:tcW w:w="1280" w:type="dxa"/>
            <w:vAlign w:val="bottom"/>
            <w:tcBorders>
              <w:bottom w:val="single" w:sz="8" w:color="CCECFF"/>
            </w:tcBorders>
            <w:shd w:val="clear" w:color="auto" w:fill="CCECFF"/>
          </w:tcPr>
          <w:p>
            <w:pPr>
              <w:spacing w:after="0"/>
              <w:rPr>
                <w:sz w:val="14"/>
                <w:szCs w:val="14"/>
                <w:color w:val="auto"/>
              </w:rPr>
            </w:pPr>
          </w:p>
        </w:tc>
        <w:tc>
          <w:tcPr>
            <w:tcW w:w="1480" w:type="dxa"/>
            <w:vAlign w:val="bottom"/>
            <w:tcBorders>
              <w:bottom w:val="single" w:sz="8" w:color="CCECFF"/>
            </w:tcBorders>
            <w:shd w:val="clear" w:color="auto" w:fill="CCECFF"/>
          </w:tcPr>
          <w:p>
            <w:pPr>
              <w:spacing w:after="0"/>
              <w:rPr>
                <w:sz w:val="14"/>
                <w:szCs w:val="14"/>
                <w:color w:val="auto"/>
              </w:rPr>
            </w:pPr>
          </w:p>
        </w:tc>
        <w:tc>
          <w:tcPr>
            <w:tcW w:w="740" w:type="dxa"/>
            <w:vAlign w:val="bottom"/>
            <w:tcBorders>
              <w:bottom w:val="single" w:sz="8" w:color="CCECFF"/>
            </w:tcBorders>
            <w:shd w:val="clear" w:color="auto" w:fill="CCECFF"/>
          </w:tcPr>
          <w:p>
            <w:pPr>
              <w:spacing w:after="0"/>
              <w:rPr>
                <w:sz w:val="14"/>
                <w:szCs w:val="14"/>
                <w:color w:val="auto"/>
              </w:rPr>
            </w:pPr>
          </w:p>
        </w:tc>
        <w:tc>
          <w:tcPr>
            <w:tcW w:w="500" w:type="dxa"/>
            <w:vAlign w:val="bottom"/>
            <w:tcBorders>
              <w:bottom w:val="single" w:sz="8" w:color="CCECFF"/>
            </w:tcBorders>
            <w:shd w:val="clear" w:color="auto" w:fill="CCECFF"/>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400" w:type="dxa"/>
            <w:vAlign w:val="bottom"/>
          </w:tcPr>
          <w:p>
            <w:pPr>
              <w:spacing w:after="0"/>
              <w:rPr>
                <w:sz w:val="8"/>
                <w:szCs w:val="8"/>
                <w:color w:val="auto"/>
              </w:rPr>
            </w:pPr>
          </w:p>
        </w:tc>
        <w:tc>
          <w:tcPr>
            <w:tcW w:w="208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Long-Term Credit Facility</w:t>
            </w:r>
          </w:p>
        </w:tc>
        <w:tc>
          <w:tcPr>
            <w:tcW w:w="320" w:type="dxa"/>
            <w:vAlign w:val="bottom"/>
            <w:gridSpan w:val="2"/>
          </w:tcPr>
          <w:p>
            <w:pPr>
              <w:jc w:val="right"/>
              <w:ind w:right="125"/>
              <w:spacing w:after="0" w:line="10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488,859</w:t>
            </w:r>
          </w:p>
        </w:tc>
        <w:tc>
          <w:tcPr>
            <w:tcW w:w="100" w:type="dxa"/>
            <w:vAlign w:val="bottom"/>
          </w:tcPr>
          <w:p>
            <w:pPr>
              <w:spacing w:after="0"/>
              <w:rPr>
                <w:sz w:val="8"/>
                <w:szCs w:val="8"/>
                <w:color w:val="auto"/>
              </w:rPr>
            </w:pPr>
          </w:p>
        </w:tc>
        <w:tc>
          <w:tcPr>
            <w:tcW w:w="128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color w:val="auto"/>
              </w:rPr>
              <w:t>Market Comparable</w:t>
            </w:r>
          </w:p>
        </w:tc>
        <w:tc>
          <w:tcPr>
            <w:tcW w:w="148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color w:val="auto"/>
              </w:rPr>
              <w:t>Market yield</w:t>
            </w:r>
          </w:p>
        </w:tc>
        <w:tc>
          <w:tcPr>
            <w:tcW w:w="740" w:type="dxa"/>
            <w:vAlign w:val="bottom"/>
          </w:tcPr>
          <w:p>
            <w:pPr>
              <w:jc w:val="center"/>
              <w:ind w:left="445"/>
              <w:spacing w:after="0" w:line="102" w:lineRule="exact"/>
              <w:rPr>
                <w:sz w:val="20"/>
                <w:szCs w:val="20"/>
                <w:color w:val="auto"/>
              </w:rPr>
            </w:pPr>
            <w:r>
              <w:rPr>
                <w:rFonts w:ascii="Times New Roman" w:cs="Times New Roman" w:eastAsia="Times New Roman" w:hAnsi="Times New Roman"/>
                <w:sz w:val="11"/>
                <w:szCs w:val="11"/>
                <w:color w:val="auto"/>
              </w:rPr>
              <w:t>5.3%</w:t>
            </w: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ind w:left="40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w:t>
            </w: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4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400" w:type="dxa"/>
            <w:vAlign w:val="bottom"/>
          </w:tcPr>
          <w:p>
            <w:pPr>
              <w:spacing w:after="0"/>
              <w:rPr>
                <w:sz w:val="19"/>
                <w:szCs w:val="19"/>
                <w:color w:val="auto"/>
              </w:rPr>
            </w:pPr>
          </w:p>
        </w:tc>
        <w:tc>
          <w:tcPr>
            <w:tcW w:w="3460" w:type="dxa"/>
            <w:vAlign w:val="bottom"/>
            <w:gridSpan w:val="5"/>
          </w:tcPr>
          <w:p>
            <w:pPr>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8"/>
                <w:szCs w:val="8"/>
                <w:color w:val="auto"/>
              </w:rPr>
              <w:t>The weighted averages disclosed in the table above were weighted by their relative fair value.</w:t>
            </w:r>
          </w:p>
        </w:tc>
        <w:tc>
          <w:tcPr>
            <w:tcW w:w="1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905"/>
              <w:spacing w:after="0"/>
              <w:rPr>
                <w:sz w:val="20"/>
                <w:szCs w:val="20"/>
                <w:color w:val="auto"/>
              </w:rPr>
            </w:pPr>
            <w:r>
              <w:rPr>
                <w:rFonts w:ascii="Times New Roman" w:cs="Times New Roman" w:eastAsia="Times New Roman" w:hAnsi="Times New Roman"/>
                <w:sz w:val="11"/>
                <w:szCs w:val="11"/>
                <w:color w:val="auto"/>
              </w:rPr>
              <w:t>45</w:t>
            </w:r>
          </w:p>
        </w:tc>
        <w:tc>
          <w:tcPr>
            <w:tcW w:w="1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3"/>
        </w:trPr>
        <w:tc>
          <w:tcPr>
            <w:tcW w:w="400" w:type="dxa"/>
            <w:vAlign w:val="bottom"/>
            <w:tcBorders>
              <w:bottom w:val="single" w:sz="8" w:color="EEEEEE"/>
            </w:tcBorders>
          </w:tcPr>
          <w:p>
            <w:pPr>
              <w:spacing w:after="0"/>
              <w:rPr>
                <w:sz w:val="24"/>
                <w:szCs w:val="24"/>
                <w:color w:val="auto"/>
              </w:rPr>
            </w:pPr>
          </w:p>
        </w:tc>
        <w:tc>
          <w:tcPr>
            <w:tcW w:w="20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-24765</wp:posOffset>
            </wp:positionV>
            <wp:extent cx="526605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26"/>
        </w:trPr>
        <w:tc>
          <w:tcPr>
            <w:tcW w:w="2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Fair value at</w:t>
            </w:r>
          </w:p>
        </w:tc>
        <w:tc>
          <w:tcPr>
            <w:tcW w:w="1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00" w:type="dxa"/>
            <w:vAlign w:val="bottom"/>
          </w:tcPr>
          <w:p>
            <w:pPr>
              <w:jc w:val="center"/>
              <w:ind w:left="25"/>
              <w:spacing w:after="0"/>
              <w:rPr>
                <w:sz w:val="20"/>
                <w:szCs w:val="20"/>
                <w:color w:val="auto"/>
              </w:rPr>
            </w:pPr>
            <w:r>
              <w:rPr>
                <w:rFonts w:ascii="Times New Roman" w:cs="Times New Roman" w:eastAsia="Times New Roman" w:hAnsi="Times New Roman"/>
                <w:sz w:val="11"/>
                <w:szCs w:val="11"/>
                <w:b w:val="1"/>
                <w:bCs w:val="1"/>
                <w:color w:val="auto"/>
                <w:w w:val="98"/>
              </w:rPr>
              <w:t>Range of Input</w:t>
            </w:r>
          </w:p>
        </w:tc>
      </w:tr>
      <w:tr>
        <w:trPr>
          <w:trHeight w:val="152"/>
        </w:trPr>
        <w:tc>
          <w:tcPr>
            <w:tcW w:w="2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 Category</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9"/>
              </w:rPr>
              <w:t>September 30, 2025</w:t>
            </w:r>
          </w:p>
        </w:tc>
        <w:tc>
          <w:tcPr>
            <w:tcW w:w="1360" w:type="dxa"/>
            <w:vAlign w:val="bottom"/>
          </w:tcPr>
          <w:p>
            <w:pPr>
              <w:jc w:val="center"/>
              <w:ind w:right="5"/>
              <w:spacing w:after="0"/>
              <w:rPr>
                <w:sz w:val="20"/>
                <w:szCs w:val="20"/>
                <w:color w:val="auto"/>
              </w:rPr>
            </w:pPr>
            <w:r>
              <w:rPr>
                <w:rFonts w:ascii="Times New Roman" w:cs="Times New Roman" w:eastAsia="Times New Roman" w:hAnsi="Times New Roman"/>
                <w:sz w:val="11"/>
                <w:szCs w:val="11"/>
                <w:b w:val="1"/>
                <w:bCs w:val="1"/>
                <w:color w:val="auto"/>
                <w:w w:val="99"/>
              </w:rPr>
              <w:t>Valuation Technique</w:t>
            </w: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300" w:type="dxa"/>
            <w:vAlign w:val="bottom"/>
          </w:tcPr>
          <w:p>
            <w:pPr>
              <w:jc w:val="center"/>
              <w:ind w:left="25"/>
              <w:spacing w:after="0" w:line="152" w:lineRule="exact"/>
              <w:rPr>
                <w:sz w:val="20"/>
                <w:szCs w:val="20"/>
                <w:color w:val="auto"/>
              </w:rPr>
            </w:pPr>
            <w:r>
              <w:rPr>
                <w:rFonts w:ascii="Times New Roman" w:cs="Times New Roman" w:eastAsia="Times New Roman" w:hAnsi="Times New Roman"/>
                <w:sz w:val="11"/>
                <w:szCs w:val="11"/>
                <w:b w:val="1"/>
                <w:bCs w:val="1"/>
                <w:color w:val="auto"/>
                <w:w w:val="98"/>
              </w:rPr>
              <w:t xml:space="preserve">(Weighted Average) </w:t>
            </w:r>
            <w:r>
              <w:rPr>
                <w:rFonts w:ascii="Times New Roman" w:cs="Times New Roman" w:eastAsia="Times New Roman" w:hAnsi="Times New Roman"/>
                <w:sz w:val="14"/>
                <w:szCs w:val="14"/>
                <w:b w:val="1"/>
                <w:bCs w:val="1"/>
                <w:color w:val="auto"/>
                <w:w w:val="98"/>
                <w:vertAlign w:val="superscript"/>
              </w:rPr>
              <w:t>(1)</w:t>
            </w:r>
          </w:p>
        </w:tc>
      </w:tr>
      <w:tr>
        <w:trPr>
          <w:trHeight w:val="121"/>
        </w:trPr>
        <w:tc>
          <w:tcPr>
            <w:tcW w:w="2300" w:type="dxa"/>
            <w:vAlign w:val="bottom"/>
            <w:shd w:val="clear" w:color="auto" w:fill="CCECFF"/>
          </w:tcPr>
          <w:p>
            <w:pPr>
              <w:spacing w:after="0" w:line="121" w:lineRule="exact"/>
              <w:rPr>
                <w:sz w:val="20"/>
                <w:szCs w:val="20"/>
                <w:color w:val="auto"/>
              </w:rPr>
            </w:pPr>
            <w:r>
              <w:rPr>
                <w:rFonts w:ascii="Times New Roman" w:cs="Times New Roman" w:eastAsia="Times New Roman" w:hAnsi="Times New Roman"/>
                <w:sz w:val="11"/>
                <w:szCs w:val="11"/>
                <w:color w:val="auto"/>
              </w:rPr>
              <w:t>First lien</w:t>
            </w:r>
          </w:p>
        </w:tc>
        <w:tc>
          <w:tcPr>
            <w:tcW w:w="8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360" w:type="dxa"/>
            <w:vAlign w:val="bottom"/>
            <w:shd w:val="clear" w:color="auto" w:fill="CCECFF"/>
          </w:tcPr>
          <w:p>
            <w:pPr>
              <w:spacing w:after="0"/>
              <w:rPr>
                <w:sz w:val="10"/>
                <w:szCs w:val="10"/>
                <w:color w:val="auto"/>
              </w:rPr>
            </w:pPr>
          </w:p>
        </w:tc>
        <w:tc>
          <w:tcPr>
            <w:tcW w:w="1260" w:type="dxa"/>
            <w:vAlign w:val="bottom"/>
            <w:shd w:val="clear" w:color="auto" w:fill="CCECFF"/>
          </w:tcPr>
          <w:p>
            <w:pPr>
              <w:ind w:left="180"/>
              <w:spacing w:after="0" w:line="121" w:lineRule="exact"/>
              <w:rPr>
                <w:sz w:val="20"/>
                <w:szCs w:val="20"/>
                <w:color w:val="auto"/>
              </w:rPr>
            </w:pPr>
            <w:r>
              <w:rPr>
                <w:rFonts w:ascii="Times New Roman" w:cs="Times New Roman" w:eastAsia="Times New Roman" w:hAnsi="Times New Roman"/>
                <w:sz w:val="11"/>
                <w:szCs w:val="11"/>
                <w:color w:val="auto"/>
              </w:rPr>
              <w:t>Broker/Dealer bids</w:t>
            </w:r>
          </w:p>
        </w:tc>
        <w:tc>
          <w:tcPr>
            <w:tcW w:w="1300" w:type="dxa"/>
            <w:vAlign w:val="bottom"/>
            <w:shd w:val="clear" w:color="auto" w:fill="CCECFF"/>
          </w:tcPr>
          <w:p>
            <w:pPr>
              <w:spacing w:after="0"/>
              <w:rPr>
                <w:sz w:val="10"/>
                <w:szCs w:val="10"/>
                <w:color w:val="auto"/>
              </w:rPr>
            </w:pPr>
          </w:p>
        </w:tc>
      </w:tr>
      <w:tr>
        <w:trPr>
          <w:trHeight w:val="141"/>
        </w:trPr>
        <w:tc>
          <w:tcPr>
            <w:tcW w:w="2300" w:type="dxa"/>
            <w:vAlign w:val="bottom"/>
            <w:shd w:val="clear" w:color="auto" w:fill="CCECFF"/>
          </w:tcPr>
          <w:p>
            <w:pPr>
              <w:spacing w:after="0"/>
              <w:rPr>
                <w:sz w:val="12"/>
                <w:szCs w:val="12"/>
                <w:color w:val="auto"/>
              </w:rPr>
            </w:pPr>
          </w:p>
        </w:tc>
        <w:tc>
          <w:tcPr>
            <w:tcW w:w="80" w:type="dxa"/>
            <w:vAlign w:val="bottom"/>
            <w:shd w:val="clear" w:color="auto" w:fill="CCEC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114,625</w:t>
            </w:r>
          </w:p>
        </w:tc>
        <w:tc>
          <w:tcPr>
            <w:tcW w:w="120" w:type="dxa"/>
            <w:vAlign w:val="bottom"/>
            <w:shd w:val="clear" w:color="auto" w:fill="CCECFF"/>
          </w:tcPr>
          <w:p>
            <w:pPr>
              <w:spacing w:after="0"/>
              <w:rPr>
                <w:sz w:val="12"/>
                <w:szCs w:val="12"/>
                <w:color w:val="auto"/>
              </w:rPr>
            </w:pPr>
          </w:p>
        </w:tc>
        <w:tc>
          <w:tcPr>
            <w:tcW w:w="1360" w:type="dxa"/>
            <w:vAlign w:val="bottom"/>
            <w:shd w:val="clear" w:color="auto" w:fill="CCECFF"/>
          </w:tcPr>
          <w:p>
            <w:pPr>
              <w:jc w:val="center"/>
              <w:ind w:right="5"/>
              <w:spacing w:after="0"/>
              <w:rPr>
                <w:sz w:val="20"/>
                <w:szCs w:val="20"/>
                <w:color w:val="auto"/>
              </w:rPr>
            </w:pPr>
            <w:r>
              <w:rPr>
                <w:rFonts w:ascii="Times New Roman" w:cs="Times New Roman" w:eastAsia="Times New Roman" w:hAnsi="Times New Roman"/>
                <w:sz w:val="11"/>
                <w:szCs w:val="11"/>
                <w:color w:val="auto"/>
              </w:rPr>
              <w:t>Market Comparable</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or quotes</w:t>
            </w:r>
          </w:p>
        </w:tc>
        <w:tc>
          <w:tcPr>
            <w:tcW w:w="1300" w:type="dxa"/>
            <w:vAlign w:val="bottom"/>
            <w:shd w:val="clear" w:color="auto" w:fill="CCECFF"/>
          </w:tcPr>
          <w:p>
            <w:pPr>
              <w:jc w:val="center"/>
              <w:ind w:left="25"/>
              <w:spacing w:after="0"/>
              <w:rPr>
                <w:sz w:val="20"/>
                <w:szCs w:val="20"/>
                <w:color w:val="auto"/>
              </w:rPr>
            </w:pPr>
            <w:r>
              <w:rPr>
                <w:rFonts w:ascii="Times New Roman" w:cs="Times New Roman" w:eastAsia="Times New Roman" w:hAnsi="Times New Roman"/>
                <w:sz w:val="11"/>
                <w:szCs w:val="11"/>
                <w:color w:val="auto"/>
                <w:w w:val="94"/>
              </w:rPr>
              <w:t>N/A</w:t>
            </w:r>
          </w:p>
        </w:tc>
      </w:tr>
      <w:tr>
        <w:trPr>
          <w:trHeight w:val="131"/>
        </w:trPr>
        <w:tc>
          <w:tcPr>
            <w:tcW w:w="2300" w:type="dxa"/>
            <w:vAlign w:val="bottom"/>
          </w:tcPr>
          <w:p>
            <w:pPr>
              <w:spacing w:after="0"/>
              <w:rPr>
                <w:sz w:val="20"/>
                <w:szCs w:val="20"/>
                <w:color w:val="auto"/>
              </w:rPr>
            </w:pPr>
            <w:r>
              <w:rPr>
                <w:rFonts w:ascii="Times New Roman" w:cs="Times New Roman" w:eastAsia="Times New Roman" w:hAnsi="Times New Roman"/>
                <w:sz w:val="11"/>
                <w:szCs w:val="11"/>
                <w:color w:val="auto"/>
              </w:rPr>
              <w:t>First lien</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2,377,201</w:t>
            </w:r>
          </w:p>
        </w:tc>
        <w:tc>
          <w:tcPr>
            <w:tcW w:w="120" w:type="dxa"/>
            <w:vAlign w:val="bottom"/>
          </w:tcPr>
          <w:p>
            <w:pPr>
              <w:spacing w:after="0"/>
              <w:rPr>
                <w:sz w:val="11"/>
                <w:szCs w:val="11"/>
                <w:color w:val="auto"/>
              </w:rPr>
            </w:pPr>
          </w:p>
        </w:tc>
        <w:tc>
          <w:tcPr>
            <w:tcW w:w="1360" w:type="dxa"/>
            <w:vAlign w:val="bottom"/>
          </w:tcPr>
          <w:p>
            <w:pPr>
              <w:jc w:val="center"/>
              <w:ind w:right="5"/>
              <w:spacing w:after="0"/>
              <w:rPr>
                <w:sz w:val="20"/>
                <w:szCs w:val="20"/>
                <w:color w:val="auto"/>
              </w:rPr>
            </w:pPr>
            <w:r>
              <w:rPr>
                <w:rFonts w:ascii="Times New Roman" w:cs="Times New Roman" w:eastAsia="Times New Roman" w:hAnsi="Times New Roman"/>
                <w:sz w:val="11"/>
                <w:szCs w:val="11"/>
                <w:color w:val="auto"/>
              </w:rPr>
              <w:t>Market Comparable</w:t>
            </w: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Market Yield</w:t>
            </w:r>
          </w:p>
        </w:tc>
        <w:tc>
          <w:tcPr>
            <w:tcW w:w="1300" w:type="dxa"/>
            <w:vAlign w:val="bottom"/>
          </w:tcPr>
          <w:p>
            <w:pPr>
              <w:jc w:val="center"/>
              <w:ind w:left="25"/>
              <w:spacing w:after="0"/>
              <w:rPr>
                <w:sz w:val="20"/>
                <w:szCs w:val="20"/>
                <w:color w:val="auto"/>
              </w:rPr>
            </w:pPr>
            <w:r>
              <w:rPr>
                <w:rFonts w:ascii="Times New Roman" w:cs="Times New Roman" w:eastAsia="Times New Roman" w:hAnsi="Times New Roman"/>
                <w:sz w:val="11"/>
                <w:szCs w:val="11"/>
                <w:color w:val="auto"/>
              </w:rPr>
              <w:t>4.0% - 24.5% (9.9%)</w:t>
            </w:r>
          </w:p>
        </w:tc>
      </w:tr>
      <w:tr>
        <w:trPr>
          <w:trHeight w:val="13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First lien</w:t>
            </w:r>
          </w:p>
        </w:tc>
        <w:tc>
          <w:tcPr>
            <w:tcW w:w="80" w:type="dxa"/>
            <w:vAlign w:val="bottom"/>
            <w:shd w:val="clear" w:color="auto" w:fill="CCECFF"/>
          </w:tcPr>
          <w:p>
            <w:pPr>
              <w:spacing w:after="0"/>
              <w:rPr>
                <w:sz w:val="11"/>
                <w:szCs w:val="11"/>
                <w:color w:val="auto"/>
              </w:rPr>
            </w:pPr>
          </w:p>
        </w:tc>
        <w:tc>
          <w:tcPr>
            <w:tcW w:w="11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17,969</w:t>
            </w:r>
          </w:p>
        </w:tc>
        <w:tc>
          <w:tcPr>
            <w:tcW w:w="1360" w:type="dxa"/>
            <w:vAlign w:val="bottom"/>
            <w:shd w:val="clear" w:color="auto" w:fill="CCECFF"/>
          </w:tcPr>
          <w:p>
            <w:pPr>
              <w:jc w:val="center"/>
              <w:ind w:right="5"/>
              <w:spacing w:after="0"/>
              <w:rPr>
                <w:sz w:val="20"/>
                <w:szCs w:val="20"/>
                <w:color w:val="auto"/>
              </w:rPr>
            </w:pPr>
            <w:r>
              <w:rPr>
                <w:rFonts w:ascii="Times New Roman" w:cs="Times New Roman" w:eastAsia="Times New Roman" w:hAnsi="Times New Roman"/>
                <w:sz w:val="11"/>
                <w:szCs w:val="11"/>
                <w:color w:val="auto"/>
              </w:rPr>
              <w:t>Enterprise Market Value</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EBITDA multiple</w:t>
            </w:r>
          </w:p>
        </w:tc>
        <w:tc>
          <w:tcPr>
            <w:tcW w:w="1300" w:type="dxa"/>
            <w:vAlign w:val="bottom"/>
            <w:shd w:val="clear" w:color="auto" w:fill="CCECFF"/>
          </w:tcPr>
          <w:p>
            <w:pPr>
              <w:jc w:val="center"/>
              <w:ind w:left="5"/>
              <w:spacing w:after="0"/>
              <w:rPr>
                <w:sz w:val="20"/>
                <w:szCs w:val="20"/>
                <w:color w:val="auto"/>
              </w:rPr>
            </w:pPr>
            <w:r>
              <w:rPr>
                <w:rFonts w:ascii="Times New Roman" w:cs="Times New Roman" w:eastAsia="Times New Roman" w:hAnsi="Times New Roman"/>
                <w:sz w:val="11"/>
                <w:szCs w:val="11"/>
                <w:color w:val="auto"/>
              </w:rPr>
              <w:t>8.3x</w:t>
            </w:r>
          </w:p>
        </w:tc>
      </w:tr>
      <w:tr>
        <w:trPr>
          <w:trHeight w:val="131"/>
        </w:trPr>
        <w:tc>
          <w:tcPr>
            <w:tcW w:w="2300" w:type="dxa"/>
            <w:vAlign w:val="bottom"/>
          </w:tcPr>
          <w:p>
            <w:pPr>
              <w:spacing w:after="0"/>
              <w:rPr>
                <w:sz w:val="20"/>
                <w:szCs w:val="20"/>
                <w:color w:val="auto"/>
              </w:rPr>
            </w:pPr>
            <w:r>
              <w:rPr>
                <w:rFonts w:ascii="Times New Roman" w:cs="Times New Roman" w:eastAsia="Times New Roman" w:hAnsi="Times New Roman"/>
                <w:sz w:val="11"/>
                <w:szCs w:val="11"/>
                <w:color w:val="auto"/>
              </w:rPr>
              <w:t>First lien</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3,836</w:t>
            </w:r>
          </w:p>
        </w:tc>
        <w:tc>
          <w:tcPr>
            <w:tcW w:w="120" w:type="dxa"/>
            <w:vAlign w:val="bottom"/>
          </w:tcPr>
          <w:p>
            <w:pPr>
              <w:spacing w:after="0"/>
              <w:rPr>
                <w:sz w:val="11"/>
                <w:szCs w:val="11"/>
                <w:color w:val="auto"/>
              </w:rPr>
            </w:pPr>
          </w:p>
        </w:tc>
        <w:tc>
          <w:tcPr>
            <w:tcW w:w="1360" w:type="dxa"/>
            <w:vAlign w:val="bottom"/>
          </w:tcPr>
          <w:p>
            <w:pPr>
              <w:jc w:val="center"/>
              <w:ind w:right="5"/>
              <w:spacing w:after="0"/>
              <w:rPr>
                <w:sz w:val="20"/>
                <w:szCs w:val="20"/>
                <w:color w:val="auto"/>
              </w:rPr>
            </w:pPr>
            <w:r>
              <w:rPr>
                <w:rFonts w:ascii="Times New Roman" w:cs="Times New Roman" w:eastAsia="Times New Roman" w:hAnsi="Times New Roman"/>
                <w:sz w:val="11"/>
                <w:szCs w:val="11"/>
                <w:color w:val="auto"/>
              </w:rPr>
              <w:t>Market Comparable</w:t>
            </w: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Revenue Multiple</w:t>
            </w:r>
          </w:p>
        </w:tc>
        <w:tc>
          <w:tcPr>
            <w:tcW w:w="1300" w:type="dxa"/>
            <w:vAlign w:val="bottom"/>
          </w:tcPr>
          <w:p>
            <w:pPr>
              <w:jc w:val="center"/>
              <w:ind w:left="5"/>
              <w:spacing w:after="0"/>
              <w:rPr>
                <w:sz w:val="20"/>
                <w:szCs w:val="20"/>
                <w:color w:val="auto"/>
              </w:rPr>
            </w:pPr>
            <w:r>
              <w:rPr>
                <w:rFonts w:ascii="Times New Roman" w:cs="Times New Roman" w:eastAsia="Times New Roman" w:hAnsi="Times New Roman"/>
                <w:sz w:val="11"/>
                <w:szCs w:val="11"/>
                <w:color w:val="auto"/>
              </w:rPr>
              <w:t>0.6x</w:t>
            </w:r>
          </w:p>
        </w:tc>
      </w:tr>
      <w:tr>
        <w:trPr>
          <w:trHeight w:val="121"/>
        </w:trPr>
        <w:tc>
          <w:tcPr>
            <w:tcW w:w="2300" w:type="dxa"/>
            <w:vAlign w:val="bottom"/>
            <w:shd w:val="clear" w:color="auto" w:fill="CCECFF"/>
          </w:tcPr>
          <w:p>
            <w:pPr>
              <w:spacing w:after="0" w:line="121" w:lineRule="exact"/>
              <w:rPr>
                <w:sz w:val="20"/>
                <w:szCs w:val="20"/>
                <w:color w:val="auto"/>
              </w:rPr>
            </w:pPr>
            <w:r>
              <w:rPr>
                <w:rFonts w:ascii="Times New Roman" w:cs="Times New Roman" w:eastAsia="Times New Roman" w:hAnsi="Times New Roman"/>
                <w:sz w:val="11"/>
                <w:szCs w:val="11"/>
                <w:color w:val="auto"/>
              </w:rPr>
              <w:t>Second Lien</w:t>
            </w:r>
          </w:p>
        </w:tc>
        <w:tc>
          <w:tcPr>
            <w:tcW w:w="8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360" w:type="dxa"/>
            <w:vAlign w:val="bottom"/>
            <w:shd w:val="clear" w:color="auto" w:fill="CCECFF"/>
          </w:tcPr>
          <w:p>
            <w:pPr>
              <w:spacing w:after="0"/>
              <w:rPr>
                <w:sz w:val="10"/>
                <w:szCs w:val="10"/>
                <w:color w:val="auto"/>
              </w:rPr>
            </w:pPr>
          </w:p>
        </w:tc>
        <w:tc>
          <w:tcPr>
            <w:tcW w:w="1260" w:type="dxa"/>
            <w:vAlign w:val="bottom"/>
            <w:shd w:val="clear" w:color="auto" w:fill="CCECFF"/>
          </w:tcPr>
          <w:p>
            <w:pPr>
              <w:ind w:left="180"/>
              <w:spacing w:after="0" w:line="121" w:lineRule="exact"/>
              <w:rPr>
                <w:sz w:val="20"/>
                <w:szCs w:val="20"/>
                <w:color w:val="auto"/>
              </w:rPr>
            </w:pPr>
            <w:r>
              <w:rPr>
                <w:rFonts w:ascii="Times New Roman" w:cs="Times New Roman" w:eastAsia="Times New Roman" w:hAnsi="Times New Roman"/>
                <w:sz w:val="11"/>
                <w:szCs w:val="11"/>
                <w:color w:val="auto"/>
              </w:rPr>
              <w:t>Broker/Dealer bids</w:t>
            </w:r>
          </w:p>
        </w:tc>
        <w:tc>
          <w:tcPr>
            <w:tcW w:w="1300" w:type="dxa"/>
            <w:vAlign w:val="bottom"/>
            <w:shd w:val="clear" w:color="auto" w:fill="CCECFF"/>
          </w:tcPr>
          <w:p>
            <w:pPr>
              <w:spacing w:after="0"/>
              <w:rPr>
                <w:sz w:val="10"/>
                <w:szCs w:val="10"/>
                <w:color w:val="auto"/>
              </w:rPr>
            </w:pPr>
          </w:p>
        </w:tc>
      </w:tr>
      <w:tr>
        <w:trPr>
          <w:trHeight w:val="141"/>
        </w:trPr>
        <w:tc>
          <w:tcPr>
            <w:tcW w:w="2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995</w:t>
            </w:r>
          </w:p>
        </w:tc>
        <w:tc>
          <w:tcPr>
            <w:tcW w:w="120" w:type="dxa"/>
            <w:vAlign w:val="bottom"/>
            <w:shd w:val="clear" w:color="auto" w:fill="CCECFF"/>
          </w:tcPr>
          <w:p>
            <w:pPr>
              <w:spacing w:after="0"/>
              <w:rPr>
                <w:sz w:val="12"/>
                <w:szCs w:val="12"/>
                <w:color w:val="auto"/>
              </w:rPr>
            </w:pPr>
          </w:p>
        </w:tc>
        <w:tc>
          <w:tcPr>
            <w:tcW w:w="1360" w:type="dxa"/>
            <w:vAlign w:val="bottom"/>
            <w:shd w:val="clear" w:color="auto" w:fill="CCECFF"/>
          </w:tcPr>
          <w:p>
            <w:pPr>
              <w:jc w:val="center"/>
              <w:ind w:right="5"/>
              <w:spacing w:after="0"/>
              <w:rPr>
                <w:sz w:val="20"/>
                <w:szCs w:val="20"/>
                <w:color w:val="auto"/>
              </w:rPr>
            </w:pPr>
            <w:r>
              <w:rPr>
                <w:rFonts w:ascii="Times New Roman" w:cs="Times New Roman" w:eastAsia="Times New Roman" w:hAnsi="Times New Roman"/>
                <w:sz w:val="11"/>
                <w:szCs w:val="11"/>
                <w:color w:val="auto"/>
              </w:rPr>
              <w:t>Market Comparable</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or quotes</w:t>
            </w:r>
          </w:p>
        </w:tc>
        <w:tc>
          <w:tcPr>
            <w:tcW w:w="1300" w:type="dxa"/>
            <w:vAlign w:val="bottom"/>
            <w:shd w:val="clear" w:color="auto" w:fill="CCECFF"/>
          </w:tcPr>
          <w:p>
            <w:pPr>
              <w:jc w:val="center"/>
              <w:ind w:left="25"/>
              <w:spacing w:after="0"/>
              <w:rPr>
                <w:sz w:val="20"/>
                <w:szCs w:val="20"/>
                <w:color w:val="auto"/>
              </w:rPr>
            </w:pPr>
            <w:r>
              <w:rPr>
                <w:rFonts w:ascii="Times New Roman" w:cs="Times New Roman" w:eastAsia="Times New Roman" w:hAnsi="Times New Roman"/>
                <w:sz w:val="11"/>
                <w:szCs w:val="11"/>
                <w:color w:val="auto"/>
                <w:w w:val="94"/>
              </w:rPr>
              <w:t>N/A</w:t>
            </w:r>
          </w:p>
        </w:tc>
      </w:tr>
      <w:tr>
        <w:trPr>
          <w:trHeight w:val="131"/>
        </w:trPr>
        <w:tc>
          <w:tcPr>
            <w:tcW w:w="2300" w:type="dxa"/>
            <w:vAlign w:val="bottom"/>
          </w:tcPr>
          <w:p>
            <w:pPr>
              <w:spacing w:after="0"/>
              <w:rPr>
                <w:sz w:val="20"/>
                <w:szCs w:val="20"/>
                <w:color w:val="auto"/>
              </w:rPr>
            </w:pPr>
            <w:r>
              <w:rPr>
                <w:rFonts w:ascii="Times New Roman" w:cs="Times New Roman" w:eastAsia="Times New Roman" w:hAnsi="Times New Roman"/>
                <w:sz w:val="11"/>
                <w:szCs w:val="11"/>
                <w:color w:val="auto"/>
              </w:rPr>
              <w:t>Subordinated debt</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17,439</w:t>
            </w:r>
          </w:p>
        </w:tc>
        <w:tc>
          <w:tcPr>
            <w:tcW w:w="1360" w:type="dxa"/>
            <w:vAlign w:val="bottom"/>
          </w:tcPr>
          <w:p>
            <w:pPr>
              <w:jc w:val="center"/>
              <w:ind w:right="5"/>
              <w:spacing w:after="0"/>
              <w:rPr>
                <w:sz w:val="20"/>
                <w:szCs w:val="20"/>
                <w:color w:val="auto"/>
              </w:rPr>
            </w:pPr>
            <w:r>
              <w:rPr>
                <w:rFonts w:ascii="Times New Roman" w:cs="Times New Roman" w:eastAsia="Times New Roman" w:hAnsi="Times New Roman"/>
                <w:sz w:val="11"/>
                <w:szCs w:val="11"/>
                <w:color w:val="auto"/>
              </w:rPr>
              <w:t>Market Comparable</w:t>
            </w: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Market Yield</w:t>
            </w:r>
          </w:p>
        </w:tc>
        <w:tc>
          <w:tcPr>
            <w:tcW w:w="1300" w:type="dxa"/>
            <w:vAlign w:val="bottom"/>
          </w:tcPr>
          <w:p>
            <w:pPr>
              <w:jc w:val="center"/>
              <w:ind w:left="25"/>
              <w:spacing w:after="0"/>
              <w:rPr>
                <w:sz w:val="20"/>
                <w:szCs w:val="20"/>
                <w:color w:val="auto"/>
              </w:rPr>
            </w:pPr>
            <w:r>
              <w:rPr>
                <w:rFonts w:ascii="Times New Roman" w:cs="Times New Roman" w:eastAsia="Times New Roman" w:hAnsi="Times New Roman"/>
                <w:sz w:val="11"/>
                <w:szCs w:val="11"/>
                <w:color w:val="auto"/>
                <w:w w:val="98"/>
              </w:rPr>
              <w:t>7.0% - 25.4% (17.1%)</w:t>
            </w:r>
          </w:p>
        </w:tc>
      </w:tr>
      <w:tr>
        <w:trPr>
          <w:trHeight w:val="131"/>
        </w:trPr>
        <w:tc>
          <w:tcPr>
            <w:tcW w:w="23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Subordinated debt</w:t>
            </w:r>
          </w:p>
        </w:tc>
        <w:tc>
          <w:tcPr>
            <w:tcW w:w="80" w:type="dxa"/>
            <w:vAlign w:val="bottom"/>
            <w:shd w:val="clear" w:color="auto" w:fill="CCECFF"/>
          </w:tcPr>
          <w:p>
            <w:pPr>
              <w:spacing w:after="0"/>
              <w:rPr>
                <w:sz w:val="11"/>
                <w:szCs w:val="1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120" w:type="dxa"/>
            <w:vAlign w:val="bottom"/>
            <w:shd w:val="clear" w:color="auto" w:fill="CCECFF"/>
          </w:tcPr>
          <w:p>
            <w:pPr>
              <w:spacing w:after="0"/>
              <w:rPr>
                <w:sz w:val="11"/>
                <w:szCs w:val="11"/>
                <w:color w:val="auto"/>
              </w:rPr>
            </w:pPr>
          </w:p>
        </w:tc>
        <w:tc>
          <w:tcPr>
            <w:tcW w:w="1360" w:type="dxa"/>
            <w:vAlign w:val="bottom"/>
            <w:shd w:val="clear" w:color="auto" w:fill="CCECFF"/>
          </w:tcPr>
          <w:p>
            <w:pPr>
              <w:jc w:val="center"/>
              <w:ind w:right="5"/>
              <w:spacing w:after="0"/>
              <w:rPr>
                <w:sz w:val="20"/>
                <w:szCs w:val="20"/>
                <w:color w:val="auto"/>
              </w:rPr>
            </w:pPr>
            <w:r>
              <w:rPr>
                <w:rFonts w:ascii="Times New Roman" w:cs="Times New Roman" w:eastAsia="Times New Roman" w:hAnsi="Times New Roman"/>
                <w:sz w:val="11"/>
                <w:szCs w:val="11"/>
                <w:color w:val="auto"/>
              </w:rPr>
              <w:t>Enterprise Market Value</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EBITDA multiple</w:t>
            </w:r>
          </w:p>
        </w:tc>
        <w:tc>
          <w:tcPr>
            <w:tcW w:w="1300" w:type="dxa"/>
            <w:vAlign w:val="bottom"/>
            <w:shd w:val="clear" w:color="auto" w:fill="CCECFF"/>
          </w:tcPr>
          <w:p>
            <w:pPr>
              <w:jc w:val="center"/>
              <w:ind w:left="25"/>
              <w:spacing w:after="0"/>
              <w:rPr>
                <w:sz w:val="20"/>
                <w:szCs w:val="20"/>
                <w:color w:val="auto"/>
              </w:rPr>
            </w:pPr>
            <w:r>
              <w:rPr>
                <w:rFonts w:ascii="Times New Roman" w:cs="Times New Roman" w:eastAsia="Times New Roman" w:hAnsi="Times New Roman"/>
                <w:sz w:val="11"/>
                <w:szCs w:val="11"/>
                <w:color w:val="auto"/>
              </w:rPr>
              <w:t>14.8x</w:t>
            </w:r>
          </w:p>
        </w:tc>
      </w:tr>
      <w:tr>
        <w:trPr>
          <w:trHeight w:val="131"/>
        </w:trPr>
        <w:tc>
          <w:tcPr>
            <w:tcW w:w="2300" w:type="dxa"/>
            <w:vAlign w:val="bottom"/>
          </w:tcPr>
          <w:p>
            <w:pPr>
              <w:spacing w:after="0"/>
              <w:rPr>
                <w:sz w:val="20"/>
                <w:szCs w:val="20"/>
                <w:color w:val="auto"/>
              </w:rPr>
            </w:pPr>
            <w:r>
              <w:rPr>
                <w:rFonts w:ascii="Times New Roman" w:cs="Times New Roman" w:eastAsia="Times New Roman" w:hAnsi="Times New Roman"/>
                <w:sz w:val="11"/>
                <w:szCs w:val="11"/>
                <w:color w:val="auto"/>
              </w:rPr>
              <w:t>Equity</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196,398</w:t>
            </w:r>
          </w:p>
        </w:tc>
        <w:tc>
          <w:tcPr>
            <w:tcW w:w="120" w:type="dxa"/>
            <w:vAlign w:val="bottom"/>
          </w:tcPr>
          <w:p>
            <w:pPr>
              <w:spacing w:after="0"/>
              <w:rPr>
                <w:sz w:val="11"/>
                <w:szCs w:val="11"/>
                <w:color w:val="auto"/>
              </w:rPr>
            </w:pPr>
          </w:p>
        </w:tc>
        <w:tc>
          <w:tcPr>
            <w:tcW w:w="1360" w:type="dxa"/>
            <w:vAlign w:val="bottom"/>
          </w:tcPr>
          <w:p>
            <w:pPr>
              <w:jc w:val="center"/>
              <w:ind w:right="5"/>
              <w:spacing w:after="0"/>
              <w:rPr>
                <w:sz w:val="20"/>
                <w:szCs w:val="20"/>
                <w:color w:val="auto"/>
              </w:rPr>
            </w:pPr>
            <w:r>
              <w:rPr>
                <w:rFonts w:ascii="Times New Roman" w:cs="Times New Roman" w:eastAsia="Times New Roman" w:hAnsi="Times New Roman"/>
                <w:sz w:val="11"/>
                <w:szCs w:val="11"/>
                <w:color w:val="auto"/>
              </w:rPr>
              <w:t>Enterprise Market Value</w:t>
            </w: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EBITDA multiple</w:t>
            </w:r>
          </w:p>
        </w:tc>
        <w:tc>
          <w:tcPr>
            <w:tcW w:w="1300" w:type="dxa"/>
            <w:vAlign w:val="bottom"/>
          </w:tcPr>
          <w:p>
            <w:pPr>
              <w:jc w:val="center"/>
              <w:ind w:left="25"/>
              <w:spacing w:after="0"/>
              <w:rPr>
                <w:sz w:val="20"/>
                <w:szCs w:val="20"/>
                <w:color w:val="auto"/>
              </w:rPr>
            </w:pPr>
            <w:r>
              <w:rPr>
                <w:rFonts w:ascii="Times New Roman" w:cs="Times New Roman" w:eastAsia="Times New Roman" w:hAnsi="Times New Roman"/>
                <w:sz w:val="11"/>
                <w:szCs w:val="11"/>
                <w:color w:val="auto"/>
              </w:rPr>
              <w:t>0.6x - 28.3x (10.8x)</w:t>
            </w:r>
          </w:p>
        </w:tc>
      </w:tr>
      <w:tr>
        <w:trPr>
          <w:trHeight w:val="171"/>
        </w:trPr>
        <w:tc>
          <w:tcPr>
            <w:tcW w:w="230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Total Level 3 investments</w:t>
            </w:r>
          </w:p>
        </w:tc>
        <w:tc>
          <w:tcPr>
            <w:tcW w:w="80" w:type="dxa"/>
            <w:vAlign w:val="bottom"/>
            <w:tcBorders>
              <w:bottom w:val="single" w:sz="8" w:color="auto"/>
            </w:tcBorders>
            <w:shd w:val="clear" w:color="auto" w:fill="CCEC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2,729,010</w:t>
            </w:r>
          </w:p>
        </w:tc>
        <w:tc>
          <w:tcPr>
            <w:tcW w:w="120" w:type="dxa"/>
            <w:vAlign w:val="bottom"/>
            <w:tcBorders>
              <w:bottom w:val="single" w:sz="8" w:color="CCECFF"/>
            </w:tcBorders>
            <w:shd w:val="clear" w:color="auto" w:fill="CCECFF"/>
          </w:tcPr>
          <w:p>
            <w:pPr>
              <w:spacing w:after="0"/>
              <w:rPr>
                <w:sz w:val="14"/>
                <w:szCs w:val="14"/>
                <w:color w:val="auto"/>
              </w:rPr>
            </w:pPr>
          </w:p>
        </w:tc>
        <w:tc>
          <w:tcPr>
            <w:tcW w:w="1360" w:type="dxa"/>
            <w:vAlign w:val="bottom"/>
            <w:tcBorders>
              <w:bottom w:val="single" w:sz="8" w:color="CCECFF"/>
            </w:tcBorders>
            <w:shd w:val="clear" w:color="auto" w:fill="CCECFF"/>
          </w:tcPr>
          <w:p>
            <w:pPr>
              <w:spacing w:after="0"/>
              <w:rPr>
                <w:sz w:val="14"/>
                <w:szCs w:val="14"/>
                <w:color w:val="auto"/>
              </w:rPr>
            </w:pPr>
          </w:p>
        </w:tc>
        <w:tc>
          <w:tcPr>
            <w:tcW w:w="1260" w:type="dxa"/>
            <w:vAlign w:val="bottom"/>
            <w:tcBorders>
              <w:bottom w:val="single" w:sz="8" w:color="CCECFF"/>
            </w:tcBorders>
            <w:shd w:val="clear" w:color="auto" w:fill="CCECFF"/>
          </w:tcPr>
          <w:p>
            <w:pPr>
              <w:spacing w:after="0"/>
              <w:rPr>
                <w:sz w:val="14"/>
                <w:szCs w:val="14"/>
                <w:color w:val="auto"/>
              </w:rPr>
            </w:pPr>
          </w:p>
        </w:tc>
        <w:tc>
          <w:tcPr>
            <w:tcW w:w="1300" w:type="dxa"/>
            <w:vAlign w:val="bottom"/>
            <w:tcBorders>
              <w:bottom w:val="single" w:sz="8" w:color="CCECFF"/>
            </w:tcBorders>
            <w:shd w:val="clear" w:color="auto" w:fill="CCECFF"/>
          </w:tcPr>
          <w:p>
            <w:pPr>
              <w:spacing w:after="0"/>
              <w:rPr>
                <w:sz w:val="14"/>
                <w:szCs w:val="14"/>
                <w:color w:val="auto"/>
              </w:rPr>
            </w:pPr>
          </w:p>
        </w:tc>
      </w:tr>
      <w:tr>
        <w:trPr>
          <w:trHeight w:val="101"/>
        </w:trPr>
        <w:tc>
          <w:tcPr>
            <w:tcW w:w="230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Long-Term Credit Facility</w:t>
            </w:r>
          </w:p>
        </w:tc>
        <w:tc>
          <w:tcPr>
            <w:tcW w:w="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1040" w:type="dxa"/>
            <w:vAlign w:val="bottom"/>
            <w:tcBorders>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683,837</w:t>
            </w:r>
          </w:p>
        </w:tc>
        <w:tc>
          <w:tcPr>
            <w:tcW w:w="120" w:type="dxa"/>
            <w:vAlign w:val="bottom"/>
          </w:tcPr>
          <w:p>
            <w:pPr>
              <w:spacing w:after="0"/>
              <w:rPr>
                <w:sz w:val="8"/>
                <w:szCs w:val="8"/>
                <w:color w:val="auto"/>
              </w:rPr>
            </w:pPr>
          </w:p>
        </w:tc>
        <w:tc>
          <w:tcPr>
            <w:tcW w:w="1360" w:type="dxa"/>
            <w:vAlign w:val="bottom"/>
          </w:tcPr>
          <w:p>
            <w:pPr>
              <w:jc w:val="center"/>
              <w:ind w:right="5"/>
              <w:spacing w:after="0" w:line="102" w:lineRule="exact"/>
              <w:rPr>
                <w:sz w:val="20"/>
                <w:szCs w:val="20"/>
                <w:color w:val="auto"/>
              </w:rPr>
            </w:pPr>
            <w:r>
              <w:rPr>
                <w:rFonts w:ascii="Times New Roman" w:cs="Times New Roman" w:eastAsia="Times New Roman" w:hAnsi="Times New Roman"/>
                <w:sz w:val="11"/>
                <w:szCs w:val="11"/>
                <w:color w:val="auto"/>
              </w:rPr>
              <w:t>Market Comparable</w:t>
            </w:r>
          </w:p>
        </w:tc>
        <w:tc>
          <w:tcPr>
            <w:tcW w:w="126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color w:val="auto"/>
              </w:rPr>
              <w:t>Market Yield</w:t>
            </w:r>
          </w:p>
        </w:tc>
        <w:tc>
          <w:tcPr>
            <w:tcW w:w="1300" w:type="dxa"/>
            <w:vAlign w:val="bottom"/>
          </w:tcPr>
          <w:p>
            <w:pPr>
              <w:jc w:val="center"/>
              <w:ind w:left="25"/>
              <w:spacing w:after="0" w:line="102" w:lineRule="exact"/>
              <w:rPr>
                <w:sz w:val="20"/>
                <w:szCs w:val="20"/>
                <w:color w:val="auto"/>
              </w:rPr>
            </w:pPr>
            <w:r>
              <w:rPr>
                <w:rFonts w:ascii="Times New Roman" w:cs="Times New Roman" w:eastAsia="Times New Roman" w:hAnsi="Times New Roman"/>
                <w:sz w:val="11"/>
                <w:szCs w:val="11"/>
                <w:color w:val="auto"/>
                <w:w w:val="95"/>
              </w:rPr>
              <w:t>4.8%</w:t>
            </w:r>
          </w:p>
        </w:tc>
      </w:tr>
      <w:tr>
        <w:trPr>
          <w:trHeight w:val="20"/>
        </w:trPr>
        <w:tc>
          <w:tcPr>
            <w:tcW w:w="2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7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8"/>
          <w:szCs w:val="8"/>
          <w:color w:val="auto"/>
        </w:rPr>
        <w:t>The weighted averages disclosed in the table above were weighted by their relative fair value.</w:t>
      </w:r>
    </w:p>
    <w:p>
      <w:pPr>
        <w:spacing w:after="0" w:line="57" w:lineRule="exact"/>
        <w:rPr>
          <w:sz w:val="20"/>
          <w:szCs w:val="20"/>
          <w:color w:val="auto"/>
        </w:rPr>
      </w:pPr>
    </w:p>
    <w:p>
      <w:pPr>
        <w:ind w:left="780" w:right="960" w:firstLine="282"/>
        <w:spacing w:after="0" w:line="279" w:lineRule="auto"/>
        <w:rPr>
          <w:sz w:val="20"/>
          <w:szCs w:val="20"/>
          <w:color w:val="auto"/>
        </w:rPr>
      </w:pPr>
      <w:r>
        <w:rPr>
          <w:rFonts w:ascii="Times New Roman" w:cs="Times New Roman" w:eastAsia="Times New Roman" w:hAnsi="Times New Roman"/>
          <w:sz w:val="11"/>
          <w:szCs w:val="11"/>
          <w:color w:val="auto"/>
        </w:rPr>
        <w:t>Our investments, cash and cash equivalents, Credit Facility, 2026 Notes, 2031 Asset-Backed Debt, 2036-R Asset-Backed Debt, 2036 Asset-Backed Debt, and 2037 Asset-Backed Debt were categorized as follows in the fair value hierarchy for ASC 820 purposes ($ in thousands):</w:t>
      </w:r>
    </w:p>
    <w:p>
      <w:pPr>
        <w:spacing w:after="0" w:line="118" w:lineRule="exact"/>
        <w:rPr>
          <w:sz w:val="20"/>
          <w:szCs w:val="20"/>
          <w:color w:val="auto"/>
        </w:rPr>
      </w:pPr>
    </w:p>
    <w:tbl>
      <w:tblPr>
        <w:tblLayout w:type="fixed"/>
        <w:tblInd w:w="780" w:type="dxa"/>
        <w:tblCellMar>
          <w:top w:w="0" w:type="dxa"/>
          <w:left w:w="0" w:type="dxa"/>
          <w:bottom w:w="0" w:type="dxa"/>
          <w:right w:w="0" w:type="dxa"/>
        </w:tblCellMar>
      </w:tblPr>
      <w:tr>
        <w:trPr>
          <w:trHeight w:val="145"/>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7"/>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Fair Value at December 31, 2025</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9"/>
              </w:rPr>
              <w:t>Measured at Net</w:t>
            </w:r>
          </w:p>
        </w:tc>
        <w:tc>
          <w:tcPr>
            <w:tcW w:w="0" w:type="dxa"/>
            <w:vAlign w:val="bottom"/>
          </w:tcPr>
          <w:p>
            <w:pPr>
              <w:spacing w:after="0"/>
              <w:rPr>
                <w:sz w:val="1"/>
                <w:szCs w:val="1"/>
                <w:color w:val="auto"/>
              </w:rPr>
            </w:pPr>
          </w:p>
        </w:tc>
      </w:tr>
      <w:tr>
        <w:trPr>
          <w:trHeight w:val="109"/>
        </w:trPr>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85"/>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60"/>
              <w:spacing w:after="0" w:line="152" w:lineRule="exact"/>
              <w:rPr>
                <w:sz w:val="20"/>
                <w:szCs w:val="20"/>
                <w:color w:val="auto"/>
              </w:rPr>
            </w:pPr>
            <w:r>
              <w:rPr>
                <w:rFonts w:ascii="Times New Roman" w:cs="Times New Roman" w:eastAsia="Times New Roman" w:hAnsi="Times New Roman"/>
                <w:sz w:val="11"/>
                <w:szCs w:val="11"/>
                <w:b w:val="1"/>
                <w:bCs w:val="1"/>
                <w:color w:val="auto"/>
                <w:w w:val="95"/>
              </w:rPr>
              <w:t xml:space="preserve">Asset Value </w:t>
            </w:r>
            <w:r>
              <w:rPr>
                <w:rFonts w:ascii="Times New Roman" w:cs="Times New Roman" w:eastAsia="Times New Roman" w:hAnsi="Times New Roman"/>
                <w:sz w:val="14"/>
                <w:szCs w:val="14"/>
                <w:b w:val="1"/>
                <w:bCs w:val="1"/>
                <w:color w:val="auto"/>
                <w:w w:val="95"/>
                <w:vertAlign w:val="superscript"/>
              </w:rPr>
              <w:t>(1)</w:t>
            </w:r>
          </w:p>
        </w:tc>
        <w:tc>
          <w:tcPr>
            <w:tcW w:w="0" w:type="dxa"/>
            <w:vAlign w:val="bottom"/>
          </w:tcPr>
          <w:p>
            <w:pPr>
              <w:spacing w:after="0"/>
              <w:rPr>
                <w:sz w:val="1"/>
                <w:szCs w:val="1"/>
                <w:color w:val="auto"/>
              </w:rPr>
            </w:pPr>
          </w:p>
        </w:tc>
      </w:tr>
      <w:tr>
        <w:trPr>
          <w:trHeight w:val="131"/>
        </w:trPr>
        <w:tc>
          <w:tcPr>
            <w:tcW w:w="25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First lien</w:t>
            </w:r>
          </w:p>
        </w:tc>
        <w:tc>
          <w:tcPr>
            <w:tcW w:w="120" w:type="dxa"/>
            <w:vAlign w:val="bottom"/>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2,310,242</w:t>
            </w:r>
          </w:p>
        </w:tc>
        <w:tc>
          <w:tcPr>
            <w:tcW w:w="80" w:type="dxa"/>
            <w:vAlign w:val="bottom"/>
            <w:shd w:val="clear" w:color="auto" w:fill="CCECFF"/>
          </w:tcPr>
          <w:p>
            <w:pPr>
              <w:spacing w:after="0"/>
              <w:rPr>
                <w:sz w:val="11"/>
                <w:szCs w:val="11"/>
                <w:color w:val="auto"/>
              </w:rPr>
            </w:pPr>
          </w:p>
        </w:tc>
        <w:tc>
          <w:tcPr>
            <w:tcW w:w="240" w:type="dxa"/>
            <w:vAlign w:val="bottom"/>
            <w:gridSpan w:val="2"/>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CECFF"/>
          </w:tcPr>
          <w:p>
            <w:pPr>
              <w:jc w:val="right"/>
              <w:ind w:right="138"/>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2,310,242</w:t>
            </w:r>
          </w:p>
        </w:tc>
        <w:tc>
          <w:tcPr>
            <w:tcW w:w="80" w:type="dxa"/>
            <w:vAlign w:val="bottom"/>
            <w:shd w:val="clear" w:color="auto" w:fill="CCECFF"/>
          </w:tcPr>
          <w:p>
            <w:pPr>
              <w:spacing w:after="0"/>
              <w:rPr>
                <w:sz w:val="11"/>
                <w:szCs w:val="11"/>
                <w:color w:val="auto"/>
              </w:rPr>
            </w:pPr>
          </w:p>
        </w:tc>
        <w:tc>
          <w:tcPr>
            <w:tcW w:w="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2540" w:type="dxa"/>
            <w:vAlign w:val="bottom"/>
          </w:tcPr>
          <w:p>
            <w:pPr>
              <w:spacing w:after="0"/>
              <w:rPr>
                <w:sz w:val="20"/>
                <w:szCs w:val="20"/>
                <w:color w:val="auto"/>
              </w:rPr>
            </w:pPr>
            <w:r>
              <w:rPr>
                <w:rFonts w:ascii="Times New Roman" w:cs="Times New Roman" w:eastAsia="Times New Roman" w:hAnsi="Times New Roman"/>
                <w:sz w:val="11"/>
                <w:szCs w:val="11"/>
                <w:color w:val="auto"/>
              </w:rPr>
              <w:t>Second Lien and Subordinate debt</w:t>
            </w:r>
          </w:p>
        </w:tc>
        <w:tc>
          <w:tcPr>
            <w:tcW w:w="12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20,144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20,144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25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Equity</w:t>
            </w:r>
          </w:p>
        </w:tc>
        <w:tc>
          <w:tcPr>
            <w:tcW w:w="12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274,961</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185,414</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89,547</w:t>
            </w:r>
          </w:p>
        </w:tc>
        <w:tc>
          <w:tcPr>
            <w:tcW w:w="0" w:type="dxa"/>
            <w:vAlign w:val="bottom"/>
          </w:tcPr>
          <w:p>
            <w:pPr>
              <w:spacing w:after="0"/>
              <w:rPr>
                <w:sz w:val="1"/>
                <w:szCs w:val="1"/>
                <w:color w:val="auto"/>
              </w:rPr>
            </w:pPr>
          </w:p>
        </w:tc>
      </w:tr>
      <w:tr>
        <w:trPr>
          <w:trHeight w:val="131"/>
        </w:trPr>
        <w:tc>
          <w:tcPr>
            <w:tcW w:w="25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investments</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2,605,347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2,515,800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89,547</w:t>
            </w:r>
          </w:p>
        </w:tc>
        <w:tc>
          <w:tcPr>
            <w:tcW w:w="0" w:type="dxa"/>
            <w:vAlign w:val="bottom"/>
          </w:tcPr>
          <w:p>
            <w:pPr>
              <w:spacing w:after="0"/>
              <w:rPr>
                <w:sz w:val="1"/>
                <w:szCs w:val="1"/>
                <w:color w:val="auto"/>
              </w:rPr>
            </w:pPr>
          </w:p>
        </w:tc>
      </w:tr>
      <w:tr>
        <w:trPr>
          <w:trHeight w:val="131"/>
        </w:trPr>
        <w:tc>
          <w:tcPr>
            <w:tcW w:w="25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Cash equivalents</w:t>
            </w:r>
          </w:p>
        </w:tc>
        <w:tc>
          <w:tcPr>
            <w:tcW w:w="12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40,143</w:t>
            </w:r>
          </w:p>
        </w:tc>
        <w:tc>
          <w:tcPr>
            <w:tcW w:w="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40,143</w:t>
            </w:r>
          </w:p>
        </w:tc>
        <w:tc>
          <w:tcPr>
            <w:tcW w:w="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25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investments and cash equivalents</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2,645,490</w:t>
            </w:r>
          </w:p>
        </w:tc>
        <w:tc>
          <w:tcPr>
            <w:tcW w:w="80" w:type="dxa"/>
            <w:vAlign w:val="bottom"/>
          </w:tcPr>
          <w:p>
            <w:pPr>
              <w:spacing w:after="0"/>
              <w:rPr>
                <w:sz w:val="11"/>
                <w:szCs w:val="11"/>
                <w:color w:val="auto"/>
              </w:rPr>
            </w:pPr>
          </w:p>
        </w:tc>
        <w:tc>
          <w:tcPr>
            <w:tcW w:w="240" w:type="dxa"/>
            <w:vAlign w:val="bottom"/>
            <w:gridSpan w:val="2"/>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40,143</w:t>
            </w:r>
          </w:p>
        </w:tc>
        <w:tc>
          <w:tcPr>
            <w:tcW w:w="240" w:type="dxa"/>
            <w:vAlign w:val="bottom"/>
            <w:gridSpan w:val="2"/>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38"/>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2,515,800</w:t>
            </w:r>
          </w:p>
        </w:tc>
        <w:tc>
          <w:tcPr>
            <w:tcW w:w="80" w:type="dxa"/>
            <w:vAlign w:val="bottom"/>
          </w:tcPr>
          <w:p>
            <w:pPr>
              <w:spacing w:after="0"/>
              <w:rPr>
                <w:sz w:val="11"/>
                <w:szCs w:val="1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89,547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540" w:type="dxa"/>
            <w:vAlign w:val="bottom"/>
            <w:shd w:val="clear" w:color="auto" w:fill="CCECFF"/>
          </w:tcPr>
          <w:p>
            <w:pPr>
              <w:spacing w:after="0" w:line="102" w:lineRule="exact"/>
              <w:rPr>
                <w:sz w:val="20"/>
                <w:szCs w:val="20"/>
                <w:color w:val="auto"/>
              </w:rPr>
            </w:pPr>
            <w:r>
              <w:rPr>
                <w:rFonts w:ascii="Times New Roman" w:cs="Times New Roman" w:eastAsia="Times New Roman" w:hAnsi="Times New Roman"/>
                <w:sz w:val="11"/>
                <w:szCs w:val="11"/>
                <w:color w:val="auto"/>
              </w:rPr>
              <w:t>Long Term Credit Facility payable</w:t>
            </w:r>
          </w:p>
        </w:tc>
        <w:tc>
          <w:tcPr>
            <w:tcW w:w="120" w:type="dxa"/>
            <w:vAlign w:val="bottom"/>
            <w:shd w:val="clear" w:color="auto" w:fill="CCECFF"/>
          </w:tcPr>
          <w:p>
            <w:pPr>
              <w:jc w:val="right"/>
              <w:ind w:right="5"/>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CFF"/>
          </w:tcPr>
          <w:p>
            <w:pPr>
              <w:jc w:val="right"/>
              <w:spacing w:after="0" w:line="102" w:lineRule="exact"/>
              <w:rPr>
                <w:sz w:val="20"/>
                <w:szCs w:val="20"/>
                <w:color w:val="auto"/>
              </w:rPr>
            </w:pPr>
            <w:r>
              <w:rPr>
                <w:rFonts w:ascii="Times New Roman" w:cs="Times New Roman" w:eastAsia="Times New Roman" w:hAnsi="Times New Roman"/>
                <w:sz w:val="11"/>
                <w:szCs w:val="11"/>
                <w:color w:val="auto"/>
              </w:rPr>
              <w:t>488,859</w:t>
            </w:r>
          </w:p>
        </w:tc>
        <w:tc>
          <w:tcPr>
            <w:tcW w:w="8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160" w:type="dxa"/>
            <w:vAlign w:val="bottom"/>
            <w:shd w:val="clear" w:color="auto" w:fill="CCECFF"/>
          </w:tcPr>
          <w:p>
            <w:pPr>
              <w:jc w:val="right"/>
              <w:ind w:right="45"/>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C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160" w:type="dxa"/>
            <w:vAlign w:val="bottom"/>
            <w:shd w:val="clear" w:color="auto" w:fill="CCECFF"/>
          </w:tcPr>
          <w:p>
            <w:pPr>
              <w:jc w:val="right"/>
              <w:ind w:right="45"/>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C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8"/>
                <w:szCs w:val="8"/>
                <w:color w:val="auto"/>
              </w:rPr>
            </w:pPr>
          </w:p>
        </w:tc>
        <w:tc>
          <w:tcPr>
            <w:tcW w:w="200" w:type="dxa"/>
            <w:vAlign w:val="bottom"/>
            <w:shd w:val="clear" w:color="auto" w:fill="CCECFF"/>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20" w:type="dxa"/>
            <w:vAlign w:val="bottom"/>
            <w:shd w:val="clear" w:color="auto" w:fill="CCECFF"/>
          </w:tcPr>
          <w:p>
            <w:pPr>
              <w:jc w:val="right"/>
              <w:spacing w:after="0" w:line="102" w:lineRule="exact"/>
              <w:rPr>
                <w:sz w:val="20"/>
                <w:szCs w:val="20"/>
                <w:color w:val="auto"/>
              </w:rPr>
            </w:pPr>
            <w:r>
              <w:rPr>
                <w:rFonts w:ascii="Times New Roman" w:cs="Times New Roman" w:eastAsia="Times New Roman" w:hAnsi="Times New Roman"/>
                <w:sz w:val="11"/>
                <w:szCs w:val="11"/>
                <w:color w:val="auto"/>
              </w:rPr>
              <w:t>488,859</w:t>
            </w:r>
          </w:p>
        </w:tc>
        <w:tc>
          <w:tcPr>
            <w:tcW w:w="8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760" w:type="dxa"/>
            <w:vAlign w:val="bottom"/>
            <w:shd w:val="clear" w:color="auto" w:fill="CCEC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540" w:type="dxa"/>
            <w:vAlign w:val="bottom"/>
          </w:tcPr>
          <w:p>
            <w:pPr>
              <w:spacing w:after="0" w:line="131" w:lineRule="exact"/>
              <w:rPr>
                <w:sz w:val="20"/>
                <w:szCs w:val="20"/>
                <w:color w:val="auto"/>
              </w:rPr>
            </w:pPr>
            <w:r>
              <w:rPr>
                <w:rFonts w:ascii="Times New Roman" w:cs="Times New Roman" w:eastAsia="Times New Roman" w:hAnsi="Times New Roman"/>
                <w:sz w:val="11"/>
                <w:szCs w:val="11"/>
                <w:color w:val="auto"/>
              </w:rPr>
              <w:t>2026 Notes payable</w:t>
            </w:r>
            <w:r>
              <w:rPr>
                <w:rFonts w:ascii="Times New Roman" w:cs="Times New Roman" w:eastAsia="Times New Roman" w:hAnsi="Times New Roman"/>
                <w:sz w:val="14"/>
                <w:szCs w:val="14"/>
                <w:color w:val="auto"/>
                <w:vertAlign w:val="superscript"/>
              </w:rPr>
              <w:t>(2)</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184,803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184,803</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2540" w:type="dxa"/>
            <w:vAlign w:val="bottom"/>
            <w:shd w:val="clear" w:color="auto" w:fill="CCECFF"/>
          </w:tcPr>
          <w:p>
            <w:pPr>
              <w:spacing w:after="0" w:line="131" w:lineRule="exact"/>
              <w:rPr>
                <w:sz w:val="20"/>
                <w:szCs w:val="20"/>
                <w:color w:val="auto"/>
              </w:rPr>
            </w:pPr>
            <w:r>
              <w:rPr>
                <w:rFonts w:ascii="Times New Roman" w:cs="Times New Roman" w:eastAsia="Times New Roman" w:hAnsi="Times New Roman"/>
                <w:sz w:val="11"/>
                <w:szCs w:val="11"/>
                <w:color w:val="auto"/>
              </w:rPr>
              <w:t>2036 Asset-Backed Debt</w:t>
            </w:r>
            <w:r>
              <w:rPr>
                <w:rFonts w:ascii="Times New Roman" w:cs="Times New Roman" w:eastAsia="Times New Roman" w:hAnsi="Times New Roman"/>
                <w:sz w:val="14"/>
                <w:szCs w:val="14"/>
                <w:color w:val="auto"/>
                <w:vertAlign w:val="superscript"/>
              </w:rPr>
              <w:t>(2)</w:t>
            </w:r>
          </w:p>
        </w:tc>
        <w:tc>
          <w:tcPr>
            <w:tcW w:w="12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284,762</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284,762</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2540" w:type="dxa"/>
            <w:vAlign w:val="bottom"/>
          </w:tcPr>
          <w:p>
            <w:pPr>
              <w:spacing w:after="0" w:line="131" w:lineRule="exact"/>
              <w:rPr>
                <w:sz w:val="20"/>
                <w:szCs w:val="20"/>
                <w:color w:val="auto"/>
              </w:rPr>
            </w:pPr>
            <w:r>
              <w:rPr>
                <w:rFonts w:ascii="Times New Roman" w:cs="Times New Roman" w:eastAsia="Times New Roman" w:hAnsi="Times New Roman"/>
                <w:sz w:val="11"/>
                <w:szCs w:val="11"/>
                <w:color w:val="auto"/>
              </w:rPr>
              <w:t>2036-R Asset-Backed Debt</w:t>
            </w:r>
            <w:r>
              <w:rPr>
                <w:rFonts w:ascii="Times New Roman" w:cs="Times New Roman" w:eastAsia="Times New Roman" w:hAnsi="Times New Roman"/>
                <w:sz w:val="14"/>
                <w:szCs w:val="14"/>
                <w:color w:val="auto"/>
                <w:vertAlign w:val="superscript"/>
              </w:rPr>
              <w:t>(2)</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286,561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286,561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2540" w:type="dxa"/>
            <w:vAlign w:val="bottom"/>
            <w:shd w:val="clear" w:color="auto" w:fill="CCECFF"/>
          </w:tcPr>
          <w:p>
            <w:pPr>
              <w:spacing w:after="0" w:line="131" w:lineRule="exact"/>
              <w:rPr>
                <w:sz w:val="20"/>
                <w:szCs w:val="20"/>
                <w:color w:val="auto"/>
              </w:rPr>
            </w:pPr>
            <w:r>
              <w:rPr>
                <w:rFonts w:ascii="Times New Roman" w:cs="Times New Roman" w:eastAsia="Times New Roman" w:hAnsi="Times New Roman"/>
                <w:sz w:val="11"/>
                <w:szCs w:val="11"/>
                <w:color w:val="auto"/>
              </w:rPr>
              <w:t xml:space="preserve">2037 Asset-Backed Debt </w:t>
            </w:r>
            <w:r>
              <w:rPr>
                <w:rFonts w:ascii="Times New Roman" w:cs="Times New Roman" w:eastAsia="Times New Roman" w:hAnsi="Times New Roman"/>
                <w:sz w:val="14"/>
                <w:szCs w:val="14"/>
                <w:color w:val="auto"/>
                <w:vertAlign w:val="superscript"/>
              </w:rPr>
              <w:t>(2)</w:t>
            </w:r>
          </w:p>
        </w:tc>
        <w:tc>
          <w:tcPr>
            <w:tcW w:w="12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387,025</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387,025</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25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debt</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1,632,010</w:t>
            </w:r>
          </w:p>
        </w:tc>
        <w:tc>
          <w:tcPr>
            <w:tcW w:w="80" w:type="dxa"/>
            <w:vAlign w:val="bottom"/>
          </w:tcPr>
          <w:p>
            <w:pPr>
              <w:spacing w:after="0"/>
              <w:rPr>
                <w:sz w:val="11"/>
                <w:szCs w:val="11"/>
                <w:color w:val="auto"/>
              </w:rPr>
            </w:pPr>
          </w:p>
        </w:tc>
        <w:tc>
          <w:tcPr>
            <w:tcW w:w="240" w:type="dxa"/>
            <w:vAlign w:val="bottom"/>
            <w:gridSpan w:val="2"/>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184,803</w:t>
            </w:r>
          </w:p>
        </w:tc>
        <w:tc>
          <w:tcPr>
            <w:tcW w:w="360" w:type="dxa"/>
            <w:vAlign w:val="bottom"/>
            <w:gridSpan w:val="2"/>
          </w:tcPr>
          <w:p>
            <w:pPr>
              <w:jc w:val="right"/>
              <w:ind w:right="138"/>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1,447,207</w:t>
            </w:r>
          </w:p>
        </w:tc>
        <w:tc>
          <w:tcPr>
            <w:tcW w:w="80" w:type="dxa"/>
            <w:vAlign w:val="bottom"/>
          </w:tcPr>
          <w:p>
            <w:pPr>
              <w:spacing w:after="0"/>
              <w:rPr>
                <w:sz w:val="11"/>
                <w:szCs w:val="1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80"/>
        <w:spacing w:after="0"/>
        <w:rPr>
          <w:sz w:val="20"/>
          <w:szCs w:val="20"/>
          <w:color w:val="auto"/>
        </w:rPr>
      </w:pPr>
      <w:r>
        <w:rPr>
          <w:rFonts w:ascii="Times New Roman" w:cs="Times New Roman" w:eastAsia="Times New Roman" w:hAnsi="Times New Roman"/>
          <w:sz w:val="13"/>
          <w:szCs w:val="13"/>
          <w:color w:val="auto"/>
        </w:rPr>
        <w:t>———————————————</w:t>
      </w:r>
    </w:p>
    <w:p>
      <w:pPr>
        <w:spacing w:after="0" w:line="22" w:lineRule="exact"/>
        <w:rPr>
          <w:sz w:val="20"/>
          <w:szCs w:val="20"/>
          <w:color w:val="auto"/>
        </w:rPr>
      </w:pPr>
    </w:p>
    <w:p>
      <w:pPr>
        <w:ind w:left="780" w:right="920"/>
        <w:spacing w:after="0" w:line="222"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9"/>
          <w:szCs w:val="9"/>
          <w:color w:val="auto"/>
        </w:rPr>
        <w:t>In accordance with ASC Subtopic 820-10, Fair Value Measurements and Disclosures, or ASC 820-10, our equity investments in PSSL and PSSL II are measured using net asset value per share (or its equivalent) as a practical expedient for fair value, and thus have not been classified in the fair value hierarchy.</w:t>
      </w:r>
    </w:p>
    <w:p>
      <w:pPr>
        <w:spacing w:after="0" w:line="15" w:lineRule="exact"/>
        <w:rPr>
          <w:sz w:val="20"/>
          <w:szCs w:val="20"/>
          <w:color w:val="auto"/>
        </w:rPr>
      </w:pPr>
    </w:p>
    <w:p>
      <w:pPr>
        <w:ind w:left="780" w:right="780"/>
        <w:spacing w:after="0" w:line="222" w:lineRule="auto"/>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9"/>
          <w:szCs w:val="9"/>
          <w:color w:val="auto"/>
        </w:rPr>
        <w:t>We elected not to apply the fair value option allowed by ASC 825-10 to the 2026 Notes, 2036 Asset-Backed Debt, 2036-R Asset-Backed Debt, and 2037 Asset-Backed Debt and thus the balance reported in the Consolidated Statement of Assets and Liabilities represents the carrying value, which approximates the fair value.</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46" w:name="page47"/>
    <w:bookmarkEnd w:id="46"/>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42" w:lineRule="exact"/>
        <w:rPr>
          <w:sz w:val="20"/>
          <w:szCs w:val="20"/>
          <w:color w:val="auto"/>
        </w:rPr>
      </w:pPr>
    </w:p>
    <w:tbl>
      <w:tblPr>
        <w:tblLayout w:type="fixed"/>
        <w:tblInd w:w="780" w:type="dxa"/>
        <w:tblCellMar>
          <w:top w:w="0" w:type="dxa"/>
          <w:left w:w="0" w:type="dxa"/>
          <w:bottom w:w="0" w:type="dxa"/>
          <w:right w:w="0" w:type="dxa"/>
        </w:tblCellMar>
      </w:tblPr>
      <w:tr>
        <w:trPr>
          <w:trHeight w:val="145"/>
        </w:trPr>
        <w:tc>
          <w:tcPr>
            <w:tcW w:w="2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7"/>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Fair Value at September 30, 2025</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2"/>
              </w:rPr>
              <w:t>Measured at Net</w:t>
            </w:r>
          </w:p>
        </w:tc>
        <w:tc>
          <w:tcPr>
            <w:tcW w:w="0" w:type="dxa"/>
            <w:vAlign w:val="bottom"/>
          </w:tcPr>
          <w:p>
            <w:pPr>
              <w:spacing w:after="0"/>
              <w:rPr>
                <w:sz w:val="1"/>
                <w:szCs w:val="1"/>
                <w:color w:val="auto"/>
              </w:rPr>
            </w:pPr>
          </w:p>
        </w:tc>
      </w:tr>
      <w:tr>
        <w:trPr>
          <w:trHeight w:val="109"/>
        </w:trPr>
        <w:tc>
          <w:tcPr>
            <w:tcW w:w="2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85"/>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1"/>
                <w:szCs w:val="11"/>
                <w:b w:val="1"/>
                <w:bCs w:val="1"/>
                <w:color w:val="auto"/>
                <w:w w:val="95"/>
              </w:rPr>
              <w:t xml:space="preserve">Asset Value </w:t>
            </w:r>
            <w:r>
              <w:rPr>
                <w:rFonts w:ascii="Times New Roman" w:cs="Times New Roman" w:eastAsia="Times New Roman" w:hAnsi="Times New Roman"/>
                <w:sz w:val="14"/>
                <w:szCs w:val="14"/>
                <w:b w:val="1"/>
                <w:bCs w:val="1"/>
                <w:color w:val="auto"/>
                <w:w w:val="95"/>
                <w:vertAlign w:val="superscript"/>
              </w:rPr>
              <w:t>(1)</w:t>
            </w:r>
          </w:p>
        </w:tc>
        <w:tc>
          <w:tcPr>
            <w:tcW w:w="0" w:type="dxa"/>
            <w:vAlign w:val="bottom"/>
          </w:tcPr>
          <w:p>
            <w:pPr>
              <w:spacing w:after="0"/>
              <w:rPr>
                <w:sz w:val="1"/>
                <w:szCs w:val="1"/>
                <w:color w:val="auto"/>
              </w:rPr>
            </w:pPr>
          </w:p>
        </w:tc>
      </w:tr>
      <w:tr>
        <w:trPr>
          <w:trHeight w:val="141"/>
        </w:trPr>
        <w:tc>
          <w:tcPr>
            <w:tcW w:w="2260" w:type="dxa"/>
            <w:vAlign w:val="bottom"/>
          </w:tcPr>
          <w:p>
            <w:pPr>
              <w:spacing w:after="0"/>
              <w:rPr>
                <w:sz w:val="20"/>
                <w:szCs w:val="20"/>
                <w:color w:val="auto"/>
              </w:rPr>
            </w:pPr>
            <w:r>
              <w:rPr>
                <w:rFonts w:ascii="Times New Roman" w:cs="Times New Roman" w:eastAsia="Times New Roman" w:hAnsi="Times New Roman"/>
                <w:sz w:val="11"/>
                <w:szCs w:val="11"/>
                <w:color w:val="auto"/>
              </w:rPr>
              <w:t>First lien</w:t>
            </w:r>
          </w:p>
        </w:tc>
        <w:tc>
          <w:tcPr>
            <w:tcW w:w="40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2,513,631</w:t>
            </w:r>
          </w:p>
        </w:tc>
        <w:tc>
          <w:tcPr>
            <w:tcW w:w="80" w:type="dxa"/>
            <w:vAlign w:val="bottom"/>
          </w:tcPr>
          <w:p>
            <w:pPr>
              <w:spacing w:after="0"/>
              <w:rPr>
                <w:sz w:val="12"/>
                <w:szCs w:val="12"/>
                <w:color w:val="auto"/>
              </w:rPr>
            </w:pPr>
          </w:p>
        </w:tc>
        <w:tc>
          <w:tcPr>
            <w:tcW w:w="240" w:type="dxa"/>
            <w:vAlign w:val="bottom"/>
            <w:gridSpan w:val="2"/>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2,513,631</w:t>
            </w:r>
          </w:p>
        </w:tc>
        <w:tc>
          <w:tcPr>
            <w:tcW w:w="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22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Second lien and Subordinate debt</w:t>
            </w:r>
          </w:p>
        </w:tc>
        <w:tc>
          <w:tcPr>
            <w:tcW w:w="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18,981</w:t>
            </w:r>
          </w:p>
        </w:tc>
        <w:tc>
          <w:tcPr>
            <w:tcW w:w="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18,981</w:t>
            </w:r>
          </w:p>
        </w:tc>
        <w:tc>
          <w:tcPr>
            <w:tcW w:w="140" w:type="dxa"/>
            <w:vAlign w:val="bottom"/>
            <w:tcBorders>
              <w:right w:val="single" w:sz="8" w:color="CCECFF"/>
            </w:tcBorders>
            <w:shd w:val="clear" w:color="auto" w:fill="CCECFF"/>
          </w:tcPr>
          <w:p>
            <w:pPr>
              <w:spacing w:after="0"/>
              <w:rPr>
                <w:sz w:val="11"/>
                <w:szCs w:val="11"/>
                <w:color w:val="auto"/>
              </w:rPr>
            </w:pP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2260" w:type="dxa"/>
            <w:vAlign w:val="bottom"/>
          </w:tcPr>
          <w:p>
            <w:pPr>
              <w:spacing w:after="0"/>
              <w:rPr>
                <w:sz w:val="20"/>
                <w:szCs w:val="20"/>
                <w:color w:val="auto"/>
              </w:rPr>
            </w:pPr>
            <w:r>
              <w:rPr>
                <w:rFonts w:ascii="Times New Roman" w:cs="Times New Roman" w:eastAsia="Times New Roman" w:hAnsi="Times New Roman"/>
                <w:sz w:val="11"/>
                <w:szCs w:val="11"/>
                <w:color w:val="auto"/>
              </w:rPr>
              <w:t>Equity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240,716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196,398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44,318</w:t>
            </w:r>
          </w:p>
        </w:tc>
        <w:tc>
          <w:tcPr>
            <w:tcW w:w="0" w:type="dxa"/>
            <w:vAlign w:val="bottom"/>
          </w:tcPr>
          <w:p>
            <w:pPr>
              <w:spacing w:after="0"/>
              <w:rPr>
                <w:sz w:val="1"/>
                <w:szCs w:val="1"/>
                <w:color w:val="auto"/>
              </w:rPr>
            </w:pPr>
          </w:p>
        </w:tc>
      </w:tr>
      <w:tr>
        <w:trPr>
          <w:trHeight w:val="131"/>
        </w:trPr>
        <w:tc>
          <w:tcPr>
            <w:tcW w:w="226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Total investments</w:t>
            </w:r>
          </w:p>
        </w:tc>
        <w:tc>
          <w:tcPr>
            <w:tcW w:w="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2,773,328</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2,729,010</w:t>
            </w:r>
          </w:p>
        </w:tc>
        <w:tc>
          <w:tcPr>
            <w:tcW w:w="80" w:type="dxa"/>
            <w:vAlign w:val="bottom"/>
            <w:shd w:val="clear" w:color="auto" w:fill="CCECFF"/>
          </w:tcPr>
          <w:p>
            <w:pPr>
              <w:spacing w:after="0"/>
              <w:rPr>
                <w:sz w:val="11"/>
                <w:szCs w:val="11"/>
                <w:color w:val="auto"/>
              </w:rPr>
            </w:pPr>
          </w:p>
        </w:tc>
        <w:tc>
          <w:tcPr>
            <w:tcW w:w="140" w:type="dxa"/>
            <w:vAlign w:val="bottom"/>
            <w:tcBorders>
              <w:right w:val="single" w:sz="8" w:color="CCECFF"/>
            </w:tcBorders>
            <w:shd w:val="clear" w:color="auto" w:fill="CCECFF"/>
          </w:tcPr>
          <w:p>
            <w:pPr>
              <w:spacing w:after="0"/>
              <w:rPr>
                <w:sz w:val="11"/>
                <w:szCs w:val="11"/>
                <w:color w:val="auto"/>
              </w:rPr>
            </w:pP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44,318</w:t>
            </w:r>
          </w:p>
        </w:tc>
        <w:tc>
          <w:tcPr>
            <w:tcW w:w="0" w:type="dxa"/>
            <w:vAlign w:val="bottom"/>
          </w:tcPr>
          <w:p>
            <w:pPr>
              <w:spacing w:after="0"/>
              <w:rPr>
                <w:sz w:val="1"/>
                <w:szCs w:val="1"/>
                <w:color w:val="auto"/>
              </w:rPr>
            </w:pPr>
          </w:p>
        </w:tc>
      </w:tr>
      <w:tr>
        <w:trPr>
          <w:trHeight w:val="131"/>
        </w:trPr>
        <w:tc>
          <w:tcPr>
            <w:tcW w:w="2260" w:type="dxa"/>
            <w:vAlign w:val="bottom"/>
          </w:tcPr>
          <w:p>
            <w:pPr>
              <w:spacing w:after="0"/>
              <w:rPr>
                <w:sz w:val="20"/>
                <w:szCs w:val="20"/>
                <w:color w:val="auto"/>
              </w:rPr>
            </w:pPr>
            <w:r>
              <w:rPr>
                <w:rFonts w:ascii="Times New Roman" w:cs="Times New Roman" w:eastAsia="Times New Roman" w:hAnsi="Times New Roman"/>
                <w:sz w:val="11"/>
                <w:szCs w:val="11"/>
                <w:color w:val="auto"/>
              </w:rPr>
              <w:t>Cash equivalents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40,729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40,729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226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Total investments and cash equivalents</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2,814,057</w:t>
            </w: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40,729</w:t>
            </w: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2,729,010</w:t>
            </w:r>
          </w:p>
        </w:tc>
        <w:tc>
          <w:tcPr>
            <w:tcW w:w="80" w:type="dxa"/>
            <w:vAlign w:val="bottom"/>
            <w:shd w:val="clear" w:color="auto" w:fill="CCECFF"/>
          </w:tcPr>
          <w:p>
            <w:pPr>
              <w:spacing w:after="0"/>
              <w:rPr>
                <w:sz w:val="13"/>
                <w:szCs w:val="13"/>
                <w:color w:val="auto"/>
              </w:rPr>
            </w:pPr>
          </w:p>
        </w:tc>
        <w:tc>
          <w:tcPr>
            <w:tcW w:w="14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44,318</w:t>
            </w:r>
          </w:p>
        </w:tc>
        <w:tc>
          <w:tcPr>
            <w:tcW w:w="0" w:type="dxa"/>
            <w:vAlign w:val="bottom"/>
          </w:tcPr>
          <w:p>
            <w:pPr>
              <w:spacing w:after="0"/>
              <w:rPr>
                <w:sz w:val="1"/>
                <w:szCs w:val="1"/>
                <w:color w:val="auto"/>
              </w:rPr>
            </w:pPr>
          </w:p>
        </w:tc>
      </w:tr>
      <w:tr>
        <w:trPr>
          <w:trHeight w:val="20"/>
        </w:trPr>
        <w:tc>
          <w:tcPr>
            <w:tcW w:w="226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right w:val="single" w:sz="8" w:color="auto"/>
            </w:tcBorders>
            <w:shd w:val="clear" w:color="auto" w:fill="CCEC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26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Long Term Credit Facility payable</w:t>
            </w:r>
          </w:p>
        </w:tc>
        <w:tc>
          <w:tcPr>
            <w:tcW w:w="280" w:type="dxa"/>
            <w:vAlign w:val="bottom"/>
          </w:tcPr>
          <w:p>
            <w:pPr>
              <w:spacing w:after="0"/>
              <w:rPr>
                <w:sz w:val="8"/>
                <w:szCs w:val="8"/>
                <w:color w:val="auto"/>
              </w:rPr>
            </w:pPr>
          </w:p>
        </w:tc>
        <w:tc>
          <w:tcPr>
            <w:tcW w:w="120" w:type="dxa"/>
            <w:vAlign w:val="bottom"/>
          </w:tcPr>
          <w:p>
            <w:pPr>
              <w:jc w:val="right"/>
              <w:ind w:right="5"/>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683,837</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jc w:val="right"/>
              <w:ind w:right="45"/>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jc w:val="right"/>
              <w:ind w:right="45"/>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60"/>
              <w:spacing w:after="0" w:line="10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683,837</w:t>
            </w:r>
          </w:p>
        </w:tc>
        <w:tc>
          <w:tcPr>
            <w:tcW w:w="80" w:type="dxa"/>
            <w:vAlign w:val="bottom"/>
          </w:tcPr>
          <w:p>
            <w:pPr>
              <w:spacing w:after="0"/>
              <w:rPr>
                <w:sz w:val="8"/>
                <w:szCs w:val="8"/>
                <w:color w:val="auto"/>
              </w:rPr>
            </w:pPr>
          </w:p>
        </w:tc>
        <w:tc>
          <w:tcPr>
            <w:tcW w:w="14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80"/>
              <w:spacing w:after="0" w:line="10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2260" w:type="dxa"/>
            <w:vAlign w:val="bottom"/>
            <w:shd w:val="clear" w:color="auto" w:fill="CCECFF"/>
          </w:tcPr>
          <w:p>
            <w:pPr>
              <w:spacing w:after="0" w:line="131" w:lineRule="exact"/>
              <w:rPr>
                <w:sz w:val="20"/>
                <w:szCs w:val="20"/>
                <w:color w:val="auto"/>
              </w:rPr>
            </w:pPr>
            <w:r>
              <w:rPr>
                <w:rFonts w:ascii="Times New Roman" w:cs="Times New Roman" w:eastAsia="Times New Roman" w:hAnsi="Times New Roman"/>
                <w:sz w:val="11"/>
                <w:szCs w:val="11"/>
                <w:color w:val="auto"/>
              </w:rPr>
              <w:t>2026 Notes payable</w:t>
            </w:r>
            <w:r>
              <w:rPr>
                <w:rFonts w:ascii="Times New Roman" w:cs="Times New Roman" w:eastAsia="Times New Roman" w:hAnsi="Times New Roman"/>
                <w:sz w:val="14"/>
                <w:szCs w:val="14"/>
                <w:color w:val="auto"/>
                <w:vertAlign w:val="superscript"/>
              </w:rPr>
              <w:t>(2)</w:t>
            </w:r>
          </w:p>
        </w:tc>
        <w:tc>
          <w:tcPr>
            <w:tcW w:w="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184,609</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184,609</w:t>
            </w:r>
          </w:p>
        </w:tc>
        <w:tc>
          <w:tcPr>
            <w:tcW w:w="1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CECFF"/>
            </w:tcBorders>
            <w:shd w:val="clear" w:color="auto" w:fill="CCECFF"/>
          </w:tcPr>
          <w:p>
            <w:pPr>
              <w:spacing w:after="0"/>
              <w:rPr>
                <w:sz w:val="11"/>
                <w:szCs w:val="11"/>
                <w:color w:val="auto"/>
              </w:rPr>
            </w:pP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2260" w:type="dxa"/>
            <w:vAlign w:val="bottom"/>
          </w:tcPr>
          <w:p>
            <w:pPr>
              <w:spacing w:after="0" w:line="131" w:lineRule="exact"/>
              <w:rPr>
                <w:sz w:val="20"/>
                <w:szCs w:val="20"/>
                <w:color w:val="auto"/>
              </w:rPr>
            </w:pPr>
            <w:r>
              <w:rPr>
                <w:rFonts w:ascii="Times New Roman" w:cs="Times New Roman" w:eastAsia="Times New Roman" w:hAnsi="Times New Roman"/>
                <w:sz w:val="11"/>
                <w:szCs w:val="11"/>
                <w:color w:val="auto"/>
              </w:rPr>
              <w:t>2036 Asset-Backed Debt</w:t>
            </w:r>
            <w:r>
              <w:rPr>
                <w:rFonts w:ascii="Times New Roman" w:cs="Times New Roman" w:eastAsia="Times New Roman" w:hAnsi="Times New Roman"/>
                <w:sz w:val="14"/>
                <w:szCs w:val="14"/>
                <w:color w:val="auto"/>
                <w:vertAlign w:val="superscript"/>
              </w:rPr>
              <w:t>(2)</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284,627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284,627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2260" w:type="dxa"/>
            <w:vAlign w:val="bottom"/>
            <w:shd w:val="clear" w:color="auto" w:fill="CCECFF"/>
          </w:tcPr>
          <w:p>
            <w:pPr>
              <w:spacing w:after="0" w:line="131" w:lineRule="exact"/>
              <w:rPr>
                <w:sz w:val="20"/>
                <w:szCs w:val="20"/>
                <w:color w:val="auto"/>
              </w:rPr>
            </w:pPr>
            <w:r>
              <w:rPr>
                <w:rFonts w:ascii="Times New Roman" w:cs="Times New Roman" w:eastAsia="Times New Roman" w:hAnsi="Times New Roman"/>
                <w:sz w:val="11"/>
                <w:szCs w:val="11"/>
                <w:color w:val="auto"/>
              </w:rPr>
              <w:t>2036-R Asset-Backed Debt</w:t>
            </w:r>
            <w:r>
              <w:rPr>
                <w:rFonts w:ascii="Times New Roman" w:cs="Times New Roman" w:eastAsia="Times New Roman" w:hAnsi="Times New Roman"/>
                <w:sz w:val="14"/>
                <w:szCs w:val="14"/>
                <w:color w:val="auto"/>
                <w:vertAlign w:val="superscript"/>
              </w:rPr>
              <w:t>(2)</w:t>
            </w:r>
          </w:p>
        </w:tc>
        <w:tc>
          <w:tcPr>
            <w:tcW w:w="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265,366</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265,366</w:t>
            </w:r>
          </w:p>
        </w:tc>
        <w:tc>
          <w:tcPr>
            <w:tcW w:w="80" w:type="dxa"/>
            <w:vAlign w:val="bottom"/>
            <w:shd w:val="clear" w:color="auto" w:fill="CCECFF"/>
          </w:tcPr>
          <w:p>
            <w:pPr>
              <w:spacing w:after="0"/>
              <w:rPr>
                <w:sz w:val="11"/>
                <w:szCs w:val="11"/>
                <w:color w:val="auto"/>
              </w:rPr>
            </w:pPr>
          </w:p>
        </w:tc>
        <w:tc>
          <w:tcPr>
            <w:tcW w:w="140" w:type="dxa"/>
            <w:vAlign w:val="bottom"/>
            <w:tcBorders>
              <w:right w:val="single" w:sz="8" w:color="CCECFF"/>
            </w:tcBorders>
            <w:shd w:val="clear" w:color="auto" w:fill="CCECFF"/>
          </w:tcPr>
          <w:p>
            <w:pPr>
              <w:spacing w:after="0"/>
              <w:rPr>
                <w:sz w:val="11"/>
                <w:szCs w:val="11"/>
                <w:color w:val="auto"/>
              </w:rPr>
            </w:pP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2260" w:type="dxa"/>
            <w:vAlign w:val="bottom"/>
          </w:tcPr>
          <w:p>
            <w:pPr>
              <w:spacing w:after="0" w:line="131" w:lineRule="exact"/>
              <w:rPr>
                <w:sz w:val="20"/>
                <w:szCs w:val="20"/>
                <w:color w:val="auto"/>
              </w:rPr>
            </w:pPr>
            <w:r>
              <w:rPr>
                <w:rFonts w:ascii="Times New Roman" w:cs="Times New Roman" w:eastAsia="Times New Roman" w:hAnsi="Times New Roman"/>
                <w:sz w:val="11"/>
                <w:szCs w:val="11"/>
                <w:color w:val="auto"/>
              </w:rPr>
              <w:t>2037 Asset-Backed Debt</w:t>
            </w:r>
            <w:r>
              <w:rPr>
                <w:rFonts w:ascii="Times New Roman" w:cs="Times New Roman" w:eastAsia="Times New Roman" w:hAnsi="Times New Roman"/>
                <w:sz w:val="14"/>
                <w:szCs w:val="14"/>
                <w:color w:val="auto"/>
                <w:vertAlign w:val="superscript"/>
              </w:rPr>
              <w:t>(2)</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358,331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358,331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226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Total debt</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1,776,770</w:t>
            </w: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184,609</w:t>
            </w:r>
          </w:p>
        </w:tc>
        <w:tc>
          <w:tcPr>
            <w:tcW w:w="3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1,592,161</w:t>
            </w:r>
          </w:p>
        </w:tc>
        <w:tc>
          <w:tcPr>
            <w:tcW w:w="80" w:type="dxa"/>
            <w:vAlign w:val="bottom"/>
            <w:shd w:val="clear" w:color="auto" w:fill="CCECFF"/>
          </w:tcPr>
          <w:p>
            <w:pPr>
              <w:spacing w:after="0"/>
              <w:rPr>
                <w:sz w:val="13"/>
                <w:szCs w:val="13"/>
                <w:color w:val="auto"/>
              </w:rPr>
            </w:pPr>
          </w:p>
        </w:tc>
        <w:tc>
          <w:tcPr>
            <w:tcW w:w="14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26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right w:val="single" w:sz="8" w:color="auto"/>
            </w:tcBorders>
            <w:shd w:val="clear" w:color="auto" w:fill="CCEC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780" w:right="840"/>
        <w:spacing w:after="0" w:line="215"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9"/>
          <w:szCs w:val="9"/>
          <w:color w:val="auto"/>
        </w:rPr>
        <w:t>In accordance with ASC Subtopic 820-10, Fair Value Measurements and Disclosures, or ASC 820-10, our equity investments in PSSL is measured using net asset value per share (or its equivalent) as a practical expedient for fair value in accordance with the specialized accounting guidance for investment companies, and thus has not been classified in the fair value hierarchy.</w:t>
      </w:r>
    </w:p>
    <w:p>
      <w:pPr>
        <w:spacing w:after="0" w:line="14" w:lineRule="exact"/>
        <w:rPr>
          <w:sz w:val="20"/>
          <w:szCs w:val="20"/>
          <w:color w:val="auto"/>
        </w:rPr>
      </w:pPr>
    </w:p>
    <w:p>
      <w:pPr>
        <w:jc w:val="both"/>
        <w:ind w:left="780" w:right="840"/>
        <w:spacing w:after="0" w:line="215" w:lineRule="auto"/>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9"/>
          <w:szCs w:val="9"/>
          <w:color w:val="auto"/>
        </w:rPr>
        <w:t>We elected not to apply the fair value option allowed by ASC 825-10 to the 2026 Notes, 2036 Asset-Backed Debt, the 2036-R Asset-Backed Debt, and the 2037 Asset-Backed Debt and thus the balance reported in the Consolidated Statement of Assets and Liabilities represents the carrying value, which approximates the fair value.</w:t>
      </w:r>
    </w:p>
    <w:p>
      <w:pPr>
        <w:spacing w:after="0" w:line="11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The tables below show a reconciliation of the beginning and ending balances for fair valued investments measured using significant unobservable inputs (Level</w:t>
      </w:r>
    </w:p>
    <w:p>
      <w:pPr>
        <w:spacing w:after="0" w:line="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3)</w:t>
      </w:r>
    </w:p>
    <w:p>
      <w:pPr>
        <w:spacing w:after="0" w:line="5" w:lineRule="exact"/>
        <w:rPr>
          <w:sz w:val="20"/>
          <w:szCs w:val="20"/>
          <w:color w:val="auto"/>
        </w:rPr>
      </w:pPr>
    </w:p>
    <w:tbl>
      <w:tblPr>
        <w:tblLayout w:type="fixed"/>
        <w:tblInd w:w="780" w:type="dxa"/>
        <w:tblCellMar>
          <w:top w:w="0" w:type="dxa"/>
          <w:left w:w="0" w:type="dxa"/>
          <w:bottom w:w="0" w:type="dxa"/>
          <w:right w:w="0" w:type="dxa"/>
        </w:tblCellMar>
      </w:tblPr>
      <w:tr>
        <w:trPr>
          <w:trHeight w:val="143"/>
        </w:trPr>
        <w:tc>
          <w:tcPr>
            <w:tcW w:w="44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 in thousands):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40" w:type="dxa"/>
            <w:vAlign w:val="bottom"/>
            <w:gridSpan w:val="10"/>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Three Months Ended December 31, 2025</w:t>
            </w: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Second lien,</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subordinated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debt and equity</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20" w:type="dxa"/>
            <w:vAlign w:val="bottom"/>
          </w:tcPr>
          <w:p>
            <w:pPr>
              <w:spacing w:after="0"/>
              <w:rPr>
                <w:sz w:val="12"/>
                <w:szCs w:val="12"/>
                <w:color w:val="auto"/>
              </w:rPr>
            </w:pPr>
          </w:p>
        </w:tc>
        <w:tc>
          <w:tcPr>
            <w:tcW w:w="92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First Lien</w:t>
            </w:r>
          </w:p>
        </w:tc>
        <w:tc>
          <w:tcPr>
            <w:tcW w:w="6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Totals</w:t>
            </w:r>
          </w:p>
        </w:tc>
        <w:tc>
          <w:tcPr>
            <w:tcW w:w="0" w:type="dxa"/>
            <w:vAlign w:val="bottom"/>
          </w:tcPr>
          <w:p>
            <w:pPr>
              <w:spacing w:after="0"/>
              <w:rPr>
                <w:sz w:val="1"/>
                <w:szCs w:val="1"/>
                <w:color w:val="auto"/>
              </w:rPr>
            </w:pPr>
          </w:p>
        </w:tc>
      </w:tr>
      <w:tr>
        <w:trPr>
          <w:trHeight w:val="131"/>
        </w:trPr>
        <w:tc>
          <w:tcPr>
            <w:tcW w:w="44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Beginning balance</w:t>
            </w:r>
          </w:p>
        </w:tc>
        <w:tc>
          <w:tcPr>
            <w:tcW w:w="120" w:type="dxa"/>
            <w:vAlign w:val="bottom"/>
            <w:shd w:val="clear" w:color="auto" w:fill="CCECFF"/>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2,513,631</w:t>
            </w:r>
          </w:p>
        </w:tc>
        <w:tc>
          <w:tcPr>
            <w:tcW w:w="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215,379</w:t>
            </w:r>
          </w:p>
        </w:tc>
        <w:tc>
          <w:tcPr>
            <w:tcW w:w="100" w:type="dxa"/>
            <w:vAlign w:val="bottom"/>
            <w:shd w:val="clear" w:color="auto" w:fill="CCECFF"/>
          </w:tcPr>
          <w:p>
            <w:pPr>
              <w:spacing w:after="0"/>
              <w:rPr>
                <w:sz w:val="11"/>
                <w:szCs w:val="11"/>
                <w:color w:val="auto"/>
              </w:rPr>
            </w:pPr>
          </w:p>
        </w:tc>
        <w:tc>
          <w:tcPr>
            <w:tcW w:w="2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2,729,010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4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Net realized gain (loss)</w:t>
            </w: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597</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40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Net change in unrealized appreciation (depreciation)</w:t>
            </w:r>
          </w:p>
        </w:tc>
        <w:tc>
          <w:tcPr>
            <w:tcW w:w="120" w:type="dxa"/>
            <w:vAlign w:val="bottom"/>
            <w:shd w:val="clear" w:color="auto" w:fill="CCECFF"/>
          </w:tcPr>
          <w:p>
            <w:pPr>
              <w:spacing w:after="0"/>
              <w:rPr>
                <w:sz w:val="11"/>
                <w:szCs w:val="11"/>
                <w:color w:val="auto"/>
              </w:rPr>
            </w:pPr>
          </w:p>
        </w:tc>
        <w:tc>
          <w:tcPr>
            <w:tcW w:w="9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(12,638)</w:t>
            </w:r>
          </w:p>
        </w:tc>
        <w:tc>
          <w:tcPr>
            <w:tcW w:w="6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(8,632)</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(21,270)</w:t>
            </w:r>
          </w:p>
        </w:tc>
        <w:tc>
          <w:tcPr>
            <w:tcW w:w="0" w:type="dxa"/>
            <w:vAlign w:val="bottom"/>
          </w:tcPr>
          <w:p>
            <w:pPr>
              <w:spacing w:after="0"/>
              <w:rPr>
                <w:sz w:val="1"/>
                <w:szCs w:val="1"/>
                <w:color w:val="auto"/>
              </w:rPr>
            </w:pPr>
          </w:p>
        </w:tc>
      </w:tr>
      <w:tr>
        <w:trPr>
          <w:trHeight w:val="131"/>
        </w:trPr>
        <w:tc>
          <w:tcPr>
            <w:tcW w:w="44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Purchases, PIK interest, net discount accretion and non-cash exchanges</w:t>
            </w: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150,963</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152,423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40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Sales, repayments and non-cash exchanges</w:t>
            </w:r>
          </w:p>
        </w:tc>
        <w:tc>
          <w:tcPr>
            <w:tcW w:w="120" w:type="dxa"/>
            <w:vAlign w:val="bottom"/>
            <w:shd w:val="clear" w:color="auto" w:fill="CCECFF"/>
          </w:tcPr>
          <w:p>
            <w:pPr>
              <w:spacing w:after="0"/>
              <w:rPr>
                <w:sz w:val="11"/>
                <w:szCs w:val="11"/>
                <w:color w:val="auto"/>
              </w:rPr>
            </w:pPr>
          </w:p>
        </w:tc>
        <w:tc>
          <w:tcPr>
            <w:tcW w:w="9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(342,311)</w:t>
            </w:r>
          </w:p>
        </w:tc>
        <w:tc>
          <w:tcPr>
            <w:tcW w:w="6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(3,520)</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(345,831)</w:t>
            </w:r>
          </w:p>
        </w:tc>
        <w:tc>
          <w:tcPr>
            <w:tcW w:w="0" w:type="dxa"/>
            <w:vAlign w:val="bottom"/>
          </w:tcPr>
          <w:p>
            <w:pPr>
              <w:spacing w:after="0"/>
              <w:rPr>
                <w:sz w:val="1"/>
                <w:szCs w:val="1"/>
                <w:color w:val="auto"/>
              </w:rPr>
            </w:pPr>
          </w:p>
        </w:tc>
      </w:tr>
      <w:tr>
        <w:trPr>
          <w:trHeight w:val="131"/>
        </w:trPr>
        <w:tc>
          <w:tcPr>
            <w:tcW w:w="44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Transfers in and/or out of Level 3</w:t>
            </w:r>
          </w:p>
        </w:tc>
        <w:tc>
          <w:tcPr>
            <w:tcW w:w="120" w:type="dxa"/>
            <w:vAlign w:val="bottom"/>
          </w:tcPr>
          <w:p>
            <w:pPr>
              <w:spacing w:after="0"/>
              <w:rPr>
                <w:sz w:val="11"/>
                <w:szCs w:val="11"/>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Ending balance</w:t>
            </w:r>
          </w:p>
        </w:tc>
        <w:tc>
          <w:tcPr>
            <w:tcW w:w="120" w:type="dxa"/>
            <w:vAlign w:val="bottom"/>
            <w:shd w:val="clear" w:color="auto" w:fill="CCECFF"/>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2,310,242</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205,558</w:t>
            </w:r>
          </w:p>
        </w:tc>
        <w:tc>
          <w:tcPr>
            <w:tcW w:w="10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2,515,800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400" w:type="dxa"/>
            <w:vAlign w:val="bottom"/>
            <w:tcBorders>
              <w:top w:val="single" w:sz="8" w:color="CCECFF"/>
            </w:tcBorders>
          </w:tcPr>
          <w:p>
            <w:pPr>
              <w:spacing w:after="0" w:line="92" w:lineRule="exact"/>
              <w:rPr>
                <w:sz w:val="20"/>
                <w:szCs w:val="20"/>
                <w:color w:val="auto"/>
              </w:rPr>
            </w:pPr>
            <w:r>
              <w:rPr>
                <w:rFonts w:ascii="Times New Roman" w:cs="Times New Roman" w:eastAsia="Times New Roman" w:hAnsi="Times New Roman"/>
                <w:sz w:val="10"/>
                <w:szCs w:val="10"/>
                <w:color w:val="auto"/>
              </w:rPr>
              <w:t>Net change in unrealized appreciation (depreciation) reported within the net change in unrealized</w:t>
            </w:r>
          </w:p>
        </w:tc>
        <w:tc>
          <w:tcPr>
            <w:tcW w:w="1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0" w:type="dxa"/>
            <w:vAlign w:val="bottom"/>
            <w:tcBorders>
              <w:top w:val="single" w:sz="8" w:color="CCECFF"/>
            </w:tcBorders>
          </w:tcPr>
          <w:p>
            <w:pPr>
              <w:spacing w:after="0"/>
              <w:rPr>
                <w:sz w:val="7"/>
                <w:szCs w:val="7"/>
                <w:color w:val="auto"/>
              </w:rPr>
            </w:pPr>
          </w:p>
        </w:tc>
        <w:tc>
          <w:tcPr>
            <w:tcW w:w="140" w:type="dxa"/>
            <w:vAlign w:val="bottom"/>
            <w:tcBorders>
              <w:top w:val="single" w:sz="8" w:color="CCEC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Borders>
              <w:top w:val="single" w:sz="8" w:color="CCECFF"/>
            </w:tcBorders>
          </w:tcPr>
          <w:p>
            <w:pPr>
              <w:spacing w:after="0"/>
              <w:rPr>
                <w:sz w:val="7"/>
                <w:szCs w:val="7"/>
                <w:color w:val="auto"/>
              </w:rPr>
            </w:pPr>
          </w:p>
        </w:tc>
        <w:tc>
          <w:tcPr>
            <w:tcW w:w="60" w:type="dxa"/>
            <w:vAlign w:val="bottom"/>
            <w:tcBorders>
              <w:top w:val="single" w:sz="8" w:color="CCECFF"/>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Borders>
              <w:top w:val="single" w:sz="8" w:color="CCECFF"/>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4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appreciation (depreciation) on investments in our consolidated statements of operations</w:t>
            </w:r>
          </w:p>
        </w:tc>
        <w:tc>
          <w:tcPr>
            <w:tcW w:w="120" w:type="dxa"/>
            <w:vAlign w:val="bottom"/>
            <w:vMerge w:val="restart"/>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920" w:type="dxa"/>
            <w:vAlign w:val="bottom"/>
            <w:gridSpan w:val="3"/>
            <w:vMerge w:val="restart"/>
          </w:tcPr>
          <w:p>
            <w:pPr>
              <w:jc w:val="right"/>
              <w:ind w:right="140"/>
              <w:spacing w:after="0" w:line="222" w:lineRule="exact"/>
              <w:rPr>
                <w:sz w:val="20"/>
                <w:szCs w:val="20"/>
                <w:color w:val="auto"/>
              </w:rPr>
            </w:pPr>
            <w:r>
              <w:rPr>
                <w:rFonts w:ascii="Times New Roman" w:cs="Times New Roman" w:eastAsia="Times New Roman" w:hAnsi="Times New Roman"/>
                <w:sz w:val="11"/>
                <w:szCs w:val="11"/>
                <w:color w:val="auto"/>
              </w:rPr>
              <w:t>(12,483</w:t>
            </w:r>
            <w:r>
              <w:rPr>
                <w:rFonts w:ascii="Times New Roman" w:cs="Times New Roman" w:eastAsia="Times New Roman" w:hAnsi="Times New Roman"/>
                <w:sz w:val="22"/>
                <w:szCs w:val="22"/>
                <w:color w:val="auto"/>
                <w:vertAlign w:val="subscript"/>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920" w:type="dxa"/>
            <w:vAlign w:val="bottom"/>
            <w:gridSpan w:val="2"/>
            <w:vMerge w:val="restart"/>
          </w:tcPr>
          <w:p>
            <w:pPr>
              <w:jc w:val="right"/>
              <w:ind w:right="60"/>
              <w:spacing w:after="0" w:line="222" w:lineRule="exact"/>
              <w:rPr>
                <w:sz w:val="20"/>
                <w:szCs w:val="20"/>
                <w:color w:val="auto"/>
              </w:rPr>
            </w:pPr>
            <w:r>
              <w:rPr>
                <w:rFonts w:ascii="Times New Roman" w:cs="Times New Roman" w:eastAsia="Times New Roman" w:hAnsi="Times New Roman"/>
                <w:sz w:val="11"/>
                <w:szCs w:val="11"/>
                <w:color w:val="auto"/>
              </w:rPr>
              <w:t>(7,973</w:t>
            </w:r>
            <w:r>
              <w:rPr>
                <w:rFonts w:ascii="Times New Roman" w:cs="Times New Roman" w:eastAsia="Times New Roman" w:hAnsi="Times New Roman"/>
                <w:sz w:val="22"/>
                <w:szCs w:val="22"/>
                <w:color w:val="auto"/>
                <w:vertAlign w:val="subscript"/>
              </w:rPr>
              <w:t>)</w:t>
            </w: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60"/>
              <w:spacing w:after="0" w:line="222" w:lineRule="exact"/>
              <w:rPr>
                <w:sz w:val="20"/>
                <w:szCs w:val="20"/>
                <w:color w:val="auto"/>
              </w:rPr>
            </w:pPr>
            <w:r>
              <w:rPr>
                <w:rFonts w:ascii="Times New Roman" w:cs="Times New Roman" w:eastAsia="Times New Roman" w:hAnsi="Times New Roman"/>
                <w:sz w:val="11"/>
                <w:szCs w:val="11"/>
                <w:color w:val="auto"/>
              </w:rPr>
              <w:t>(20,456</w:t>
            </w:r>
            <w:r>
              <w:rPr>
                <w:rFonts w:ascii="Times New Roman" w:cs="Times New Roman" w:eastAsia="Times New Roman" w:hAnsi="Times New Roman"/>
                <w:sz w:val="22"/>
                <w:szCs w:val="22"/>
                <w:color w:val="auto"/>
                <w:vertAlign w:val="subscript"/>
              </w:rPr>
              <w:t>)</w:t>
            </w:r>
          </w:p>
        </w:tc>
        <w:tc>
          <w:tcPr>
            <w:tcW w:w="0" w:type="dxa"/>
            <w:vAlign w:val="bottom"/>
          </w:tcPr>
          <w:p>
            <w:pPr>
              <w:spacing w:after="0"/>
              <w:rPr>
                <w:sz w:val="1"/>
                <w:szCs w:val="1"/>
                <w:color w:val="auto"/>
              </w:rPr>
            </w:pPr>
          </w:p>
        </w:tc>
      </w:tr>
      <w:tr>
        <w:trPr>
          <w:trHeight w:val="111"/>
        </w:trPr>
        <w:tc>
          <w:tcPr>
            <w:tcW w:w="4400" w:type="dxa"/>
            <w:vAlign w:val="bottom"/>
          </w:tcPr>
          <w:p>
            <w:pPr>
              <w:ind w:left="80"/>
              <w:spacing w:after="0" w:line="91" w:lineRule="exact"/>
              <w:rPr>
                <w:sz w:val="20"/>
                <w:szCs w:val="20"/>
                <w:color w:val="auto"/>
              </w:rPr>
            </w:pPr>
            <w:r>
              <w:rPr>
                <w:rFonts w:ascii="Times New Roman" w:cs="Times New Roman" w:eastAsia="Times New Roman" w:hAnsi="Times New Roman"/>
                <w:sz w:val="10"/>
                <w:szCs w:val="10"/>
                <w:color w:val="auto"/>
              </w:rPr>
              <w:t>attributable to our Level 3 assets still held at the reporting date.</w:t>
            </w:r>
          </w:p>
        </w:tc>
        <w:tc>
          <w:tcPr>
            <w:tcW w:w="120" w:type="dxa"/>
            <w:vAlign w:val="bottom"/>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10"/>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Three Months Ended December 31, 2024</w:t>
            </w: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Second lien,</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subordinated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debt and equity</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20" w:type="dxa"/>
            <w:vAlign w:val="bottom"/>
          </w:tcPr>
          <w:p>
            <w:pPr>
              <w:spacing w:after="0"/>
              <w:rPr>
                <w:sz w:val="12"/>
                <w:szCs w:val="12"/>
                <w:color w:val="auto"/>
              </w:rPr>
            </w:pPr>
          </w:p>
        </w:tc>
        <w:tc>
          <w:tcPr>
            <w:tcW w:w="92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First Lien</w:t>
            </w:r>
          </w:p>
        </w:tc>
        <w:tc>
          <w:tcPr>
            <w:tcW w:w="6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Totals</w:t>
            </w:r>
          </w:p>
        </w:tc>
        <w:tc>
          <w:tcPr>
            <w:tcW w:w="0" w:type="dxa"/>
            <w:vAlign w:val="bottom"/>
          </w:tcPr>
          <w:p>
            <w:pPr>
              <w:spacing w:after="0"/>
              <w:rPr>
                <w:sz w:val="1"/>
                <w:szCs w:val="1"/>
                <w:color w:val="auto"/>
              </w:rPr>
            </w:pPr>
          </w:p>
        </w:tc>
      </w:tr>
      <w:tr>
        <w:trPr>
          <w:trHeight w:val="131"/>
        </w:trPr>
        <w:tc>
          <w:tcPr>
            <w:tcW w:w="44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Beginning balance</w:t>
            </w:r>
          </w:p>
        </w:tc>
        <w:tc>
          <w:tcPr>
            <w:tcW w:w="120" w:type="dxa"/>
            <w:vAlign w:val="bottom"/>
            <w:shd w:val="clear" w:color="auto" w:fill="CCECFF"/>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1,746,697</w:t>
            </w:r>
          </w:p>
        </w:tc>
        <w:tc>
          <w:tcPr>
            <w:tcW w:w="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171,142</w:t>
            </w:r>
          </w:p>
        </w:tc>
        <w:tc>
          <w:tcPr>
            <w:tcW w:w="100" w:type="dxa"/>
            <w:vAlign w:val="bottom"/>
            <w:shd w:val="clear" w:color="auto" w:fill="CCECFF"/>
          </w:tcPr>
          <w:p>
            <w:pPr>
              <w:spacing w:after="0"/>
              <w:rPr>
                <w:sz w:val="11"/>
                <w:szCs w:val="11"/>
                <w:color w:val="auto"/>
              </w:rPr>
            </w:pPr>
          </w:p>
        </w:tc>
        <w:tc>
          <w:tcPr>
            <w:tcW w:w="2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1,917,839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4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Net realized gain (loss)</w:t>
            </w: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26,040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26,674</w:t>
            </w:r>
          </w:p>
        </w:tc>
        <w:tc>
          <w:tcPr>
            <w:tcW w:w="0" w:type="dxa"/>
            <w:vAlign w:val="bottom"/>
          </w:tcPr>
          <w:p>
            <w:pPr>
              <w:spacing w:after="0"/>
              <w:rPr>
                <w:sz w:val="1"/>
                <w:szCs w:val="1"/>
                <w:color w:val="auto"/>
              </w:rPr>
            </w:pPr>
          </w:p>
        </w:tc>
      </w:tr>
      <w:tr>
        <w:trPr>
          <w:trHeight w:val="131"/>
        </w:trPr>
        <w:tc>
          <w:tcPr>
            <w:tcW w:w="440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Net change in unrealized appreciation (depreciation)</w:t>
            </w:r>
          </w:p>
        </w:tc>
        <w:tc>
          <w:tcPr>
            <w:tcW w:w="120" w:type="dxa"/>
            <w:vAlign w:val="bottom"/>
            <w:shd w:val="clear" w:color="auto" w:fill="CCECFF"/>
          </w:tcPr>
          <w:p>
            <w:pPr>
              <w:spacing w:after="0"/>
              <w:rPr>
                <w:sz w:val="11"/>
                <w:szCs w:val="11"/>
                <w:color w:val="auto"/>
              </w:rPr>
            </w:pPr>
          </w:p>
        </w:tc>
        <w:tc>
          <w:tcPr>
            <w:tcW w:w="9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(7,513)</w:t>
            </w:r>
          </w:p>
        </w:tc>
        <w:tc>
          <w:tcPr>
            <w:tcW w:w="6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(13,600)</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(21,113)</w:t>
            </w:r>
          </w:p>
        </w:tc>
        <w:tc>
          <w:tcPr>
            <w:tcW w:w="0" w:type="dxa"/>
            <w:vAlign w:val="bottom"/>
          </w:tcPr>
          <w:p>
            <w:pPr>
              <w:spacing w:after="0"/>
              <w:rPr>
                <w:sz w:val="1"/>
                <w:szCs w:val="1"/>
                <w:color w:val="auto"/>
              </w:rPr>
            </w:pPr>
          </w:p>
        </w:tc>
      </w:tr>
      <w:tr>
        <w:trPr>
          <w:trHeight w:val="131"/>
        </w:trPr>
        <w:tc>
          <w:tcPr>
            <w:tcW w:w="44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Purchases, PIK interest, net discount accretion and non-cash exchanges</w:t>
            </w: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597,859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16,121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613,980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40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Sales, repayments and non-cash exchanges</w:t>
            </w:r>
          </w:p>
        </w:tc>
        <w:tc>
          <w:tcPr>
            <w:tcW w:w="120" w:type="dxa"/>
            <w:vAlign w:val="bottom"/>
            <w:shd w:val="clear" w:color="auto" w:fill="CCECFF"/>
          </w:tcPr>
          <w:p>
            <w:pPr>
              <w:spacing w:after="0"/>
              <w:rPr>
                <w:sz w:val="11"/>
                <w:szCs w:val="11"/>
                <w:color w:val="auto"/>
              </w:rPr>
            </w:pPr>
          </w:p>
        </w:tc>
        <w:tc>
          <w:tcPr>
            <w:tcW w:w="9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(373,901)</w:t>
            </w:r>
          </w:p>
        </w:tc>
        <w:tc>
          <w:tcPr>
            <w:tcW w:w="6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(27,399)</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(401,300)</w:t>
            </w:r>
          </w:p>
        </w:tc>
        <w:tc>
          <w:tcPr>
            <w:tcW w:w="0" w:type="dxa"/>
            <w:vAlign w:val="bottom"/>
          </w:tcPr>
          <w:p>
            <w:pPr>
              <w:spacing w:after="0"/>
              <w:rPr>
                <w:sz w:val="1"/>
                <w:szCs w:val="1"/>
                <w:color w:val="auto"/>
              </w:rPr>
            </w:pPr>
          </w:p>
        </w:tc>
      </w:tr>
      <w:tr>
        <w:trPr>
          <w:trHeight w:val="131"/>
        </w:trPr>
        <w:tc>
          <w:tcPr>
            <w:tcW w:w="44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Transfers in and/or out of Level 3</w:t>
            </w:r>
          </w:p>
        </w:tc>
        <w:tc>
          <w:tcPr>
            <w:tcW w:w="120" w:type="dxa"/>
            <w:vAlign w:val="bottom"/>
          </w:tcPr>
          <w:p>
            <w:pPr>
              <w:spacing w:after="0"/>
              <w:rPr>
                <w:sz w:val="11"/>
                <w:szCs w:val="11"/>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Ending balance</w:t>
            </w:r>
          </w:p>
        </w:tc>
        <w:tc>
          <w:tcPr>
            <w:tcW w:w="120" w:type="dxa"/>
            <w:vAlign w:val="bottom"/>
            <w:shd w:val="clear" w:color="auto" w:fill="CCECFF"/>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1,963,776</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172,304</w:t>
            </w:r>
          </w:p>
        </w:tc>
        <w:tc>
          <w:tcPr>
            <w:tcW w:w="10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2,136,080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400" w:type="dxa"/>
            <w:vAlign w:val="bottom"/>
            <w:tcBorders>
              <w:top w:val="single" w:sz="8" w:color="CCECFF"/>
            </w:tcBorders>
          </w:tcPr>
          <w:p>
            <w:pPr>
              <w:spacing w:after="0" w:line="92" w:lineRule="exact"/>
              <w:rPr>
                <w:sz w:val="20"/>
                <w:szCs w:val="20"/>
                <w:color w:val="auto"/>
              </w:rPr>
            </w:pPr>
            <w:r>
              <w:rPr>
                <w:rFonts w:ascii="Times New Roman" w:cs="Times New Roman" w:eastAsia="Times New Roman" w:hAnsi="Times New Roman"/>
                <w:sz w:val="10"/>
                <w:szCs w:val="10"/>
                <w:color w:val="auto"/>
              </w:rPr>
              <w:t>Net change in unrealized depreciation reported within the net change in unrealized</w:t>
            </w:r>
          </w:p>
        </w:tc>
        <w:tc>
          <w:tcPr>
            <w:tcW w:w="1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0" w:type="dxa"/>
            <w:vAlign w:val="bottom"/>
            <w:tcBorders>
              <w:top w:val="single" w:sz="8" w:color="CCECFF"/>
            </w:tcBorders>
          </w:tcPr>
          <w:p>
            <w:pPr>
              <w:spacing w:after="0"/>
              <w:rPr>
                <w:sz w:val="7"/>
                <w:szCs w:val="7"/>
                <w:color w:val="auto"/>
              </w:rPr>
            </w:pPr>
          </w:p>
        </w:tc>
        <w:tc>
          <w:tcPr>
            <w:tcW w:w="140" w:type="dxa"/>
            <w:vAlign w:val="bottom"/>
            <w:tcBorders>
              <w:top w:val="single" w:sz="8" w:color="CCEC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Borders>
              <w:top w:val="single" w:sz="8" w:color="CCECFF"/>
            </w:tcBorders>
          </w:tcPr>
          <w:p>
            <w:pPr>
              <w:spacing w:after="0"/>
              <w:rPr>
                <w:sz w:val="7"/>
                <w:szCs w:val="7"/>
                <w:color w:val="auto"/>
              </w:rPr>
            </w:pPr>
          </w:p>
        </w:tc>
        <w:tc>
          <w:tcPr>
            <w:tcW w:w="60" w:type="dxa"/>
            <w:vAlign w:val="bottom"/>
            <w:tcBorders>
              <w:top w:val="single" w:sz="8" w:color="CCECFF"/>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Borders>
              <w:top w:val="single" w:sz="8" w:color="CCECFF"/>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4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depreciation on investments in our consolidated statements of operations</w:t>
            </w:r>
          </w:p>
        </w:tc>
        <w:tc>
          <w:tcPr>
            <w:tcW w:w="120" w:type="dxa"/>
            <w:vAlign w:val="bottom"/>
            <w:vMerge w:val="restart"/>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920" w:type="dxa"/>
            <w:vAlign w:val="bottom"/>
            <w:gridSpan w:val="3"/>
            <w:vMerge w:val="restart"/>
          </w:tcPr>
          <w:p>
            <w:pPr>
              <w:jc w:val="right"/>
              <w:ind w:right="140"/>
              <w:spacing w:after="0" w:line="222" w:lineRule="exact"/>
              <w:rPr>
                <w:sz w:val="20"/>
                <w:szCs w:val="20"/>
                <w:color w:val="auto"/>
              </w:rPr>
            </w:pPr>
            <w:r>
              <w:rPr>
                <w:rFonts w:ascii="Times New Roman" w:cs="Times New Roman" w:eastAsia="Times New Roman" w:hAnsi="Times New Roman"/>
                <w:sz w:val="11"/>
                <w:szCs w:val="11"/>
                <w:color w:val="auto"/>
              </w:rPr>
              <w:t>(2,261</w:t>
            </w:r>
            <w:r>
              <w:rPr>
                <w:rFonts w:ascii="Times New Roman" w:cs="Times New Roman" w:eastAsia="Times New Roman" w:hAnsi="Times New Roman"/>
                <w:sz w:val="22"/>
                <w:szCs w:val="22"/>
                <w:color w:val="auto"/>
                <w:vertAlign w:val="subscript"/>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6,964</w:t>
            </w:r>
          </w:p>
        </w:tc>
        <w:tc>
          <w:tcPr>
            <w:tcW w:w="100" w:type="dxa"/>
            <w:vAlign w:val="bottom"/>
          </w:tcPr>
          <w:p>
            <w:pPr>
              <w:spacing w:after="0"/>
              <w:rPr>
                <w:sz w:val="11"/>
                <w:szCs w:val="11"/>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4,703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4400" w:type="dxa"/>
            <w:vAlign w:val="bottom"/>
          </w:tcPr>
          <w:p>
            <w:pPr>
              <w:ind w:left="80"/>
              <w:spacing w:after="0" w:line="91" w:lineRule="exact"/>
              <w:rPr>
                <w:sz w:val="20"/>
                <w:szCs w:val="20"/>
                <w:color w:val="auto"/>
              </w:rPr>
            </w:pPr>
            <w:r>
              <w:rPr>
                <w:rFonts w:ascii="Times New Roman" w:cs="Times New Roman" w:eastAsia="Times New Roman" w:hAnsi="Times New Roman"/>
                <w:sz w:val="10"/>
                <w:szCs w:val="10"/>
                <w:color w:val="auto"/>
              </w:rPr>
              <w:t>attributable to our Level 3 assets still held at the reporting date.</w:t>
            </w:r>
          </w:p>
        </w:tc>
        <w:tc>
          <w:tcPr>
            <w:tcW w:w="120" w:type="dxa"/>
            <w:vAlign w:val="bottom"/>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80" w:right="860" w:firstLine="282"/>
        <w:spacing w:after="0" w:line="279" w:lineRule="auto"/>
        <w:rPr>
          <w:sz w:val="20"/>
          <w:szCs w:val="20"/>
          <w:color w:val="auto"/>
        </w:rPr>
      </w:pPr>
      <w:r>
        <w:rPr>
          <w:rFonts w:ascii="Times New Roman" w:cs="Times New Roman" w:eastAsia="Times New Roman" w:hAnsi="Times New Roman"/>
          <w:sz w:val="11"/>
          <w:szCs w:val="11"/>
          <w:color w:val="auto"/>
        </w:rPr>
        <w:t>The table below shows a reconciliation of the beginning and ending balances for liabilities recognized at fair value and measured using significant unobservable inputs (Level 3)($ in thousands):</w:t>
      </w:r>
    </w:p>
    <w:p>
      <w:pPr>
        <w:spacing w:after="0" w:line="249" w:lineRule="exact"/>
        <w:rPr>
          <w:sz w:val="20"/>
          <w:szCs w:val="20"/>
          <w:color w:val="auto"/>
        </w:rPr>
      </w:pPr>
    </w:p>
    <w:tbl>
      <w:tblPr>
        <w:tblLayout w:type="fixed"/>
        <w:tblInd w:w="380" w:type="dxa"/>
        <w:tblCellMar>
          <w:top w:w="0" w:type="dxa"/>
          <w:left w:w="0" w:type="dxa"/>
          <w:bottom w:w="0" w:type="dxa"/>
          <w:right w:w="0" w:type="dxa"/>
        </w:tblCellMar>
      </w:tblPr>
      <w:tr>
        <w:trPr>
          <w:trHeight w:val="131"/>
        </w:trPr>
        <w:tc>
          <w:tcPr>
            <w:tcW w:w="4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40" w:type="dxa"/>
            <w:vAlign w:val="bottom"/>
            <w:gridSpan w:val="7"/>
          </w:tcPr>
          <w:p>
            <w:pPr>
              <w:ind w:left="12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r>
      <w:tr>
        <w:trPr>
          <w:trHeight w:val="143"/>
        </w:trPr>
        <w:tc>
          <w:tcPr>
            <w:tcW w:w="400" w:type="dxa"/>
            <w:vAlign w:val="bottom"/>
          </w:tcPr>
          <w:p>
            <w:pPr>
              <w:spacing w:after="0"/>
              <w:rPr>
                <w:sz w:val="12"/>
                <w:szCs w:val="12"/>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Long-Term Credit Facility</w:t>
            </w: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36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34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31"/>
        </w:trPr>
        <w:tc>
          <w:tcPr>
            <w:tcW w:w="400" w:type="dxa"/>
            <w:vAlign w:val="bottom"/>
          </w:tcPr>
          <w:p>
            <w:pPr>
              <w:spacing w:after="0"/>
              <w:rPr>
                <w:sz w:val="11"/>
                <w:szCs w:val="11"/>
                <w:color w:val="auto"/>
              </w:rPr>
            </w:pPr>
          </w:p>
        </w:tc>
        <w:tc>
          <w:tcPr>
            <w:tcW w:w="36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Beginning balance (cost – $683,855 and $443,855, respectively)</w:t>
            </w:r>
          </w:p>
        </w:tc>
        <w:tc>
          <w:tcPr>
            <w:tcW w:w="17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683,837</w:t>
            </w:r>
          </w:p>
        </w:tc>
        <w:tc>
          <w:tcPr>
            <w:tcW w:w="100" w:type="dxa"/>
            <w:vAlign w:val="bottom"/>
            <w:shd w:val="clear" w:color="auto" w:fill="CCECFF"/>
          </w:tcPr>
          <w:p>
            <w:pPr>
              <w:spacing w:after="0"/>
              <w:rPr>
                <w:sz w:val="11"/>
                <w:szCs w:val="11"/>
                <w:color w:val="auto"/>
              </w:rPr>
            </w:pPr>
          </w:p>
        </w:tc>
        <w:tc>
          <w:tcPr>
            <w:tcW w:w="3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443,880</w:t>
            </w:r>
          </w:p>
        </w:tc>
        <w:tc>
          <w:tcPr>
            <w:tcW w:w="80" w:type="dxa"/>
            <w:vAlign w:val="bottom"/>
            <w:shd w:val="clear" w:color="auto" w:fill="CCECFF"/>
          </w:tcPr>
          <w:p>
            <w:pPr>
              <w:spacing w:after="0"/>
              <w:rPr>
                <w:sz w:val="11"/>
                <w:szCs w:val="11"/>
                <w:color w:val="auto"/>
              </w:rPr>
            </w:pP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6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Net change in unrealized (depreciation) appreciation included in earnings</w:t>
            </w:r>
          </w:p>
        </w:tc>
        <w:tc>
          <w:tcPr>
            <w:tcW w:w="1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(89)</w:t>
            </w: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60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Borrowings</w:t>
            </w:r>
          </w:p>
        </w:tc>
        <w:tc>
          <w:tcPr>
            <w:tcW w:w="15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27,000</w:t>
            </w:r>
          </w:p>
        </w:tc>
        <w:tc>
          <w:tcPr>
            <w:tcW w:w="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165,000</w:t>
            </w:r>
          </w:p>
        </w:tc>
        <w:tc>
          <w:tcPr>
            <w:tcW w:w="80" w:type="dxa"/>
            <w:vAlign w:val="bottom"/>
            <w:shd w:val="clear" w:color="auto" w:fill="CCECFF"/>
          </w:tcPr>
          <w:p>
            <w:pPr>
              <w:spacing w:after="0"/>
              <w:rPr>
                <w:sz w:val="11"/>
                <w:szCs w:val="11"/>
                <w:color w:val="auto"/>
              </w:rPr>
            </w:pP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6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Repayments</w:t>
            </w:r>
          </w:p>
        </w:tc>
        <w:tc>
          <w:tcPr>
            <w:tcW w:w="1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(222,000)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1"/>
                <w:szCs w:val="11"/>
                <w:color w:val="auto"/>
              </w:rPr>
            </w:pPr>
          </w:p>
        </w:tc>
      </w:tr>
      <w:tr>
        <w:trPr>
          <w:trHeight w:val="171"/>
        </w:trPr>
        <w:tc>
          <w:tcPr>
            <w:tcW w:w="400" w:type="dxa"/>
            <w:vAlign w:val="bottom"/>
          </w:tcPr>
          <w:p>
            <w:pPr>
              <w:spacing w:after="0"/>
              <w:rPr>
                <w:sz w:val="14"/>
                <w:szCs w:val="14"/>
                <w:color w:val="auto"/>
              </w:rPr>
            </w:pPr>
          </w:p>
        </w:tc>
        <w:tc>
          <w:tcPr>
            <w:tcW w:w="36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Ending balance (cost – $488,855 and $608,855, respectively)</w:t>
            </w:r>
          </w:p>
        </w:tc>
        <w:tc>
          <w:tcPr>
            <w:tcW w:w="17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488,859</w:t>
            </w:r>
          </w:p>
        </w:tc>
        <w:tc>
          <w:tcPr>
            <w:tcW w:w="10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608,791</w:t>
            </w:r>
          </w:p>
        </w:tc>
        <w:tc>
          <w:tcPr>
            <w:tcW w:w="80" w:type="dxa"/>
            <w:vAlign w:val="bottom"/>
            <w:shd w:val="clear" w:color="auto" w:fill="CCECFF"/>
          </w:tcPr>
          <w:p>
            <w:pPr>
              <w:spacing w:after="0"/>
              <w:rPr>
                <w:sz w:val="14"/>
                <w:szCs w:val="14"/>
                <w:color w:val="auto"/>
              </w:rPr>
            </w:pPr>
          </w:p>
        </w:tc>
        <w:tc>
          <w:tcPr>
            <w:tcW w:w="400" w:type="dxa"/>
            <w:vAlign w:val="bottom"/>
          </w:tcPr>
          <w:p>
            <w:pPr>
              <w:spacing w:after="0"/>
              <w:rPr>
                <w:sz w:val="14"/>
                <w:szCs w:val="14"/>
                <w:color w:val="auto"/>
              </w:rPr>
            </w:pPr>
          </w:p>
        </w:tc>
      </w:tr>
      <w:tr>
        <w:trPr>
          <w:trHeight w:val="254"/>
        </w:trPr>
        <w:tc>
          <w:tcPr>
            <w:tcW w:w="400" w:type="dxa"/>
            <w:vAlign w:val="bottom"/>
          </w:tcPr>
          <w:p>
            <w:pPr>
              <w:spacing w:after="0"/>
              <w:rPr>
                <w:sz w:val="22"/>
                <w:szCs w:val="22"/>
                <w:color w:val="auto"/>
              </w:rPr>
            </w:pPr>
          </w:p>
        </w:tc>
        <w:tc>
          <w:tcPr>
            <w:tcW w:w="3600" w:type="dxa"/>
            <w:vAlign w:val="bottom"/>
            <w:tcBorders>
              <w:top w:val="single" w:sz="8" w:color="CCECFF"/>
            </w:tcBorders>
          </w:tcPr>
          <w:p>
            <w:pPr>
              <w:spacing w:after="0"/>
              <w:rPr>
                <w:sz w:val="22"/>
                <w:szCs w:val="22"/>
                <w:color w:val="auto"/>
              </w:rPr>
            </w:pPr>
          </w:p>
        </w:tc>
        <w:tc>
          <w:tcPr>
            <w:tcW w:w="1560" w:type="dxa"/>
            <w:vAlign w:val="bottom"/>
            <w:tcBorders>
              <w:top w:val="single" w:sz="8" w:color="CCECFF"/>
            </w:tcBorders>
          </w:tcPr>
          <w:p>
            <w:pPr>
              <w:jc w:val="right"/>
              <w:ind w:right="1325"/>
              <w:spacing w:after="0"/>
              <w:rPr>
                <w:sz w:val="20"/>
                <w:szCs w:val="20"/>
                <w:color w:val="auto"/>
              </w:rPr>
            </w:pPr>
            <w:r>
              <w:rPr>
                <w:rFonts w:ascii="Times New Roman" w:cs="Times New Roman" w:eastAsia="Times New Roman" w:hAnsi="Times New Roman"/>
                <w:sz w:val="11"/>
                <w:szCs w:val="11"/>
                <w:color w:val="auto"/>
              </w:rPr>
              <w:t>47</w:t>
            </w: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ECFF"/>
            </w:tcBorders>
          </w:tcPr>
          <w:p>
            <w:pPr>
              <w:spacing w:after="0"/>
              <w:rPr>
                <w:sz w:val="22"/>
                <w:szCs w:val="22"/>
                <w:color w:val="auto"/>
              </w:rPr>
            </w:pPr>
          </w:p>
        </w:tc>
        <w:tc>
          <w:tcPr>
            <w:tcW w:w="80" w:type="dxa"/>
            <w:vAlign w:val="bottom"/>
            <w:tcBorders>
              <w:top w:val="single" w:sz="8" w:color="CCECFF"/>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80" w:type="dxa"/>
            <w:vAlign w:val="bottom"/>
            <w:tcBorders>
              <w:top w:val="single" w:sz="8" w:color="CCECFF"/>
            </w:tcBorders>
          </w:tcPr>
          <w:p>
            <w:pPr>
              <w:spacing w:after="0"/>
              <w:rPr>
                <w:sz w:val="22"/>
                <w:szCs w:val="22"/>
                <w:color w:val="auto"/>
              </w:rPr>
            </w:pPr>
          </w:p>
        </w:tc>
        <w:tc>
          <w:tcPr>
            <w:tcW w:w="400" w:type="dxa"/>
            <w:vAlign w:val="bottom"/>
          </w:tcPr>
          <w:p>
            <w:pPr>
              <w:spacing w:after="0"/>
              <w:rPr>
                <w:sz w:val="22"/>
                <w:szCs w:val="22"/>
                <w:color w:val="auto"/>
              </w:rPr>
            </w:pPr>
          </w:p>
        </w:tc>
      </w:tr>
      <w:tr>
        <w:trPr>
          <w:trHeight w:val="573"/>
        </w:trPr>
        <w:tc>
          <w:tcPr>
            <w:tcW w:w="400" w:type="dxa"/>
            <w:vAlign w:val="bottom"/>
            <w:tcBorders>
              <w:bottom w:val="single" w:sz="8" w:color="EEEEEE"/>
            </w:tcBorders>
          </w:tcPr>
          <w:p>
            <w:pPr>
              <w:spacing w:after="0"/>
              <w:rPr>
                <w:sz w:val="24"/>
                <w:szCs w:val="24"/>
                <w:color w:val="auto"/>
              </w:rPr>
            </w:pPr>
          </w:p>
        </w:tc>
        <w:tc>
          <w:tcPr>
            <w:tcW w:w="360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-24765</wp:posOffset>
            </wp:positionV>
            <wp:extent cx="526605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47" w:name="page48"/>
    <w:bookmarkEnd w:id="47"/>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255" w:lineRule="exact"/>
        <w:rPr>
          <w:sz w:val="20"/>
          <w:szCs w:val="20"/>
          <w:color w:val="auto"/>
        </w:rPr>
      </w:pPr>
    </w:p>
    <w:p>
      <w:pPr>
        <w:ind w:left="780" w:right="900" w:firstLine="282"/>
        <w:spacing w:after="0" w:line="279" w:lineRule="auto"/>
        <w:rPr>
          <w:sz w:val="20"/>
          <w:szCs w:val="20"/>
          <w:color w:val="auto"/>
        </w:rPr>
      </w:pPr>
      <w:r>
        <w:rPr>
          <w:rFonts w:ascii="Times New Roman" w:cs="Times New Roman" w:eastAsia="Times New Roman" w:hAnsi="Times New Roman"/>
          <w:sz w:val="11"/>
          <w:szCs w:val="11"/>
          <w:color w:val="auto"/>
        </w:rPr>
        <w:t>As of December 31, 2025, we had outstanding non-U.S. dollar borrowings on our Credit Facility. The following table shows our non-U.S. dollar borrowings as of December 31, 2025 (CAD and $ in thousands):</w:t>
      </w:r>
    </w:p>
    <w:p>
      <w:pPr>
        <w:spacing w:after="0" w:line="249" w:lineRule="exact"/>
        <w:rPr>
          <w:sz w:val="20"/>
          <w:szCs w:val="20"/>
          <w:color w:val="auto"/>
        </w:rPr>
      </w:pPr>
    </w:p>
    <w:tbl>
      <w:tblPr>
        <w:tblLayout w:type="fixed"/>
        <w:tblInd w:w="780" w:type="dxa"/>
        <w:tblCellMar>
          <w:top w:w="0" w:type="dxa"/>
          <w:left w:w="0" w:type="dxa"/>
          <w:bottom w:w="0" w:type="dxa"/>
          <w:right w:w="0" w:type="dxa"/>
        </w:tblCellMar>
      </w:tblPr>
      <w:tr>
        <w:trPr>
          <w:trHeight w:val="131"/>
        </w:trPr>
        <w:tc>
          <w:tcPr>
            <w:tcW w:w="17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Unrealized</w:t>
            </w:r>
          </w:p>
        </w:tc>
      </w:tr>
      <w:tr>
        <w:trPr>
          <w:trHeight w:val="131"/>
        </w:trPr>
        <w:tc>
          <w:tcPr>
            <w:tcW w:w="1780" w:type="dxa"/>
            <w:vAlign w:val="bottom"/>
          </w:tcPr>
          <w:p>
            <w:pPr>
              <w:spacing w:after="0"/>
              <w:rPr>
                <w:sz w:val="11"/>
                <w:szCs w:val="11"/>
                <w:color w:val="auto"/>
              </w:rPr>
            </w:pPr>
          </w:p>
        </w:tc>
        <w:tc>
          <w:tcPr>
            <w:tcW w:w="1680" w:type="dxa"/>
            <w:vAlign w:val="bottom"/>
          </w:tcPr>
          <w:p>
            <w:pPr>
              <w:jc w:val="center"/>
              <w:ind w:left="625"/>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appreciation</w:t>
            </w:r>
          </w:p>
        </w:tc>
      </w:tr>
      <w:tr>
        <w:trPr>
          <w:trHeight w:val="143"/>
        </w:trPr>
        <w:tc>
          <w:tcPr>
            <w:tcW w:w="1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Foreign Currency</w:t>
            </w:r>
          </w:p>
        </w:tc>
        <w:tc>
          <w:tcPr>
            <w:tcW w:w="1680" w:type="dxa"/>
            <w:vAlign w:val="bottom"/>
          </w:tcPr>
          <w:p>
            <w:pPr>
              <w:jc w:val="center"/>
              <w:ind w:left="625"/>
              <w:spacing w:after="0"/>
              <w:rPr>
                <w:sz w:val="20"/>
                <w:szCs w:val="20"/>
                <w:color w:val="auto"/>
              </w:rPr>
            </w:pPr>
            <w:r>
              <w:rPr>
                <w:rFonts w:ascii="Times New Roman" w:cs="Times New Roman" w:eastAsia="Times New Roman" w:hAnsi="Times New Roman"/>
                <w:sz w:val="11"/>
                <w:szCs w:val="11"/>
                <w:b w:val="1"/>
                <w:bCs w:val="1"/>
                <w:color w:val="auto"/>
              </w:rPr>
              <w:t>Borrowed</w:t>
            </w:r>
          </w:p>
        </w:tc>
        <w:tc>
          <w:tcPr>
            <w:tcW w:w="1000" w:type="dxa"/>
            <w:vAlign w:val="bottom"/>
            <w:gridSpan w:val="2"/>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Borrowing Cost</w:t>
            </w:r>
          </w:p>
        </w:tc>
        <w:tc>
          <w:tcPr>
            <w:tcW w:w="140" w:type="dxa"/>
            <w:vAlign w:val="bottom"/>
          </w:tcPr>
          <w:p>
            <w:pPr>
              <w:spacing w:after="0"/>
              <w:rPr>
                <w:sz w:val="12"/>
                <w:szCs w:val="12"/>
                <w:color w:val="auto"/>
              </w:rPr>
            </w:pPr>
          </w:p>
        </w:tc>
        <w:tc>
          <w:tcPr>
            <w:tcW w:w="940" w:type="dxa"/>
            <w:vAlign w:val="bottom"/>
          </w:tcPr>
          <w:p>
            <w:pPr>
              <w:jc w:val="right"/>
              <w:ind w:right="185"/>
              <w:spacing w:after="0"/>
              <w:rPr>
                <w:sz w:val="20"/>
                <w:szCs w:val="20"/>
                <w:color w:val="auto"/>
              </w:rPr>
            </w:pPr>
            <w:r>
              <w:rPr>
                <w:rFonts w:ascii="Times New Roman" w:cs="Times New Roman" w:eastAsia="Times New Roman" w:hAnsi="Times New Roman"/>
                <w:sz w:val="11"/>
                <w:szCs w:val="11"/>
                <w:b w:val="1"/>
                <w:bCs w:val="1"/>
                <w:color w:val="auto"/>
                <w:w w:val="98"/>
              </w:rPr>
              <w:t>Current Value</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Reset Date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(depreciation)</w:t>
            </w:r>
          </w:p>
        </w:tc>
      </w:tr>
      <w:tr>
        <w:trPr>
          <w:trHeight w:val="131"/>
        </w:trPr>
        <w:tc>
          <w:tcPr>
            <w:tcW w:w="1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Canadian Dollar</w:t>
            </w:r>
          </w:p>
        </w:tc>
        <w:tc>
          <w:tcPr>
            <w:tcW w:w="1680" w:type="dxa"/>
            <w:vAlign w:val="bottom"/>
            <w:shd w:val="clear" w:color="auto" w:fill="CCECFF"/>
          </w:tcPr>
          <w:p>
            <w:pPr>
              <w:ind w:left="1100"/>
              <w:spacing w:after="0"/>
              <w:rPr>
                <w:sz w:val="20"/>
                <w:szCs w:val="20"/>
                <w:color w:val="auto"/>
              </w:rPr>
            </w:pPr>
            <w:r>
              <w:rPr>
                <w:rFonts w:ascii="Times New Roman" w:cs="Times New Roman" w:eastAsia="Times New Roman" w:hAnsi="Times New Roman"/>
                <w:sz w:val="11"/>
                <w:szCs w:val="11"/>
                <w:color w:val="auto"/>
              </w:rPr>
              <w:t>CAD 2,000</w:t>
            </w:r>
          </w:p>
        </w:tc>
        <w:tc>
          <w:tcPr>
            <w:tcW w:w="400" w:type="dxa"/>
            <w:vAlign w:val="bottom"/>
            <w:shd w:val="clear" w:color="auto" w:fill="CCECFF"/>
          </w:tcPr>
          <w:p>
            <w:pPr>
              <w:jc w:val="right"/>
              <w:ind w:right="20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rPr>
              <w:t>1,455</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rPr>
              <w:t>1,459</w:t>
            </w:r>
          </w:p>
        </w:tc>
        <w:tc>
          <w:tcPr>
            <w:tcW w:w="880" w:type="dxa"/>
            <w:vAlign w:val="bottom"/>
            <w:shd w:val="clear" w:color="auto" w:fill="CCECFF"/>
          </w:tcPr>
          <w:p>
            <w:pPr>
              <w:jc w:val="right"/>
              <w:ind w:right="245"/>
              <w:spacing w:after="0"/>
              <w:rPr>
                <w:sz w:val="20"/>
                <w:szCs w:val="20"/>
                <w:color w:val="auto"/>
              </w:rPr>
            </w:pPr>
            <w:r>
              <w:rPr>
                <w:rFonts w:ascii="Times New Roman" w:cs="Times New Roman" w:eastAsia="Times New Roman" w:hAnsi="Times New Roman"/>
                <w:sz w:val="11"/>
                <w:szCs w:val="11"/>
                <w:color w:val="auto"/>
              </w:rPr>
              <w:t>1/2/26</w:t>
            </w:r>
          </w:p>
        </w:tc>
        <w:tc>
          <w:tcPr>
            <w:tcW w:w="104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rPr>
              <w:t>4</w:t>
            </w:r>
          </w:p>
        </w:tc>
      </w:tr>
    </w:tbl>
    <w:p>
      <w:pPr>
        <w:spacing w:after="0" w:line="38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As of September 30, 2025 we had outstanding non-U.S. dollar borrowings on our Credit Facility. The following table shows our non-U.S dollar borrowings as of</w:t>
      </w:r>
    </w:p>
    <w:p>
      <w:pPr>
        <w:spacing w:after="0" w:line="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September 30, 2025. (CAD and $ in thousands):</w:t>
      </w:r>
    </w:p>
    <w:p>
      <w:pPr>
        <w:spacing w:after="0" w:line="273" w:lineRule="exact"/>
        <w:rPr>
          <w:sz w:val="20"/>
          <w:szCs w:val="20"/>
          <w:color w:val="auto"/>
        </w:rPr>
      </w:pPr>
    </w:p>
    <w:tbl>
      <w:tblPr>
        <w:tblLayout w:type="fixed"/>
        <w:tblInd w:w="780" w:type="dxa"/>
        <w:tblCellMar>
          <w:top w:w="0" w:type="dxa"/>
          <w:left w:w="0" w:type="dxa"/>
          <w:bottom w:w="0" w:type="dxa"/>
          <w:right w:w="0" w:type="dxa"/>
        </w:tblCellMar>
      </w:tblPr>
      <w:tr>
        <w:trPr>
          <w:trHeight w:val="131"/>
        </w:trPr>
        <w:tc>
          <w:tcPr>
            <w:tcW w:w="17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Unrealized</w:t>
            </w:r>
          </w:p>
        </w:tc>
      </w:tr>
      <w:tr>
        <w:trPr>
          <w:trHeight w:val="131"/>
        </w:trPr>
        <w:tc>
          <w:tcPr>
            <w:tcW w:w="1780" w:type="dxa"/>
            <w:vAlign w:val="bottom"/>
          </w:tcPr>
          <w:p>
            <w:pPr>
              <w:spacing w:after="0"/>
              <w:rPr>
                <w:sz w:val="11"/>
                <w:szCs w:val="11"/>
                <w:color w:val="auto"/>
              </w:rPr>
            </w:pPr>
          </w:p>
        </w:tc>
        <w:tc>
          <w:tcPr>
            <w:tcW w:w="1680" w:type="dxa"/>
            <w:vAlign w:val="bottom"/>
          </w:tcPr>
          <w:p>
            <w:pPr>
              <w:jc w:val="center"/>
              <w:ind w:left="625"/>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appreciation</w:t>
            </w:r>
          </w:p>
        </w:tc>
      </w:tr>
      <w:tr>
        <w:trPr>
          <w:trHeight w:val="143"/>
        </w:trPr>
        <w:tc>
          <w:tcPr>
            <w:tcW w:w="1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Foreign Currency</w:t>
            </w:r>
          </w:p>
        </w:tc>
        <w:tc>
          <w:tcPr>
            <w:tcW w:w="1680" w:type="dxa"/>
            <w:vAlign w:val="bottom"/>
          </w:tcPr>
          <w:p>
            <w:pPr>
              <w:jc w:val="center"/>
              <w:ind w:left="625"/>
              <w:spacing w:after="0"/>
              <w:rPr>
                <w:sz w:val="20"/>
                <w:szCs w:val="20"/>
                <w:color w:val="auto"/>
              </w:rPr>
            </w:pPr>
            <w:r>
              <w:rPr>
                <w:rFonts w:ascii="Times New Roman" w:cs="Times New Roman" w:eastAsia="Times New Roman" w:hAnsi="Times New Roman"/>
                <w:sz w:val="11"/>
                <w:szCs w:val="11"/>
                <w:b w:val="1"/>
                <w:bCs w:val="1"/>
                <w:color w:val="auto"/>
              </w:rPr>
              <w:t>Borrowed</w:t>
            </w:r>
          </w:p>
        </w:tc>
        <w:tc>
          <w:tcPr>
            <w:tcW w:w="1000" w:type="dxa"/>
            <w:vAlign w:val="bottom"/>
            <w:gridSpan w:val="2"/>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Borrowing Cost</w:t>
            </w:r>
          </w:p>
        </w:tc>
        <w:tc>
          <w:tcPr>
            <w:tcW w:w="140" w:type="dxa"/>
            <w:vAlign w:val="bottom"/>
          </w:tcPr>
          <w:p>
            <w:pPr>
              <w:spacing w:after="0"/>
              <w:rPr>
                <w:sz w:val="12"/>
                <w:szCs w:val="12"/>
                <w:color w:val="auto"/>
              </w:rPr>
            </w:pPr>
          </w:p>
        </w:tc>
        <w:tc>
          <w:tcPr>
            <w:tcW w:w="940" w:type="dxa"/>
            <w:vAlign w:val="bottom"/>
          </w:tcPr>
          <w:p>
            <w:pPr>
              <w:jc w:val="right"/>
              <w:ind w:right="185"/>
              <w:spacing w:after="0"/>
              <w:rPr>
                <w:sz w:val="20"/>
                <w:szCs w:val="20"/>
                <w:color w:val="auto"/>
              </w:rPr>
            </w:pPr>
            <w:r>
              <w:rPr>
                <w:rFonts w:ascii="Times New Roman" w:cs="Times New Roman" w:eastAsia="Times New Roman" w:hAnsi="Times New Roman"/>
                <w:sz w:val="11"/>
                <w:szCs w:val="11"/>
                <w:b w:val="1"/>
                <w:bCs w:val="1"/>
                <w:color w:val="auto"/>
                <w:w w:val="98"/>
              </w:rPr>
              <w:t>Current Value</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Reset Date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(depreciation)</w:t>
            </w:r>
          </w:p>
        </w:tc>
      </w:tr>
      <w:tr>
        <w:trPr>
          <w:trHeight w:val="131"/>
        </w:trPr>
        <w:tc>
          <w:tcPr>
            <w:tcW w:w="1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Canadian Dollar</w:t>
            </w:r>
          </w:p>
        </w:tc>
        <w:tc>
          <w:tcPr>
            <w:tcW w:w="1680" w:type="dxa"/>
            <w:vAlign w:val="bottom"/>
            <w:shd w:val="clear" w:color="auto" w:fill="CCECFF"/>
          </w:tcPr>
          <w:p>
            <w:pPr>
              <w:ind w:left="1100"/>
              <w:spacing w:after="0"/>
              <w:rPr>
                <w:sz w:val="20"/>
                <w:szCs w:val="20"/>
                <w:color w:val="auto"/>
              </w:rPr>
            </w:pPr>
            <w:r>
              <w:rPr>
                <w:rFonts w:ascii="Times New Roman" w:cs="Times New Roman" w:eastAsia="Times New Roman" w:hAnsi="Times New Roman"/>
                <w:sz w:val="11"/>
                <w:szCs w:val="11"/>
                <w:color w:val="auto"/>
              </w:rPr>
              <w:t>CAD 2,000</w:t>
            </w:r>
          </w:p>
        </w:tc>
        <w:tc>
          <w:tcPr>
            <w:tcW w:w="400" w:type="dxa"/>
            <w:vAlign w:val="bottom"/>
            <w:shd w:val="clear" w:color="auto" w:fill="CCECFF"/>
          </w:tcPr>
          <w:p>
            <w:pPr>
              <w:jc w:val="right"/>
              <w:ind w:right="20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rPr>
              <w:t>1,455</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rPr>
              <w:t>1,437</w:t>
            </w:r>
          </w:p>
        </w:tc>
        <w:tc>
          <w:tcPr>
            <w:tcW w:w="880" w:type="dxa"/>
            <w:vAlign w:val="bottom"/>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rPr>
              <w:t>10/1/2025</w:t>
            </w:r>
          </w:p>
        </w:tc>
        <w:tc>
          <w:tcPr>
            <w:tcW w:w="1040" w:type="dxa"/>
            <w:vAlign w:val="bottom"/>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(18)</w:t>
            </w:r>
          </w:p>
        </w:tc>
      </w:tr>
    </w:tbl>
    <w:p>
      <w:pPr>
        <w:spacing w:after="0" w:line="252" w:lineRule="exact"/>
        <w:rPr>
          <w:sz w:val="20"/>
          <w:szCs w:val="20"/>
          <w:color w:val="auto"/>
        </w:rPr>
      </w:pPr>
    </w:p>
    <w:p>
      <w:pPr>
        <w:ind w:left="780" w:right="820" w:firstLine="282"/>
        <w:spacing w:after="0" w:line="251" w:lineRule="auto"/>
        <w:rPr>
          <w:sz w:val="20"/>
          <w:szCs w:val="20"/>
          <w:color w:val="auto"/>
        </w:rPr>
      </w:pPr>
      <w:r>
        <w:rPr>
          <w:rFonts w:ascii="Times New Roman" w:cs="Times New Roman" w:eastAsia="Times New Roman" w:hAnsi="Times New Roman"/>
          <w:sz w:val="11"/>
          <w:szCs w:val="11"/>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We elected to use the fair value option for the Credit Facility to align the measurement attributes of both our assets and liabilities while mitigating volatility in earnings from using different measurement attributes. Due to that election and in accordance with GAAP, we incurred $0.5 million of expenses relating to amendment costs on the Credit Facility for the three months ended December 31, 2025 and we did not incur any expenses relating to amendment costs on the Credit Facility during the three months ended December 31, 2024.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including our 2026 Notes, 2036 Asset-Backed Debt, 2036-R Asset-Backed Debt, and the 2037 Asset-Backed Debt.</w:t>
      </w:r>
    </w:p>
    <w:p>
      <w:pPr>
        <w:spacing w:after="0" w:line="119" w:lineRule="exact"/>
        <w:rPr>
          <w:sz w:val="20"/>
          <w:szCs w:val="20"/>
          <w:color w:val="auto"/>
        </w:rPr>
      </w:pPr>
    </w:p>
    <w:p>
      <w:pPr>
        <w:ind w:left="780" w:right="840" w:firstLine="282"/>
        <w:spacing w:after="0" w:line="256" w:lineRule="auto"/>
        <w:rPr>
          <w:sz w:val="20"/>
          <w:szCs w:val="20"/>
          <w:color w:val="auto"/>
        </w:rPr>
      </w:pPr>
      <w:r>
        <w:rPr>
          <w:rFonts w:ascii="Times New Roman" w:cs="Times New Roman" w:eastAsia="Times New Roman" w:hAnsi="Times New Roman"/>
          <w:sz w:val="11"/>
          <w:szCs w:val="11"/>
          <w:color w:val="auto"/>
        </w:rPr>
        <w:t>For the three months ended December 31, 2025, the Credit Facility had a net change in unrealized appreciation (depreciation) of less than ($0.1) million. For the three months ended December 31, 2024, the Credit Facility had a net change in unrealized appreciation (depreciation) of $0.1 million. As of December 31, 2025 and September 30, 2025, the net unrealized appreciation (depreciation) on the Credit Facility totaled zero, respectively. We use a nationally recognized independent valuation service to measure the fair value of the Credit Facility in a manner consistent with the valuation process that our board of directors uses to value our investments.</w:t>
      </w:r>
    </w:p>
    <w:p>
      <w:pPr>
        <w:spacing w:after="0" w:line="1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6. TRANSACTIONS WITH AFFILIATED COMPANIES</w:t>
      </w:r>
    </w:p>
    <w:p>
      <w:pPr>
        <w:spacing w:after="0" w:line="138" w:lineRule="exact"/>
        <w:rPr>
          <w:sz w:val="20"/>
          <w:szCs w:val="20"/>
          <w:color w:val="auto"/>
        </w:rPr>
      </w:pPr>
    </w:p>
    <w:p>
      <w:pPr>
        <w:jc w:val="both"/>
        <w:ind w:left="780" w:right="860" w:firstLine="282"/>
        <w:spacing w:after="0" w:line="259" w:lineRule="auto"/>
        <w:rPr>
          <w:sz w:val="20"/>
          <w:szCs w:val="20"/>
          <w:color w:val="auto"/>
        </w:rPr>
      </w:pPr>
      <w:r>
        <w:rPr>
          <w:rFonts w:ascii="Times New Roman" w:cs="Times New Roman" w:eastAsia="Times New Roman" w:hAnsi="Times New Roman"/>
          <w:sz w:val="11"/>
          <w:szCs w:val="11"/>
          <w:color w:val="auto"/>
        </w:rPr>
        <w:t>An affiliated portfolio company is a company in which we have ownership of 5% or more of its voting securities. A portfolio company is generally presumed to be a non-controlled affiliate when we own at least 5% but less than 25% of its voting securities and a controlled affiliate generally when we own more than 25% of its voting securities. Transactions related to our funded investments with both controlled and non-controlled affiliates for the three months ended December 31, 2025 and 2024 were as follows ($ in thousands):</w:t>
      </w:r>
    </w:p>
    <w:p>
      <w:pPr>
        <w:spacing w:after="0" w:line="128" w:lineRule="exact"/>
        <w:rPr>
          <w:sz w:val="20"/>
          <w:szCs w:val="20"/>
          <w:color w:val="auto"/>
        </w:rPr>
      </w:pPr>
    </w:p>
    <w:tbl>
      <w:tblPr>
        <w:tblLayout w:type="fixed"/>
        <w:tblInd w:w="380" w:type="dxa"/>
        <w:tblCellMar>
          <w:top w:w="0" w:type="dxa"/>
          <w:left w:w="0" w:type="dxa"/>
          <w:bottom w:w="0" w:type="dxa"/>
          <w:right w:w="0" w:type="dxa"/>
        </w:tblCellMar>
      </w:tblPr>
      <w:tr>
        <w:trPr>
          <w:trHeight w:val="131"/>
        </w:trPr>
        <w:tc>
          <w:tcPr>
            <w:tcW w:w="4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Net Change in</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Fair Value at</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Net Realized</w:t>
            </w:r>
          </w:p>
        </w:tc>
        <w:tc>
          <w:tcPr>
            <w:tcW w:w="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60" w:type="dxa"/>
            <w:vAlign w:val="bottom"/>
          </w:tcPr>
          <w:p>
            <w:pPr>
              <w:spacing w:after="0"/>
              <w:rPr>
                <w:sz w:val="11"/>
                <w:szCs w:val="11"/>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Fair Value at</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Dividend/</w:t>
            </w:r>
          </w:p>
        </w:tc>
      </w:tr>
      <w:tr>
        <w:trPr>
          <w:trHeight w:val="131"/>
        </w:trPr>
        <w:tc>
          <w:tcPr>
            <w:tcW w:w="4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September</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640" w:type="dxa"/>
            <w:vAlign w:val="bottom"/>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rPr>
              <w:t>Gross</w:t>
            </w:r>
          </w:p>
        </w:tc>
        <w:tc>
          <w:tcPr>
            <w:tcW w:w="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Gains</w:t>
            </w:r>
          </w:p>
        </w:tc>
        <w:tc>
          <w:tcPr>
            <w:tcW w:w="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Appreciation</w:t>
            </w:r>
          </w:p>
        </w:tc>
        <w:tc>
          <w:tcPr>
            <w:tcW w:w="60" w:type="dxa"/>
            <w:vAlign w:val="bottom"/>
          </w:tcPr>
          <w:p>
            <w:pPr>
              <w:spacing w:after="0"/>
              <w:rPr>
                <w:sz w:val="11"/>
                <w:szCs w:val="11"/>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640" w:type="dxa"/>
            <w:vAlign w:val="bottom"/>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60" w:type="dxa"/>
            <w:vAlign w:val="bottom"/>
          </w:tcPr>
          <w:p>
            <w:pPr>
              <w:spacing w:after="0"/>
              <w:rPr>
                <w:sz w:val="11"/>
                <w:szCs w:val="11"/>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9"/>
              </w:rPr>
              <w:t>Other</w:t>
            </w:r>
          </w:p>
        </w:tc>
      </w:tr>
      <w:tr>
        <w:trPr>
          <w:trHeight w:val="143"/>
        </w:trPr>
        <w:tc>
          <w:tcPr>
            <w:tcW w:w="400" w:type="dxa"/>
            <w:vAlign w:val="bottom"/>
          </w:tcPr>
          <w:p>
            <w:pPr>
              <w:spacing w:after="0"/>
              <w:rPr>
                <w:sz w:val="12"/>
                <w:szCs w:val="12"/>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 of Investment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30, 2025</w:t>
            </w:r>
          </w:p>
        </w:tc>
        <w:tc>
          <w:tcPr>
            <w:tcW w:w="6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Additions</w:t>
            </w: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Reductions</w:t>
            </w:r>
          </w:p>
        </w:tc>
        <w:tc>
          <w:tcPr>
            <w:tcW w:w="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(Depreciation)</w:t>
            </w:r>
          </w:p>
        </w:tc>
        <w:tc>
          <w:tcPr>
            <w:tcW w:w="760" w:type="dxa"/>
            <w:vAlign w:val="bottom"/>
            <w:gridSpan w:val="2"/>
          </w:tcPr>
          <w:p>
            <w:pPr>
              <w:jc w:val="center"/>
              <w:ind w:left="5"/>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12"/>
                <w:szCs w:val="12"/>
                <w:color w:val="auto"/>
              </w:rPr>
            </w:pPr>
          </w:p>
        </w:tc>
        <w:tc>
          <w:tcPr>
            <w:tcW w:w="640" w:type="dxa"/>
            <w:vAlign w:val="bottom"/>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60" w:type="dxa"/>
            <w:vAlign w:val="bottom"/>
          </w:tcPr>
          <w:p>
            <w:pPr>
              <w:spacing w:after="0"/>
              <w:rPr>
                <w:sz w:val="12"/>
                <w:szCs w:val="12"/>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7"/>
              </w:rPr>
              <w:t>Income</w:t>
            </w:r>
          </w:p>
        </w:tc>
      </w:tr>
      <w:tr>
        <w:trPr>
          <w:trHeight w:val="131"/>
        </w:trPr>
        <w:tc>
          <w:tcPr>
            <w:tcW w:w="400" w:type="dxa"/>
            <w:vAlign w:val="bottom"/>
          </w:tcPr>
          <w:p>
            <w:pPr>
              <w:spacing w:after="0"/>
              <w:rPr>
                <w:sz w:val="11"/>
                <w:szCs w:val="11"/>
                <w:color w:val="auto"/>
              </w:rPr>
            </w:pPr>
          </w:p>
        </w:tc>
        <w:tc>
          <w:tcPr>
            <w:tcW w:w="16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Controlled Affiliates</w:t>
            </w:r>
          </w:p>
        </w:tc>
        <w:tc>
          <w:tcPr>
            <w:tcW w:w="6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400" w:type="dxa"/>
            <w:vAlign w:val="bottom"/>
          </w:tcPr>
          <w:p>
            <w:pPr>
              <w:spacing w:after="0"/>
              <w:rPr>
                <w:sz w:val="11"/>
                <w:szCs w:val="11"/>
                <w:color w:val="auto"/>
              </w:rPr>
            </w:pPr>
          </w:p>
        </w:tc>
      </w:tr>
      <w:tr>
        <w:trPr>
          <w:trHeight w:val="121"/>
        </w:trPr>
        <w:tc>
          <w:tcPr>
            <w:tcW w:w="40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PennantPark Senior Secured Loan</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41"/>
        </w:trPr>
        <w:tc>
          <w:tcPr>
            <w:tcW w:w="400" w:type="dxa"/>
            <w:vAlign w:val="bottom"/>
          </w:tcPr>
          <w:p>
            <w:pPr>
              <w:spacing w:after="0"/>
              <w:rPr>
                <w:sz w:val="12"/>
                <w:szCs w:val="12"/>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1"/>
                <w:szCs w:val="11"/>
                <w:color w:val="auto"/>
              </w:rPr>
              <w:t>Fund II LLC **</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$56,250</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$56,232</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$572</w:t>
            </w:r>
          </w:p>
        </w:tc>
        <w:tc>
          <w:tcPr>
            <w:tcW w:w="60" w:type="dxa"/>
            <w:vAlign w:val="bottom"/>
          </w:tcPr>
          <w:p>
            <w:pPr>
              <w:spacing w:after="0"/>
              <w:rPr>
                <w:sz w:val="12"/>
                <w:szCs w:val="12"/>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r>
      <w:tr>
        <w:trPr>
          <w:trHeight w:val="121"/>
        </w:trPr>
        <w:tc>
          <w:tcPr>
            <w:tcW w:w="400" w:type="dxa"/>
            <w:vAlign w:val="bottom"/>
          </w:tcPr>
          <w:p>
            <w:pPr>
              <w:spacing w:after="0"/>
              <w:rPr>
                <w:sz w:val="10"/>
                <w:szCs w:val="10"/>
                <w:color w:val="auto"/>
              </w:rPr>
            </w:pPr>
          </w:p>
        </w:tc>
        <w:tc>
          <w:tcPr>
            <w:tcW w:w="1640" w:type="dxa"/>
            <w:vAlign w:val="bottom"/>
            <w:shd w:val="clear" w:color="auto" w:fill="CCECFF"/>
          </w:tcPr>
          <w:p>
            <w:pPr>
              <w:spacing w:after="0" w:line="121" w:lineRule="exact"/>
              <w:rPr>
                <w:sz w:val="20"/>
                <w:szCs w:val="20"/>
                <w:color w:val="auto"/>
              </w:rPr>
            </w:pPr>
            <w:r>
              <w:rPr>
                <w:rFonts w:ascii="Times New Roman" w:cs="Times New Roman" w:eastAsia="Times New Roman" w:hAnsi="Times New Roman"/>
                <w:sz w:val="11"/>
                <w:szCs w:val="11"/>
                <w:color w:val="auto"/>
              </w:rPr>
              <w:t>PennantPark Senior Secured Loan</w:t>
            </w:r>
          </w:p>
        </w:tc>
        <w:tc>
          <w:tcPr>
            <w:tcW w:w="6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400" w:type="dxa"/>
            <w:vAlign w:val="bottom"/>
          </w:tcPr>
          <w:p>
            <w:pPr>
              <w:spacing w:after="0"/>
              <w:rPr>
                <w:sz w:val="10"/>
                <w:szCs w:val="10"/>
                <w:color w:val="auto"/>
              </w:rPr>
            </w:pPr>
          </w:p>
        </w:tc>
      </w:tr>
      <w:tr>
        <w:trPr>
          <w:trHeight w:val="141"/>
        </w:trPr>
        <w:tc>
          <w:tcPr>
            <w:tcW w:w="400" w:type="dxa"/>
            <w:vAlign w:val="bottom"/>
          </w:tcPr>
          <w:p>
            <w:pPr>
              <w:spacing w:after="0"/>
              <w:rPr>
                <w:sz w:val="12"/>
                <w:szCs w:val="12"/>
                <w:color w:val="auto"/>
              </w:rPr>
            </w:pPr>
          </w:p>
        </w:tc>
        <w:tc>
          <w:tcPr>
            <w:tcW w:w="16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Fund I LLC *</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281,968</w:t>
            </w:r>
          </w:p>
        </w:tc>
        <w:tc>
          <w:tcPr>
            <w:tcW w:w="60" w:type="dxa"/>
            <w:vAlign w:val="bottom"/>
            <w:shd w:val="clear" w:color="auto" w:fill="CCECFF"/>
          </w:tcPr>
          <w:p>
            <w:pPr>
              <w:spacing w:after="0"/>
              <w:rPr>
                <w:sz w:val="12"/>
                <w:szCs w:val="12"/>
                <w:color w:val="auto"/>
              </w:rPr>
            </w:pPr>
          </w:p>
        </w:tc>
        <w:tc>
          <w:tcPr>
            <w:tcW w:w="6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39,375</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(11,003)</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310,340</w:t>
            </w: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7,273</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4,944</w:t>
            </w:r>
          </w:p>
        </w:tc>
        <w:tc>
          <w:tcPr>
            <w:tcW w:w="400" w:type="dxa"/>
            <w:vAlign w:val="bottom"/>
          </w:tcPr>
          <w:p>
            <w:pPr>
              <w:spacing w:after="0"/>
              <w:rPr>
                <w:sz w:val="12"/>
                <w:szCs w:val="12"/>
                <w:color w:val="auto"/>
              </w:rPr>
            </w:pPr>
          </w:p>
        </w:tc>
      </w:tr>
      <w:tr>
        <w:trPr>
          <w:trHeight w:val="131"/>
        </w:trPr>
        <w:tc>
          <w:tcPr>
            <w:tcW w:w="400" w:type="dxa"/>
            <w:vAlign w:val="bottom"/>
          </w:tcPr>
          <w:p>
            <w:pPr>
              <w:spacing w:after="0"/>
              <w:rPr>
                <w:sz w:val="11"/>
                <w:szCs w:val="11"/>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1"/>
                <w:szCs w:val="11"/>
                <w:color w:val="auto"/>
              </w:rPr>
              <w:t>Total Controlled Affiliates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$281,968</w:t>
            </w:r>
          </w:p>
        </w:tc>
        <w:tc>
          <w:tcPr>
            <w:tcW w:w="6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$95,625</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$(11,021)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$366,572</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$7,845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$4,944</w:t>
            </w:r>
          </w:p>
        </w:tc>
        <w:tc>
          <w:tcPr>
            <w:tcW w:w="400" w:type="dxa"/>
            <w:vAlign w:val="bottom"/>
          </w:tcPr>
          <w:p>
            <w:pPr>
              <w:spacing w:after="0"/>
              <w:rPr>
                <w:sz w:val="11"/>
                <w:szCs w:val="11"/>
                <w:color w:val="auto"/>
              </w:rPr>
            </w:pPr>
          </w:p>
        </w:tc>
      </w:tr>
      <w:tr>
        <w:trPr>
          <w:trHeight w:val="20"/>
        </w:trPr>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4"/>
        </w:trPr>
        <w:tc>
          <w:tcPr>
            <w:tcW w:w="4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gridSpan w:val="2"/>
          </w:tcPr>
          <w:p>
            <w:pPr>
              <w:jc w:val="right"/>
              <w:ind w:right="545"/>
              <w:spacing w:after="0"/>
              <w:rPr>
                <w:sz w:val="20"/>
                <w:szCs w:val="20"/>
                <w:color w:val="auto"/>
              </w:rPr>
            </w:pPr>
            <w:r>
              <w:rPr>
                <w:rFonts w:ascii="Times New Roman" w:cs="Times New Roman" w:eastAsia="Times New Roman" w:hAnsi="Times New Roman"/>
                <w:sz w:val="11"/>
                <w:szCs w:val="11"/>
                <w:color w:val="auto"/>
              </w:rPr>
              <w:t>48</w:t>
            </w: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573"/>
        </w:trPr>
        <w:tc>
          <w:tcPr>
            <w:tcW w:w="400" w:type="dxa"/>
            <w:vAlign w:val="bottom"/>
            <w:tcBorders>
              <w:bottom w:val="single" w:sz="8" w:color="EEEEEE"/>
            </w:tcBorders>
          </w:tcPr>
          <w:p>
            <w:pPr>
              <w:spacing w:after="0"/>
              <w:rPr>
                <w:sz w:val="24"/>
                <w:szCs w:val="24"/>
                <w:color w:val="auto"/>
              </w:rPr>
            </w:pPr>
          </w:p>
        </w:tc>
        <w:tc>
          <w:tcPr>
            <w:tcW w:w="164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-24765</wp:posOffset>
            </wp:positionV>
            <wp:extent cx="526605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23" w:lineRule="exact"/>
        <w:rPr>
          <w:sz w:val="20"/>
          <w:szCs w:val="20"/>
          <w:color w:val="auto"/>
        </w:rPr>
      </w:pPr>
    </w:p>
    <w:p>
      <w:pPr>
        <w:ind w:left="780" w:right="800" w:hanging="5"/>
        <w:spacing w:after="0" w:line="267" w:lineRule="auto"/>
        <w:tabs>
          <w:tab w:leader="none" w:pos="840" w:val="left"/>
        </w:tabs>
        <w:numPr>
          <w:ilvl w:val="0"/>
          <w:numId w:val="12"/>
        </w:numPr>
        <w:rPr>
          <w:rFonts w:ascii="Times New Roman" w:cs="Times New Roman" w:eastAsia="Times New Roman" w:hAnsi="Times New Roman"/>
          <w:sz w:val="8"/>
          <w:szCs w:val="8"/>
          <w:b w:val="1"/>
          <w:bCs w:val="1"/>
          <w:color w:val="auto"/>
        </w:rPr>
      </w:pPr>
      <w:r>
        <w:rPr>
          <w:rFonts w:ascii="Times New Roman" w:cs="Times New Roman" w:eastAsia="Times New Roman" w:hAnsi="Times New Roman"/>
          <w:sz w:val="9"/>
          <w:szCs w:val="9"/>
          <w:color w:val="auto"/>
        </w:rPr>
        <w:t>We and Kemper are the members of PSSL, a joint venture formed as a Delaware limited liability company that is not consolidated by us for financial reporting purposes. The members of PSSL make investments in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3" w:lineRule="exact"/>
        <w:rPr>
          <w:rFonts w:ascii="Times New Roman" w:cs="Times New Roman" w:eastAsia="Times New Roman" w:hAnsi="Times New Roman"/>
          <w:sz w:val="8"/>
          <w:szCs w:val="8"/>
          <w:b w:val="1"/>
          <w:bCs w:val="1"/>
          <w:color w:val="auto"/>
        </w:rPr>
      </w:pPr>
    </w:p>
    <w:p>
      <w:pPr>
        <w:ind w:left="780" w:right="880"/>
        <w:spacing w:after="0" w:line="267" w:lineRule="auto"/>
        <w:rPr>
          <w:rFonts w:ascii="Times New Roman" w:cs="Times New Roman" w:eastAsia="Times New Roman" w:hAnsi="Times New Roman"/>
          <w:sz w:val="8"/>
          <w:szCs w:val="8"/>
          <w:b w:val="1"/>
          <w:bCs w:val="1"/>
          <w:color w:val="auto"/>
        </w:rPr>
      </w:pPr>
      <w:r>
        <w:rPr>
          <w:rFonts w:ascii="Times New Roman" w:cs="Times New Roman" w:eastAsia="Times New Roman" w:hAnsi="Times New Roman"/>
          <w:sz w:val="9"/>
          <w:szCs w:val="9"/>
          <w:color w:val="auto"/>
        </w:rPr>
        <w:t>** We and HL are the members of PSSL II, a joint venture formed as a Delaware limited liability company that is not consolidated by us for financial reporting purposes. The members of PSSL II make investments in PSSL II in the form of first lien secured debt and equity interests, and all portfolio and other material decisions regarding PSSL II must be submitted to PSSL II’s board of directors or investment committee, both of which are comprised of equal number of representatives from each the Company and HL. Because management of PSSL II is shared equally between us and HL, we do not believe we control PSSL II for purposes of the 1940 Act or otherwise.</w:t>
      </w:r>
    </w:p>
    <w:p>
      <w:pPr>
        <w:spacing w:after="0" w:line="123" w:lineRule="exact"/>
        <w:rPr>
          <w:sz w:val="20"/>
          <w:szCs w:val="20"/>
          <w:color w:val="auto"/>
        </w:rPr>
      </w:pPr>
    </w:p>
    <w:tbl>
      <w:tblPr>
        <w:tblLayout w:type="fixed"/>
        <w:tblInd w:w="780" w:type="dxa"/>
        <w:tblCellMar>
          <w:top w:w="0" w:type="dxa"/>
          <w:left w:w="0" w:type="dxa"/>
          <w:bottom w:w="0" w:type="dxa"/>
          <w:right w:w="0" w:type="dxa"/>
        </w:tblCellMar>
      </w:tblPr>
      <w:tr>
        <w:trPr>
          <w:trHeight w:val="131"/>
        </w:trPr>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Net Change in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1"/>
        </w:trPr>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Net Realized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6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Fair Value at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Dividend/</w:t>
            </w:r>
          </w:p>
        </w:tc>
      </w:tr>
      <w:tr>
        <w:trPr>
          <w:trHeight w:val="131"/>
        </w:trPr>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September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80" w:type="dxa"/>
            <w:vAlign w:val="bottom"/>
          </w:tcPr>
          <w:p>
            <w:pPr>
              <w:spacing w:after="0"/>
              <w:rPr>
                <w:sz w:val="11"/>
                <w:szCs w:val="11"/>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Appreciation</w:t>
            </w:r>
          </w:p>
        </w:tc>
        <w:tc>
          <w:tcPr>
            <w:tcW w:w="6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80" w:type="dxa"/>
            <w:vAlign w:val="bottom"/>
          </w:tcPr>
          <w:p>
            <w:pPr>
              <w:spacing w:after="0"/>
              <w:rPr>
                <w:sz w:val="11"/>
                <w:szCs w:val="11"/>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Other</w:t>
            </w:r>
          </w:p>
        </w:tc>
      </w:tr>
      <w:tr>
        <w:trPr>
          <w:trHeight w:val="143"/>
        </w:trPr>
        <w:tc>
          <w:tcPr>
            <w:tcW w:w="1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 of Investment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w w:val="98"/>
              </w:rPr>
              <w:t>30, 2024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Additions</w:t>
            </w:r>
          </w:p>
        </w:tc>
        <w:tc>
          <w:tcPr>
            <w:tcW w:w="160" w:type="dxa"/>
            <w:vAlign w:val="bottom"/>
          </w:tcPr>
          <w:p>
            <w:pPr>
              <w:spacing w:after="0"/>
              <w:rPr>
                <w:sz w:val="12"/>
                <w:szCs w:val="12"/>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Reductions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(Depreciation)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80" w:type="dxa"/>
            <w:vAlign w:val="bottom"/>
          </w:tcPr>
          <w:p>
            <w:pPr>
              <w:spacing w:after="0"/>
              <w:rPr>
                <w:sz w:val="12"/>
                <w:szCs w:val="12"/>
                <w:color w:val="auto"/>
              </w:rPr>
            </w:pPr>
          </w:p>
        </w:tc>
        <w:tc>
          <w:tcPr>
            <w:tcW w:w="5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Income</w:t>
            </w:r>
          </w:p>
        </w:tc>
      </w:tr>
      <w:tr>
        <w:trPr>
          <w:trHeight w:val="131"/>
        </w:trPr>
        <w:tc>
          <w:tcPr>
            <w:tcW w:w="1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Controlled Affiliates</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31"/>
        </w:trPr>
        <w:tc>
          <w:tcPr>
            <w:tcW w:w="1380" w:type="dxa"/>
            <w:vAlign w:val="bottom"/>
          </w:tcPr>
          <w:p>
            <w:pPr>
              <w:spacing w:after="0"/>
              <w:rPr>
                <w:sz w:val="20"/>
                <w:szCs w:val="20"/>
                <w:color w:val="auto"/>
              </w:rPr>
            </w:pPr>
            <w:r>
              <w:rPr>
                <w:rFonts w:ascii="Times New Roman" w:cs="Times New Roman" w:eastAsia="Times New Roman" w:hAnsi="Times New Roman"/>
                <w:sz w:val="11"/>
                <w:szCs w:val="11"/>
                <w:color w:val="auto"/>
              </w:rPr>
              <w:t>Marketplace Events, LLC**</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57,107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4,214</w:t>
            </w:r>
          </w:p>
        </w:tc>
        <w:tc>
          <w:tcPr>
            <w:tcW w:w="28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(62,477)</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25,493</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(24,337)</w:t>
            </w:r>
          </w:p>
        </w:tc>
        <w:tc>
          <w:tcPr>
            <w:tcW w:w="200" w:type="dxa"/>
            <w:vAlign w:val="bottom"/>
            <w:gridSpan w:val="2"/>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5,062</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80" w:type="dxa"/>
            <w:vAlign w:val="bottom"/>
          </w:tcPr>
          <w:p>
            <w:pPr>
              <w:spacing w:after="0"/>
              <w:rPr>
                <w:sz w:val="11"/>
                <w:szCs w:val="11"/>
                <w:color w:val="auto"/>
              </w:rPr>
            </w:pPr>
          </w:p>
        </w:tc>
      </w:tr>
      <w:tr>
        <w:trPr>
          <w:trHeight w:val="131"/>
        </w:trPr>
        <w:tc>
          <w:tcPr>
            <w:tcW w:w="1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PennantPark Senior Secured</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31"/>
        </w:trPr>
        <w:tc>
          <w:tcPr>
            <w:tcW w:w="13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1"/>
                <w:szCs w:val="11"/>
                <w:color w:val="auto"/>
              </w:rPr>
              <w:t>Loan Fund I LLC *</w:t>
            </w: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294,128</w:t>
            </w:r>
          </w:p>
        </w:tc>
        <w:tc>
          <w:tcPr>
            <w:tcW w:w="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(7,567)</w:t>
            </w:r>
          </w:p>
        </w:tc>
        <w:tc>
          <w:tcPr>
            <w:tcW w:w="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286,561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7,746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4,375</w:t>
            </w:r>
          </w:p>
        </w:tc>
        <w:tc>
          <w:tcPr>
            <w:tcW w:w="80" w:type="dxa"/>
            <w:vAlign w:val="bottom"/>
            <w:shd w:val="clear" w:color="auto" w:fill="CCECFF"/>
          </w:tcPr>
          <w:p>
            <w:pPr>
              <w:spacing w:after="0"/>
              <w:rPr>
                <w:sz w:val="11"/>
                <w:szCs w:val="11"/>
                <w:color w:val="auto"/>
              </w:rPr>
            </w:pPr>
          </w:p>
        </w:tc>
      </w:tr>
      <w:tr>
        <w:trPr>
          <w:trHeight w:val="131"/>
        </w:trPr>
        <w:tc>
          <w:tcPr>
            <w:tcW w:w="13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Total Controlled Affiliates</w:t>
            </w:r>
          </w:p>
        </w:tc>
        <w:tc>
          <w:tcPr>
            <w:tcW w:w="1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351,235</w:t>
            </w:r>
          </w:p>
        </w:tc>
        <w:tc>
          <w:tcPr>
            <w:tcW w:w="60" w:type="dxa"/>
            <w:vAlign w:val="bottom"/>
          </w:tcPr>
          <w:p>
            <w:pPr>
              <w:spacing w:after="0"/>
              <w:rPr>
                <w:sz w:val="11"/>
                <w:szCs w:val="11"/>
                <w:color w:val="auto"/>
              </w:rPr>
            </w:pPr>
          </w:p>
        </w:tc>
        <w:tc>
          <w:tcPr>
            <w:tcW w:w="14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4,214</w:t>
            </w:r>
          </w:p>
        </w:tc>
        <w:tc>
          <w:tcPr>
            <w:tcW w:w="280" w:type="dxa"/>
            <w:vAlign w:val="bottom"/>
            <w:gridSpan w:val="2"/>
          </w:tcPr>
          <w:p>
            <w:pPr>
              <w:jc w:val="right"/>
              <w:ind w:right="5"/>
              <w:spacing w:after="0" w:line="111"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0"/>
              <w:spacing w:after="0" w:line="111" w:lineRule="exact"/>
              <w:rPr>
                <w:sz w:val="20"/>
                <w:szCs w:val="20"/>
                <w:color w:val="auto"/>
              </w:rPr>
            </w:pPr>
            <w:r>
              <w:rPr>
                <w:rFonts w:ascii="Times New Roman" w:cs="Times New Roman" w:eastAsia="Times New Roman" w:hAnsi="Times New Roman"/>
                <w:sz w:val="8"/>
                <w:szCs w:val="8"/>
                <w:color w:val="auto"/>
              </w:rPr>
              <w:t>(62,477</w:t>
            </w:r>
            <w:r>
              <w:rPr>
                <w:rFonts w:ascii="Times New Roman" w:cs="Times New Roman" w:eastAsia="Times New Roman" w:hAnsi="Times New Roman"/>
                <w:sz w:val="12"/>
                <w:szCs w:val="12"/>
                <w:color w:val="auto"/>
                <w:vertAlign w:val="subscript"/>
              </w:rPr>
              <w:t>)</w:t>
            </w:r>
          </w:p>
        </w:tc>
        <w:tc>
          <w:tcPr>
            <w:tcW w:w="140" w:type="dxa"/>
            <w:vAlign w:val="bottom"/>
            <w:gridSpan w:val="2"/>
          </w:tcPr>
          <w:p>
            <w:pPr>
              <w:ind w:left="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80"/>
              <w:spacing w:after="0" w:line="111" w:lineRule="exact"/>
              <w:rPr>
                <w:sz w:val="20"/>
                <w:szCs w:val="20"/>
                <w:color w:val="auto"/>
              </w:rPr>
            </w:pPr>
            <w:r>
              <w:rPr>
                <w:rFonts w:ascii="Times New Roman" w:cs="Times New Roman" w:eastAsia="Times New Roman" w:hAnsi="Times New Roman"/>
                <w:sz w:val="11"/>
                <w:szCs w:val="11"/>
                <w:color w:val="auto"/>
              </w:rPr>
              <w:t>25,493</w:t>
            </w:r>
          </w:p>
        </w:tc>
        <w:tc>
          <w:tcPr>
            <w:tcW w:w="14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60"/>
              <w:spacing w:after="0" w:line="111" w:lineRule="exact"/>
              <w:rPr>
                <w:sz w:val="20"/>
                <w:szCs w:val="20"/>
                <w:color w:val="auto"/>
              </w:rPr>
            </w:pPr>
            <w:r>
              <w:rPr>
                <w:rFonts w:ascii="Times New Roman" w:cs="Times New Roman" w:eastAsia="Times New Roman" w:hAnsi="Times New Roman"/>
                <w:sz w:val="8"/>
                <w:szCs w:val="8"/>
                <w:color w:val="auto"/>
              </w:rPr>
              <w:t>(31,904</w:t>
            </w:r>
            <w:r>
              <w:rPr>
                <w:rFonts w:ascii="Times New Roman" w:cs="Times New Roman" w:eastAsia="Times New Roman" w:hAnsi="Times New Roman"/>
                <w:sz w:val="12"/>
                <w:szCs w:val="12"/>
                <w:color w:val="auto"/>
                <w:vertAlign w:val="subscript"/>
              </w:rPr>
              <w:t>)</w:t>
            </w:r>
          </w:p>
        </w:tc>
        <w:tc>
          <w:tcPr>
            <w:tcW w:w="200" w:type="dxa"/>
            <w:vAlign w:val="bottom"/>
            <w:gridSpan w:val="2"/>
          </w:tcPr>
          <w:p>
            <w:pPr>
              <w:jc w:val="right"/>
              <w:ind w:right="45"/>
              <w:spacing w:after="0" w:line="111"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286,561</w:t>
            </w:r>
          </w:p>
        </w:tc>
        <w:tc>
          <w:tcPr>
            <w:tcW w:w="22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12,808</w:t>
            </w:r>
          </w:p>
        </w:tc>
        <w:tc>
          <w:tcPr>
            <w:tcW w:w="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4,681</w:t>
            </w:r>
          </w:p>
        </w:tc>
        <w:tc>
          <w:tcPr>
            <w:tcW w:w="80" w:type="dxa"/>
            <w:vAlign w:val="bottom"/>
          </w:tcPr>
          <w:p>
            <w:pPr>
              <w:spacing w:after="0"/>
              <w:rPr>
                <w:sz w:val="11"/>
                <w:szCs w:val="11"/>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ind w:left="780" w:right="800" w:hanging="5"/>
        <w:spacing w:after="0" w:line="267" w:lineRule="auto"/>
        <w:tabs>
          <w:tab w:leader="none" w:pos="851"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We and Kemper are the members of PSSL, a joint venture formed as a Delaware limited liability company that is not consolidated by us for financial reporting purposes. The members of PSSL make investments in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3" w:lineRule="exact"/>
        <w:rPr>
          <w:rFonts w:ascii="Times New Roman" w:cs="Times New Roman" w:eastAsia="Times New Roman" w:hAnsi="Times New Roman"/>
          <w:sz w:val="9"/>
          <w:szCs w:val="9"/>
          <w:color w:val="auto"/>
        </w:rPr>
      </w:pPr>
    </w:p>
    <w:p>
      <w:pPr>
        <w:ind w:left="780"/>
        <w:spacing w:after="0"/>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Marketplace was sold during the Q1 2025 quarter.</w:t>
      </w:r>
    </w:p>
    <w:p>
      <w:pPr>
        <w:spacing w:after="0" w:line="23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7. CHANGE IN NET ASSETS FROM OPERATIONS PER COMMON SHARE</w:t>
      </w:r>
    </w:p>
    <w:p>
      <w:pPr>
        <w:spacing w:after="0" w:line="138" w:lineRule="exact"/>
        <w:rPr>
          <w:sz w:val="20"/>
          <w:szCs w:val="20"/>
          <w:color w:val="auto"/>
        </w:rPr>
      </w:pPr>
    </w:p>
    <w:p>
      <w:pPr>
        <w:ind w:left="1160" w:right="2000" w:hanging="110"/>
        <w:spacing w:after="0" w:line="279" w:lineRule="auto"/>
        <w:rPr>
          <w:sz w:val="20"/>
          <w:szCs w:val="20"/>
          <w:color w:val="auto"/>
        </w:rPr>
      </w:pPr>
      <w:r>
        <w:rPr>
          <w:rFonts w:ascii="Times New Roman" w:cs="Times New Roman" w:eastAsia="Times New Roman" w:hAnsi="Times New Roman"/>
          <w:sz w:val="11"/>
          <w:szCs w:val="11"/>
          <w:color w:val="auto"/>
        </w:rPr>
        <w:t>The following information sets forth the computation of basic and diluted per share net increase in net assets resulting from operations ($ in thousands, except per share data):</w:t>
      </w:r>
    </w:p>
    <w:p>
      <w:pPr>
        <w:spacing w:after="0" w:line="11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p>
      <w:pPr>
        <w:spacing w:after="0" w:line="18" w:lineRule="exact"/>
        <w:rPr>
          <w:sz w:val="20"/>
          <w:szCs w:val="20"/>
          <w:color w:val="auto"/>
        </w:rPr>
      </w:pPr>
    </w:p>
    <w:tbl>
      <w:tblPr>
        <w:tblLayout w:type="fixed"/>
        <w:tblInd w:w="780" w:type="dxa"/>
        <w:tblCellMar>
          <w:top w:w="0" w:type="dxa"/>
          <w:left w:w="0" w:type="dxa"/>
          <w:bottom w:w="0" w:type="dxa"/>
          <w:right w:w="0" w:type="dxa"/>
        </w:tblCellMar>
      </w:tblPr>
      <w:tr>
        <w:trPr>
          <w:trHeight w:val="129"/>
        </w:trPr>
        <w:tc>
          <w:tcPr>
            <w:tcW w:w="54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880" w:type="dxa"/>
            <w:vAlign w:val="bottom"/>
          </w:tcPr>
          <w:p>
            <w:pPr>
              <w:spacing w:after="0"/>
              <w:rPr>
                <w:sz w:val="11"/>
                <w:szCs w:val="11"/>
                <w:color w:val="auto"/>
              </w:rPr>
            </w:pPr>
          </w:p>
        </w:tc>
        <w:tc>
          <w:tcPr>
            <w:tcW w:w="1140" w:type="dxa"/>
            <w:vAlign w:val="bottom"/>
          </w:tcPr>
          <w:p>
            <w:pPr>
              <w:jc w:val="right"/>
              <w:ind w:right="54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31"/>
        </w:trPr>
        <w:tc>
          <w:tcPr>
            <w:tcW w:w="54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Numerator for net increase in net assets resulting from operations</w:t>
            </w:r>
          </w:p>
        </w:tc>
        <w:tc>
          <w:tcPr>
            <w:tcW w:w="880" w:type="dxa"/>
            <w:vAlign w:val="bottom"/>
            <w:shd w:val="clear" w:color="auto" w:fill="CCECFF"/>
          </w:tcPr>
          <w:p>
            <w:pPr>
              <w:jc w:val="right"/>
              <w:ind w:right="265"/>
              <w:spacing w:after="0"/>
              <w:rPr>
                <w:sz w:val="20"/>
                <w:szCs w:val="20"/>
                <w:color w:val="auto"/>
              </w:rPr>
            </w:pPr>
            <w:r>
              <w:rPr>
                <w:rFonts w:ascii="Times New Roman" w:cs="Times New Roman" w:eastAsia="Times New Roman" w:hAnsi="Times New Roman"/>
                <w:sz w:val="11"/>
                <w:szCs w:val="11"/>
                <w:color w:val="auto"/>
              </w:rPr>
              <w:t>(3,578)</w:t>
            </w:r>
          </w:p>
        </w:tc>
        <w:tc>
          <w:tcPr>
            <w:tcW w:w="1140" w:type="dxa"/>
            <w:vAlign w:val="bottom"/>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rPr>
              <w:t>28,329</w:t>
            </w:r>
          </w:p>
        </w:tc>
      </w:tr>
      <w:tr>
        <w:trPr>
          <w:trHeight w:val="131"/>
        </w:trPr>
        <w:tc>
          <w:tcPr>
            <w:tcW w:w="5440" w:type="dxa"/>
            <w:vAlign w:val="bottom"/>
          </w:tcPr>
          <w:p>
            <w:pPr>
              <w:spacing w:after="0"/>
              <w:rPr>
                <w:sz w:val="20"/>
                <w:szCs w:val="20"/>
                <w:color w:val="auto"/>
              </w:rPr>
            </w:pPr>
            <w:r>
              <w:rPr>
                <w:rFonts w:ascii="Times New Roman" w:cs="Times New Roman" w:eastAsia="Times New Roman" w:hAnsi="Times New Roman"/>
                <w:sz w:val="11"/>
                <w:szCs w:val="11"/>
                <w:color w:val="auto"/>
              </w:rPr>
              <w:t>Denominator for basic and diluted weighted average shares</w:t>
            </w:r>
          </w:p>
        </w:tc>
        <w:tc>
          <w:tcPr>
            <w:tcW w:w="880" w:type="dxa"/>
            <w:vAlign w:val="bottom"/>
          </w:tcPr>
          <w:p>
            <w:pPr>
              <w:jc w:val="right"/>
              <w:ind w:right="305"/>
              <w:spacing w:after="0"/>
              <w:rPr>
                <w:sz w:val="20"/>
                <w:szCs w:val="20"/>
                <w:color w:val="auto"/>
              </w:rPr>
            </w:pPr>
            <w:r>
              <w:rPr>
                <w:rFonts w:ascii="Times New Roman" w:cs="Times New Roman" w:eastAsia="Times New Roman" w:hAnsi="Times New Roman"/>
                <w:sz w:val="11"/>
                <w:szCs w:val="11"/>
                <w:color w:val="auto"/>
              </w:rPr>
              <w:t>99,217,896</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81,663,331</w:t>
            </w:r>
          </w:p>
        </w:tc>
      </w:tr>
      <w:tr>
        <w:trPr>
          <w:trHeight w:val="131"/>
        </w:trPr>
        <w:tc>
          <w:tcPr>
            <w:tcW w:w="54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Basic and diluted net increase in net assets per share resulting from operations</w:t>
            </w:r>
          </w:p>
        </w:tc>
        <w:tc>
          <w:tcPr>
            <w:tcW w:w="880" w:type="dxa"/>
            <w:vAlign w:val="bottom"/>
            <w:shd w:val="clear" w:color="auto" w:fill="CCECFF"/>
          </w:tcPr>
          <w:p>
            <w:pPr>
              <w:jc w:val="right"/>
              <w:ind w:right="265"/>
              <w:spacing w:after="0"/>
              <w:rPr>
                <w:sz w:val="20"/>
                <w:szCs w:val="20"/>
                <w:color w:val="auto"/>
              </w:rPr>
            </w:pPr>
            <w:r>
              <w:rPr>
                <w:rFonts w:ascii="Times New Roman" w:cs="Times New Roman" w:eastAsia="Times New Roman" w:hAnsi="Times New Roman"/>
                <w:sz w:val="11"/>
                <w:szCs w:val="11"/>
                <w:color w:val="auto"/>
              </w:rPr>
              <w:t>(0.04)</w:t>
            </w:r>
          </w:p>
        </w:tc>
        <w:tc>
          <w:tcPr>
            <w:tcW w:w="1140" w:type="dxa"/>
            <w:vAlign w:val="bottom"/>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rPr>
              <w:t>0.35</w:t>
            </w:r>
          </w:p>
        </w:tc>
      </w:tr>
    </w:tbl>
    <w:p>
      <w:pPr>
        <w:spacing w:after="0" w:line="13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8. CASH AND CASH EQUIVALENTS</w:t>
      </w:r>
    </w:p>
    <w:p>
      <w:pPr>
        <w:spacing w:after="0" w:line="138" w:lineRule="exact"/>
        <w:rPr>
          <w:sz w:val="20"/>
          <w:szCs w:val="20"/>
          <w:color w:val="auto"/>
        </w:rPr>
      </w:pPr>
    </w:p>
    <w:p>
      <w:pPr>
        <w:ind w:left="780" w:right="860" w:firstLine="282"/>
        <w:spacing w:after="0" w:line="251" w:lineRule="auto"/>
        <w:rPr>
          <w:sz w:val="20"/>
          <w:szCs w:val="20"/>
          <w:color w:val="auto"/>
        </w:rPr>
      </w:pPr>
      <w:r>
        <w:rPr>
          <w:rFonts w:ascii="Times New Roman" w:cs="Times New Roman" w:eastAsia="Times New Roman" w:hAnsi="Times New Roman"/>
          <w:sz w:val="11"/>
          <w:szCs w:val="11"/>
          <w:color w:val="auto"/>
        </w:rPr>
        <w:t>Cash equivalents represent cash in money market funds pending investment in longer-term portfolio holdings and for other general purposes.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depends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2025, cash and cash equivalents consisted of money market funds and non-money market fund in the amounts of $40.1 million and $55.1 million, respectively. As of September 30, 2025, cash and cash equivalents consisted of money market funds and non-money market fund in the amounts of $40.7 million and $82.0 million at fair value, respectively.</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5" w:lineRule="exact"/>
        <w:rPr>
          <w:sz w:val="20"/>
          <w:szCs w:val="20"/>
          <w:color w:val="auto"/>
        </w:rPr>
      </w:pPr>
    </w:p>
    <w:tbl>
      <w:tblPr>
        <w:tblLayout w:type="fixed"/>
        <w:tblInd w:w="780" w:type="dxa"/>
        <w:tblCellMar>
          <w:top w:w="0" w:type="dxa"/>
          <w:left w:w="0" w:type="dxa"/>
          <w:bottom w:w="0" w:type="dxa"/>
          <w:right w:w="0" w:type="dxa"/>
        </w:tblCellMar>
      </w:tblPr>
      <w:tr>
        <w:trPr>
          <w:trHeight w:val="145"/>
        </w:trPr>
        <w:tc>
          <w:tcPr>
            <w:tcW w:w="4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9. FINANCIAL HIGHLIGHTS</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9"/>
        </w:trPr>
        <w:tc>
          <w:tcPr>
            <w:tcW w:w="45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Below are the financial highlights ($ in thousands, except per share data):</w:t>
            </w: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9"/>
        </w:trPr>
        <w:tc>
          <w:tcPr>
            <w:tcW w:w="4520" w:type="dxa"/>
            <w:vAlign w:val="bottom"/>
          </w:tcPr>
          <w:p>
            <w:pPr>
              <w:spacing w:after="0"/>
              <w:rPr>
                <w:sz w:val="23"/>
                <w:szCs w:val="23"/>
                <w:color w:val="auto"/>
              </w:rPr>
            </w:pPr>
          </w:p>
        </w:tc>
        <w:tc>
          <w:tcPr>
            <w:tcW w:w="2320" w:type="dxa"/>
            <w:vAlign w:val="bottom"/>
            <w:gridSpan w:val="4"/>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43"/>
        </w:trPr>
        <w:tc>
          <w:tcPr>
            <w:tcW w:w="45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1"/>
        </w:trPr>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Per Share Data:</w:t>
            </w:r>
          </w:p>
        </w:tc>
        <w:tc>
          <w:tcPr>
            <w:tcW w:w="78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4520" w:type="dxa"/>
            <w:vAlign w:val="bottom"/>
          </w:tcPr>
          <w:p>
            <w:pPr>
              <w:spacing w:after="0"/>
              <w:rPr>
                <w:sz w:val="20"/>
                <w:szCs w:val="20"/>
                <w:color w:val="auto"/>
              </w:rPr>
            </w:pPr>
            <w:r>
              <w:rPr>
                <w:rFonts w:ascii="Times New Roman" w:cs="Times New Roman" w:eastAsia="Times New Roman" w:hAnsi="Times New Roman"/>
                <w:sz w:val="11"/>
                <w:szCs w:val="11"/>
                <w:color w:val="auto"/>
              </w:rPr>
              <w:t>Net asset value, beginning of period</w:t>
            </w:r>
          </w:p>
        </w:tc>
        <w:tc>
          <w:tcPr>
            <w:tcW w:w="780" w:type="dxa"/>
            <w:vAlign w:val="bottom"/>
          </w:tcPr>
          <w:p>
            <w:pPr>
              <w:jc w:val="right"/>
              <w:ind w:right="710"/>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10.83</w:t>
            </w:r>
          </w:p>
        </w:tc>
        <w:tc>
          <w:tcPr>
            <w:tcW w:w="220" w:type="dxa"/>
            <w:vAlign w:val="bottom"/>
          </w:tcPr>
          <w:p>
            <w:pPr>
              <w:spacing w:after="0"/>
              <w:rPr>
                <w:sz w:val="11"/>
                <w:szCs w:val="11"/>
                <w:color w:val="auto"/>
              </w:rPr>
            </w:pPr>
          </w:p>
        </w:tc>
        <w:tc>
          <w:tcPr>
            <w:tcW w:w="800" w:type="dxa"/>
            <w:vAlign w:val="bottom"/>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4520" w:type="dxa"/>
            <w:vAlign w:val="bottom"/>
            <w:shd w:val="clear" w:color="auto" w:fill="CCECFF"/>
          </w:tcPr>
          <w:p>
            <w:pPr>
              <w:spacing w:after="0" w:line="131" w:lineRule="exact"/>
              <w:rPr>
                <w:sz w:val="20"/>
                <w:szCs w:val="20"/>
                <w:color w:val="auto"/>
              </w:rPr>
            </w:pPr>
            <w:r>
              <w:rPr>
                <w:rFonts w:ascii="Times New Roman" w:cs="Times New Roman" w:eastAsia="Times New Roman" w:hAnsi="Times New Roman"/>
                <w:sz w:val="11"/>
                <w:szCs w:val="11"/>
                <w:color w:val="auto"/>
              </w:rPr>
              <w:t xml:space="preserve">Net investment income </w:t>
            </w:r>
            <w:r>
              <w:rPr>
                <w:rFonts w:ascii="Times New Roman" w:cs="Times New Roman" w:eastAsia="Times New Roman" w:hAnsi="Times New Roman"/>
                <w:sz w:val="14"/>
                <w:szCs w:val="14"/>
                <w:color w:val="auto"/>
                <w:vertAlign w:val="superscript"/>
              </w:rPr>
              <w:t>(1)</w:t>
            </w:r>
          </w:p>
        </w:tc>
        <w:tc>
          <w:tcPr>
            <w:tcW w:w="78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0.27</w:t>
            </w:r>
          </w:p>
        </w:tc>
        <w:tc>
          <w:tcPr>
            <w:tcW w:w="80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0.37</w:t>
            </w:r>
          </w:p>
        </w:tc>
        <w:tc>
          <w:tcPr>
            <w:tcW w:w="20" w:type="dxa"/>
            <w:vAlign w:val="bottom"/>
          </w:tcPr>
          <w:p>
            <w:pPr>
              <w:spacing w:after="0"/>
              <w:rPr>
                <w:sz w:val="11"/>
                <w:szCs w:val="11"/>
                <w:color w:val="auto"/>
              </w:rPr>
            </w:pPr>
          </w:p>
        </w:tc>
      </w:tr>
      <w:tr>
        <w:trPr>
          <w:trHeight w:val="131"/>
        </w:trPr>
        <w:tc>
          <w:tcPr>
            <w:tcW w:w="4520" w:type="dxa"/>
            <w:vAlign w:val="bottom"/>
          </w:tcPr>
          <w:p>
            <w:pPr>
              <w:spacing w:after="0" w:line="131" w:lineRule="exact"/>
              <w:rPr>
                <w:sz w:val="20"/>
                <w:szCs w:val="20"/>
                <w:color w:val="auto"/>
              </w:rPr>
            </w:pPr>
            <w:r>
              <w:rPr>
                <w:rFonts w:ascii="Times New Roman" w:cs="Times New Roman" w:eastAsia="Times New Roman" w:hAnsi="Times New Roman"/>
                <w:sz w:val="11"/>
                <w:szCs w:val="11"/>
                <w:color w:val="auto"/>
              </w:rPr>
              <w:t xml:space="preserve">Net change in realized and unrealized gain (loss) </w:t>
            </w:r>
            <w:r>
              <w:rPr>
                <w:rFonts w:ascii="Times New Roman" w:cs="Times New Roman" w:eastAsia="Times New Roman" w:hAnsi="Times New Roman"/>
                <w:sz w:val="14"/>
                <w:szCs w:val="14"/>
                <w:color w:val="auto"/>
                <w:vertAlign w:val="superscript"/>
              </w:rPr>
              <w:t>(1)</w:t>
            </w:r>
          </w:p>
        </w:tc>
        <w:tc>
          <w:tcPr>
            <w:tcW w:w="78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(0.30)</w:t>
            </w:r>
          </w:p>
        </w:tc>
        <w:tc>
          <w:tcPr>
            <w:tcW w:w="8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(0.02)</w:t>
            </w:r>
          </w:p>
        </w:tc>
        <w:tc>
          <w:tcPr>
            <w:tcW w:w="20" w:type="dxa"/>
            <w:vAlign w:val="bottom"/>
          </w:tcPr>
          <w:p>
            <w:pPr>
              <w:spacing w:after="0"/>
              <w:rPr>
                <w:sz w:val="11"/>
                <w:szCs w:val="11"/>
                <w:color w:val="auto"/>
              </w:rPr>
            </w:pPr>
          </w:p>
        </w:tc>
      </w:tr>
      <w:tr>
        <w:trPr>
          <w:trHeight w:val="131"/>
        </w:trPr>
        <w:tc>
          <w:tcPr>
            <w:tcW w:w="4520" w:type="dxa"/>
            <w:vAlign w:val="bottom"/>
            <w:shd w:val="clear" w:color="auto" w:fill="CCECFF"/>
          </w:tcPr>
          <w:p>
            <w:pPr>
              <w:spacing w:after="0" w:line="131" w:lineRule="exact"/>
              <w:rPr>
                <w:sz w:val="20"/>
                <w:szCs w:val="20"/>
                <w:color w:val="auto"/>
              </w:rPr>
            </w:pPr>
            <w:r>
              <w:rPr>
                <w:rFonts w:ascii="Times New Roman" w:cs="Times New Roman" w:eastAsia="Times New Roman" w:hAnsi="Times New Roman"/>
                <w:sz w:val="11"/>
                <w:szCs w:val="11"/>
                <w:color w:val="auto"/>
              </w:rPr>
              <w:t xml:space="preserve">Net increase (decrease) in net assets resulting from operations </w:t>
            </w:r>
            <w:r>
              <w:rPr>
                <w:rFonts w:ascii="Times New Roman" w:cs="Times New Roman" w:eastAsia="Times New Roman" w:hAnsi="Times New Roman"/>
                <w:sz w:val="14"/>
                <w:szCs w:val="14"/>
                <w:color w:val="auto"/>
                <w:vertAlign w:val="superscript"/>
              </w:rPr>
              <w:t>(1), (7)</w:t>
            </w:r>
          </w:p>
        </w:tc>
        <w:tc>
          <w:tcPr>
            <w:tcW w:w="78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(0.04)</w:t>
            </w:r>
          </w:p>
        </w:tc>
        <w:tc>
          <w:tcPr>
            <w:tcW w:w="80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0.35</w:t>
            </w:r>
          </w:p>
        </w:tc>
        <w:tc>
          <w:tcPr>
            <w:tcW w:w="20" w:type="dxa"/>
            <w:vAlign w:val="bottom"/>
          </w:tcPr>
          <w:p>
            <w:pPr>
              <w:spacing w:after="0"/>
              <w:rPr>
                <w:sz w:val="11"/>
                <w:szCs w:val="11"/>
                <w:color w:val="auto"/>
              </w:rPr>
            </w:pPr>
          </w:p>
        </w:tc>
      </w:tr>
      <w:tr>
        <w:trPr>
          <w:trHeight w:val="131"/>
        </w:trPr>
        <w:tc>
          <w:tcPr>
            <w:tcW w:w="4520" w:type="dxa"/>
            <w:vAlign w:val="bottom"/>
          </w:tcPr>
          <w:p>
            <w:pPr>
              <w:spacing w:after="0" w:line="131" w:lineRule="exact"/>
              <w:rPr>
                <w:sz w:val="20"/>
                <w:szCs w:val="20"/>
                <w:color w:val="auto"/>
              </w:rPr>
            </w:pPr>
            <w:r>
              <w:rPr>
                <w:rFonts w:ascii="Times New Roman" w:cs="Times New Roman" w:eastAsia="Times New Roman" w:hAnsi="Times New Roman"/>
                <w:sz w:val="11"/>
                <w:szCs w:val="11"/>
                <w:color w:val="auto"/>
              </w:rPr>
              <w:t xml:space="preserve">Distributions to stockholders </w:t>
            </w:r>
            <w:r>
              <w:rPr>
                <w:rFonts w:ascii="Times New Roman" w:cs="Times New Roman" w:eastAsia="Times New Roman" w:hAnsi="Times New Roman"/>
                <w:sz w:val="14"/>
                <w:szCs w:val="14"/>
                <w:color w:val="auto"/>
                <w:vertAlign w:val="superscript"/>
              </w:rPr>
              <w:t>(1), (2)</w:t>
            </w:r>
          </w:p>
        </w:tc>
        <w:tc>
          <w:tcPr>
            <w:tcW w:w="78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(0.31)</w:t>
            </w:r>
          </w:p>
        </w:tc>
        <w:tc>
          <w:tcPr>
            <w:tcW w:w="8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(0.31)</w:t>
            </w:r>
          </w:p>
        </w:tc>
        <w:tc>
          <w:tcPr>
            <w:tcW w:w="20" w:type="dxa"/>
            <w:vAlign w:val="bottom"/>
          </w:tcPr>
          <w:p>
            <w:pPr>
              <w:spacing w:after="0"/>
              <w:rPr>
                <w:sz w:val="11"/>
                <w:szCs w:val="11"/>
                <w:color w:val="auto"/>
              </w:rPr>
            </w:pPr>
          </w:p>
        </w:tc>
      </w:tr>
      <w:tr>
        <w:trPr>
          <w:trHeight w:val="131"/>
        </w:trPr>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Accretive effect of common stock issuance</w:t>
            </w:r>
          </w:p>
        </w:tc>
        <w:tc>
          <w:tcPr>
            <w:tcW w:w="78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(0.01)</w:t>
            </w:r>
          </w:p>
        </w:tc>
        <w:tc>
          <w:tcPr>
            <w:tcW w:w="20" w:type="dxa"/>
            <w:vAlign w:val="bottom"/>
          </w:tcPr>
          <w:p>
            <w:pPr>
              <w:spacing w:after="0"/>
              <w:rPr>
                <w:sz w:val="11"/>
                <w:szCs w:val="11"/>
                <w:color w:val="auto"/>
              </w:rPr>
            </w:pPr>
          </w:p>
        </w:tc>
      </w:tr>
      <w:tr>
        <w:trPr>
          <w:trHeight w:val="131"/>
        </w:trPr>
        <w:tc>
          <w:tcPr>
            <w:tcW w:w="4520" w:type="dxa"/>
            <w:vAlign w:val="bottom"/>
          </w:tcPr>
          <w:p>
            <w:pPr>
              <w:spacing w:after="0" w:line="131" w:lineRule="exact"/>
              <w:rPr>
                <w:sz w:val="20"/>
                <w:szCs w:val="20"/>
                <w:color w:val="auto"/>
              </w:rPr>
            </w:pPr>
            <w:r>
              <w:rPr>
                <w:rFonts w:ascii="Times New Roman" w:cs="Times New Roman" w:eastAsia="Times New Roman" w:hAnsi="Times New Roman"/>
                <w:sz w:val="11"/>
                <w:szCs w:val="11"/>
                <w:color w:val="auto"/>
              </w:rPr>
              <w:t xml:space="preserve">Net asset value, end of period </w:t>
            </w:r>
            <w:r>
              <w:rPr>
                <w:rFonts w:ascii="Times New Roman" w:cs="Times New Roman" w:eastAsia="Times New Roman" w:hAnsi="Times New Roman"/>
                <w:sz w:val="14"/>
                <w:szCs w:val="14"/>
                <w:color w:val="auto"/>
                <w:vertAlign w:val="superscript"/>
              </w:rPr>
              <w:t>(7)</w:t>
            </w:r>
          </w:p>
        </w:tc>
        <w:tc>
          <w:tcPr>
            <w:tcW w:w="7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10.49</w:t>
            </w:r>
          </w:p>
        </w:tc>
        <w:tc>
          <w:tcPr>
            <w:tcW w:w="220" w:type="dxa"/>
            <w:vAlign w:val="bottom"/>
          </w:tcPr>
          <w:p>
            <w:pPr>
              <w:spacing w:after="0"/>
              <w:rPr>
                <w:sz w:val="11"/>
                <w:szCs w:val="11"/>
                <w:color w:val="auto"/>
              </w:rPr>
            </w:pPr>
          </w:p>
        </w:tc>
        <w:tc>
          <w:tcPr>
            <w:tcW w:w="80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4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520" w:type="dxa"/>
            <w:vAlign w:val="bottom"/>
            <w:tcBorders>
              <w:bottom w:val="single" w:sz="8" w:color="CCECFF"/>
            </w:tcBorders>
            <w:shd w:val="clear" w:color="auto" w:fill="CCECFF"/>
          </w:tcPr>
          <w:p>
            <w:pPr>
              <w:spacing w:after="0" w:line="102" w:lineRule="exact"/>
              <w:rPr>
                <w:sz w:val="20"/>
                <w:szCs w:val="20"/>
                <w:color w:val="auto"/>
              </w:rPr>
            </w:pPr>
            <w:r>
              <w:rPr>
                <w:rFonts w:ascii="Times New Roman" w:cs="Times New Roman" w:eastAsia="Times New Roman" w:hAnsi="Times New Roman"/>
                <w:sz w:val="11"/>
                <w:szCs w:val="11"/>
                <w:color w:val="auto"/>
              </w:rPr>
              <w:t>Per share market value, end of period</w:t>
            </w:r>
          </w:p>
        </w:tc>
        <w:tc>
          <w:tcPr>
            <w:tcW w:w="780" w:type="dxa"/>
            <w:vAlign w:val="bottom"/>
            <w:tcBorders>
              <w:top w:val="single" w:sz="8" w:color="auto"/>
              <w:bottom w:val="single" w:sz="8" w:color="auto"/>
            </w:tcBorders>
            <w:shd w:val="clear" w:color="auto" w:fill="CCECFF"/>
          </w:tcPr>
          <w:p>
            <w:pPr>
              <w:jc w:val="right"/>
              <w:ind w:right="710"/>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tcBorders>
              <w:top w:val="single" w:sz="8" w:color="auto"/>
              <w:bottom w:val="single" w:sz="8" w:color="auto"/>
            </w:tcBorders>
            <w:shd w:val="clear" w:color="auto" w:fill="CCECFF"/>
          </w:tcPr>
          <w:p>
            <w:pPr>
              <w:jc w:val="right"/>
              <w:spacing w:after="0" w:line="102" w:lineRule="exact"/>
              <w:rPr>
                <w:sz w:val="20"/>
                <w:szCs w:val="20"/>
                <w:color w:val="auto"/>
              </w:rPr>
            </w:pPr>
            <w:r>
              <w:rPr>
                <w:rFonts w:ascii="Times New Roman" w:cs="Times New Roman" w:eastAsia="Times New Roman" w:hAnsi="Times New Roman"/>
                <w:sz w:val="11"/>
                <w:szCs w:val="11"/>
                <w:color w:val="auto"/>
              </w:rPr>
              <w:t>9.27</w:t>
            </w:r>
          </w:p>
        </w:tc>
        <w:tc>
          <w:tcPr>
            <w:tcW w:w="22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top w:val="single" w:sz="8" w:color="auto"/>
              <w:bottom w:val="single" w:sz="8" w:color="auto"/>
            </w:tcBorders>
            <w:shd w:val="clear" w:color="auto" w:fill="CCECFF"/>
          </w:tcPr>
          <w:p>
            <w:pPr>
              <w:jc w:val="right"/>
              <w:ind w:right="685"/>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CFF"/>
          </w:tcPr>
          <w:p>
            <w:pPr>
              <w:jc w:val="right"/>
              <w:spacing w:after="0" w:line="102" w:lineRule="exact"/>
              <w:rPr>
                <w:sz w:val="20"/>
                <w:szCs w:val="20"/>
                <w:color w:val="auto"/>
              </w:rPr>
            </w:pPr>
            <w:r>
              <w:rPr>
                <w:rFonts w:ascii="Times New Roman" w:cs="Times New Roman" w:eastAsia="Times New Roman" w:hAnsi="Times New Roman"/>
                <w:sz w:val="11"/>
                <w:szCs w:val="11"/>
                <w:color w:val="auto"/>
              </w:rPr>
              <w:t>10.93</w:t>
            </w:r>
          </w:p>
        </w:tc>
        <w:tc>
          <w:tcPr>
            <w:tcW w:w="100" w:type="dxa"/>
            <w:vAlign w:val="bottom"/>
            <w:tcBorders>
              <w:bottom w:val="single" w:sz="8" w:color="CCECFF"/>
            </w:tcBorders>
            <w:shd w:val="clear" w:color="auto" w:fill="CCECFF"/>
          </w:tcPr>
          <w:p>
            <w:pPr>
              <w:spacing w:after="0"/>
              <w:rPr>
                <w:sz w:val="12"/>
                <w:szCs w:val="12"/>
                <w:color w:val="auto"/>
              </w:rPr>
            </w:pPr>
          </w:p>
        </w:tc>
        <w:tc>
          <w:tcPr>
            <w:tcW w:w="20" w:type="dxa"/>
            <w:vAlign w:val="bottom"/>
          </w:tcPr>
          <w:p>
            <w:pPr>
              <w:spacing w:after="0"/>
              <w:rPr>
                <w:sz w:val="12"/>
                <w:szCs w:val="12"/>
                <w:color w:val="auto"/>
              </w:rPr>
            </w:pPr>
          </w:p>
        </w:tc>
      </w:tr>
      <w:tr>
        <w:trPr>
          <w:trHeight w:val="101"/>
        </w:trPr>
        <w:tc>
          <w:tcPr>
            <w:tcW w:w="4520" w:type="dxa"/>
            <w:vAlign w:val="bottom"/>
          </w:tcPr>
          <w:p>
            <w:pPr>
              <w:spacing w:after="0" w:line="102" w:lineRule="exact"/>
              <w:rPr>
                <w:sz w:val="20"/>
                <w:szCs w:val="20"/>
                <w:color w:val="auto"/>
              </w:rPr>
            </w:pPr>
            <w:r>
              <w:rPr>
                <w:rFonts w:ascii="Times New Roman" w:cs="Times New Roman" w:eastAsia="Times New Roman" w:hAnsi="Times New Roman"/>
                <w:sz w:val="9"/>
                <w:szCs w:val="9"/>
                <w:color w:val="auto"/>
              </w:rPr>
              <w:t xml:space="preserve">Total return </w:t>
            </w:r>
            <w:r>
              <w:rPr>
                <w:rFonts w:ascii="Times New Roman" w:cs="Times New Roman" w:eastAsia="Times New Roman" w:hAnsi="Times New Roman"/>
                <w:sz w:val="11"/>
                <w:szCs w:val="11"/>
                <w:color w:val="auto"/>
                <w:vertAlign w:val="superscript"/>
              </w:rPr>
              <w:t>*(3)</w:t>
            </w:r>
          </w:p>
        </w:tc>
        <w:tc>
          <w:tcPr>
            <w:tcW w:w="780" w:type="dxa"/>
            <w:vAlign w:val="bottom"/>
          </w:tcPr>
          <w:p>
            <w:pPr>
              <w:spacing w:after="0"/>
              <w:rPr>
                <w:sz w:val="8"/>
                <w:szCs w:val="8"/>
                <w:color w:val="auto"/>
              </w:rPr>
            </w:pPr>
          </w:p>
        </w:tc>
        <w:tc>
          <w:tcPr>
            <w:tcW w:w="740" w:type="dxa"/>
            <w:vAlign w:val="bottom"/>
            <w:gridSpan w:val="2"/>
          </w:tcPr>
          <w:p>
            <w:pPr>
              <w:jc w:val="right"/>
              <w:ind w:right="120"/>
              <w:spacing w:after="0" w:line="102" w:lineRule="exact"/>
              <w:rPr>
                <w:sz w:val="20"/>
                <w:szCs w:val="20"/>
                <w:color w:val="auto"/>
              </w:rPr>
            </w:pPr>
            <w:r>
              <w:rPr>
                <w:rFonts w:ascii="Times New Roman" w:cs="Times New Roman" w:eastAsia="Times New Roman" w:hAnsi="Times New Roman"/>
                <w:sz w:val="11"/>
                <w:szCs w:val="11"/>
                <w:color w:val="auto"/>
              </w:rPr>
              <w:t>7.79%</w:t>
            </w:r>
          </w:p>
        </w:tc>
        <w:tc>
          <w:tcPr>
            <w:tcW w:w="800" w:type="dxa"/>
            <w:vAlign w:val="bottom"/>
          </w:tcPr>
          <w:p>
            <w:pPr>
              <w:spacing w:after="0"/>
              <w:rPr>
                <w:sz w:val="8"/>
                <w:szCs w:val="8"/>
                <w:color w:val="auto"/>
              </w:rPr>
            </w:pPr>
          </w:p>
        </w:tc>
        <w:tc>
          <w:tcPr>
            <w:tcW w:w="620" w:type="dxa"/>
            <w:vAlign w:val="bottom"/>
            <w:gridSpan w:val="2"/>
          </w:tcPr>
          <w:p>
            <w:pPr>
              <w:jc w:val="right"/>
              <w:spacing w:after="0" w:line="102" w:lineRule="exact"/>
              <w:rPr>
                <w:sz w:val="20"/>
                <w:szCs w:val="20"/>
                <w:color w:val="auto"/>
              </w:rPr>
            </w:pPr>
            <w:r>
              <w:rPr>
                <w:rFonts w:ascii="Times New Roman" w:cs="Times New Roman" w:eastAsia="Times New Roman" w:hAnsi="Times New Roman"/>
                <w:sz w:val="11"/>
                <w:szCs w:val="11"/>
                <w:color w:val="auto"/>
              </w:rPr>
              <w:t>-2.87%</w:t>
            </w:r>
          </w:p>
        </w:tc>
        <w:tc>
          <w:tcPr>
            <w:tcW w:w="20" w:type="dxa"/>
            <w:vAlign w:val="bottom"/>
          </w:tcPr>
          <w:p>
            <w:pPr>
              <w:spacing w:after="0"/>
              <w:rPr>
                <w:sz w:val="8"/>
                <w:szCs w:val="8"/>
                <w:color w:val="auto"/>
              </w:rPr>
            </w:pPr>
          </w:p>
        </w:tc>
      </w:tr>
      <w:tr>
        <w:trPr>
          <w:trHeight w:val="131"/>
        </w:trPr>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Shares outstanding at end of period</w:t>
            </w:r>
          </w:p>
        </w:tc>
        <w:tc>
          <w:tcPr>
            <w:tcW w:w="7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99,217,896</w:t>
            </w:r>
          </w:p>
        </w:tc>
        <w:tc>
          <w:tcPr>
            <w:tcW w:w="2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84,855,896</w:t>
            </w:r>
          </w:p>
        </w:tc>
        <w:tc>
          <w:tcPr>
            <w:tcW w:w="10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4520" w:type="dxa"/>
            <w:vAlign w:val="bottom"/>
          </w:tcPr>
          <w:p>
            <w:pPr>
              <w:spacing w:after="0" w:line="131" w:lineRule="exact"/>
              <w:rPr>
                <w:sz w:val="20"/>
                <w:szCs w:val="20"/>
                <w:color w:val="auto"/>
              </w:rPr>
            </w:pPr>
            <w:r>
              <w:rPr>
                <w:rFonts w:ascii="Times New Roman" w:cs="Times New Roman" w:eastAsia="Times New Roman" w:hAnsi="Times New Roman"/>
                <w:sz w:val="11"/>
                <w:szCs w:val="11"/>
                <w:b w:val="1"/>
                <w:bCs w:val="1"/>
                <w:color w:val="auto"/>
              </w:rPr>
              <w:t>Ratios</w:t>
            </w:r>
            <w:r>
              <w:rPr>
                <w:rFonts w:ascii="Times New Roman" w:cs="Times New Roman" w:eastAsia="Times New Roman" w:hAnsi="Times New Roman"/>
                <w:sz w:val="14"/>
                <w:szCs w:val="14"/>
                <w:b w:val="1"/>
                <w:bCs w:val="1"/>
                <w:color w:val="auto"/>
                <w:vertAlign w:val="superscript"/>
              </w:rPr>
              <w:t>**</w:t>
            </w:r>
            <w:r>
              <w:rPr>
                <w:rFonts w:ascii="Times New Roman" w:cs="Times New Roman" w:eastAsia="Times New Roman" w:hAnsi="Times New Roman"/>
                <w:sz w:val="11"/>
                <w:szCs w:val="11"/>
                <w:b w:val="1"/>
                <w:bCs w:val="1"/>
                <w:color w:val="auto"/>
              </w:rPr>
              <w:t xml:space="preserve"> / Supplemental Data:</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4520" w:type="dxa"/>
            <w:vAlign w:val="bottom"/>
            <w:shd w:val="clear" w:color="auto" w:fill="CCECFF"/>
          </w:tcPr>
          <w:p>
            <w:pPr>
              <w:spacing w:after="0" w:line="131" w:lineRule="exact"/>
              <w:rPr>
                <w:sz w:val="20"/>
                <w:szCs w:val="20"/>
                <w:color w:val="auto"/>
              </w:rPr>
            </w:pPr>
            <w:r>
              <w:rPr>
                <w:rFonts w:ascii="Times New Roman" w:cs="Times New Roman" w:eastAsia="Times New Roman" w:hAnsi="Times New Roman"/>
                <w:sz w:val="11"/>
                <w:szCs w:val="11"/>
                <w:color w:val="auto"/>
              </w:rPr>
              <w:t xml:space="preserve">Ratio of operating expenses to average net assets** </w:t>
            </w:r>
            <w:r>
              <w:rPr>
                <w:rFonts w:ascii="Times New Roman" w:cs="Times New Roman" w:eastAsia="Times New Roman" w:hAnsi="Times New Roman"/>
                <w:sz w:val="14"/>
                <w:szCs w:val="14"/>
                <w:color w:val="auto"/>
                <w:vertAlign w:val="superscript"/>
              </w:rPr>
              <w:t>(4)</w:t>
            </w:r>
          </w:p>
        </w:tc>
        <w:tc>
          <w:tcPr>
            <w:tcW w:w="78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5.94%</w:t>
            </w:r>
          </w:p>
        </w:tc>
        <w:tc>
          <w:tcPr>
            <w:tcW w:w="80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6.34%</w:t>
            </w:r>
          </w:p>
        </w:tc>
        <w:tc>
          <w:tcPr>
            <w:tcW w:w="20" w:type="dxa"/>
            <w:vAlign w:val="bottom"/>
          </w:tcPr>
          <w:p>
            <w:pPr>
              <w:spacing w:after="0"/>
              <w:rPr>
                <w:sz w:val="11"/>
                <w:szCs w:val="11"/>
                <w:color w:val="auto"/>
              </w:rPr>
            </w:pPr>
          </w:p>
        </w:tc>
      </w:tr>
      <w:tr>
        <w:trPr>
          <w:trHeight w:val="131"/>
        </w:trPr>
        <w:tc>
          <w:tcPr>
            <w:tcW w:w="4520" w:type="dxa"/>
            <w:vAlign w:val="bottom"/>
          </w:tcPr>
          <w:p>
            <w:pPr>
              <w:spacing w:after="0" w:line="131" w:lineRule="exact"/>
              <w:rPr>
                <w:sz w:val="20"/>
                <w:szCs w:val="20"/>
                <w:color w:val="auto"/>
              </w:rPr>
            </w:pPr>
            <w:r>
              <w:rPr>
                <w:rFonts w:ascii="Times New Roman" w:cs="Times New Roman" w:eastAsia="Times New Roman" w:hAnsi="Times New Roman"/>
                <w:sz w:val="11"/>
                <w:szCs w:val="11"/>
                <w:color w:val="auto"/>
              </w:rPr>
              <w:t xml:space="preserve">Ratio of debt related expenses to average net assets** </w:t>
            </w:r>
            <w:r>
              <w:rPr>
                <w:rFonts w:ascii="Times New Roman" w:cs="Times New Roman" w:eastAsia="Times New Roman" w:hAnsi="Times New Roman"/>
                <w:sz w:val="14"/>
                <w:szCs w:val="14"/>
                <w:color w:val="auto"/>
                <w:vertAlign w:val="superscript"/>
              </w:rPr>
              <w:t>(5)</w:t>
            </w:r>
          </w:p>
        </w:tc>
        <w:tc>
          <w:tcPr>
            <w:tcW w:w="7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10.25%</w:t>
            </w:r>
          </w:p>
        </w:tc>
        <w:tc>
          <w:tcPr>
            <w:tcW w:w="80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9.66%</w:t>
            </w:r>
          </w:p>
        </w:tc>
        <w:tc>
          <w:tcPr>
            <w:tcW w:w="20" w:type="dxa"/>
            <w:vAlign w:val="bottom"/>
          </w:tcPr>
          <w:p>
            <w:pPr>
              <w:spacing w:after="0"/>
              <w:rPr>
                <w:sz w:val="11"/>
                <w:szCs w:val="11"/>
                <w:color w:val="auto"/>
              </w:rPr>
            </w:pPr>
          </w:p>
        </w:tc>
      </w:tr>
      <w:tr>
        <w:trPr>
          <w:trHeight w:val="131"/>
        </w:trPr>
        <w:tc>
          <w:tcPr>
            <w:tcW w:w="4520" w:type="dxa"/>
            <w:vAlign w:val="bottom"/>
            <w:shd w:val="clear" w:color="auto" w:fill="CCECFF"/>
          </w:tcPr>
          <w:p>
            <w:pPr>
              <w:spacing w:after="0" w:line="131" w:lineRule="exact"/>
              <w:rPr>
                <w:sz w:val="20"/>
                <w:szCs w:val="20"/>
                <w:color w:val="auto"/>
              </w:rPr>
            </w:pPr>
            <w:r>
              <w:rPr>
                <w:rFonts w:ascii="Times New Roman" w:cs="Times New Roman" w:eastAsia="Times New Roman" w:hAnsi="Times New Roman"/>
                <w:sz w:val="11"/>
                <w:szCs w:val="11"/>
                <w:color w:val="auto"/>
              </w:rPr>
              <w:t xml:space="preserve">Ratio of total expenses to average net assets** </w:t>
            </w:r>
            <w:r>
              <w:rPr>
                <w:rFonts w:ascii="Times New Roman" w:cs="Times New Roman" w:eastAsia="Times New Roman" w:hAnsi="Times New Roman"/>
                <w:sz w:val="14"/>
                <w:szCs w:val="14"/>
                <w:color w:val="auto"/>
                <w:vertAlign w:val="superscript"/>
              </w:rPr>
              <w:t>(5)</w:t>
            </w:r>
          </w:p>
        </w:tc>
        <w:tc>
          <w:tcPr>
            <w:tcW w:w="78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16.19%</w:t>
            </w:r>
          </w:p>
        </w:tc>
        <w:tc>
          <w:tcPr>
            <w:tcW w:w="80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16.00%</w:t>
            </w:r>
          </w:p>
        </w:tc>
        <w:tc>
          <w:tcPr>
            <w:tcW w:w="20" w:type="dxa"/>
            <w:vAlign w:val="bottom"/>
          </w:tcPr>
          <w:p>
            <w:pPr>
              <w:spacing w:after="0"/>
              <w:rPr>
                <w:sz w:val="11"/>
                <w:szCs w:val="11"/>
                <w:color w:val="auto"/>
              </w:rPr>
            </w:pPr>
          </w:p>
        </w:tc>
      </w:tr>
      <w:tr>
        <w:trPr>
          <w:trHeight w:val="131"/>
        </w:trPr>
        <w:tc>
          <w:tcPr>
            <w:tcW w:w="4520" w:type="dxa"/>
            <w:vAlign w:val="bottom"/>
          </w:tcPr>
          <w:p>
            <w:pPr>
              <w:spacing w:after="0" w:line="131" w:lineRule="exact"/>
              <w:rPr>
                <w:sz w:val="20"/>
                <w:szCs w:val="20"/>
                <w:color w:val="auto"/>
              </w:rPr>
            </w:pPr>
            <w:r>
              <w:rPr>
                <w:rFonts w:ascii="Times New Roman" w:cs="Times New Roman" w:eastAsia="Times New Roman" w:hAnsi="Times New Roman"/>
                <w:sz w:val="11"/>
                <w:szCs w:val="11"/>
                <w:color w:val="auto"/>
              </w:rPr>
              <w:t xml:space="preserve">Ratio of net investment income to average net assets** </w:t>
            </w:r>
            <w:r>
              <w:rPr>
                <w:rFonts w:ascii="Times New Roman" w:cs="Times New Roman" w:eastAsia="Times New Roman" w:hAnsi="Times New Roman"/>
                <w:sz w:val="14"/>
                <w:szCs w:val="14"/>
                <w:color w:val="auto"/>
                <w:vertAlign w:val="superscript"/>
              </w:rPr>
              <w:t>(5)</w:t>
            </w:r>
          </w:p>
        </w:tc>
        <w:tc>
          <w:tcPr>
            <w:tcW w:w="7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10.15%</w:t>
            </w:r>
          </w:p>
        </w:tc>
        <w:tc>
          <w:tcPr>
            <w:tcW w:w="80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12.95%</w:t>
            </w:r>
          </w:p>
        </w:tc>
        <w:tc>
          <w:tcPr>
            <w:tcW w:w="20" w:type="dxa"/>
            <w:vAlign w:val="bottom"/>
          </w:tcPr>
          <w:p>
            <w:pPr>
              <w:spacing w:after="0"/>
              <w:rPr>
                <w:sz w:val="11"/>
                <w:szCs w:val="11"/>
                <w:color w:val="auto"/>
              </w:rPr>
            </w:pPr>
          </w:p>
        </w:tc>
      </w:tr>
      <w:tr>
        <w:trPr>
          <w:trHeight w:val="131"/>
        </w:trPr>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Net assets at end of period</w:t>
            </w:r>
          </w:p>
        </w:tc>
        <w:tc>
          <w:tcPr>
            <w:tcW w:w="780" w:type="dxa"/>
            <w:vAlign w:val="bottom"/>
            <w:shd w:val="clear" w:color="auto" w:fill="CCECFF"/>
          </w:tcPr>
          <w:p>
            <w:pPr>
              <w:jc w:val="right"/>
              <w:ind w:right="710"/>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1,040,429</w:t>
            </w:r>
          </w:p>
        </w:tc>
        <w:tc>
          <w:tcPr>
            <w:tcW w:w="220" w:type="dxa"/>
            <w:vAlign w:val="bottom"/>
            <w:shd w:val="clear" w:color="auto" w:fill="CCECFF"/>
          </w:tcPr>
          <w:p>
            <w:pPr>
              <w:spacing w:after="0"/>
              <w:rPr>
                <w:sz w:val="11"/>
                <w:szCs w:val="11"/>
                <w:color w:val="auto"/>
              </w:rPr>
            </w:pPr>
          </w:p>
        </w:tc>
        <w:tc>
          <w:tcPr>
            <w:tcW w:w="800" w:type="dxa"/>
            <w:vAlign w:val="bottom"/>
            <w:shd w:val="clear" w:color="auto" w:fill="CCEC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962,651</w:t>
            </w:r>
          </w:p>
        </w:tc>
        <w:tc>
          <w:tcPr>
            <w:tcW w:w="10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4520" w:type="dxa"/>
            <w:vAlign w:val="bottom"/>
          </w:tcPr>
          <w:p>
            <w:pPr>
              <w:spacing w:after="0"/>
              <w:rPr>
                <w:sz w:val="20"/>
                <w:szCs w:val="20"/>
                <w:color w:val="auto"/>
              </w:rPr>
            </w:pPr>
            <w:r>
              <w:rPr>
                <w:rFonts w:ascii="Times New Roman" w:cs="Times New Roman" w:eastAsia="Times New Roman" w:hAnsi="Times New Roman"/>
                <w:sz w:val="11"/>
                <w:szCs w:val="11"/>
                <w:color w:val="auto"/>
              </w:rPr>
              <w:t>Weighted average debt outstanding</w:t>
            </w:r>
          </w:p>
        </w:tc>
        <w:tc>
          <w:tcPr>
            <w:tcW w:w="780" w:type="dxa"/>
            <w:vAlign w:val="bottom"/>
          </w:tcPr>
          <w:p>
            <w:pPr>
              <w:jc w:val="right"/>
              <w:ind w:right="710"/>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1,746,661</w:t>
            </w:r>
          </w:p>
        </w:tc>
        <w:tc>
          <w:tcPr>
            <w:tcW w:w="220" w:type="dxa"/>
            <w:vAlign w:val="bottom"/>
          </w:tcPr>
          <w:p>
            <w:pPr>
              <w:spacing w:after="0"/>
              <w:rPr>
                <w:sz w:val="11"/>
                <w:szCs w:val="11"/>
                <w:color w:val="auto"/>
              </w:rPr>
            </w:pPr>
          </w:p>
        </w:tc>
        <w:tc>
          <w:tcPr>
            <w:tcW w:w="800" w:type="dxa"/>
            <w:vAlign w:val="bottom"/>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1,277,742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4520" w:type="dxa"/>
            <w:vAlign w:val="bottom"/>
            <w:shd w:val="clear" w:color="auto" w:fill="CCECFF"/>
          </w:tcPr>
          <w:p>
            <w:pPr>
              <w:spacing w:after="0" w:line="131" w:lineRule="exact"/>
              <w:rPr>
                <w:sz w:val="20"/>
                <w:szCs w:val="20"/>
                <w:color w:val="auto"/>
              </w:rPr>
            </w:pPr>
            <w:r>
              <w:rPr>
                <w:rFonts w:ascii="Times New Roman" w:cs="Times New Roman" w:eastAsia="Times New Roman" w:hAnsi="Times New Roman"/>
                <w:sz w:val="11"/>
                <w:szCs w:val="11"/>
                <w:color w:val="auto"/>
              </w:rPr>
              <w:t xml:space="preserve">Weighted average debt per share </w:t>
            </w:r>
            <w:r>
              <w:rPr>
                <w:rFonts w:ascii="Times New Roman" w:cs="Times New Roman" w:eastAsia="Times New Roman" w:hAnsi="Times New Roman"/>
                <w:sz w:val="14"/>
                <w:szCs w:val="14"/>
                <w:color w:val="auto"/>
                <w:vertAlign w:val="superscript"/>
              </w:rPr>
              <w:t>(1)</w:t>
            </w:r>
          </w:p>
        </w:tc>
        <w:tc>
          <w:tcPr>
            <w:tcW w:w="780" w:type="dxa"/>
            <w:vAlign w:val="bottom"/>
            <w:shd w:val="clear" w:color="auto" w:fill="CCECFF"/>
          </w:tcPr>
          <w:p>
            <w:pPr>
              <w:jc w:val="right"/>
              <w:ind w:right="710"/>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17.60</w:t>
            </w:r>
          </w:p>
        </w:tc>
        <w:tc>
          <w:tcPr>
            <w:tcW w:w="220" w:type="dxa"/>
            <w:vAlign w:val="bottom"/>
            <w:shd w:val="clear" w:color="auto" w:fill="CCECFF"/>
          </w:tcPr>
          <w:p>
            <w:pPr>
              <w:spacing w:after="0"/>
              <w:rPr>
                <w:sz w:val="11"/>
                <w:szCs w:val="11"/>
                <w:color w:val="auto"/>
              </w:rPr>
            </w:pPr>
          </w:p>
        </w:tc>
        <w:tc>
          <w:tcPr>
            <w:tcW w:w="800" w:type="dxa"/>
            <w:vAlign w:val="bottom"/>
            <w:shd w:val="clear" w:color="auto" w:fill="CCEC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15.65</w:t>
            </w:r>
          </w:p>
        </w:tc>
        <w:tc>
          <w:tcPr>
            <w:tcW w:w="10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4520" w:type="dxa"/>
            <w:vAlign w:val="bottom"/>
          </w:tcPr>
          <w:p>
            <w:pPr>
              <w:spacing w:after="0" w:line="131" w:lineRule="exact"/>
              <w:rPr>
                <w:sz w:val="20"/>
                <w:szCs w:val="20"/>
                <w:color w:val="auto"/>
              </w:rPr>
            </w:pPr>
            <w:r>
              <w:rPr>
                <w:rFonts w:ascii="Times New Roman" w:cs="Times New Roman" w:eastAsia="Times New Roman" w:hAnsi="Times New Roman"/>
                <w:sz w:val="11"/>
                <w:szCs w:val="11"/>
                <w:color w:val="auto"/>
              </w:rPr>
              <w:t xml:space="preserve">Asset coverage per unit </w:t>
            </w:r>
            <w:r>
              <w:rPr>
                <w:rFonts w:ascii="Times New Roman" w:cs="Times New Roman" w:eastAsia="Times New Roman" w:hAnsi="Times New Roman"/>
                <w:sz w:val="14"/>
                <w:szCs w:val="14"/>
                <w:color w:val="auto"/>
                <w:vertAlign w:val="superscript"/>
              </w:rPr>
              <w:t>(6)</w:t>
            </w:r>
          </w:p>
        </w:tc>
        <w:tc>
          <w:tcPr>
            <w:tcW w:w="780" w:type="dxa"/>
            <w:vAlign w:val="bottom"/>
          </w:tcPr>
          <w:p>
            <w:pPr>
              <w:jc w:val="right"/>
              <w:ind w:right="710"/>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1,635</w:t>
            </w:r>
          </w:p>
        </w:tc>
        <w:tc>
          <w:tcPr>
            <w:tcW w:w="220" w:type="dxa"/>
            <w:vAlign w:val="bottom"/>
          </w:tcPr>
          <w:p>
            <w:pPr>
              <w:spacing w:after="0"/>
              <w:rPr>
                <w:sz w:val="11"/>
                <w:szCs w:val="11"/>
                <w:color w:val="auto"/>
              </w:rPr>
            </w:pPr>
          </w:p>
        </w:tc>
        <w:tc>
          <w:tcPr>
            <w:tcW w:w="800" w:type="dxa"/>
            <w:vAlign w:val="bottom"/>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4520" w:type="dxa"/>
            <w:vAlign w:val="bottom"/>
            <w:shd w:val="clear" w:color="auto" w:fill="CCECFF"/>
          </w:tcPr>
          <w:p>
            <w:pPr>
              <w:spacing w:after="0" w:line="131" w:lineRule="exact"/>
              <w:rPr>
                <w:sz w:val="20"/>
                <w:szCs w:val="20"/>
                <w:color w:val="auto"/>
              </w:rPr>
            </w:pPr>
            <w:r>
              <w:rPr>
                <w:rFonts w:ascii="Times New Roman" w:cs="Times New Roman" w:eastAsia="Times New Roman" w:hAnsi="Times New Roman"/>
                <w:sz w:val="11"/>
                <w:szCs w:val="11"/>
                <w:color w:val="auto"/>
              </w:rPr>
              <w:t>Portfolio turnover rate</w:t>
            </w:r>
            <w:r>
              <w:rPr>
                <w:rFonts w:ascii="Times New Roman" w:cs="Times New Roman" w:eastAsia="Times New Roman" w:hAnsi="Times New Roman"/>
                <w:sz w:val="14"/>
                <w:szCs w:val="14"/>
                <w:color w:val="auto"/>
                <w:vertAlign w:val="superscript"/>
              </w:rPr>
              <w:t>*</w:t>
            </w:r>
          </w:p>
        </w:tc>
        <w:tc>
          <w:tcPr>
            <w:tcW w:w="78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11.28%</w:t>
            </w:r>
          </w:p>
        </w:tc>
        <w:tc>
          <w:tcPr>
            <w:tcW w:w="80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17.69%</w:t>
            </w:r>
          </w:p>
        </w:tc>
        <w:tc>
          <w:tcPr>
            <w:tcW w:w="20" w:type="dxa"/>
            <w:vAlign w:val="bottom"/>
          </w:tcPr>
          <w:p>
            <w:pPr>
              <w:spacing w:after="0"/>
              <w:rPr>
                <w:sz w:val="11"/>
                <w:szCs w:val="11"/>
                <w:color w:val="auto"/>
              </w:rPr>
            </w:pPr>
          </w:p>
        </w:tc>
      </w:tr>
    </w:tbl>
    <w:p>
      <w:pPr>
        <w:spacing w:after="0" w:line="10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8"/>
          <w:szCs w:val="8"/>
          <w:color w:val="auto"/>
        </w:rPr>
        <w:t>Note: The expense and investment income ratios above do not reflect the Company's proportionate share of income and expenses of PSSL, PSSL II, and PTSF II (prior to becoming a wholly owned consolidated subsidiary)</w:t>
      </w:r>
    </w:p>
    <w:p>
      <w:pPr>
        <w:spacing w:after="0" w:line="110" w:lineRule="exact"/>
        <w:rPr>
          <w:sz w:val="20"/>
          <w:szCs w:val="20"/>
          <w:color w:val="auto"/>
        </w:rPr>
      </w:pPr>
    </w:p>
    <w:p>
      <w:pPr>
        <w:ind w:left="1020" w:hanging="245"/>
        <w:spacing w:after="0"/>
        <w:tabs>
          <w:tab w:leader="none" w:pos="1020" w:val="left"/>
        </w:tabs>
        <w:numPr>
          <w:ilvl w:val="0"/>
          <w:numId w:val="14"/>
        </w:numPr>
        <w:rPr>
          <w:rFonts w:ascii="Times New Roman" w:cs="Times New Roman" w:eastAsia="Times New Roman" w:hAnsi="Times New Roman"/>
          <w:sz w:val="8"/>
          <w:szCs w:val="8"/>
          <w:b w:val="1"/>
          <w:bCs w:val="1"/>
          <w:color w:val="auto"/>
        </w:rPr>
      </w:pPr>
      <w:r>
        <w:rPr>
          <w:rFonts w:ascii="Times New Roman" w:cs="Times New Roman" w:eastAsia="Times New Roman" w:hAnsi="Times New Roman"/>
          <w:sz w:val="8"/>
          <w:szCs w:val="8"/>
          <w:color w:val="auto"/>
        </w:rPr>
        <w:t>Not annualized for periods less than one year.</w:t>
      </w:r>
    </w:p>
    <w:p>
      <w:pPr>
        <w:spacing w:after="0" w:line="12" w:lineRule="exact"/>
        <w:rPr>
          <w:sz w:val="20"/>
          <w:szCs w:val="20"/>
          <w:color w:val="auto"/>
        </w:rPr>
      </w:pPr>
    </w:p>
    <w:p>
      <w:pPr>
        <w:ind w:left="1020" w:hanging="245"/>
        <w:spacing w:after="0"/>
        <w:tabs>
          <w:tab w:leader="none" w:pos="1020" w:val="left"/>
        </w:tabs>
        <w:numPr>
          <w:ilvl w:val="0"/>
          <w:numId w:val="15"/>
        </w:numPr>
        <w:rPr>
          <w:rFonts w:ascii="Times New Roman" w:cs="Times New Roman" w:eastAsia="Times New Roman" w:hAnsi="Times New Roman"/>
          <w:sz w:val="8"/>
          <w:szCs w:val="8"/>
          <w:b w:val="1"/>
          <w:bCs w:val="1"/>
          <w:color w:val="auto"/>
        </w:rPr>
      </w:pPr>
      <w:r>
        <w:rPr>
          <w:rFonts w:ascii="Times New Roman" w:cs="Times New Roman" w:eastAsia="Times New Roman" w:hAnsi="Times New Roman"/>
          <w:sz w:val="8"/>
          <w:szCs w:val="8"/>
          <w:color w:val="auto"/>
        </w:rPr>
        <w:t>Re-occurring investment income and expenses included in these ratios are annualized for periods less than one year.</w:t>
      </w:r>
    </w:p>
    <w:p>
      <w:pPr>
        <w:spacing w:after="0" w:line="8" w:lineRule="exact"/>
        <w:rPr>
          <w:rFonts w:ascii="Times New Roman" w:cs="Times New Roman" w:eastAsia="Times New Roman" w:hAnsi="Times New Roman"/>
          <w:sz w:val="8"/>
          <w:szCs w:val="8"/>
          <w:b w:val="1"/>
          <w:bCs w:val="1"/>
          <w:color w:val="auto"/>
        </w:rPr>
      </w:pPr>
    </w:p>
    <w:p>
      <w:pPr>
        <w:ind w:left="780"/>
        <w:spacing w:after="0"/>
        <w:rPr>
          <w:rFonts w:ascii="Times New Roman" w:cs="Times New Roman" w:eastAsia="Times New Roman" w:hAnsi="Times New Roman"/>
          <w:sz w:val="8"/>
          <w:szCs w:val="8"/>
          <w:b w:val="1"/>
          <w:bCs w:val="1"/>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8"/>
          <w:szCs w:val="8"/>
          <w:color w:val="auto"/>
        </w:rPr>
        <w:t>Based on the weighted average shares outstanding for the respective periods.</w:t>
      </w:r>
    </w:p>
    <w:p>
      <w:pPr>
        <w:spacing w:after="0" w:line="2" w:lineRule="exact"/>
        <w:rPr>
          <w:rFonts w:ascii="Times New Roman" w:cs="Times New Roman" w:eastAsia="Times New Roman" w:hAnsi="Times New Roman"/>
          <w:sz w:val="8"/>
          <w:szCs w:val="8"/>
          <w:b w:val="1"/>
          <w:bCs w:val="1"/>
          <w:color w:val="auto"/>
        </w:rPr>
      </w:pPr>
    </w:p>
    <w:p>
      <w:pPr>
        <w:ind w:left="780"/>
        <w:spacing w:after="0" w:line="184" w:lineRule="auto"/>
        <w:rPr>
          <w:rFonts w:ascii="Times New Roman" w:cs="Times New Roman" w:eastAsia="Times New Roman" w:hAnsi="Times New Roman"/>
          <w:sz w:val="8"/>
          <w:szCs w:val="8"/>
          <w:b w:val="1"/>
          <w:bCs w:val="1"/>
          <w:color w:val="auto"/>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8"/>
          <w:szCs w:val="8"/>
          <w:color w:val="auto"/>
        </w:rPr>
        <w:t>The tax status of distributions is calculated in accordance with U.S federal income tax regulations, which may differ from amounts determined under GAAP, and reported on Form 1099-DIV each calendar year.</w:t>
      </w:r>
    </w:p>
    <w:p>
      <w:pPr>
        <w:ind w:left="780"/>
        <w:spacing w:after="0" w:line="184" w:lineRule="auto"/>
        <w:rPr>
          <w:rFonts w:ascii="Times New Roman" w:cs="Times New Roman" w:eastAsia="Times New Roman" w:hAnsi="Times New Roman"/>
          <w:sz w:val="8"/>
          <w:szCs w:val="8"/>
          <w:b w:val="1"/>
          <w:bCs w:val="1"/>
          <w:color w:val="auto"/>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8"/>
          <w:szCs w:val="8"/>
          <w:color w:val="auto"/>
        </w:rPr>
        <w:t>Based on the change in market price per share during the periods and assumes distributions, if any, are reinvested.</w:t>
      </w:r>
    </w:p>
    <w:p>
      <w:pPr>
        <w:ind w:left="780"/>
        <w:spacing w:after="0" w:line="184" w:lineRule="auto"/>
        <w:rPr>
          <w:rFonts w:ascii="Times New Roman" w:cs="Times New Roman" w:eastAsia="Times New Roman" w:hAnsi="Times New Roman"/>
          <w:sz w:val="8"/>
          <w:szCs w:val="8"/>
          <w:b w:val="1"/>
          <w:bCs w:val="1"/>
          <w:color w:val="auto"/>
        </w:rPr>
      </w:pP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8"/>
          <w:szCs w:val="8"/>
          <w:color w:val="auto"/>
        </w:rPr>
        <w:t>Total expenses excluding debt-related costs.</w:t>
      </w:r>
    </w:p>
    <w:p>
      <w:pPr>
        <w:ind w:left="780"/>
        <w:spacing w:after="0" w:line="191" w:lineRule="auto"/>
        <w:rPr>
          <w:rFonts w:ascii="Times New Roman" w:cs="Times New Roman" w:eastAsia="Times New Roman" w:hAnsi="Times New Roman"/>
          <w:sz w:val="8"/>
          <w:szCs w:val="8"/>
          <w:b w:val="1"/>
          <w:bCs w:val="1"/>
          <w:color w:val="auto"/>
        </w:rPr>
      </w:pPr>
      <w:r>
        <w:rPr>
          <w:rFonts w:ascii="Times New Roman" w:cs="Times New Roman" w:eastAsia="Times New Roman" w:hAnsi="Times New Roman"/>
          <w:sz w:val="11"/>
          <w:szCs w:val="11"/>
          <w:color w:val="auto"/>
          <w:vertAlign w:val="superscript"/>
        </w:rPr>
        <w:t>(5)</w:t>
      </w:r>
      <w:r>
        <w:rPr>
          <w:rFonts w:ascii="Times New Roman" w:cs="Times New Roman" w:eastAsia="Times New Roman" w:hAnsi="Times New Roman"/>
          <w:sz w:val="6"/>
          <w:szCs w:val="6"/>
          <w:color w:val="auto"/>
        </w:rPr>
        <w:t>Includes interest and expenses on debt (annualized) as well as Credit Facility amendment and debt issuance costs, if any, (not annualized).</w:t>
      </w:r>
    </w:p>
    <w:p>
      <w:pPr>
        <w:ind w:left="780" w:right="1060"/>
        <w:spacing w:after="0" w:line="206" w:lineRule="auto"/>
        <w:rPr>
          <w:sz w:val="20"/>
          <w:szCs w:val="20"/>
          <w:color w:val="auto"/>
        </w:rPr>
      </w:pPr>
      <w:r>
        <w:rPr>
          <w:rFonts w:ascii="Times New Roman" w:cs="Times New Roman" w:eastAsia="Times New Roman" w:hAnsi="Times New Roman"/>
          <w:sz w:val="16"/>
          <w:szCs w:val="16"/>
          <w:color w:val="auto"/>
          <w:vertAlign w:val="superscript"/>
        </w:rPr>
        <w:t>(6)</w:t>
      </w:r>
      <w:r>
        <w:rPr>
          <w:rFonts w:ascii="Times New Roman" w:cs="Times New Roman" w:eastAsia="Times New Roman" w:hAnsi="Times New Roman"/>
          <w:sz w:val="8"/>
          <w:szCs w:val="8"/>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ind w:left="780"/>
        <w:spacing w:after="0"/>
        <w:rPr>
          <w:sz w:val="20"/>
          <w:szCs w:val="20"/>
          <w:color w:val="auto"/>
        </w:rPr>
      </w:pPr>
      <w:r>
        <w:rPr>
          <w:rFonts w:ascii="Times New Roman" w:cs="Times New Roman" w:eastAsia="Times New Roman" w:hAnsi="Times New Roman"/>
          <w:sz w:val="16"/>
          <w:szCs w:val="16"/>
          <w:color w:val="auto"/>
          <w:vertAlign w:val="superscript"/>
        </w:rPr>
        <w:t>(7)</w:t>
      </w:r>
      <w:r>
        <w:rPr>
          <w:rFonts w:ascii="Times New Roman" w:cs="Times New Roman" w:eastAsia="Times New Roman" w:hAnsi="Times New Roman"/>
          <w:sz w:val="8"/>
          <w:szCs w:val="8"/>
          <w:color w:val="auto"/>
        </w:rPr>
        <w:t>Does not foot due to rounding, as applicable.</w:t>
      </w:r>
    </w:p>
    <w:p>
      <w:pPr>
        <w:spacing w:after="0" w:line="7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10. DEBT</w:t>
      </w:r>
    </w:p>
    <w:p>
      <w:pPr>
        <w:spacing w:after="0" w:line="138" w:lineRule="exact"/>
        <w:rPr>
          <w:sz w:val="20"/>
          <w:szCs w:val="20"/>
          <w:color w:val="auto"/>
        </w:rPr>
      </w:pPr>
    </w:p>
    <w:p>
      <w:pPr>
        <w:ind w:left="780" w:right="880" w:firstLine="282"/>
        <w:spacing w:after="0" w:line="279" w:lineRule="auto"/>
        <w:rPr>
          <w:sz w:val="20"/>
          <w:szCs w:val="20"/>
          <w:color w:val="auto"/>
        </w:rPr>
      </w:pPr>
      <w:r>
        <w:rPr>
          <w:rFonts w:ascii="Times New Roman" w:cs="Times New Roman" w:eastAsia="Times New Roman" w:hAnsi="Times New Roman"/>
          <w:sz w:val="11"/>
          <w:szCs w:val="11"/>
          <w:color w:val="auto"/>
        </w:rPr>
        <w:t>The annualized weighted average cost of debt for the three months ended December 31, 2025 and 2024, inclusive of the fee on the undrawn commitment on the Credit Facility, amendment costs and debt issuance costs, was 6.2% and 7.0%, respectively.</w:t>
      </w:r>
    </w:p>
    <w:p>
      <w:pPr>
        <w:spacing w:after="0" w:line="99" w:lineRule="exact"/>
        <w:rPr>
          <w:sz w:val="20"/>
          <w:szCs w:val="20"/>
          <w:color w:val="auto"/>
        </w:rPr>
      </w:pPr>
    </w:p>
    <w:p>
      <w:pPr>
        <w:ind w:left="780" w:right="920" w:firstLine="282"/>
        <w:spacing w:after="0" w:line="256" w:lineRule="auto"/>
        <w:rPr>
          <w:sz w:val="20"/>
          <w:szCs w:val="20"/>
          <w:color w:val="auto"/>
        </w:rPr>
      </w:pPr>
      <w:r>
        <w:rPr>
          <w:rFonts w:ascii="Times New Roman" w:cs="Times New Roman" w:eastAsia="Times New Roman" w:hAnsi="Times New Roman"/>
          <w:sz w:val="11"/>
          <w:szCs w:val="11"/>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December 31, 2025 and September 30, 2025, our asset coverage ratio, as computed in accordance with the 1940 Act, was 164% and 160%, respectively.</w:t>
      </w:r>
    </w:p>
    <w:p>
      <w:pPr>
        <w:spacing w:after="0" w:line="1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Credit Facility</w:t>
      </w:r>
    </w:p>
    <w:p>
      <w:pPr>
        <w:spacing w:after="0" w:line="138" w:lineRule="exact"/>
        <w:rPr>
          <w:sz w:val="20"/>
          <w:szCs w:val="20"/>
          <w:color w:val="auto"/>
        </w:rPr>
      </w:pPr>
    </w:p>
    <w:p>
      <w:pPr>
        <w:ind w:left="780" w:right="940" w:firstLine="310"/>
        <w:spacing w:after="0" w:line="254" w:lineRule="auto"/>
        <w:rPr>
          <w:sz w:val="20"/>
          <w:szCs w:val="20"/>
          <w:color w:val="auto"/>
        </w:rPr>
      </w:pPr>
      <w:r>
        <w:rPr>
          <w:rFonts w:ascii="Times New Roman" w:cs="Times New Roman" w:eastAsia="Times New Roman" w:hAnsi="Times New Roman"/>
          <w:sz w:val="11"/>
          <w:szCs w:val="11"/>
          <w:color w:val="auto"/>
        </w:rPr>
        <w:t>As of December 31, 2025, the Credit Facility had commitments $768.0 million (increased from $718.0 million in November 2025) and an interest rate spread above SOFR (or an alternative risk-free floating interest rate index) of 200 basis points, a maturity date of August 2030 and a revolving period that ends in August 2028. As of December 31, 2025 and September 30, 2025, Funding I had $488.9 million and $683.9 million of outstanding borrowings under the Credit Facility, respectively. The Credit Facility had a weighted average interest rate of 5.9% and 6.3%, exclusive of the fee on undrawn commitments as of December 31, 2025 and September 30, 2025, respectively. As of December 31, 2025 and September 30, 2025, Funding I had $279.1 million and $34.1 million of unused borrowing capacity under the Credit Facility, respectively, subject to leverage and borrowing base restrictions. The Credit Facility is subject to satisfaction of certain conditions and the regulatory restrictions that the 1940 Act imposes on us as a BDC.</w:t>
      </w:r>
    </w:p>
    <w:p>
      <w:pPr>
        <w:spacing w:after="0" w:line="112" w:lineRule="exact"/>
        <w:rPr>
          <w:sz w:val="20"/>
          <w:szCs w:val="20"/>
          <w:color w:val="auto"/>
        </w:rPr>
      </w:pPr>
    </w:p>
    <w:p>
      <w:pPr>
        <w:ind w:left="780" w:right="900" w:firstLine="282"/>
        <w:spacing w:after="0" w:line="259" w:lineRule="auto"/>
        <w:rPr>
          <w:sz w:val="20"/>
          <w:szCs w:val="20"/>
          <w:color w:val="auto"/>
        </w:rPr>
      </w:pPr>
      <w:r>
        <w:rPr>
          <w:rFonts w:ascii="Times New Roman" w:cs="Times New Roman" w:eastAsia="Times New Roman" w:hAnsi="Times New Roman"/>
          <w:sz w:val="11"/>
          <w:szCs w:val="11"/>
          <w:color w:val="auto"/>
        </w:rPr>
        <w:t>In April 2025, the Credit Facility was amended. The terms of the amendment decreased the aggregate commitment amounts of the lenders party to the Credit Facility from $736.0 million to $718.0 million, decreased pricing under the Credit Facility to SOFR plus 200 basis points from SOFR plus 225 basis points, extended the reinvestment period one year to August 2028 from August 2027, extended the maturity date of the Credit Facility by one year to August 2030 from August 2029, and increased the maximum first lien advance rate to 72.5% from 70.0%.</w:t>
      </w:r>
    </w:p>
    <w:p>
      <w:pPr>
        <w:spacing w:after="0" w:line="110" w:lineRule="exact"/>
        <w:rPr>
          <w:sz w:val="20"/>
          <w:szCs w:val="20"/>
          <w:color w:val="auto"/>
        </w:rPr>
      </w:pPr>
    </w:p>
    <w:p>
      <w:pPr>
        <w:ind w:left="780" w:right="780" w:firstLine="282"/>
        <w:spacing w:after="0" w:line="279" w:lineRule="auto"/>
        <w:rPr>
          <w:sz w:val="20"/>
          <w:szCs w:val="20"/>
          <w:color w:val="auto"/>
        </w:rPr>
      </w:pPr>
      <w:r>
        <w:rPr>
          <w:rFonts w:ascii="Times New Roman" w:cs="Times New Roman" w:eastAsia="Times New Roman" w:hAnsi="Times New Roman"/>
          <w:sz w:val="11"/>
          <w:szCs w:val="11"/>
          <w:color w:val="auto"/>
        </w:rPr>
        <w:t>In November 2025, the Credit Facility was amended. The terms of the amendment increased the aggregate commitment amounts of the lenders party to the Credit Facility from $718.0 million to $768.0 million, pricing under the Credit Facility remains at SOFR plus 200 basis points.</w:t>
      </w:r>
    </w:p>
    <w:p>
      <w:pPr>
        <w:spacing w:after="0" w:line="99" w:lineRule="exact"/>
        <w:rPr>
          <w:sz w:val="20"/>
          <w:szCs w:val="20"/>
          <w:color w:val="auto"/>
        </w:rPr>
      </w:pPr>
    </w:p>
    <w:p>
      <w:pPr>
        <w:jc w:val="both"/>
        <w:ind w:left="780" w:right="820" w:firstLine="282"/>
        <w:spacing w:after="0" w:line="256" w:lineRule="auto"/>
        <w:rPr>
          <w:sz w:val="20"/>
          <w:szCs w:val="20"/>
          <w:color w:val="auto"/>
        </w:rPr>
      </w:pPr>
      <w:r>
        <w:rPr>
          <w:rFonts w:ascii="Times New Roman" w:cs="Times New Roman" w:eastAsia="Times New Roman" w:hAnsi="Times New Roman"/>
          <w:sz w:val="11"/>
          <w:szCs w:val="11"/>
          <w:color w:val="auto"/>
        </w:rPr>
        <w:t>The Credit Facility contains customary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w:t>
      </w:r>
    </w:p>
    <w:p>
      <w:pPr>
        <w:jc w:val="center"/>
        <w:ind w:right="20"/>
        <w:spacing w:after="0"/>
        <w:rPr>
          <w:sz w:val="20"/>
          <w:szCs w:val="20"/>
          <w:color w:val="auto"/>
        </w:rPr>
      </w:pPr>
      <w:r>
        <w:rPr>
          <w:rFonts w:ascii="Times New Roman" w:cs="Times New Roman" w:eastAsia="Times New Roman" w:hAnsi="Times New Roman"/>
          <w:sz w:val="11"/>
          <w:szCs w:val="1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5" w:lineRule="exact"/>
        <w:rPr>
          <w:sz w:val="20"/>
          <w:szCs w:val="20"/>
          <w:color w:val="auto"/>
        </w:rPr>
      </w:pPr>
    </w:p>
    <w:p>
      <w:pPr>
        <w:ind w:left="780" w:right="980"/>
        <w:spacing w:after="0" w:line="257" w:lineRule="auto"/>
        <w:rPr>
          <w:sz w:val="20"/>
          <w:szCs w:val="20"/>
          <w:color w:val="auto"/>
        </w:rPr>
      </w:pPr>
      <w:r>
        <w:rPr>
          <w:rFonts w:ascii="Times New Roman" w:cs="Times New Roman" w:eastAsia="Times New Roman" w:hAnsi="Times New Roman"/>
          <w:sz w:val="11"/>
          <w:szCs w:val="11"/>
          <w:color w:val="auto"/>
        </w:rPr>
        <w:t>investment in Funding I and income ratio as well as restrictions on certain payments and issuance of debt. The Credit Facility compliance reporting is prepared on a basis of accounting other than GAAP. As of December 31, 2025, we were in compliance with the covenants relating to the Credit Facility.</w:t>
      </w:r>
    </w:p>
    <w:p>
      <w:pPr>
        <w:spacing w:after="0" w:line="111" w:lineRule="exact"/>
        <w:rPr>
          <w:sz w:val="20"/>
          <w:szCs w:val="20"/>
          <w:color w:val="auto"/>
        </w:rPr>
      </w:pPr>
    </w:p>
    <w:p>
      <w:pPr>
        <w:ind w:left="780" w:right="800" w:firstLine="282"/>
        <w:spacing w:after="0" w:line="279" w:lineRule="auto"/>
        <w:rPr>
          <w:sz w:val="20"/>
          <w:szCs w:val="20"/>
          <w:color w:val="auto"/>
        </w:rPr>
      </w:pPr>
      <w:r>
        <w:rPr>
          <w:rFonts w:ascii="Times New Roman" w:cs="Times New Roman" w:eastAsia="Times New Roman" w:hAnsi="Times New Roman"/>
          <w:sz w:val="11"/>
          <w:szCs w:val="11"/>
          <w:color w:val="auto"/>
        </w:rPr>
        <w:t>We own 100% of the equity interest in Funding I and treat the indebtedness of Funding I as our leverage. Our Investment Adviser serves as collateral manager to Funding I under the Credit Facility.</w:t>
      </w:r>
    </w:p>
    <w:p>
      <w:pPr>
        <w:spacing w:after="0" w:line="69" w:lineRule="exact"/>
        <w:rPr>
          <w:sz w:val="20"/>
          <w:szCs w:val="20"/>
          <w:color w:val="auto"/>
        </w:rPr>
      </w:pPr>
    </w:p>
    <w:p>
      <w:pPr>
        <w:ind w:left="780" w:right="860" w:firstLine="282"/>
        <w:spacing w:after="0" w:line="256" w:lineRule="auto"/>
        <w:rPr>
          <w:sz w:val="20"/>
          <w:szCs w:val="20"/>
          <w:color w:val="auto"/>
        </w:rPr>
      </w:pPr>
      <w:r>
        <w:rPr>
          <w:rFonts w:ascii="Times New Roman" w:cs="Times New Roman" w:eastAsia="Times New Roman" w:hAnsi="Times New Roman"/>
          <w:sz w:val="11"/>
          <w:szCs w:val="11"/>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8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2026 Notes</w:t>
      </w:r>
    </w:p>
    <w:p>
      <w:pPr>
        <w:spacing w:after="0" w:line="138" w:lineRule="exact"/>
        <w:rPr>
          <w:sz w:val="20"/>
          <w:szCs w:val="20"/>
          <w:color w:val="auto"/>
        </w:rPr>
      </w:pPr>
    </w:p>
    <w:p>
      <w:pPr>
        <w:ind w:left="780" w:right="780" w:firstLine="282"/>
        <w:spacing w:after="0" w:line="253" w:lineRule="auto"/>
        <w:rPr>
          <w:sz w:val="20"/>
          <w:szCs w:val="20"/>
          <w:color w:val="auto"/>
        </w:rPr>
      </w:pPr>
      <w:r>
        <w:rPr>
          <w:rFonts w:ascii="Times New Roman" w:cs="Times New Roman" w:eastAsia="Times New Roman" w:hAnsi="Times New Roman"/>
          <w:sz w:val="11"/>
          <w:szCs w:val="11"/>
          <w:color w:val="auto"/>
        </w:rPr>
        <w:t>In March 2021 and in October 2021, we issued $100.0 million and $85.0 million, respectively, in aggregate principal amount of $185.0 million of our 2026 Notes at a public offering price per note of 99.4% and 101.5%, respectively. Interest on the 2026 Notes is paid semiannually on April 1 and October 1 of each year, at a rate of 4.25% per year, commencing October 1, 2021. The effective interest rate is 4.15%.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of our existing and future indebtedness and other obligations of any of our subsidiaries, financing vehicles, or similar facilities. We do not intend to list the 2026 Notes on any securities exchange or automated dealer quotation system.</w:t>
      </w:r>
    </w:p>
    <w:p>
      <w:pPr>
        <w:spacing w:after="0" w:line="1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2031 Asset-Backed Debt / 2036-R Asset-Backed Debt</w:t>
      </w:r>
    </w:p>
    <w:p>
      <w:pPr>
        <w:spacing w:after="0" w:line="138" w:lineRule="exact"/>
        <w:rPr>
          <w:sz w:val="20"/>
          <w:szCs w:val="20"/>
          <w:color w:val="auto"/>
        </w:rPr>
      </w:pPr>
    </w:p>
    <w:p>
      <w:pPr>
        <w:ind w:left="780" w:right="820" w:firstLine="310"/>
        <w:spacing w:after="0" w:line="133" w:lineRule="exact"/>
        <w:rPr>
          <w:sz w:val="20"/>
          <w:szCs w:val="20"/>
          <w:color w:val="auto"/>
        </w:rPr>
      </w:pPr>
      <w:r>
        <w:rPr>
          <w:rFonts w:ascii="Times New Roman" w:cs="Times New Roman" w:eastAsia="Times New Roman" w:hAnsi="Times New Roman"/>
          <w:sz w:val="11"/>
          <w:szCs w:val="11"/>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Loans maturing 2031, which bear interest at the three-month SOFR plus 1.8%, (ii) $15.0 million Class A-2 Senior Secured Fixed Rate Notes due 2031, which bear interest at 3.7%, (iii) $14.0 million Class B-1 Senior Secured Floating Rate Notes due 2031, which bear interest at the three-month SOFR plus 2.9%, (iv) $16.0 million Class B-2 Senior Secured Fixed Rate Notes due 2031, which bear interest at 4.3%, (v) $19.0 million Class C</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1 Secured Deferrable Floating Rate Notes due 2031, which bear interest at the three-month SOFR plus 4.0%, (vi) $8.0 million Class C-2 Secured Deferrable Fixed Rate Notes due 2031, which bear interest at 5.4%, and</w:t>
      </w:r>
    </w:p>
    <w:p>
      <w:pPr>
        <w:spacing w:after="0" w:line="3" w:lineRule="exact"/>
        <w:rPr>
          <w:sz w:val="20"/>
          <w:szCs w:val="20"/>
          <w:color w:val="auto"/>
        </w:rPr>
      </w:pPr>
    </w:p>
    <w:p>
      <w:pPr>
        <w:ind w:left="780" w:right="800" w:hanging="5"/>
        <w:spacing w:after="0" w:line="131" w:lineRule="exact"/>
        <w:tabs>
          <w:tab w:leader="none" w:pos="998"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$18.0 million Class D Secured Deferrable Floating Rate Loans due 2031, which bear interest at the three-month SOFR plus 4.8% and (B) the borrowing of $77.5 million Class A</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1 Senior Secured Floating Rate Notes due 2031, which bear interest at the three-month SOFR plus 1.8%,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ended on October 15, 2023 and the 2031 Asset-Backed Debt is scheduled to mature on October 15, 2031.</w:t>
      </w:r>
    </w:p>
    <w:p>
      <w:pPr>
        <w:spacing w:after="0" w:line="122" w:lineRule="exact"/>
        <w:rPr>
          <w:sz w:val="20"/>
          <w:szCs w:val="20"/>
          <w:color w:val="auto"/>
        </w:rPr>
      </w:pPr>
    </w:p>
    <w:p>
      <w:pPr>
        <w:ind w:left="780" w:right="800" w:firstLine="282"/>
        <w:spacing w:after="0" w:line="256" w:lineRule="auto"/>
        <w:rPr>
          <w:sz w:val="20"/>
          <w:szCs w:val="20"/>
          <w:color w:val="auto"/>
        </w:rPr>
      </w:pPr>
      <w:r>
        <w:rPr>
          <w:rFonts w:ascii="Times New Roman" w:cs="Times New Roman" w:eastAsia="Times New Roman" w:hAnsi="Times New Roman"/>
          <w:sz w:val="11"/>
          <w:szCs w:val="11"/>
          <w:color w:val="auto"/>
        </w:rPr>
        <w:t>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112" w:lineRule="exact"/>
        <w:rPr>
          <w:sz w:val="20"/>
          <w:szCs w:val="20"/>
          <w:color w:val="auto"/>
        </w:rPr>
      </w:pPr>
    </w:p>
    <w:p>
      <w:pPr>
        <w:ind w:left="780" w:right="820" w:firstLine="250"/>
        <w:spacing w:after="0" w:line="252" w:lineRule="auto"/>
        <w:rPr>
          <w:sz w:val="20"/>
          <w:szCs w:val="20"/>
          <w:color w:val="auto"/>
        </w:rPr>
      </w:pPr>
      <w:r>
        <w:rPr>
          <w:rFonts w:ascii="Times New Roman" w:cs="Times New Roman" w:eastAsia="Times New Roman" w:hAnsi="Times New Roman"/>
          <w:sz w:val="11"/>
          <w:szCs w:val="11"/>
          <w:color w:val="auto"/>
        </w:rPr>
        <w:t>On July 25, 2024, the Company closed the refinancing of the 2031Asset-Backed Debt and upsize of a four-year reinvestment period and twelve-year final maturity $351.0 million debt securitization in the form of a collateralized loan obligation (the “2036-R Asset-Backed Debt”). The 2036-R Asset-Backed Debt was executed through: (A) the issuance by the Issuers of the following classes of notes pursuant that certain indenture, dated September 19, 2019, by and among the Issuers and U.S. Bank Trust Company, National Association, as amended by the second supplemental indenture, dated June 25, 2024): (i) $203.0 million of A-1-R Notes, which bear interest at the three-month SOFR plus 1.75%, (ii) $10.5 million of A-2-R Notes, which bear interest at three-month SOFR plus 1.90%, (iii) $12.0 million of Class B-R Notes, which bear interest at three-month SOFR plus 2.05%, (iv) $28.0 million of C-R Notes, which bear interest at three-month SOFR plus 2.75% and (v)</w:t>
      </w:r>
    </w:p>
    <w:p>
      <w:pPr>
        <w:spacing w:after="0" w:line="2" w:lineRule="exact"/>
        <w:rPr>
          <w:sz w:val="20"/>
          <w:szCs w:val="20"/>
          <w:color w:val="auto"/>
        </w:rPr>
      </w:pPr>
    </w:p>
    <w:p>
      <w:pPr>
        <w:ind w:left="780" w:right="840"/>
        <w:spacing w:after="0" w:line="251" w:lineRule="auto"/>
        <w:rPr>
          <w:sz w:val="20"/>
          <w:szCs w:val="20"/>
          <w:color w:val="auto"/>
        </w:rPr>
      </w:pPr>
      <w:r>
        <w:rPr>
          <w:rFonts w:ascii="Times New Roman" w:cs="Times New Roman" w:eastAsia="Times New Roman" w:hAnsi="Times New Roman"/>
          <w:sz w:val="11"/>
          <w:szCs w:val="11"/>
          <w:color w:val="auto"/>
        </w:rPr>
        <w:t>$21.0 million of D-R Notes, which bear interest at three-month SOFR plus 4.30%, (B) the issuance by the Issuer of $64.0 million of subordinated notes pursuant to the Indenture and (C) the borrowing by the Issuer of $12.5 million of Class B-R Loans, which bear interest at three-month SOFR plus 2.05%, pursuant to a credit agreement, dated the closing date, by and among the Issuers, the various financial institutions and other persons party thereto, as lenders and U.S. Bank Trust Company, National Association, as loan agent and as trustee. The Replacement Debt matures in July 2036. The Replacement Debt was 100% funded at closing.</w:t>
      </w:r>
    </w:p>
    <w:p>
      <w:pPr>
        <w:spacing w:after="0" w:line="115" w:lineRule="exact"/>
        <w:rPr>
          <w:sz w:val="20"/>
          <w:szCs w:val="20"/>
          <w:color w:val="auto"/>
        </w:rPr>
      </w:pPr>
    </w:p>
    <w:p>
      <w:pPr>
        <w:jc w:val="both"/>
        <w:ind w:left="780" w:right="840" w:firstLine="477"/>
        <w:spacing w:after="0" w:line="256" w:lineRule="auto"/>
        <w:rPr>
          <w:sz w:val="20"/>
          <w:szCs w:val="20"/>
          <w:color w:val="auto"/>
        </w:rPr>
      </w:pPr>
      <w:r>
        <w:rPr>
          <w:rFonts w:ascii="Times New Roman" w:cs="Times New Roman" w:eastAsia="Times New Roman" w:hAnsi="Times New Roman"/>
          <w:sz w:val="11"/>
          <w:szCs w:val="11"/>
          <w:color w:val="auto"/>
        </w:rPr>
        <w:t>The obligations of the Issuers under the replacement are non-recourse to the Company. As of September 30, 2025, the Company retained the D-R Notes and the Subordinated Notes through a consolidated subsidiary. On October 29, 2025 the Company sold $21.0 million of initially retained D-R Notes, to a third party. As of December 31, 2025, the Company no longer consolidates the D-R Notes. As of December 31, 2025 and September 30, 2025, the Company had $287.0 million and</w:t>
      </w:r>
    </w:p>
    <w:p>
      <w:pPr>
        <w:ind w:left="780" w:right="800"/>
        <w:spacing w:after="0" w:line="257" w:lineRule="auto"/>
        <w:rPr>
          <w:sz w:val="20"/>
          <w:szCs w:val="20"/>
          <w:color w:val="auto"/>
        </w:rPr>
      </w:pPr>
      <w:r>
        <w:rPr>
          <w:rFonts w:ascii="Times New Roman" w:cs="Times New Roman" w:eastAsia="Times New Roman" w:hAnsi="Times New Roman"/>
          <w:sz w:val="11"/>
          <w:szCs w:val="11"/>
          <w:color w:val="auto"/>
        </w:rPr>
        <w:t>$266.0 million, respectively of external, 2036-R Asset-Backed Debt outstanding with a weighted average interest rate of 5.9% and 6.2%, respectively. As of December 31, 2025 and September 30, 2025, the unamortized fees on the 2036-R Asset-Backed Debt were $0.4 million and $0.6 million, respectively.</w:t>
      </w:r>
    </w:p>
    <w:p>
      <w:pPr>
        <w:spacing w:after="0" w:line="111" w:lineRule="exact"/>
        <w:rPr>
          <w:sz w:val="20"/>
          <w:szCs w:val="20"/>
          <w:color w:val="auto"/>
        </w:rPr>
      </w:pPr>
    </w:p>
    <w:p>
      <w:pPr>
        <w:ind w:left="780" w:right="1100" w:firstLine="282"/>
        <w:spacing w:after="0" w:line="264" w:lineRule="auto"/>
        <w:rPr>
          <w:sz w:val="20"/>
          <w:szCs w:val="20"/>
          <w:color w:val="auto"/>
        </w:rPr>
      </w:pPr>
      <w:r>
        <w:rPr>
          <w:rFonts w:ascii="Times New Roman" w:cs="Times New Roman" w:eastAsia="Times New Roman" w:hAnsi="Times New Roman"/>
          <w:sz w:val="11"/>
          <w:szCs w:val="11"/>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2036 Asset-Backed Debt</w:t>
      </w:r>
    </w:p>
    <w:p>
      <w:pPr>
        <w:spacing w:after="0" w:line="138" w:lineRule="exact"/>
        <w:rPr>
          <w:sz w:val="20"/>
          <w:szCs w:val="20"/>
          <w:color w:val="auto"/>
        </w:rPr>
      </w:pPr>
    </w:p>
    <w:p>
      <w:pPr>
        <w:ind w:left="780" w:right="880" w:firstLine="310"/>
        <w:spacing w:after="0" w:line="253" w:lineRule="auto"/>
        <w:rPr>
          <w:sz w:val="20"/>
          <w:szCs w:val="20"/>
          <w:color w:val="auto"/>
        </w:rPr>
      </w:pPr>
      <w:r>
        <w:rPr>
          <w:rFonts w:ascii="Times New Roman" w:cs="Times New Roman" w:eastAsia="Times New Roman" w:hAnsi="Times New Roman"/>
          <w:sz w:val="11"/>
          <w:szCs w:val="11"/>
          <w:color w:val="auto"/>
        </w:rPr>
        <w:t>In February 2024, the Company completed the $350.6 million term debt securitization. Term debt securitizations, also known as CLOs, are a form of secured financing incurred by the Company, which is consolidated by the Company and subject to the Company’s asset coverage requirements. The 2036 Asset-Backed Debt was issued by the 2036 Securitization Issuer. The 2036 Asset-Backed Debt is secured by the middle market loans, participation interests in middle market loans and other assets of the 2036 Securitization Issuer. The Debt Securitization was executed through (A) a private placement of: (i) $139.5 million of AAA(sf) Class A-1 Notes, which bear interest at the three-month SOFR plus 2.30%, (ii) $14.0 million of AAA(sf) Class A-2 Notes, which bear interest at three-month SOFR plus 2.70%,</w:t>
      </w:r>
    </w:p>
    <w:p>
      <w:pPr>
        <w:spacing w:after="0" w:line="1" w:lineRule="exact"/>
        <w:rPr>
          <w:sz w:val="20"/>
          <w:szCs w:val="20"/>
          <w:color w:val="auto"/>
        </w:rPr>
      </w:pPr>
    </w:p>
    <w:p>
      <w:pPr>
        <w:ind w:left="780" w:right="780" w:hanging="5"/>
        <w:spacing w:after="0" w:line="248" w:lineRule="auto"/>
        <w:tabs>
          <w:tab w:leader="none" w:pos="974"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$24.5 million of AA(sf) Class B Notes, which bear interest at three-month SOFR plus 2.90%, (iv) $28 million of A(sf) Class C Notes, which bear interest at three-month SOFR plus 3.90%, (v) $21.0 million of BBB-(sf) Class D Notes, which bear interest at three-month SOFR plus 5.90%, (together, the “Secured Notes”), and (vi) $63.6 million of subordinated notes (“Subordinated Notes”) and (B) the borrowing of $60.0 million AAA(sf) Class A-1 Senior Secured Floating Rate Loans (the “Class A-1 Loans” and together with the Secured Notes and Subordinated Notes, the “Debt”), which bear interest at three-month SOFR plus 2.30%, under a credit agreement (the “Credit Agreement”), dated as of the Closing Date, by</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5" w:lineRule="exact"/>
        <w:rPr>
          <w:sz w:val="20"/>
          <w:szCs w:val="20"/>
          <w:color w:val="auto"/>
        </w:rPr>
      </w:pPr>
    </w:p>
    <w:p>
      <w:pPr>
        <w:ind w:left="780" w:right="1000"/>
        <w:spacing w:after="0" w:line="257" w:lineRule="auto"/>
        <w:rPr>
          <w:sz w:val="20"/>
          <w:szCs w:val="20"/>
          <w:color w:val="auto"/>
        </w:rPr>
      </w:pPr>
      <w:r>
        <w:rPr>
          <w:rFonts w:ascii="Times New Roman" w:cs="Times New Roman" w:eastAsia="Times New Roman" w:hAnsi="Times New Roman"/>
          <w:sz w:val="11"/>
          <w:szCs w:val="11"/>
          <w:color w:val="auto"/>
        </w:rPr>
        <w:t>and among the Issuer, as borrower, various financial institutions, as lenders, and Wilmington Trust, National Association, as collateral agent and as loan agent. The Debt is scheduled to mature on April 18, 2036.</w:t>
      </w:r>
    </w:p>
    <w:p>
      <w:pPr>
        <w:spacing w:after="0" w:line="111" w:lineRule="exact"/>
        <w:rPr>
          <w:sz w:val="20"/>
          <w:szCs w:val="20"/>
          <w:color w:val="auto"/>
        </w:rPr>
      </w:pPr>
    </w:p>
    <w:p>
      <w:pPr>
        <w:ind w:left="780" w:right="940" w:firstLine="282"/>
        <w:spacing w:after="0" w:line="259" w:lineRule="auto"/>
        <w:rPr>
          <w:sz w:val="20"/>
          <w:szCs w:val="20"/>
          <w:color w:val="auto"/>
        </w:rPr>
      </w:pPr>
      <w:r>
        <w:rPr>
          <w:rFonts w:ascii="Times New Roman" w:cs="Times New Roman" w:eastAsia="Times New Roman" w:hAnsi="Times New Roman"/>
          <w:sz w:val="11"/>
          <w:szCs w:val="11"/>
          <w:color w:val="auto"/>
        </w:rPr>
        <w:t>The 2036 Asset-Backed Debt is included in the Consolidated Statement of Assets and Liabilities as debt of the Company and the Subordinated Notes of the 2036-Securitization Issuer were eliminated in consolidation. As of December 31, 2025 and September 30, 2025, the Company had $287.0 million of 2036 Asset-Backed Debt outstanding with a weighted average interest rate of 6.7% and 7.1%, respectively. As of December 31, 2025, and September 30, 2025, the unamortized fees on the 2036 Asset-Backed Debt were $2.2 million and $2.4 million, respectively.</w:t>
      </w:r>
    </w:p>
    <w:p>
      <w:pPr>
        <w:spacing w:after="0" w:line="110" w:lineRule="exact"/>
        <w:rPr>
          <w:sz w:val="20"/>
          <w:szCs w:val="20"/>
          <w:color w:val="auto"/>
        </w:rPr>
      </w:pPr>
    </w:p>
    <w:p>
      <w:pPr>
        <w:ind w:left="780" w:right="1020" w:firstLine="282"/>
        <w:spacing w:after="0" w:line="264" w:lineRule="auto"/>
        <w:rPr>
          <w:sz w:val="20"/>
          <w:szCs w:val="20"/>
          <w:color w:val="auto"/>
        </w:rPr>
      </w:pPr>
      <w:r>
        <w:rPr>
          <w:rFonts w:ascii="Times New Roman" w:cs="Times New Roman" w:eastAsia="Times New Roman" w:hAnsi="Times New Roman"/>
          <w:sz w:val="11"/>
          <w:szCs w:val="11"/>
          <w:color w:val="auto"/>
        </w:rPr>
        <w:t>Our Investment Adviser serves as collateral manager to the 2036-Securitization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2037 Asset-Backed Debt</w:t>
      </w:r>
    </w:p>
    <w:p>
      <w:pPr>
        <w:spacing w:after="0" w:line="138" w:lineRule="exact"/>
        <w:rPr>
          <w:sz w:val="20"/>
          <w:szCs w:val="20"/>
          <w:color w:val="auto"/>
        </w:rPr>
      </w:pPr>
    </w:p>
    <w:p>
      <w:pPr>
        <w:ind w:left="780" w:right="840" w:firstLine="250"/>
        <w:spacing w:after="0" w:line="251" w:lineRule="auto"/>
        <w:rPr>
          <w:sz w:val="20"/>
          <w:szCs w:val="20"/>
          <w:color w:val="auto"/>
        </w:rPr>
      </w:pPr>
      <w:r>
        <w:rPr>
          <w:rFonts w:ascii="Times New Roman" w:cs="Times New Roman" w:eastAsia="Times New Roman" w:hAnsi="Times New Roman"/>
          <w:sz w:val="11"/>
          <w:szCs w:val="11"/>
          <w:color w:val="auto"/>
        </w:rPr>
        <w:t>In February 2025, the Company completed the 2037 Debt Securitization. The 2037 Notes were issued by the 2037 Securitization Issuer and are backed by a portfolio of collateral obligations consisting of middle market loans and participation interests in middle market loans as well as by other assets of the 2037 Securitization Issuer. The transaction was executed through (A) a private placement of $220.5 million of AAA(sf) Class A-1 Notes, which bear interest at the three-month SOFR plus 1.49% (the “2037 Class A-1 Notes”), (ii) $19.0 million of AAA(sf) Class A-2 Notes, which bear interest at three-month SOFR plus 1.60% (the “2037 Class A-2 Notes”), (iii) $28.5 million of AA(sf) Class B Notes, which bear interest at three-month SOFR plus 1.75% (the “2037 Class B Notes”), (iv) $38.0 million of A(sf) Class C Notes, which bear interest at three-month SOFR plus 2.20% (the “2037 Class C Notes”), (v) $28.5 million of BBB-(sf) Class D Notes, which bear interest at three-month SOFR plus 3.60%, (the “2037 Class D Notes” and, collectively with the 2037 Class A-2 Notes, the 2037 Class B Notes and the 2037 Class D Notes, the “2037 Secured Notes”), and (vi) $85.1 million of subordinated notes (the “2037 Subordinated Notes” and, together with the 2037 Secured Notes, the “2037 Notes”) and (B) the borrowing by the 2037 Securitization Issuer of $10.0 million under AAA(sf) Class A-1L-A floating rate loans (the “2037 Class A-1L-A Loans”) and $45.0 million under AAA(sf) Class A-1L-B floating rate loans (the “2037 Class A-1L-B Loans” and, together with the Class A-1L-A Loans, the “2037 Asset-Backed Loans,” and collectively with the 2037 Secured Notes and 2037 Subordinated Notes, the “2037 Asset-Backed Debt”), which bear interest at three-month SOFR plus 1.49%. The 2037 Asset-Backed Debt is scheduled to mature on April 20, 2037.</w:t>
      </w:r>
    </w:p>
    <w:p>
      <w:pPr>
        <w:spacing w:after="0" w:line="118" w:lineRule="exact"/>
        <w:rPr>
          <w:sz w:val="20"/>
          <w:szCs w:val="20"/>
          <w:color w:val="auto"/>
        </w:rPr>
      </w:pPr>
    </w:p>
    <w:p>
      <w:pPr>
        <w:ind w:left="780" w:right="820" w:firstLine="282"/>
        <w:spacing w:after="0" w:line="259" w:lineRule="auto"/>
        <w:rPr>
          <w:sz w:val="20"/>
          <w:szCs w:val="20"/>
          <w:color w:val="auto"/>
        </w:rPr>
      </w:pPr>
      <w:r>
        <w:rPr>
          <w:rFonts w:ascii="Times New Roman" w:cs="Times New Roman" w:eastAsia="Times New Roman" w:hAnsi="Times New Roman"/>
          <w:sz w:val="11"/>
          <w:szCs w:val="11"/>
          <w:color w:val="auto"/>
        </w:rPr>
        <w:t>The 2037 Asset-Backed Debt is included in the Consolidated Statement of Assets and Liabilities as debt of the Company and the 2037 Class D Notes and the 2037 Subordinated Notes of the 2037 Securitization Issuer were eliminated in consolidation. As of September 30, 2025, the Company retained the 2037 Class D Notes and the 2037 Subordinated Notes. A portion of the proceeds received by the 2037 Securitization Issuer from the loans securing the 2037 Asset-Backed Loans and the 2037 Secured Notes may be used to purchase additional middle market loans under the direction of the Investment Adviser through April 20, 2029.</w:t>
      </w:r>
    </w:p>
    <w:p>
      <w:pPr>
        <w:spacing w:after="0" w:line="110" w:lineRule="exact"/>
        <w:rPr>
          <w:sz w:val="20"/>
          <w:szCs w:val="20"/>
          <w:color w:val="auto"/>
        </w:rPr>
      </w:pPr>
    </w:p>
    <w:p>
      <w:pPr>
        <w:ind w:left="780" w:right="980" w:firstLine="282"/>
        <w:spacing w:after="0" w:line="279" w:lineRule="auto"/>
        <w:rPr>
          <w:sz w:val="20"/>
          <w:szCs w:val="20"/>
          <w:color w:val="auto"/>
        </w:rPr>
      </w:pPr>
      <w:r>
        <w:rPr>
          <w:rFonts w:ascii="Times New Roman" w:cs="Times New Roman" w:eastAsia="Times New Roman" w:hAnsi="Times New Roman"/>
          <w:sz w:val="11"/>
          <w:szCs w:val="11"/>
          <w:color w:val="auto"/>
        </w:rPr>
        <w:t>In November 2025 the Company sold $28.5 million of initially retained BBB-(sf) Class D Notes, to a third party. As of December 31, 2025, the Company no longer consolidates the BBB-(sf) Class D Notes.</w:t>
      </w:r>
    </w:p>
    <w:p>
      <w:pPr>
        <w:spacing w:after="0" w:line="99" w:lineRule="exact"/>
        <w:rPr>
          <w:sz w:val="20"/>
          <w:szCs w:val="20"/>
          <w:color w:val="auto"/>
        </w:rPr>
      </w:pPr>
    </w:p>
    <w:p>
      <w:pPr>
        <w:ind w:left="780" w:right="1000" w:firstLine="313"/>
        <w:spacing w:after="0" w:line="264" w:lineRule="auto"/>
        <w:rPr>
          <w:sz w:val="20"/>
          <w:szCs w:val="20"/>
          <w:color w:val="auto"/>
        </w:rPr>
      </w:pPr>
      <w:r>
        <w:rPr>
          <w:rFonts w:ascii="Times New Roman" w:cs="Times New Roman" w:eastAsia="Times New Roman" w:hAnsi="Times New Roman"/>
          <w:sz w:val="11"/>
          <w:szCs w:val="11"/>
          <w:color w:val="auto"/>
        </w:rPr>
        <w:t>As of December 31, 2025 and September 30, 2025, the Company had $389.5 million and $361.0 million of 2037 Asset-Backed Debt outstanding with a weighted average interest rate of 5.6% and 5.9%, respectively. As of December 31, 2025 and September 30, 2025, the unamortized fees on the 2037 Asset-Backed Debt were $2.5 million and $2.7 million, respectively.</w:t>
      </w:r>
    </w:p>
    <w:p>
      <w:pPr>
        <w:spacing w:after="0" w:line="107" w:lineRule="exact"/>
        <w:rPr>
          <w:sz w:val="20"/>
          <w:szCs w:val="20"/>
          <w:color w:val="auto"/>
        </w:rPr>
      </w:pPr>
    </w:p>
    <w:p>
      <w:pPr>
        <w:ind w:left="780" w:right="1020" w:firstLine="282"/>
        <w:spacing w:after="0" w:line="264" w:lineRule="auto"/>
        <w:rPr>
          <w:sz w:val="20"/>
          <w:szCs w:val="20"/>
          <w:color w:val="auto"/>
        </w:rPr>
      </w:pPr>
      <w:r>
        <w:rPr>
          <w:rFonts w:ascii="Times New Roman" w:cs="Times New Roman" w:eastAsia="Times New Roman" w:hAnsi="Times New Roman"/>
          <w:sz w:val="11"/>
          <w:szCs w:val="11"/>
          <w:color w:val="auto"/>
        </w:rPr>
        <w:t>Our Investment Adviser serves as collateral manager to the 2037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11. COMMITMENTS AND CONTINGENCIES</w:t>
      </w:r>
    </w:p>
    <w:p>
      <w:pPr>
        <w:spacing w:after="0" w:line="138" w:lineRule="exact"/>
        <w:rPr>
          <w:sz w:val="20"/>
          <w:szCs w:val="20"/>
          <w:color w:val="auto"/>
        </w:rPr>
      </w:pPr>
    </w:p>
    <w:p>
      <w:pPr>
        <w:ind w:left="780" w:right="860" w:firstLine="282"/>
        <w:spacing w:after="0" w:line="253" w:lineRule="auto"/>
        <w:rPr>
          <w:sz w:val="20"/>
          <w:szCs w:val="20"/>
          <w:color w:val="auto"/>
        </w:rPr>
      </w:pPr>
      <w:r>
        <w:rPr>
          <w:rFonts w:ascii="Times New Roman" w:cs="Times New Roman" w:eastAsia="Times New Roman" w:hAnsi="Times New Roman"/>
          <w:sz w:val="11"/>
          <w:szCs w:val="11"/>
          <w:color w:val="auto"/>
        </w:rPr>
        <w:t>From time to time, we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December 31, 2025 and September 30, 2025, we had $594.0 million and $603.7 million, respectively, in commitments to fund investments. Additionally, as described in Note 4, the Company had unfunded commitments of $26.3 million and $65.6 million to PSSL as of December 31, 2025 and September 30, 2025, respectively, that may be contributed primarily for the purpose of funding new investments approved by the PSSL board of directors or investment committee. Additionally, the Company had unfunded commitments of $93.8 million to PSSL II as of December 31, 2025, that may be contributed primarily for the purpose of funding new investments approved by the PSSL II board of directors or investment committee.</w:t>
      </w:r>
    </w:p>
    <w:p>
      <w:pPr>
        <w:spacing w:after="0" w:line="1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12. SEGMENT REPORTING</w:t>
      </w:r>
    </w:p>
    <w:p>
      <w:pPr>
        <w:spacing w:after="0" w:line="138" w:lineRule="exact"/>
        <w:rPr>
          <w:sz w:val="20"/>
          <w:szCs w:val="20"/>
          <w:color w:val="auto"/>
        </w:rPr>
      </w:pPr>
    </w:p>
    <w:p>
      <w:pPr>
        <w:ind w:left="780" w:right="1120" w:firstLine="282"/>
        <w:spacing w:after="0" w:line="259" w:lineRule="auto"/>
        <w:rPr>
          <w:sz w:val="20"/>
          <w:szCs w:val="20"/>
          <w:color w:val="auto"/>
        </w:rPr>
      </w:pPr>
      <w:r>
        <w:rPr>
          <w:rFonts w:ascii="Times New Roman" w:cs="Times New Roman" w:eastAsia="Times New Roman" w:hAnsi="Times New Roman"/>
          <w:sz w:val="11"/>
          <w:szCs w:val="11"/>
          <w:color w:val="auto"/>
        </w:rPr>
        <w:t>The Company operates through a single operating and reporting segment with a principal investment objective to generate both current income and capital appreciation</w:t>
      </w:r>
    </w:p>
    <w:p>
      <w:pPr>
        <w:spacing w:after="0" w:line="1" w:lineRule="exact"/>
        <w:rPr>
          <w:sz w:val="20"/>
          <w:szCs w:val="20"/>
          <w:color w:val="auto"/>
        </w:rPr>
      </w:pPr>
    </w:p>
    <w:p>
      <w:pPr>
        <w:ind w:left="780" w:right="800"/>
        <w:spacing w:after="0" w:line="248" w:lineRule="auto"/>
        <w:rPr>
          <w:sz w:val="20"/>
          <w:szCs w:val="20"/>
          <w:color w:val="auto"/>
        </w:rPr>
      </w:pPr>
      <w:r>
        <w:rPr>
          <w:rFonts w:ascii="Times New Roman" w:cs="Times New Roman" w:eastAsia="Times New Roman" w:hAnsi="Times New Roman"/>
          <w:sz w:val="11"/>
          <w:szCs w:val="11"/>
          <w:color w:val="auto"/>
        </w:rPr>
        <w:t>through debt and equity investments. The CODM is comprised of the Company's Chief Executive Officer and Chief Financial Officer. The CODM assesses the performance and makes operating decisions of the Company on a consolidated basis primarily based on the Company's net increase (decrease) in net assets resulting from operations ("Net Income") and net investment income ("NII"). The CODM utilizes Net Income and NII as the key metrics in determining the amount of dividends to be distributed to the Company's stockholders. As the Company's operations comprise of single reporting segment, the segment assets are reflected on the accompanying consolidated statements of assets and liabilities as 'total assets" and significant segment expenses are listed on accompanying consolidated statements of operations.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52" w:name="page53"/>
    <w:bookmarkEnd w:id="52"/>
    <w:p>
      <w:pPr>
        <w:ind w:left="3120"/>
        <w:spacing w:after="0"/>
        <w:rPr>
          <w:sz w:val="20"/>
          <w:szCs w:val="20"/>
          <w:color w:val="auto"/>
        </w:rPr>
      </w:pPr>
      <w:r>
        <w:rPr>
          <w:rFonts w:ascii="Times New Roman" w:cs="Times New Roman" w:eastAsia="Times New Roman" w:hAnsi="Times New Roman"/>
          <w:sz w:val="11"/>
          <w:szCs w:val="11"/>
          <w:b w:val="1"/>
          <w:bCs w:val="1"/>
          <w:color w:val="auto"/>
        </w:rPr>
        <w:t>Report of Independent Registered Public Accounting Firm</w:t>
      </w:r>
    </w:p>
    <w:p>
      <w:pPr>
        <w:spacing w:after="0" w:line="13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To the Stockholders and Board of Directors of PennantPark Floating Rate Capital Ltd. and its Subsidiaries</w:t>
      </w:r>
    </w:p>
    <w:p>
      <w:pPr>
        <w:spacing w:after="0" w:line="26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Results of Review of Interim Financial Statements</w:t>
      </w:r>
    </w:p>
    <w:p>
      <w:pPr>
        <w:spacing w:after="0" w:line="138" w:lineRule="exact"/>
        <w:rPr>
          <w:sz w:val="20"/>
          <w:szCs w:val="20"/>
          <w:color w:val="auto"/>
        </w:rPr>
      </w:pPr>
    </w:p>
    <w:p>
      <w:pPr>
        <w:ind w:left="780" w:right="800"/>
        <w:spacing w:after="0" w:line="255" w:lineRule="auto"/>
        <w:rPr>
          <w:sz w:val="20"/>
          <w:szCs w:val="20"/>
          <w:color w:val="auto"/>
        </w:rPr>
      </w:pPr>
      <w:r>
        <w:rPr>
          <w:rFonts w:ascii="Times New Roman" w:cs="Times New Roman" w:eastAsia="Times New Roman" w:hAnsi="Times New Roman"/>
          <w:sz w:val="11"/>
          <w:szCs w:val="11"/>
          <w:color w:val="auto"/>
        </w:rPr>
        <w:t>We have reviewed the accompanying consolidated statement of assets and liabilities of PennantPark Floating Rate Capital, Ltd. and its subsidiaries (the Company), including the consolidated schedule of investments, as of December 31, 2025, the related consolidated statements of operations and changes in net assets for the three-month periods ended December 31, 2025 and 2024, and cash flows for the three month periods ended December 31, 2025 and 2024, and the related notes to the consolidated financial statements (collectively, the interim financial information or financial statements). Based on our reviews, we are not aware of any material modifications that should be made to the financial statements referred to above for them to be in conformity with accounting principles generally accepted in the United States of America.</w:t>
      </w:r>
    </w:p>
    <w:p>
      <w:pPr>
        <w:spacing w:after="0" w:line="112" w:lineRule="exact"/>
        <w:rPr>
          <w:sz w:val="20"/>
          <w:szCs w:val="20"/>
          <w:color w:val="auto"/>
        </w:rPr>
      </w:pPr>
    </w:p>
    <w:p>
      <w:pPr>
        <w:ind w:left="780" w:right="800"/>
        <w:spacing w:after="0" w:line="255" w:lineRule="auto"/>
        <w:rPr>
          <w:sz w:val="20"/>
          <w:szCs w:val="20"/>
          <w:color w:val="auto"/>
        </w:rPr>
      </w:pPr>
      <w:r>
        <w:rPr>
          <w:rFonts w:ascii="Times New Roman" w:cs="Times New Roman" w:eastAsia="Times New Roman" w:hAnsi="Times New Roman"/>
          <w:sz w:val="11"/>
          <w:szCs w:val="11"/>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2025, and the related consolidated statements of operations, changes in net assets, and cash flows for the year then ended (not presented herein); and in our report dated November 24, 2025, we expressed an unqualified opinion on those financial statements. In our opinion, the information set forth in the accompanying consolidated statement of assets and liabilities, including the consolidated schedule of investments, as of September 30, 2025, is fairly stated, in all material respects, in relation to the consolidated statement of assets and liabilities, including the consolidated schedule of investments, from which it has been derived.</w:t>
      </w:r>
    </w:p>
    <w:p>
      <w:pPr>
        <w:spacing w:after="0" w:line="1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Basis for Review Results</w:t>
      </w:r>
    </w:p>
    <w:p>
      <w:pPr>
        <w:spacing w:after="0" w:line="138" w:lineRule="exact"/>
        <w:rPr>
          <w:sz w:val="20"/>
          <w:szCs w:val="20"/>
          <w:color w:val="auto"/>
        </w:rPr>
      </w:pPr>
    </w:p>
    <w:p>
      <w:pPr>
        <w:ind w:left="780" w:right="780"/>
        <w:spacing w:after="0" w:line="255" w:lineRule="auto"/>
        <w:rPr>
          <w:sz w:val="20"/>
          <w:szCs w:val="20"/>
          <w:color w:val="auto"/>
        </w:rPr>
      </w:pPr>
      <w:r>
        <w:rPr>
          <w:rFonts w:ascii="Times New Roman" w:cs="Times New Roman" w:eastAsia="Times New Roman" w:hAnsi="Times New Roman"/>
          <w:sz w:val="11"/>
          <w:szCs w:val="11"/>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4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/s/ RSM US LLP</w:t>
      </w:r>
    </w:p>
    <w:p>
      <w:pPr>
        <w:spacing w:after="0" w:line="13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New York, New York</w:t>
      </w:r>
    </w:p>
    <w:p>
      <w:pPr>
        <w:spacing w:after="0" w:line="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February 9, 2026</w:t>
      </w: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3" w:right="1440" w:bottom="1440" w:gutter="0" w:footer="0" w:header="0"/>
        </w:sectPr>
      </w:pPr>
    </w:p>
    <w:bookmarkStart w:id="53" w:name="page54"/>
    <w:bookmarkEnd w:id="53"/>
    <w:p>
      <w:pPr>
        <w:ind w:left="2860"/>
        <w:spacing w:after="0"/>
        <w:rPr>
          <w:sz w:val="20"/>
          <w:szCs w:val="20"/>
          <w:color w:val="auto"/>
        </w:rPr>
      </w:pPr>
      <w:r>
        <w:rPr>
          <w:rFonts w:ascii="Times New Roman" w:cs="Times New Roman" w:eastAsia="Times New Roman" w:hAnsi="Times New Roman"/>
          <w:sz w:val="11"/>
          <w:szCs w:val="11"/>
          <w:b w:val="1"/>
          <w:bCs w:val="1"/>
          <w:color w:val="auto"/>
        </w:rPr>
        <w:t>Awareness Letter of Independent Registered Public Accounting Firm</w:t>
      </w:r>
    </w:p>
    <w:p>
      <w:pPr>
        <w:spacing w:after="0" w:line="15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To the Board of Directors and Stockholders of PennantPark Floating Rate Capital Ltd. and its Subsidiaries</w:t>
      </w:r>
    </w:p>
    <w:p>
      <w:pPr>
        <w:spacing w:after="0" w:line="136" w:lineRule="exact"/>
        <w:rPr>
          <w:sz w:val="20"/>
          <w:szCs w:val="20"/>
          <w:color w:val="auto"/>
        </w:rPr>
      </w:pPr>
    </w:p>
    <w:p>
      <w:pPr>
        <w:jc w:val="both"/>
        <w:ind w:left="780" w:right="900"/>
        <w:spacing w:after="0" w:line="264" w:lineRule="auto"/>
        <w:rPr>
          <w:sz w:val="20"/>
          <w:szCs w:val="20"/>
          <w:color w:val="auto"/>
        </w:rPr>
      </w:pPr>
      <w:r>
        <w:rPr>
          <w:rFonts w:ascii="Times New Roman" w:cs="Times New Roman" w:eastAsia="Times New Roman" w:hAnsi="Times New Roman"/>
          <w:sz w:val="11"/>
          <w:szCs w:val="11"/>
          <w:color w:val="auto"/>
        </w:rPr>
        <w:t>We have reviewed, in accordance with the standards of the Public Company Accounting Oversight Board (United States), the unaudited interim financial information of PennantPark Floating Rate Capital Ltd. and its Subsidiaries for the periods ended December 31, 2025 and 2024, as indicated in our report dated February 9, 2026; because we did not perform an audit, we expressed no opinion on that information.</w:t>
      </w:r>
    </w:p>
    <w:p>
      <w:pPr>
        <w:spacing w:after="0" w:line="107" w:lineRule="exact"/>
        <w:rPr>
          <w:sz w:val="20"/>
          <w:szCs w:val="20"/>
          <w:color w:val="auto"/>
        </w:rPr>
      </w:pPr>
    </w:p>
    <w:p>
      <w:pPr>
        <w:ind w:left="780" w:right="860"/>
        <w:spacing w:after="0" w:line="279" w:lineRule="auto"/>
        <w:rPr>
          <w:sz w:val="20"/>
          <w:szCs w:val="20"/>
          <w:color w:val="auto"/>
        </w:rPr>
      </w:pPr>
      <w:r>
        <w:rPr>
          <w:rFonts w:ascii="Times New Roman" w:cs="Times New Roman" w:eastAsia="Times New Roman" w:hAnsi="Times New Roman"/>
          <w:sz w:val="11"/>
          <w:szCs w:val="11"/>
          <w:color w:val="auto"/>
        </w:rPr>
        <w:t>We are aware that our report referred to above, which is included in your Quarterly Report on Form 10-Q for the quarter ended December 31, 2025, is incorporated by reference in Registration Statement No.333-279726 on Form N-2.</w:t>
      </w:r>
    </w:p>
    <w:p>
      <w:pPr>
        <w:spacing w:after="0" w:line="99" w:lineRule="exact"/>
        <w:rPr>
          <w:sz w:val="20"/>
          <w:szCs w:val="20"/>
          <w:color w:val="auto"/>
        </w:rPr>
      </w:pPr>
    </w:p>
    <w:p>
      <w:pPr>
        <w:ind w:left="780" w:right="1080"/>
        <w:spacing w:after="0" w:line="279" w:lineRule="auto"/>
        <w:rPr>
          <w:sz w:val="20"/>
          <w:szCs w:val="20"/>
          <w:color w:val="auto"/>
        </w:rPr>
      </w:pPr>
      <w:r>
        <w:rPr>
          <w:rFonts w:ascii="Times New Roman" w:cs="Times New Roman" w:eastAsia="Times New Roman" w:hAnsi="Times New Roman"/>
          <w:sz w:val="11"/>
          <w:szCs w:val="11"/>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3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/s/ RSM US LLP</w:t>
      </w:r>
    </w:p>
    <w:p>
      <w:pPr>
        <w:spacing w:after="0" w:line="13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New York, New York</w:t>
      </w:r>
    </w:p>
    <w:p>
      <w:pPr>
        <w:spacing w:after="0" w:line="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February 9, 2026</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324" w:right="1440" w:bottom="1440" w:gutter="0" w:footer="0" w:header="0"/>
        </w:sectPr>
      </w:pPr>
    </w:p>
    <w:bookmarkStart w:id="54" w:name="page55"/>
    <w:bookmarkEnd w:id="54"/>
    <w:p>
      <w:pPr>
        <w:ind w:left="780"/>
        <w:spacing w:after="0"/>
        <w:rPr>
          <w:sz w:val="20"/>
          <w:szCs w:val="20"/>
          <w:color w:val="auto"/>
        </w:rPr>
      </w:pPr>
      <w:r>
        <w:rPr>
          <w:rFonts w:ascii="Times New Roman" w:cs="Times New Roman" w:eastAsia="Times New Roman" w:hAnsi="Times New Roman"/>
          <w:sz w:val="11"/>
          <w:szCs w:val="11"/>
          <w:b w:val="1"/>
          <w:bCs w:val="1"/>
          <w:color w:val="auto"/>
        </w:rPr>
        <w:t>Item 2. MANAGEMENT’S DISCUSSION AND ANALYSIS OF FINANCIAL CONDITION AND RESULTS OF OPERATIONS</w:t>
      </w:r>
    </w:p>
    <w:p>
      <w:pPr>
        <w:spacing w:after="0" w:line="13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FORWARD-LOOKING STATEMENTS</w:t>
      </w:r>
    </w:p>
    <w:p>
      <w:pPr>
        <w:spacing w:after="0" w:line="138" w:lineRule="exact"/>
        <w:rPr>
          <w:sz w:val="20"/>
          <w:szCs w:val="20"/>
          <w:color w:val="auto"/>
        </w:rPr>
      </w:pPr>
    </w:p>
    <w:p>
      <w:pPr>
        <w:ind w:left="780" w:right="820" w:firstLine="282"/>
        <w:spacing w:after="0" w:line="259" w:lineRule="auto"/>
        <w:rPr>
          <w:sz w:val="20"/>
          <w:szCs w:val="20"/>
          <w:color w:val="auto"/>
        </w:rPr>
      </w:pPr>
      <w:r>
        <w:rPr>
          <w:rFonts w:ascii="Times New Roman" w:cs="Times New Roman" w:eastAsia="Times New Roman" w:hAnsi="Times New Roman"/>
          <w:sz w:val="11"/>
          <w:szCs w:val="11"/>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•our future operating results;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•our business prospects and the prospects of our prospective portfolio companies;</w:t>
      </w:r>
    </w:p>
    <w:p>
      <w:pPr>
        <w:spacing w:after="0" w:line="136" w:lineRule="exact"/>
        <w:rPr>
          <w:sz w:val="20"/>
          <w:szCs w:val="20"/>
          <w:color w:val="auto"/>
        </w:rPr>
      </w:pPr>
    </w:p>
    <w:p>
      <w:pPr>
        <w:ind w:left="1060" w:right="900"/>
        <w:spacing w:after="0" w:line="279" w:lineRule="auto"/>
        <w:rPr>
          <w:sz w:val="20"/>
          <w:szCs w:val="20"/>
          <w:color w:val="auto"/>
        </w:rPr>
      </w:pPr>
      <w:r>
        <w:rPr>
          <w:rFonts w:ascii="Times New Roman" w:cs="Times New Roman" w:eastAsia="Times New Roman" w:hAnsi="Times New Roman"/>
          <w:sz w:val="11"/>
          <w:szCs w:val="11"/>
          <w:color w:val="auto"/>
        </w:rPr>
        <w:t>•changes in political, economic or industry conditions, the interest rate environment or conditions affecting the financial and capital markets that could result in changes to the value of our assets;</w:t>
      </w:r>
    </w:p>
    <w:p>
      <w:pPr>
        <w:spacing w:after="0" w:line="9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•the impact of fluctuations in interest rates and foreign exchange rates on our business and our portfolio companies.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•the dependence of our future success on the general economy and its impact on the industries in which we invest;</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•the impact of a protracted decline in the liquidity of credit markets on our business;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•the impact of investments that we expect to make;</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•our contractual arrangements and relationships with third parties;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•the valuation of our investments in portfolio companies, particularly those having no liquid trading market;</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•the ability of our prospective portfolio companies to achieve their objectives;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•our expected financings and investments and ability to fund capital commitments to PSSL and PSSL II;</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•the adequacy of our cash resources and working capital;</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•the timing of cash flows, if any, from the operations of our prospective portfolio companies;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•the impact of price and volume fluctuations in the stock market;</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•increasing levels of inflation, and its impact on us and our portfolio companies;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•the ability of our Investment Adviser to locate suitable investments for us and to monitor and administer our investments;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•the impact of future legislation and regulation on our business and our portfolio companies; and</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•the inability to develop and maintain effective internal control over financial reporting.</w:t>
      </w:r>
    </w:p>
    <w:p>
      <w:pPr>
        <w:spacing w:after="0" w:line="136" w:lineRule="exact"/>
        <w:rPr>
          <w:sz w:val="20"/>
          <w:szCs w:val="20"/>
          <w:color w:val="auto"/>
        </w:rPr>
      </w:pPr>
    </w:p>
    <w:p>
      <w:pPr>
        <w:ind w:left="780" w:right="920" w:firstLine="282"/>
        <w:spacing w:after="0" w:line="264" w:lineRule="auto"/>
        <w:rPr>
          <w:sz w:val="20"/>
          <w:szCs w:val="20"/>
          <w:color w:val="auto"/>
        </w:rPr>
      </w:pPr>
      <w:r>
        <w:rPr>
          <w:rFonts w:ascii="Times New Roman" w:cs="Times New Roman" w:eastAsia="Times New Roman" w:hAnsi="Times New Roman"/>
          <w:sz w:val="11"/>
          <w:szCs w:val="11"/>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07" w:lineRule="exact"/>
        <w:rPr>
          <w:sz w:val="20"/>
          <w:szCs w:val="20"/>
          <w:color w:val="auto"/>
        </w:rPr>
      </w:pPr>
    </w:p>
    <w:p>
      <w:pPr>
        <w:ind w:left="780" w:right="840" w:firstLine="282"/>
        <w:spacing w:after="0" w:line="259" w:lineRule="auto"/>
        <w:rPr>
          <w:sz w:val="20"/>
          <w:szCs w:val="20"/>
          <w:color w:val="auto"/>
        </w:rPr>
      </w:pPr>
      <w:r>
        <w:rPr>
          <w:rFonts w:ascii="Times New Roman" w:cs="Times New Roman" w:eastAsia="Times New Roman" w:hAnsi="Times New Roman"/>
          <w:sz w:val="11"/>
          <w:szCs w:val="11"/>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0" w:lineRule="exact"/>
        <w:rPr>
          <w:sz w:val="20"/>
          <w:szCs w:val="20"/>
          <w:color w:val="auto"/>
        </w:rPr>
      </w:pPr>
    </w:p>
    <w:p>
      <w:pPr>
        <w:ind w:left="780" w:right="820" w:firstLine="282"/>
        <w:spacing w:after="0" w:line="259" w:lineRule="auto"/>
        <w:rPr>
          <w:sz w:val="20"/>
          <w:szCs w:val="20"/>
          <w:color w:val="auto"/>
        </w:rPr>
      </w:pPr>
      <w:r>
        <w:rPr>
          <w:rFonts w:ascii="Times New Roman" w:cs="Times New Roman" w:eastAsia="Times New Roman" w:hAnsi="Times New Roman"/>
          <w:sz w:val="11"/>
          <w:szCs w:val="11"/>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0" w:lineRule="exact"/>
        <w:rPr>
          <w:sz w:val="20"/>
          <w:szCs w:val="20"/>
          <w:color w:val="auto"/>
        </w:rPr>
      </w:pPr>
    </w:p>
    <w:p>
      <w:pPr>
        <w:ind w:left="780" w:right="860" w:firstLine="282"/>
        <w:spacing w:after="0" w:line="279" w:lineRule="auto"/>
        <w:rPr>
          <w:sz w:val="20"/>
          <w:szCs w:val="20"/>
          <w:color w:val="auto"/>
        </w:rPr>
      </w:pPr>
      <w:r>
        <w:rPr>
          <w:rFonts w:ascii="Times New Roman" w:cs="Times New Roman" w:eastAsia="Times New Roman" w:hAnsi="Times New Roman"/>
          <w:sz w:val="11"/>
          <w:szCs w:val="11"/>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99" w:lineRule="exact"/>
        <w:rPr>
          <w:sz w:val="20"/>
          <w:szCs w:val="20"/>
          <w:color w:val="auto"/>
        </w:rPr>
      </w:pPr>
    </w:p>
    <w:p>
      <w:pPr>
        <w:ind w:left="780" w:right="1020" w:firstLine="282"/>
        <w:spacing w:after="0" w:line="279" w:lineRule="auto"/>
        <w:rPr>
          <w:sz w:val="20"/>
          <w:szCs w:val="20"/>
          <w:color w:val="auto"/>
        </w:rPr>
      </w:pPr>
      <w:r>
        <w:rPr>
          <w:rFonts w:ascii="Times New Roman" w:cs="Times New Roman" w:eastAsia="Times New Roman" w:hAnsi="Times New Roman"/>
          <w:sz w:val="11"/>
          <w:szCs w:val="11"/>
          <w:color w:val="auto"/>
        </w:rPr>
        <w:t>The following analysis of our financial condition and results of operations should be read in conjunction with our Consolidated Financial Statements and the related notes thereto contained elsewhere in this Report.</w:t>
      </w:r>
    </w:p>
    <w:p>
      <w:pPr>
        <w:spacing w:after="0" w:line="9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Overview</w:t>
      </w:r>
    </w:p>
    <w:p>
      <w:pPr>
        <w:spacing w:after="0" w:line="138" w:lineRule="exact"/>
        <w:rPr>
          <w:sz w:val="20"/>
          <w:szCs w:val="20"/>
          <w:color w:val="auto"/>
        </w:rPr>
      </w:pPr>
    </w:p>
    <w:p>
      <w:pPr>
        <w:ind w:left="780" w:right="820" w:firstLine="282"/>
        <w:spacing w:after="0" w:line="264" w:lineRule="auto"/>
        <w:rPr>
          <w:sz w:val="20"/>
          <w:szCs w:val="20"/>
          <w:color w:val="auto"/>
        </w:rPr>
      </w:pPr>
      <w:r>
        <w:rPr>
          <w:rFonts w:ascii="Times New Roman" w:cs="Times New Roman" w:eastAsia="Times New Roman" w:hAnsi="Times New Roman"/>
          <w:sz w:val="11"/>
          <w:szCs w:val="11"/>
          <w:color w:val="auto"/>
        </w:rPr>
        <w:t>PennantPark Floating Rate Capital Ltd. (the "Company," "we," "our" or "us") is a business development company ("BDC") whose principal objectives are to generate both current income and capital appreciation while seeking to preserve capital by investing primarily in floating rate loans and other investments made to U.S. middle-market companies.</w:t>
      </w:r>
    </w:p>
    <w:p>
      <w:pPr>
        <w:spacing w:after="0" w:line="107" w:lineRule="exact"/>
        <w:rPr>
          <w:sz w:val="20"/>
          <w:szCs w:val="20"/>
          <w:color w:val="auto"/>
        </w:rPr>
      </w:pPr>
    </w:p>
    <w:p>
      <w:pPr>
        <w:ind w:left="780" w:right="800" w:firstLine="282"/>
        <w:spacing w:after="0" w:line="254" w:lineRule="auto"/>
        <w:rPr>
          <w:sz w:val="20"/>
          <w:szCs w:val="20"/>
          <w:color w:val="auto"/>
        </w:rPr>
      </w:pPr>
      <w:r>
        <w:rPr>
          <w:rFonts w:ascii="Times New Roman" w:cs="Times New Roman" w:eastAsia="Times New Roman" w:hAnsi="Times New Roman"/>
          <w:sz w:val="11"/>
          <w:szCs w:val="11"/>
          <w:color w:val="auto"/>
        </w:rPr>
        <w:t>We believe that floating rate loans to U.S. middle-market companies offer attractive risk-reward to investors due to a limited amount of capital available for such companies. We use the term “middle-market” to refer to companies with annual revenues between $50.0 million and $1.0 billion. Our investments are typically rated below investment grade. Securities rated below investment grade are often referred to as “leveraged loans,” “high yield” securities or “junk bonds” and are often higher risk compared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3" w:right="1440" w:bottom="1440" w:gutter="0" w:footer="0" w:header="0"/>
        </w:sectPr>
      </w:pPr>
    </w:p>
    <w:bookmarkStart w:id="55" w:name="page56"/>
    <w:bookmarkEnd w:id="55"/>
    <w:p>
      <w:pPr>
        <w:ind w:left="780" w:right="800"/>
        <w:spacing w:after="0" w:line="256" w:lineRule="auto"/>
        <w:rPr>
          <w:sz w:val="20"/>
          <w:szCs w:val="20"/>
          <w:color w:val="auto"/>
        </w:rPr>
      </w:pPr>
      <w:r>
        <w:rPr>
          <w:rFonts w:ascii="Times New Roman" w:cs="Times New Roman" w:eastAsia="Times New Roman" w:hAnsi="Times New Roman"/>
          <w:sz w:val="11"/>
          <w:szCs w:val="11"/>
          <w:color w:val="auto"/>
        </w:rPr>
        <w:t>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2" w:lineRule="exact"/>
        <w:rPr>
          <w:sz w:val="20"/>
          <w:szCs w:val="20"/>
          <w:color w:val="auto"/>
        </w:rPr>
      </w:pPr>
    </w:p>
    <w:p>
      <w:pPr>
        <w:ind w:left="780" w:right="860" w:firstLine="282"/>
        <w:spacing w:after="0" w:line="256" w:lineRule="auto"/>
        <w:rPr>
          <w:sz w:val="20"/>
          <w:szCs w:val="20"/>
          <w:color w:val="auto"/>
        </w:rPr>
      </w:pPr>
      <w:r>
        <w:rPr>
          <w:rFonts w:ascii="Times New Roman" w:cs="Times New Roman" w:eastAsia="Times New Roman" w:hAnsi="Times New Roman"/>
          <w:sz w:val="11"/>
          <w:szCs w:val="11"/>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carefully constructed portfolio by generally targeting an investment size between $5.0 million and $30.0 million, on average, although we expect that this investment size will vary proportionately with the size of our capital base.</w:t>
      </w:r>
    </w:p>
    <w:p>
      <w:pPr>
        <w:spacing w:after="0" w:line="112" w:lineRule="exact"/>
        <w:rPr>
          <w:sz w:val="20"/>
          <w:szCs w:val="20"/>
          <w:color w:val="auto"/>
        </w:rPr>
      </w:pPr>
    </w:p>
    <w:p>
      <w:pPr>
        <w:ind w:left="780" w:right="820" w:firstLine="282"/>
        <w:spacing w:after="0" w:line="259" w:lineRule="auto"/>
        <w:rPr>
          <w:sz w:val="20"/>
          <w:szCs w:val="20"/>
          <w:color w:val="auto"/>
        </w:rPr>
      </w:pPr>
      <w:r>
        <w:rPr>
          <w:rFonts w:ascii="Times New Roman" w:cs="Times New Roman" w:eastAsia="Times New Roman" w:hAnsi="Times New Roman"/>
          <w:sz w:val="11"/>
          <w:szCs w:val="11"/>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0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Organization and Structure of PennantPark Floating Rate Capital Ltd.</w:t>
      </w:r>
    </w:p>
    <w:p>
      <w:pPr>
        <w:spacing w:after="0" w:line="138" w:lineRule="exact"/>
        <w:rPr>
          <w:sz w:val="20"/>
          <w:szCs w:val="20"/>
          <w:color w:val="auto"/>
        </w:rPr>
      </w:pPr>
    </w:p>
    <w:p>
      <w:pPr>
        <w:jc w:val="both"/>
        <w:ind w:left="780" w:right="860" w:firstLine="282"/>
        <w:spacing w:after="0" w:line="279" w:lineRule="auto"/>
        <w:rPr>
          <w:sz w:val="20"/>
          <w:szCs w:val="20"/>
          <w:color w:val="auto"/>
        </w:rPr>
      </w:pPr>
      <w:r>
        <w:rPr>
          <w:rFonts w:ascii="Times New Roman" w:cs="Times New Roman" w:eastAsia="Times New Roman" w:hAnsi="Times New Roman"/>
          <w:sz w:val="11"/>
          <w:szCs w:val="11"/>
          <w:color w:val="auto"/>
        </w:rPr>
        <w:t>The Company,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99" w:lineRule="exact"/>
        <w:rPr>
          <w:sz w:val="20"/>
          <w:szCs w:val="20"/>
          <w:color w:val="auto"/>
        </w:rPr>
      </w:pPr>
    </w:p>
    <w:p>
      <w:pPr>
        <w:ind w:left="780" w:right="780" w:firstLine="282"/>
        <w:spacing w:after="0" w:line="253" w:lineRule="auto"/>
        <w:rPr>
          <w:sz w:val="20"/>
          <w:szCs w:val="20"/>
          <w:color w:val="auto"/>
        </w:rPr>
      </w:pPr>
      <w:r>
        <w:rPr>
          <w:rFonts w:ascii="Times New Roman" w:cs="Times New Roman" w:eastAsia="Times New Roman" w:hAnsi="Times New Roman"/>
          <w:sz w:val="11"/>
          <w:szCs w:val="11"/>
          <w:color w:val="auto"/>
        </w:rPr>
        <w:t>We execute our investment strategy directly and through our wholly owned subsidiaries, our unconsolidated joint venture and unconsolidated limited partnership. The term “subsidiary” means entities that primarily engage in investments activities in securities or other assets that are wholly owned by us. The Company does not intend to create or acquire primary control of an entity which primarily engages in investment activities of securities or other assets other than entities wholly owned by the Company. We comply with the provisions of Section 18 of the 1940 Act governing capital structure and leverage on an aggregate basis with our subsidiaries. Our subsidiaries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w:t>
      </w:r>
    </w:p>
    <w:p>
      <w:pPr>
        <w:spacing w:after="0" w:line="247" w:lineRule="exact"/>
        <w:rPr>
          <w:sz w:val="20"/>
          <w:szCs w:val="20"/>
          <w:color w:val="auto"/>
        </w:rPr>
      </w:pPr>
    </w:p>
    <w:p>
      <w:pPr>
        <w:ind w:left="780" w:right="900" w:firstLine="282"/>
        <w:spacing w:after="0" w:line="254" w:lineRule="auto"/>
        <w:rPr>
          <w:sz w:val="20"/>
          <w:szCs w:val="20"/>
          <w:color w:val="auto"/>
        </w:rPr>
      </w:pPr>
      <w:r>
        <w:rPr>
          <w:rFonts w:ascii="Times New Roman" w:cs="Times New Roman" w:eastAsia="Times New Roman" w:hAnsi="Times New Roman"/>
          <w:sz w:val="11"/>
          <w:szCs w:val="11"/>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Financial Officer, Chief Compliance Officer, Corporate Counsel and their respective staffs. Our board of directors, a majority of whom are independent of us and the Investment Adviser, provides overall supervision of our activities, and the Investment Adviser supervises our day-to-day activities.</w:t>
      </w:r>
    </w:p>
    <w:p>
      <w:pPr>
        <w:spacing w:after="0" w:line="1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Revenues</w:t>
      </w:r>
    </w:p>
    <w:p>
      <w:pPr>
        <w:spacing w:after="0" w:line="138" w:lineRule="exact"/>
        <w:rPr>
          <w:sz w:val="20"/>
          <w:szCs w:val="20"/>
          <w:color w:val="auto"/>
        </w:rPr>
      </w:pPr>
    </w:p>
    <w:p>
      <w:pPr>
        <w:ind w:left="780" w:right="780" w:firstLine="282"/>
        <w:spacing w:after="0" w:line="251" w:lineRule="auto"/>
        <w:rPr>
          <w:sz w:val="20"/>
          <w:szCs w:val="20"/>
          <w:color w:val="auto"/>
        </w:rPr>
      </w:pPr>
      <w:r>
        <w:rPr>
          <w:rFonts w:ascii="Times New Roman" w:cs="Times New Roman" w:eastAsia="Times New Roman" w:hAnsi="Times New Roman"/>
          <w:sz w:val="11"/>
          <w:szCs w:val="11"/>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and amendment fees and agency fees, and are recorded as other investment income when earned. Litigation settlements are accounted for in accordance with the gain contingency provisions of ASC Subtopic 450-30, Gain Contingencies, or ASC 450-30.</w:t>
      </w:r>
    </w:p>
    <w:p>
      <w:pPr>
        <w:spacing w:after="0" w:line="1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Expenses</w:t>
      </w:r>
    </w:p>
    <w:p>
      <w:pPr>
        <w:spacing w:after="0" w:line="138" w:lineRule="exact"/>
        <w:rPr>
          <w:sz w:val="20"/>
          <w:szCs w:val="20"/>
          <w:color w:val="auto"/>
        </w:rPr>
      </w:pPr>
    </w:p>
    <w:p>
      <w:pPr>
        <w:ind w:left="780" w:right="820" w:firstLine="282"/>
        <w:spacing w:after="0" w:line="256" w:lineRule="auto"/>
        <w:rPr>
          <w:sz w:val="20"/>
          <w:szCs w:val="20"/>
          <w:color w:val="auto"/>
        </w:rPr>
      </w:pPr>
      <w:r>
        <w:rPr>
          <w:rFonts w:ascii="Times New Roman" w:cs="Times New Roman" w:eastAsia="Times New Roman" w:hAnsi="Times New Roman"/>
          <w:sz w:val="11"/>
          <w:szCs w:val="11"/>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•the cost of calculating our NAV, including the cost of any third-party valuation services;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•the cost of effecting sales and repurchases of shares of our common stock and other securities;</w:t>
      </w:r>
    </w:p>
    <w:p>
      <w:pPr>
        <w:spacing w:after="0" w:line="136" w:lineRule="exact"/>
        <w:rPr>
          <w:sz w:val="20"/>
          <w:szCs w:val="20"/>
          <w:color w:val="auto"/>
        </w:rPr>
      </w:pPr>
    </w:p>
    <w:p>
      <w:pPr>
        <w:ind w:left="1060" w:right="1080"/>
        <w:spacing w:after="0" w:line="279" w:lineRule="auto"/>
        <w:rPr>
          <w:sz w:val="20"/>
          <w:szCs w:val="20"/>
          <w:color w:val="auto"/>
        </w:rPr>
      </w:pPr>
      <w:r>
        <w:rPr>
          <w:rFonts w:ascii="Times New Roman" w:cs="Times New Roman" w:eastAsia="Times New Roman" w:hAnsi="Times New Roman"/>
          <w:sz w:val="11"/>
          <w:szCs w:val="11"/>
          <w:color w:val="auto"/>
        </w:rPr>
        <w:t>•fees payable to third parties relating to, or associated with, making investments, including fees and expenses associated with performing due diligence and reviews of prospective investments or complementary businesses;</w:t>
      </w:r>
    </w:p>
    <w:p>
      <w:pPr>
        <w:spacing w:after="0" w:line="99" w:lineRule="exact"/>
        <w:rPr>
          <w:sz w:val="20"/>
          <w:szCs w:val="20"/>
          <w:color w:val="auto"/>
        </w:rPr>
      </w:pPr>
    </w:p>
    <w:p>
      <w:pPr>
        <w:ind w:left="1060" w:right="920"/>
        <w:spacing w:after="0" w:line="264" w:lineRule="auto"/>
        <w:rPr>
          <w:sz w:val="20"/>
          <w:szCs w:val="20"/>
          <w:color w:val="auto"/>
        </w:rPr>
      </w:pPr>
      <w:r>
        <w:rPr>
          <w:rFonts w:ascii="Times New Roman" w:cs="Times New Roman" w:eastAsia="Times New Roman" w:hAnsi="Times New Roman"/>
          <w:sz w:val="11"/>
          <w:szCs w:val="11"/>
          <w:color w:val="auto"/>
        </w:rPr>
        <w:t>•expenses incurred by the Investment Adviser in performing due diligence and reviews of investments, including expenses incurred by the Investment Adviser payable to third parties, (including agents and consultants) in monitoring financial and legal affairs for the Company's and in monitoring the Company's investments.</w:t>
      </w:r>
    </w:p>
    <w:p>
      <w:pPr>
        <w:spacing w:after="0" w:line="10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•transfer agent and custodial fees;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•fees and expenses associated with marketing efforts;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•federal and state registration fees and any exchange listing fees;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•federal, state, local and foreign taxes;</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5" w:right="1440" w:bottom="1440" w:gutter="0" w:footer="0" w:header="0"/>
        </w:sectPr>
      </w:pPr>
    </w:p>
    <w:bookmarkStart w:id="56" w:name="page57"/>
    <w:bookmarkEnd w:id="56"/>
    <w:p>
      <w:pPr>
        <w:ind w:left="1060"/>
        <w:spacing w:after="0"/>
        <w:rPr>
          <w:sz w:val="20"/>
          <w:szCs w:val="20"/>
          <w:color w:val="auto"/>
        </w:rPr>
      </w:pPr>
      <w:r>
        <w:rPr>
          <w:rFonts w:ascii="Times New Roman" w:cs="Times New Roman" w:eastAsia="Times New Roman" w:hAnsi="Times New Roman"/>
          <w:sz w:val="11"/>
          <w:szCs w:val="11"/>
          <w:color w:val="auto"/>
        </w:rPr>
        <w:t>•independent directors’ fees and expenses;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•brokerage commissions;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•fidelity bond, directors and officers, errors and omissions liability insurance and other insurance premiums;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•direct costs such as printing, mailing, long distance telephone and staff;</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•fees and expenses associated with independent audits and outside legal costs;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•costs associated with our reporting and compliance obligations under the 1940 Act, the 1958 Act and applicable federal and state securities laws; and</w:t>
      </w:r>
    </w:p>
    <w:p>
      <w:pPr>
        <w:spacing w:after="0" w:line="136" w:lineRule="exact"/>
        <w:rPr>
          <w:sz w:val="20"/>
          <w:szCs w:val="20"/>
          <w:color w:val="auto"/>
        </w:rPr>
      </w:pPr>
    </w:p>
    <w:p>
      <w:pPr>
        <w:ind w:left="1060" w:right="920"/>
        <w:spacing w:after="0" w:line="259" w:lineRule="auto"/>
        <w:rPr>
          <w:sz w:val="20"/>
          <w:szCs w:val="20"/>
          <w:color w:val="auto"/>
        </w:rPr>
      </w:pPr>
      <w:r>
        <w:rPr>
          <w:rFonts w:ascii="Times New Roman" w:cs="Times New Roman" w:eastAsia="Times New Roman" w:hAnsi="Times New Roman"/>
          <w:sz w:val="11"/>
          <w:szCs w:val="11"/>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w:t>
      </w:r>
    </w:p>
    <w:p>
      <w:pPr>
        <w:spacing w:after="0" w:line="110" w:lineRule="exact"/>
        <w:rPr>
          <w:sz w:val="20"/>
          <w:szCs w:val="20"/>
          <w:color w:val="auto"/>
        </w:rPr>
      </w:pPr>
    </w:p>
    <w:p>
      <w:pPr>
        <w:ind w:left="780" w:right="920" w:firstLine="282"/>
        <w:spacing w:after="0" w:line="264" w:lineRule="auto"/>
        <w:rPr>
          <w:sz w:val="20"/>
          <w:szCs w:val="20"/>
          <w:color w:val="auto"/>
        </w:rPr>
      </w:pPr>
      <w:r>
        <w:rPr>
          <w:rFonts w:ascii="Times New Roman" w:cs="Times New Roman" w:eastAsia="Times New Roman" w:hAnsi="Times New Roman"/>
          <w:sz w:val="11"/>
          <w:szCs w:val="11"/>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PORTFOLIO AND INVESTMENT ACTIVITY</w:t>
      </w:r>
    </w:p>
    <w:p>
      <w:pPr>
        <w:spacing w:after="0" w:line="8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PennantPark Floating Rate Capital Ltd.</w:t>
      </w:r>
    </w:p>
    <w:p>
      <w:pPr>
        <w:spacing w:after="0" w:line="87" w:lineRule="exact"/>
        <w:rPr>
          <w:sz w:val="20"/>
          <w:szCs w:val="20"/>
          <w:color w:val="auto"/>
        </w:rPr>
      </w:pPr>
    </w:p>
    <w:p>
      <w:pPr>
        <w:ind w:left="780" w:right="840" w:firstLine="282"/>
        <w:spacing w:after="0" w:line="252" w:lineRule="auto"/>
        <w:rPr>
          <w:sz w:val="20"/>
          <w:szCs w:val="20"/>
          <w:color w:val="auto"/>
        </w:rPr>
      </w:pPr>
      <w:r>
        <w:rPr>
          <w:rFonts w:ascii="Times New Roman" w:cs="Times New Roman" w:eastAsia="Times New Roman" w:hAnsi="Times New Roman"/>
          <w:sz w:val="11"/>
          <w:szCs w:val="11"/>
          <w:color w:val="auto"/>
        </w:rPr>
        <w:t>As of December 31, 2025, our portfolio totaled $2,605.3 million, and consisted of $2,310.2 million of first lien secured debt (including $237.7 million in PSSL and $39.4 million in PSSL II), $20.1 million of second lien secured debt and subordinated debt and $275.0 million of preferred and common equity (including $72.7 million in PSSL and $16.9 million in PSSL II). As of December 31, 2025, our debt portfolio consisted of approximately 99% variable-rate investments. As of December 31, 2025, we had four portfolio companies on non-accrual, representing 0.5% and 0.1% of our overall portfolio on a cost and fair value basis, respectively. As of December 31, 2025, the portfolio had net unrealized depreciation of $78.4 million. Our overall portfolio consisted of 160 companies with an average investment size of $16.3 million and had a weighted average yield on debt investments of 9.9%, and was invested 89%in first lien secured debt (including 9% in PSSL and 2% in PSSL II), less than 1% in second lien and subordinate debt and 11% in preferred and common equity (including 3% in PSSL and 1% in PSSL II). As of December 31, 2025, over 98% of the investments held by PSSL were first lien secured debt. As of December 31, 2025, 100% of the investments held by PSSL II were first lien secured debt.</w:t>
      </w:r>
    </w:p>
    <w:p>
      <w:pPr>
        <w:spacing w:after="0" w:line="86" w:lineRule="exact"/>
        <w:rPr>
          <w:sz w:val="20"/>
          <w:szCs w:val="20"/>
          <w:color w:val="auto"/>
        </w:rPr>
      </w:pPr>
    </w:p>
    <w:p>
      <w:pPr>
        <w:ind w:left="780" w:right="840" w:firstLine="282"/>
        <w:spacing w:after="0" w:line="254" w:lineRule="auto"/>
        <w:rPr>
          <w:sz w:val="20"/>
          <w:szCs w:val="20"/>
          <w:color w:val="auto"/>
        </w:rPr>
      </w:pPr>
      <w:r>
        <w:rPr>
          <w:rFonts w:ascii="Times New Roman" w:cs="Times New Roman" w:eastAsia="Times New Roman" w:hAnsi="Times New Roman"/>
          <w:sz w:val="11"/>
          <w:szCs w:val="11"/>
          <w:color w:val="auto"/>
        </w:rPr>
        <w:t>As of September 30, 2025, our portfolio totaled $2,773.3 million and consisted of $2,513.6 million of first lien secured debt (including $237.7 million in PSSL), $19.0 million of second lien secured debt and subordinated debt and $240.7 million of preferred and common equity (including $44.3 million in PSSL). Our debt portfolio consisted of approximately 99% variable-rate investments. As of September 30, 2025, we had three portfolio companies on non-accrual, representing 0.4% and 0.2% of our overall portfolio on a cost and fair value basis, respectively. As of September 30, 2025, the portfolio had net unrealized depreciation of $46.1 million. Our overall portfolio consisted of 164 companies with an average investment size of $16.9 million, had a weighted average yield on debt investments of 10.2%, and was invested 90% in first lien secured debt (including 9% in PSSL), 1% in second lien secured debt and subordinated debt and 9% in preferred and common equity (including 2% in PSSL). As of September 30, 2025, over 98% of the investments held by PSSL were first lien secured debt.</w:t>
      </w:r>
    </w:p>
    <w:p>
      <w:pPr>
        <w:spacing w:after="0" w:line="112" w:lineRule="exact"/>
        <w:rPr>
          <w:sz w:val="20"/>
          <w:szCs w:val="20"/>
          <w:color w:val="auto"/>
        </w:rPr>
      </w:pPr>
    </w:p>
    <w:p>
      <w:pPr>
        <w:jc w:val="both"/>
        <w:ind w:left="780" w:right="800" w:firstLine="282"/>
        <w:spacing w:after="0" w:line="264" w:lineRule="auto"/>
        <w:rPr>
          <w:sz w:val="20"/>
          <w:szCs w:val="20"/>
          <w:color w:val="auto"/>
        </w:rPr>
      </w:pPr>
      <w:r>
        <w:rPr>
          <w:rFonts w:ascii="Times New Roman" w:cs="Times New Roman" w:eastAsia="Times New Roman" w:hAnsi="Times New Roman"/>
          <w:sz w:val="11"/>
          <w:szCs w:val="11"/>
          <w:color w:val="auto"/>
        </w:rPr>
        <w:t>For the three months ended December 31, 2025, we invested $301.0 million in four new and 51 existing portfolio companies at a weighted average yield on debt investments of 10.0%. For the three months ended December 31, 2025, sales and repayments of investments totaled $441.4 million, including $132.5 million of sales to PSSL and $196.5 million of sales to PSSL II.</w:t>
      </w:r>
    </w:p>
    <w:p>
      <w:pPr>
        <w:spacing w:after="0" w:line="107" w:lineRule="exact"/>
        <w:rPr>
          <w:sz w:val="20"/>
          <w:szCs w:val="20"/>
          <w:color w:val="auto"/>
        </w:rPr>
      </w:pPr>
    </w:p>
    <w:p>
      <w:pPr>
        <w:ind w:left="780" w:right="800" w:firstLine="282"/>
        <w:spacing w:after="0" w:line="264" w:lineRule="auto"/>
        <w:rPr>
          <w:sz w:val="20"/>
          <w:szCs w:val="20"/>
          <w:color w:val="auto"/>
        </w:rPr>
      </w:pPr>
      <w:r>
        <w:rPr>
          <w:rFonts w:ascii="Times New Roman" w:cs="Times New Roman" w:eastAsia="Times New Roman" w:hAnsi="Times New Roman"/>
          <w:sz w:val="11"/>
          <w:szCs w:val="11"/>
          <w:color w:val="auto"/>
        </w:rPr>
        <w:t>For the three months ended December 31, 2024, we invested $606.9 million in 11 new and 58 existing portfolio companies at a weighted average yield on debt investments of 10.3%. For the three months ended December 31, 2024, sales and repayments of investments totaled $401.3 million, including $187.7 million of sales to PSSL.</w:t>
      </w:r>
    </w:p>
    <w:p>
      <w:pPr>
        <w:spacing w:after="0" w:line="1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PennantPark Senior Secured Loan Fund I LLC</w:t>
      </w:r>
    </w:p>
    <w:p>
      <w:pPr>
        <w:spacing w:after="0" w:line="138" w:lineRule="exact"/>
        <w:rPr>
          <w:sz w:val="20"/>
          <w:szCs w:val="20"/>
          <w:color w:val="auto"/>
        </w:rPr>
      </w:pPr>
    </w:p>
    <w:p>
      <w:pPr>
        <w:ind w:left="780" w:right="920" w:firstLine="282"/>
        <w:spacing w:after="0" w:line="264" w:lineRule="auto"/>
        <w:rPr>
          <w:sz w:val="20"/>
          <w:szCs w:val="20"/>
          <w:color w:val="auto"/>
        </w:rPr>
      </w:pPr>
      <w:r>
        <w:rPr>
          <w:rFonts w:ascii="Times New Roman" w:cs="Times New Roman" w:eastAsia="Times New Roman" w:hAnsi="Times New Roman"/>
          <w:sz w:val="11"/>
          <w:szCs w:val="11"/>
          <w:color w:val="auto"/>
        </w:rPr>
        <w:t>As of December 31, 2025, PSSL’s portfolio totaled $1,195.0 million and consisted of 120 companies with an average investment size of $10.0 million and at a weighted average yield on debt investments of 9.6%. As of September 30, 2025, PSSL’s portfolio totaled $1,084.6 million, consisted of 117 companies with an average investment size of $9.3 million and at a weighted average yield on debt investments of 10.1%.</w:t>
      </w:r>
    </w:p>
    <w:p>
      <w:pPr>
        <w:spacing w:after="0" w:line="107" w:lineRule="exact"/>
        <w:rPr>
          <w:sz w:val="20"/>
          <w:szCs w:val="20"/>
          <w:color w:val="auto"/>
        </w:rPr>
      </w:pPr>
    </w:p>
    <w:p>
      <w:pPr>
        <w:ind w:left="780" w:right="880" w:firstLine="282"/>
        <w:spacing w:after="0" w:line="264" w:lineRule="auto"/>
        <w:rPr>
          <w:sz w:val="20"/>
          <w:szCs w:val="20"/>
          <w:color w:val="auto"/>
        </w:rPr>
      </w:pPr>
      <w:r>
        <w:rPr>
          <w:rFonts w:ascii="Times New Roman" w:cs="Times New Roman" w:eastAsia="Times New Roman" w:hAnsi="Times New Roman"/>
          <w:sz w:val="11"/>
          <w:szCs w:val="11"/>
          <w:color w:val="auto"/>
        </w:rPr>
        <w:t>For the three months ended December 31, 2025, PSSL invested $133.8 million (including $132.5 million purchased from the Company) in four new and 17 existing portfolio companies at a weighted average yield on debt investments of 9.4%. Sales and repayments of investments for the three months ended December 31, 2025 totaled $12.4 million.</w:t>
      </w:r>
    </w:p>
    <w:p>
      <w:pPr>
        <w:spacing w:after="0" w:line="10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For the three months ended December 31, 2024, PSSL invested $224.9 million (including $187.7 million purchased from the Company) in 17 new and eight</w:t>
      </w:r>
    </w:p>
    <w:p>
      <w:pPr>
        <w:spacing w:after="0" w:line="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existing portfolio companies at a weighted average yield on debt investments of 10.3%. For the three months ended December 31, 2024, sales and repayments of</w:t>
      </w:r>
    </w:p>
    <w:p>
      <w:pPr>
        <w:spacing w:after="0" w:line="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investments totaled</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1"/>
          <w:szCs w:val="11"/>
          <w:color w:val="auto"/>
        </w:rPr>
        <w:t>$86.6 million.</w:t>
      </w:r>
    </w:p>
    <w:p>
      <w:pPr>
        <w:spacing w:after="0" w:line="12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PennantPark Senior Secured Loan Fund II LLC</w:t>
      </w:r>
    </w:p>
    <w:p>
      <w:pPr>
        <w:spacing w:after="0" w:line="138" w:lineRule="exact"/>
        <w:rPr>
          <w:sz w:val="20"/>
          <w:szCs w:val="20"/>
          <w:color w:val="auto"/>
        </w:rPr>
      </w:pPr>
    </w:p>
    <w:p>
      <w:pPr>
        <w:ind w:left="780" w:right="1020" w:firstLine="282"/>
        <w:spacing w:after="0" w:line="279" w:lineRule="auto"/>
        <w:rPr>
          <w:sz w:val="20"/>
          <w:szCs w:val="20"/>
          <w:color w:val="auto"/>
        </w:rPr>
      </w:pPr>
      <w:r>
        <w:rPr>
          <w:rFonts w:ascii="Times New Roman" w:cs="Times New Roman" w:eastAsia="Times New Roman" w:hAnsi="Times New Roman"/>
          <w:sz w:val="11"/>
          <w:szCs w:val="11"/>
          <w:color w:val="auto"/>
        </w:rPr>
        <w:t>As of December 31, 2025, PSSL II’s portfolio totaled $193.2 million and consisted of 41 companies with an average investment size of $4.7 million and at a weighted average yield on debt investments of 9.0%.</w:t>
      </w:r>
    </w:p>
    <w:p>
      <w:pPr>
        <w:spacing w:after="0" w:line="99" w:lineRule="exact"/>
        <w:rPr>
          <w:sz w:val="20"/>
          <w:szCs w:val="20"/>
          <w:color w:val="auto"/>
        </w:rPr>
      </w:pPr>
    </w:p>
    <w:p>
      <w:pPr>
        <w:ind w:left="780" w:right="880" w:firstLine="282"/>
        <w:spacing w:after="0" w:line="264" w:lineRule="auto"/>
        <w:rPr>
          <w:sz w:val="20"/>
          <w:szCs w:val="20"/>
          <w:color w:val="auto"/>
        </w:rPr>
      </w:pPr>
      <w:r>
        <w:rPr>
          <w:rFonts w:ascii="Times New Roman" w:cs="Times New Roman" w:eastAsia="Times New Roman" w:hAnsi="Times New Roman"/>
          <w:sz w:val="11"/>
          <w:szCs w:val="11"/>
          <w:color w:val="auto"/>
        </w:rPr>
        <w:t>For the three months ended December 31, 2025, PSSL II invested $196.5 million (including $196.5 million purchased from the Company) in 42 new and zero existing portfolio companies at a weighted average yield on debt investments of 9.3%. Sales and repayments of investments for the three months ended December 31, 2025 totaled $2.9 million.</w:t>
      </w:r>
    </w:p>
    <w:p>
      <w:pPr>
        <w:spacing w:after="0" w:line="36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At-the-Market Offering</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5" w:right="1440" w:bottom="1440" w:gutter="0" w:footer="0" w:header="0"/>
        </w:sectPr>
      </w:pPr>
    </w:p>
    <w:bookmarkStart w:id="57" w:name="page58"/>
    <w:bookmarkEnd w:id="57"/>
    <w:p>
      <w:pPr>
        <w:ind w:left="780" w:right="800" w:firstLine="333"/>
        <w:spacing w:after="0" w:line="252" w:lineRule="auto"/>
        <w:rPr>
          <w:sz w:val="20"/>
          <w:szCs w:val="20"/>
          <w:color w:val="auto"/>
        </w:rPr>
      </w:pPr>
      <w:r>
        <w:rPr>
          <w:rFonts w:ascii="Times New Roman" w:cs="Times New Roman" w:eastAsia="Times New Roman" w:hAnsi="Times New Roman"/>
          <w:sz w:val="11"/>
          <w:szCs w:val="11"/>
          <w:color w:val="auto"/>
        </w:rPr>
        <w:t>On July 17, 2024, we entered into equity distribution agreements (together, the "Equity Distribution Agreements") with Citizens JMP Securities, LLC, Raymond James &amp; Associates, Inc. and Truist Securities, Inc. as the sales agents (collectively the "Sales Agents" and each a "Sales Agent") in connection with the sale of our shares of common stock, with an aggregate offering price of up to $500.0 million under an at-the-market offering program (the "2024 ATM Program"). The Equity Distribution Agreements provide that we may offer and sell shares of our common stock from time to time through the Sales Agents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2024 ATM Program offerings, net of any commissions of the Sale Agents, will not be less than our then current NAV per share. Any such payments made by the Investment Adviser will not be subject to reimbursement by us. In connection with the entry into the Equity Distribution Agreements, the Company terminated the equity distribution agreements with each of Citizens JMP Securities LLC, Raymond James &amp; Associates, Inc. and Truist Securities, Inc. in connection with the 2022 ATM Program.</w:t>
      </w:r>
    </w:p>
    <w:p>
      <w:pPr>
        <w:spacing w:after="0" w:line="115" w:lineRule="exact"/>
        <w:rPr>
          <w:sz w:val="20"/>
          <w:szCs w:val="20"/>
          <w:color w:val="auto"/>
        </w:rPr>
      </w:pPr>
    </w:p>
    <w:p>
      <w:pPr>
        <w:ind w:left="780" w:right="880" w:firstLine="282"/>
        <w:spacing w:after="0" w:line="255" w:lineRule="auto"/>
        <w:rPr>
          <w:sz w:val="20"/>
          <w:szCs w:val="20"/>
          <w:color w:val="auto"/>
        </w:rPr>
      </w:pPr>
      <w:r>
        <w:rPr>
          <w:rFonts w:ascii="Times New Roman" w:cs="Times New Roman" w:eastAsia="Times New Roman" w:hAnsi="Times New Roman"/>
          <w:sz w:val="11"/>
          <w:szCs w:val="11"/>
          <w:color w:val="auto"/>
        </w:rPr>
        <w:t>During the three months ended December 31, 2025 we did not issue any shares of our common stock under the ATM Programs. During the three months ended December 31, 2024 we issued 7,276,000 shares of our common stock under the ATM Programs. During the three months ended December 31, 2024, shares were issued at a weighted average price of $11.30 per share, resulting in net proceeds of $82.2 million after commissions to the sales agents and inclusive of proceeds from the Investment Adviser to ensure that all shares were sold at or above NAV. During the quarter ended December 31, 2025 and 2024, we incurred zero and less than $0.1 million, respectively, of legal and other offering costs associated with establishing the ATM Programs. As of December 31, 2025 and September 30, 2025, we had $192.2 million and $192.2 million, respectively, of our common stock available to be sold under the ATM Programs.</w:t>
      </w:r>
    </w:p>
    <w:p>
      <w:pPr>
        <w:spacing w:after="0" w:line="1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CRITICAL ACCOUNTING POLICIES AND ESTIMATES</w:t>
      </w:r>
    </w:p>
    <w:p>
      <w:pPr>
        <w:spacing w:after="0" w:line="138" w:lineRule="exact"/>
        <w:rPr>
          <w:sz w:val="20"/>
          <w:szCs w:val="20"/>
          <w:color w:val="auto"/>
        </w:rPr>
      </w:pPr>
    </w:p>
    <w:p>
      <w:pPr>
        <w:ind w:left="780" w:right="820" w:firstLine="282"/>
        <w:spacing w:after="0" w:line="252" w:lineRule="auto"/>
        <w:rPr>
          <w:sz w:val="20"/>
          <w:szCs w:val="20"/>
          <w:color w:val="auto"/>
        </w:rPr>
      </w:pPr>
      <w:r>
        <w:rPr>
          <w:rFonts w:ascii="Times New Roman" w:cs="Times New Roman" w:eastAsia="Times New Roman" w:hAnsi="Times New Roman"/>
          <w:sz w:val="11"/>
          <w:szCs w:val="11"/>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 in Management’s Discussion and Analysis of Financial Condition and Results of Operations in our 2025 Annual Report on Form 10-K. There have been no significant changes in our critical accounting estimates from those disclosed in our 2025 Annual Report on Form 10-K during the three months ended December 31, 2025.</w:t>
      </w:r>
    </w:p>
    <w:p>
      <w:pPr>
        <w:spacing w:after="0" w:line="11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Investment Valuations</w:t>
      </w:r>
    </w:p>
    <w:p>
      <w:pPr>
        <w:spacing w:after="0" w:line="138" w:lineRule="exact"/>
        <w:rPr>
          <w:sz w:val="20"/>
          <w:szCs w:val="20"/>
          <w:color w:val="auto"/>
        </w:rPr>
      </w:pPr>
    </w:p>
    <w:p>
      <w:pPr>
        <w:ind w:left="780" w:right="780" w:firstLine="282"/>
        <w:spacing w:after="0" w:line="253" w:lineRule="auto"/>
        <w:rPr>
          <w:sz w:val="20"/>
          <w:szCs w:val="20"/>
          <w:color w:val="auto"/>
        </w:rPr>
      </w:pPr>
      <w:r>
        <w:rPr>
          <w:rFonts w:ascii="Times New Roman" w:cs="Times New Roman" w:eastAsia="Times New Roman" w:hAnsi="Times New Roman"/>
          <w:sz w:val="11"/>
          <w:szCs w:val="11"/>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are no readily available market values,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4" w:lineRule="exact"/>
        <w:rPr>
          <w:sz w:val="20"/>
          <w:szCs w:val="20"/>
          <w:color w:val="auto"/>
        </w:rPr>
      </w:pPr>
    </w:p>
    <w:p>
      <w:pPr>
        <w:ind w:left="780" w:right="1000" w:firstLine="282"/>
        <w:spacing w:after="0" w:line="264" w:lineRule="auto"/>
        <w:rPr>
          <w:sz w:val="20"/>
          <w:szCs w:val="20"/>
          <w:color w:val="auto"/>
        </w:rPr>
      </w:pPr>
      <w:r>
        <w:rPr>
          <w:rFonts w:ascii="Times New Roman" w:cs="Times New Roman" w:eastAsia="Times New Roman" w:hAnsi="Times New Roman"/>
          <w:sz w:val="11"/>
          <w:szCs w:val="11"/>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7" w:lineRule="exact"/>
        <w:rPr>
          <w:sz w:val="20"/>
          <w:szCs w:val="20"/>
          <w:color w:val="auto"/>
        </w:rPr>
      </w:pPr>
    </w:p>
    <w:p>
      <w:pPr>
        <w:ind w:left="1060" w:right="960"/>
        <w:spacing w:after="0" w:line="279" w:lineRule="auto"/>
        <w:rPr>
          <w:sz w:val="20"/>
          <w:szCs w:val="20"/>
          <w:color w:val="auto"/>
        </w:rPr>
      </w:pPr>
      <w:r>
        <w:rPr>
          <w:rFonts w:ascii="Times New Roman" w:cs="Times New Roman" w:eastAsia="Times New Roman" w:hAnsi="Times New Roman"/>
          <w:sz w:val="11"/>
          <w:szCs w:val="11"/>
          <w:color w:val="auto"/>
        </w:rPr>
        <w:t>(1)Our quarterly valuation process begins with each portfolio company or investment being initially valued by the investment professionals of our Investment Adviser responsible for the portfolio investment;</w:t>
      </w:r>
    </w:p>
    <w:p>
      <w:pPr>
        <w:spacing w:after="0" w:line="9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(2)Preliminary valuation conclusions are then documented and discussed with the management of our Investment Adviser;</w:t>
      </w:r>
    </w:p>
    <w:p>
      <w:pPr>
        <w:spacing w:after="0" w:line="136" w:lineRule="exact"/>
        <w:rPr>
          <w:sz w:val="20"/>
          <w:szCs w:val="20"/>
          <w:color w:val="auto"/>
        </w:rPr>
      </w:pPr>
    </w:p>
    <w:p>
      <w:pPr>
        <w:jc w:val="both"/>
        <w:ind w:left="1060" w:right="980"/>
        <w:spacing w:after="0" w:line="259" w:lineRule="auto"/>
        <w:rPr>
          <w:sz w:val="20"/>
          <w:szCs w:val="20"/>
          <w:color w:val="auto"/>
        </w:rPr>
      </w:pPr>
      <w:r>
        <w:rPr>
          <w:rFonts w:ascii="Times New Roman" w:cs="Times New Roman" w:eastAsia="Times New Roman" w:hAnsi="Times New Roman"/>
          <w:sz w:val="11"/>
          <w:szCs w:val="11"/>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10" w:lineRule="exact"/>
        <w:rPr>
          <w:sz w:val="20"/>
          <w:szCs w:val="20"/>
          <w:color w:val="auto"/>
        </w:rPr>
      </w:pPr>
    </w:p>
    <w:p>
      <w:pPr>
        <w:ind w:left="1060" w:right="860"/>
        <w:spacing w:after="0" w:line="264" w:lineRule="auto"/>
        <w:rPr>
          <w:sz w:val="20"/>
          <w:szCs w:val="20"/>
          <w:color w:val="auto"/>
        </w:rPr>
      </w:pPr>
      <w:r>
        <w:rPr>
          <w:rFonts w:ascii="Times New Roman" w:cs="Times New Roman" w:eastAsia="Times New Roman" w:hAnsi="Times New Roman"/>
          <w:sz w:val="11"/>
          <w:szCs w:val="11"/>
          <w:color w:val="auto"/>
        </w:rPr>
        <w:t>(4)The audit committee of our board of directors reviews the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07" w:lineRule="exact"/>
        <w:rPr>
          <w:sz w:val="20"/>
          <w:szCs w:val="20"/>
          <w:color w:val="auto"/>
        </w:rPr>
      </w:pPr>
    </w:p>
    <w:p>
      <w:pPr>
        <w:ind w:left="1060" w:right="1020"/>
        <w:spacing w:after="0" w:line="279" w:lineRule="auto"/>
        <w:rPr>
          <w:sz w:val="20"/>
          <w:szCs w:val="20"/>
          <w:color w:val="auto"/>
        </w:rPr>
      </w:pPr>
      <w:r>
        <w:rPr>
          <w:rFonts w:ascii="Times New Roman" w:cs="Times New Roman" w:eastAsia="Times New Roman" w:hAnsi="Times New Roman"/>
          <w:sz w:val="11"/>
          <w:szCs w:val="11"/>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9" w:lineRule="exact"/>
        <w:rPr>
          <w:sz w:val="20"/>
          <w:szCs w:val="20"/>
          <w:color w:val="auto"/>
        </w:rPr>
      </w:pPr>
    </w:p>
    <w:p>
      <w:pPr>
        <w:ind w:left="780" w:right="820" w:firstLine="282"/>
        <w:spacing w:after="0" w:line="256" w:lineRule="auto"/>
        <w:rPr>
          <w:sz w:val="20"/>
          <w:szCs w:val="20"/>
          <w:color w:val="auto"/>
        </w:rPr>
      </w:pPr>
      <w:r>
        <w:rPr>
          <w:rFonts w:ascii="Times New Roman" w:cs="Times New Roman" w:eastAsia="Times New Roman" w:hAnsi="Times New Roman"/>
          <w:sz w:val="11"/>
          <w:szCs w:val="11"/>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5" w:right="1440" w:bottom="1440" w:gutter="0" w:footer="0" w:header="0"/>
        </w:sectPr>
      </w:pPr>
    </w:p>
    <w:bookmarkStart w:id="58" w:name="page59"/>
    <w:bookmarkEnd w:id="58"/>
    <w:p>
      <w:pPr>
        <w:ind w:left="780" w:right="820" w:firstLine="282"/>
        <w:spacing w:after="0" w:line="255" w:lineRule="auto"/>
        <w:rPr>
          <w:sz w:val="20"/>
          <w:szCs w:val="20"/>
          <w:color w:val="auto"/>
        </w:rPr>
      </w:pPr>
      <w:r>
        <w:rPr>
          <w:rFonts w:ascii="Times New Roman" w:cs="Times New Roman" w:eastAsia="Times New Roman" w:hAnsi="Times New Roman"/>
          <w:sz w:val="11"/>
          <w:szCs w:val="11"/>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ASC 820 classifies the inputs used to measure these fair values into the following hierarchies: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Level 1: Inputs that are quoted prices (unadjusted) in active markets for identical assets or liabilities, accessible by us at the measurement date.</w:t>
      </w:r>
    </w:p>
    <w:p>
      <w:pPr>
        <w:spacing w:after="0" w:line="136" w:lineRule="exact"/>
        <w:rPr>
          <w:sz w:val="20"/>
          <w:szCs w:val="20"/>
          <w:color w:val="auto"/>
        </w:rPr>
      </w:pPr>
    </w:p>
    <w:p>
      <w:pPr>
        <w:ind w:left="1280" w:right="820" w:hanging="221"/>
        <w:spacing w:after="0" w:line="264" w:lineRule="auto"/>
        <w:rPr>
          <w:sz w:val="20"/>
          <w:szCs w:val="20"/>
          <w:color w:val="auto"/>
        </w:rPr>
      </w:pPr>
      <w:r>
        <w:rPr>
          <w:rFonts w:ascii="Times New Roman" w:cs="Times New Roman" w:eastAsia="Times New Roman" w:hAnsi="Times New Roman"/>
          <w:sz w:val="11"/>
          <w:szCs w:val="11"/>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07" w:lineRule="exact"/>
        <w:rPr>
          <w:sz w:val="20"/>
          <w:szCs w:val="20"/>
          <w:color w:val="auto"/>
        </w:rPr>
      </w:pPr>
    </w:p>
    <w:p>
      <w:pPr>
        <w:ind w:left="1280" w:right="800" w:hanging="221"/>
        <w:spacing w:after="0" w:line="279" w:lineRule="auto"/>
        <w:rPr>
          <w:sz w:val="20"/>
          <w:szCs w:val="20"/>
          <w:color w:val="auto"/>
        </w:rPr>
      </w:pPr>
      <w:r>
        <w:rPr>
          <w:rFonts w:ascii="Times New Roman" w:cs="Times New Roman" w:eastAsia="Times New Roman" w:hAnsi="Times New Roman"/>
          <w:sz w:val="11"/>
          <w:szCs w:val="11"/>
          <w:color w:val="auto"/>
        </w:rPr>
        <w:t>Level 3: Inputs that are unobservable for an asset or liability because they are based on our own assumptions about how market participants would price the asset or liability.</w:t>
      </w:r>
    </w:p>
    <w:p>
      <w:pPr>
        <w:spacing w:after="0" w:line="99" w:lineRule="exact"/>
        <w:rPr>
          <w:sz w:val="20"/>
          <w:szCs w:val="20"/>
          <w:color w:val="auto"/>
        </w:rPr>
      </w:pPr>
    </w:p>
    <w:p>
      <w:pPr>
        <w:ind w:left="780" w:right="840" w:firstLine="282"/>
        <w:spacing w:after="0" w:line="259" w:lineRule="auto"/>
        <w:rPr>
          <w:sz w:val="20"/>
          <w:szCs w:val="20"/>
          <w:color w:val="auto"/>
        </w:rPr>
      </w:pPr>
      <w:r>
        <w:rPr>
          <w:rFonts w:ascii="Times New Roman" w:cs="Times New Roman" w:eastAsia="Times New Roman" w:hAnsi="Times New Roman"/>
          <w:sz w:val="11"/>
          <w:szCs w:val="11"/>
          <w:color w:val="auto"/>
        </w:rPr>
        <w:t>A financial instrument’s categorization within the valuation hierarchy is based upon the lowest level of input that is significant to the fair value measurement. Generally, most of our investments, our 2036 Asset-Backed Debt, 2036-R Asset-Backed Debt, 2037 Asset-Backed Debt, and our Credit Facility are classified as Level</w:t>
      </w:r>
    </w:p>
    <w:p>
      <w:pPr>
        <w:spacing w:after="0" w:line="1" w:lineRule="exact"/>
        <w:rPr>
          <w:sz w:val="20"/>
          <w:szCs w:val="20"/>
          <w:color w:val="auto"/>
        </w:rPr>
      </w:pPr>
    </w:p>
    <w:p>
      <w:pPr>
        <w:ind w:left="780" w:right="880" w:hanging="5"/>
        <w:spacing w:after="0" w:line="253" w:lineRule="auto"/>
        <w:tabs>
          <w:tab w:leader="none" w:pos="891"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3" w:lineRule="exact"/>
        <w:rPr>
          <w:sz w:val="20"/>
          <w:szCs w:val="20"/>
          <w:color w:val="auto"/>
        </w:rPr>
      </w:pPr>
    </w:p>
    <w:p>
      <w:pPr>
        <w:ind w:left="780" w:right="840" w:firstLine="282"/>
        <w:spacing w:after="0" w:line="254" w:lineRule="auto"/>
        <w:rPr>
          <w:sz w:val="20"/>
          <w:szCs w:val="20"/>
          <w:color w:val="auto"/>
        </w:rPr>
      </w:pPr>
      <w:r>
        <w:rPr>
          <w:rFonts w:ascii="Times New Roman" w:cs="Times New Roman" w:eastAsia="Times New Roman" w:hAnsi="Times New Roman"/>
          <w:sz w:val="11"/>
          <w:szCs w:val="11"/>
          <w:color w:val="auto"/>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boards of directors to assess periodically material valuation risks and take steps to manage those risks. The rule also permits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as of the date of this report, we have adopted certain revisions to our valuation policies and procedures in order comply with the applicable requirements of Rule 2a-5 under the 1940 Act.</w:t>
      </w:r>
    </w:p>
    <w:p>
      <w:pPr>
        <w:spacing w:after="0" w:line="112" w:lineRule="exact"/>
        <w:rPr>
          <w:sz w:val="20"/>
          <w:szCs w:val="20"/>
          <w:color w:val="auto"/>
        </w:rPr>
      </w:pPr>
    </w:p>
    <w:p>
      <w:pPr>
        <w:ind w:left="780" w:right="840" w:firstLine="282"/>
        <w:spacing w:after="0" w:line="259" w:lineRule="auto"/>
        <w:rPr>
          <w:sz w:val="20"/>
          <w:szCs w:val="20"/>
          <w:color w:val="auto"/>
        </w:rPr>
      </w:pPr>
      <w:r>
        <w:rPr>
          <w:rFonts w:ascii="Times New Roman" w:cs="Times New Roman" w:eastAsia="Times New Roman" w:hAnsi="Times New Roman"/>
          <w:sz w:val="11"/>
          <w:szCs w:val="11"/>
          <w:color w:val="auto"/>
        </w:rPr>
        <w:t>In addition to using the above inputs to value cash equivalents, investments, our 2026 Notes, our 2031 Asset-Backed Debt, our 2036 Asset-Backed Debt, our 2036-R Asset-Backed Debt, our 2037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0" w:lineRule="exact"/>
        <w:rPr>
          <w:sz w:val="20"/>
          <w:szCs w:val="20"/>
          <w:color w:val="auto"/>
        </w:rPr>
      </w:pPr>
    </w:p>
    <w:p>
      <w:pPr>
        <w:ind w:left="780" w:right="820" w:firstLine="282"/>
        <w:spacing w:after="0" w:line="251" w:lineRule="auto"/>
        <w:rPr>
          <w:sz w:val="20"/>
          <w:szCs w:val="20"/>
          <w:color w:val="auto"/>
        </w:rPr>
      </w:pPr>
      <w:r>
        <w:rPr>
          <w:rFonts w:ascii="Times New Roman" w:cs="Times New Roman" w:eastAsia="Times New Roman" w:hAnsi="Times New Roman"/>
          <w:sz w:val="11"/>
          <w:szCs w:val="11"/>
          <w:color w:val="auto"/>
        </w:rPr>
        <w:t>Generally, the carrying value of our consolidated financial liabilities approximates fair value. We have adopted the principles ASC Subtopic 825-10, Financial Instruments, or ASC 825-10, which provides companies with an option to report selected financial assets and liabilities at fair value, and made an irrevocable election to apply ASC 825-10 to the Credit Facility. We elected to use the fair value option for the Credit Facility to align the measurement attributes of both our assets and liabilities while mitigating volatility in earnings from using different measurement attributes. Due to that election and in accordance with GAAP, we incurred $0.5 million of expenses relating to amendment costs on the Credit Facility during the three months ended December 31, 2025 and we did not incur expenses relating to amendment costs on the Credit Facility during the three months ended, December 31, 2024.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including the 2026 Notes, the 2036 Asset-Backed Debt, the 2036-R Asset-Backed Debt, and the 2037 Asset-Backed Debt.</w:t>
      </w:r>
    </w:p>
    <w:p>
      <w:pPr>
        <w:spacing w:after="0" w:line="119" w:lineRule="exact"/>
        <w:rPr>
          <w:sz w:val="20"/>
          <w:szCs w:val="20"/>
          <w:color w:val="auto"/>
        </w:rPr>
      </w:pPr>
    </w:p>
    <w:p>
      <w:pPr>
        <w:ind w:left="780" w:right="840" w:firstLine="282"/>
        <w:spacing w:after="0" w:line="256" w:lineRule="auto"/>
        <w:rPr>
          <w:sz w:val="20"/>
          <w:szCs w:val="20"/>
          <w:color w:val="auto"/>
        </w:rPr>
      </w:pPr>
      <w:r>
        <w:rPr>
          <w:rFonts w:ascii="Times New Roman" w:cs="Times New Roman" w:eastAsia="Times New Roman" w:hAnsi="Times New Roman"/>
          <w:sz w:val="11"/>
          <w:szCs w:val="11"/>
          <w:color w:val="auto"/>
        </w:rPr>
        <w:t>For the three months ended December 31, 2025, the Credit Facility had a net change in unrealized appreciation (depreciation) of less than ($0.1) million. For the three months ended December 31, 2024, the Credit Facility had a net change in unrealized appreciation (depreciation) of $0.1 million. As of December 31, 2025 and September 30, 2025, the net unrealized appreciation (depreciation) on the Credit Facility totaled zero, respectively. We use a nationally recognized independent valuation service to measure the fair value of the Credit Facility in a manner consistent with the valuation process that our board of directors uses to value our investments.</w:t>
      </w:r>
    </w:p>
    <w:p>
      <w:pPr>
        <w:spacing w:after="0" w:line="1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Revenue Recognition</w:t>
      </w:r>
    </w:p>
    <w:p>
      <w:pPr>
        <w:spacing w:after="0" w:line="138" w:lineRule="exact"/>
        <w:rPr>
          <w:sz w:val="20"/>
          <w:szCs w:val="20"/>
          <w:color w:val="auto"/>
        </w:rPr>
      </w:pPr>
    </w:p>
    <w:p>
      <w:pPr>
        <w:ind w:left="780" w:right="780" w:firstLine="282"/>
        <w:spacing w:after="0" w:line="253" w:lineRule="auto"/>
        <w:rPr>
          <w:sz w:val="20"/>
          <w:szCs w:val="20"/>
          <w:color w:val="auto"/>
        </w:rPr>
      </w:pPr>
      <w:r>
        <w:rPr>
          <w:rFonts w:ascii="Times New Roman" w:cs="Times New Roman" w:eastAsia="Times New Roman" w:hAnsi="Times New Roman"/>
          <w:sz w:val="11"/>
          <w:szCs w:val="11"/>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w:t>
      </w:r>
    </w:p>
    <w:p>
      <w:pPr>
        <w:spacing w:after="0" w:line="1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Net Realized Gains or Losses and Net Change in Unrealized Appreciation or Depreciation</w:t>
      </w:r>
    </w:p>
    <w:p>
      <w:pPr>
        <w:spacing w:after="0" w:line="138" w:lineRule="exact"/>
        <w:rPr>
          <w:sz w:val="20"/>
          <w:szCs w:val="20"/>
          <w:color w:val="auto"/>
        </w:rPr>
      </w:pPr>
    </w:p>
    <w:p>
      <w:pPr>
        <w:ind w:left="780" w:right="840" w:firstLine="282"/>
        <w:spacing w:after="0" w:line="259" w:lineRule="auto"/>
        <w:rPr>
          <w:sz w:val="20"/>
          <w:szCs w:val="20"/>
          <w:color w:val="auto"/>
        </w:rPr>
      </w:pPr>
      <w:r>
        <w:rPr>
          <w:rFonts w:ascii="Times New Roman" w:cs="Times New Roman" w:eastAsia="Times New Roman" w:hAnsi="Times New Roman"/>
          <w:sz w:val="11"/>
          <w:szCs w:val="11"/>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during the reporting period, including any reversal of previously recorded unrealized appreciation or depreciation, when gains or losses are realized.</w:t>
      </w:r>
    </w:p>
    <w:p>
      <w:pPr>
        <w:spacing w:after="0" w:line="10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Foreign Currency Translation</w:t>
      </w:r>
    </w:p>
    <w:p>
      <w:pPr>
        <w:spacing w:after="0" w:line="13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1.Fair value of investment securities, other assets and liabilities – at the exchange rates prevailing at the end of the applicable period; and</w:t>
      </w:r>
    </w:p>
    <w:p>
      <w:pPr>
        <w:spacing w:after="0" w:line="1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2.Purchases and sales of investment securities, income and expenses – at the exchange rates prevailing on the respective dates of such transactions.</w:t>
      </w:r>
    </w:p>
    <w:p>
      <w:pPr>
        <w:spacing w:after="0" w:line="1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1"/>
          <w:szCs w:val="1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5" w:right="1440" w:bottom="1440" w:gutter="0" w:footer="0" w:header="0"/>
        </w:sectPr>
      </w:pPr>
    </w:p>
    <w:bookmarkStart w:id="59" w:name="page60"/>
    <w:bookmarkEnd w:id="59"/>
    <w:p>
      <w:pPr>
        <w:jc w:val="both"/>
        <w:ind w:left="780" w:right="880" w:firstLine="282"/>
        <w:spacing w:after="0" w:line="264" w:lineRule="auto"/>
        <w:rPr>
          <w:sz w:val="20"/>
          <w:szCs w:val="20"/>
          <w:color w:val="auto"/>
        </w:rPr>
      </w:pPr>
      <w:r>
        <w:rPr>
          <w:rFonts w:ascii="Times New Roman" w:cs="Times New Roman" w:eastAsia="Times New Roman" w:hAnsi="Times New Roman"/>
          <w:sz w:val="11"/>
          <w:szCs w:val="11"/>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Payment -in-kind, or PIK Interest</w:t>
      </w:r>
    </w:p>
    <w:p>
      <w:pPr>
        <w:spacing w:after="0" w:line="138" w:lineRule="exact"/>
        <w:rPr>
          <w:sz w:val="20"/>
          <w:szCs w:val="20"/>
          <w:color w:val="auto"/>
        </w:rPr>
      </w:pPr>
    </w:p>
    <w:p>
      <w:pPr>
        <w:ind w:left="780" w:right="800" w:firstLine="282"/>
        <w:spacing w:after="0" w:line="264" w:lineRule="auto"/>
        <w:rPr>
          <w:sz w:val="20"/>
          <w:szCs w:val="20"/>
          <w:color w:val="auto"/>
        </w:rPr>
      </w:pPr>
      <w:r>
        <w:rPr>
          <w:rFonts w:ascii="Times New Roman" w:cs="Times New Roman" w:eastAsia="Times New Roman" w:hAnsi="Times New Roman"/>
          <w:sz w:val="11"/>
          <w:szCs w:val="11"/>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federal income tax purposes, even though we may not have collected any cash with respect to interest on PIK securities.</w:t>
      </w:r>
    </w:p>
    <w:p>
      <w:pPr>
        <w:spacing w:after="0" w:line="1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Federal Income Taxes</w:t>
      </w:r>
    </w:p>
    <w:p>
      <w:pPr>
        <w:spacing w:after="0" w:line="138" w:lineRule="exact"/>
        <w:rPr>
          <w:sz w:val="20"/>
          <w:szCs w:val="20"/>
          <w:color w:val="auto"/>
        </w:rPr>
      </w:pPr>
    </w:p>
    <w:p>
      <w:pPr>
        <w:ind w:left="780" w:right="860" w:firstLine="282"/>
        <w:spacing w:after="0" w:line="256" w:lineRule="auto"/>
        <w:rPr>
          <w:sz w:val="20"/>
          <w:szCs w:val="20"/>
          <w:color w:val="auto"/>
        </w:rPr>
      </w:pPr>
      <w:r>
        <w:rPr>
          <w:rFonts w:ascii="Times New Roman" w:cs="Times New Roman" w:eastAsia="Times New Roman" w:hAnsi="Times New Roman"/>
          <w:sz w:val="11"/>
          <w:szCs w:val="11"/>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12" w:lineRule="exact"/>
        <w:rPr>
          <w:sz w:val="20"/>
          <w:szCs w:val="20"/>
          <w:color w:val="auto"/>
        </w:rPr>
      </w:pPr>
    </w:p>
    <w:p>
      <w:pPr>
        <w:ind w:left="780" w:right="820" w:firstLine="282"/>
        <w:spacing w:after="0" w:line="253" w:lineRule="auto"/>
        <w:rPr>
          <w:sz w:val="20"/>
          <w:szCs w:val="20"/>
          <w:color w:val="auto"/>
        </w:rPr>
      </w:pPr>
      <w:r>
        <w:rPr>
          <w:rFonts w:ascii="Times New Roman" w:cs="Times New Roman" w:eastAsia="Times New Roman" w:hAnsi="Times New Roman"/>
          <w:sz w:val="11"/>
          <w:szCs w:val="11"/>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4" w:lineRule="exact"/>
        <w:rPr>
          <w:sz w:val="20"/>
          <w:szCs w:val="20"/>
          <w:color w:val="auto"/>
        </w:rPr>
      </w:pPr>
    </w:p>
    <w:p>
      <w:pPr>
        <w:ind w:left="780" w:right="880" w:firstLine="282"/>
        <w:spacing w:after="0" w:line="259" w:lineRule="auto"/>
        <w:rPr>
          <w:sz w:val="20"/>
          <w:szCs w:val="20"/>
          <w:color w:val="auto"/>
        </w:rPr>
      </w:pPr>
      <w:r>
        <w:rPr>
          <w:rFonts w:ascii="Times New Roman" w:cs="Times New Roman" w:eastAsia="Times New Roman" w:hAnsi="Times New Roman"/>
          <w:sz w:val="11"/>
          <w:szCs w:val="11"/>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10" w:lineRule="exact"/>
        <w:rPr>
          <w:sz w:val="20"/>
          <w:szCs w:val="20"/>
          <w:color w:val="auto"/>
        </w:rPr>
      </w:pPr>
    </w:p>
    <w:p>
      <w:pPr>
        <w:ind w:left="780" w:right="820" w:firstLine="310"/>
        <w:spacing w:after="0" w:line="279" w:lineRule="auto"/>
        <w:rPr>
          <w:sz w:val="20"/>
          <w:szCs w:val="20"/>
          <w:color w:val="auto"/>
        </w:rPr>
      </w:pPr>
      <w:r>
        <w:rPr>
          <w:rFonts w:ascii="Times New Roman" w:cs="Times New Roman" w:eastAsia="Times New Roman" w:hAnsi="Times New Roman"/>
          <w:sz w:val="11"/>
          <w:szCs w:val="11"/>
          <w:color w:val="auto"/>
        </w:rPr>
        <w:t>For the three months ended December 31, 2025, we recorded a provision for taxes on net investment income of $0.2 million pertaining to federal excise tax. For the three months ended December 31, 2024, we recorded a provision for taxes on net investment income of $0.2 million pertaining to federal excise tax.</w:t>
      </w:r>
    </w:p>
    <w:p>
      <w:pPr>
        <w:spacing w:after="0" w:line="99" w:lineRule="exact"/>
        <w:rPr>
          <w:sz w:val="20"/>
          <w:szCs w:val="20"/>
          <w:color w:val="auto"/>
        </w:rPr>
      </w:pPr>
    </w:p>
    <w:p>
      <w:pPr>
        <w:ind w:left="780" w:right="880" w:firstLine="282"/>
        <w:spacing w:after="0" w:line="259" w:lineRule="auto"/>
        <w:rPr>
          <w:sz w:val="20"/>
          <w:szCs w:val="20"/>
          <w:color w:val="auto"/>
        </w:rPr>
      </w:pPr>
      <w:r>
        <w:rPr>
          <w:rFonts w:ascii="Times New Roman" w:cs="Times New Roman" w:eastAsia="Times New Roman" w:hAnsi="Times New Roman"/>
          <w:sz w:val="11"/>
          <w:szCs w:val="11"/>
          <w:color w:val="auto"/>
        </w:rPr>
        <w:t>On February 4, 2022, we formed PFLT Investment Holdings II, LLC, a Delaware limited liability company (“Holdings II”), as a wholly owned subsidiary. On December 31, 2022, we contributed 100% of our interests in PFLT Investment Holdings, LLC ( “Holdings”) to Holdings II. Effective as of January 1, 2024, Holdings</w:t>
      </w:r>
    </w:p>
    <w:p>
      <w:pPr>
        <w:spacing w:after="0" w:line="1" w:lineRule="exact"/>
        <w:rPr>
          <w:sz w:val="20"/>
          <w:szCs w:val="20"/>
          <w:color w:val="auto"/>
        </w:rPr>
      </w:pPr>
    </w:p>
    <w:p>
      <w:pPr>
        <w:ind w:left="780" w:right="860" w:hanging="5"/>
        <w:spacing w:after="0" w:line="253" w:lineRule="auto"/>
        <w:tabs>
          <w:tab w:leader="none" w:pos="881"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elected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13" w:lineRule="exact"/>
        <w:rPr>
          <w:sz w:val="20"/>
          <w:szCs w:val="20"/>
          <w:color w:val="auto"/>
        </w:rPr>
      </w:pPr>
    </w:p>
    <w:p>
      <w:pPr>
        <w:ind w:left="780" w:right="860" w:firstLine="282"/>
        <w:spacing w:after="0" w:line="253" w:lineRule="auto"/>
        <w:rPr>
          <w:sz w:val="20"/>
          <w:szCs w:val="20"/>
          <w:color w:val="auto"/>
        </w:rPr>
      </w:pPr>
      <w:r>
        <w:rPr>
          <w:rFonts w:ascii="Times New Roman" w:cs="Times New Roman" w:eastAsia="Times New Roman" w:hAnsi="Times New Roman"/>
          <w:sz w:val="11"/>
          <w:szCs w:val="11"/>
          <w:color w:val="auto"/>
        </w:rPr>
        <w:t>For the three months ended December 31, 2025, the Company recorded a provision for taxes of $0.6 million on unrealized appreciation (depreciation) on investments by the Taxable Subsidiary. For the three months ended December 31, 2024, the Company recorded a provision for taxes of $0.6 million on unrealized appreciation (depreciation) on investments by the Taxable Subsidiary. The provision for taxes on unrealized appreciation (depreciation) on investments is the result of netting (i) the expected tax liability on gains from sales of investments and (ii) the expected tax benefit from the use of losses in the current year. As of December 31, 2025, and September 30, 2025, $1.2 million and $1.9 million, respectively, was accrued as a deferred tax liability on the Consolidated Statements of Assets and Liabilities relating to unrealized gain on investments held by the Taxable Subsidiary. During the three months ended December 31, 2025 and 2024, the Company recorded a provision for taxes of zero and $0.1 million relating to realized gain (loss) on investments held by the Taxable Subsidiary. During the three months ended December 31, 2025 and 2024, the Company paid zero and zero in taxes on realized gains on the sale of investments held by the Taxable Subsidiary.</w:t>
      </w:r>
    </w:p>
    <w:p>
      <w:pPr>
        <w:spacing w:after="0" w:line="114" w:lineRule="exact"/>
        <w:rPr>
          <w:sz w:val="20"/>
          <w:szCs w:val="20"/>
          <w:color w:val="auto"/>
        </w:rPr>
      </w:pPr>
    </w:p>
    <w:p>
      <w:pPr>
        <w:ind w:left="780" w:right="880" w:firstLine="282"/>
        <w:spacing w:after="0" w:line="259" w:lineRule="auto"/>
        <w:rPr>
          <w:sz w:val="20"/>
          <w:szCs w:val="20"/>
          <w:color w:val="auto"/>
        </w:rPr>
      </w:pPr>
      <w:r>
        <w:rPr>
          <w:rFonts w:ascii="Times New Roman" w:cs="Times New Roman" w:eastAsia="Times New Roman" w:hAnsi="Times New Roman"/>
          <w:sz w:val="11"/>
          <w:szCs w:val="11"/>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10" w:lineRule="exact"/>
        <w:rPr>
          <w:sz w:val="20"/>
          <w:szCs w:val="20"/>
          <w:color w:val="auto"/>
        </w:rPr>
      </w:pPr>
    </w:p>
    <w:p>
      <w:pPr>
        <w:ind w:left="780" w:right="860" w:firstLine="282"/>
        <w:spacing w:after="0" w:line="264" w:lineRule="auto"/>
        <w:rPr>
          <w:sz w:val="20"/>
          <w:szCs w:val="20"/>
          <w:color w:val="auto"/>
        </w:rPr>
      </w:pPr>
      <w:r>
        <w:rPr>
          <w:rFonts w:ascii="Times New Roman" w:cs="Times New Roman" w:eastAsia="Times New Roman" w:hAnsi="Times New Roman"/>
          <w:sz w:val="11"/>
          <w:szCs w:val="11"/>
          <w:color w:val="auto"/>
        </w:rPr>
        <w:t>We have formed and expect to continue to form certain taxable subsidiaries, including the Taxable Subsidiary,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306" w:right="1440" w:bottom="1440" w:gutter="0" w:footer="0" w:header="0"/>
        </w:sectPr>
      </w:pPr>
    </w:p>
    <w:bookmarkStart w:id="60" w:name="page61"/>
    <w:bookmarkEnd w:id="60"/>
    <w:p>
      <w:pPr>
        <w:ind w:left="780"/>
        <w:spacing w:after="0"/>
        <w:rPr>
          <w:sz w:val="20"/>
          <w:szCs w:val="20"/>
          <w:color w:val="auto"/>
        </w:rPr>
      </w:pPr>
      <w:r>
        <w:rPr>
          <w:rFonts w:ascii="Times New Roman" w:cs="Times New Roman" w:eastAsia="Times New Roman" w:hAnsi="Times New Roman"/>
          <w:sz w:val="11"/>
          <w:szCs w:val="11"/>
          <w:b w:val="1"/>
          <w:bCs w:val="1"/>
          <w:color w:val="auto"/>
        </w:rPr>
        <w:t>RESULTS OF OPERATIONS</w:t>
      </w:r>
    </w:p>
    <w:p>
      <w:pPr>
        <w:spacing w:after="0" w:line="13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Set forth below are the results of operations for the three months ended December 31, 2025 and 2024.</w:t>
      </w:r>
    </w:p>
    <w:p>
      <w:pPr>
        <w:spacing w:after="0" w:line="13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Investment Income</w:t>
      </w:r>
    </w:p>
    <w:p>
      <w:pPr>
        <w:spacing w:after="0" w:line="138" w:lineRule="exact"/>
        <w:rPr>
          <w:sz w:val="20"/>
          <w:szCs w:val="20"/>
          <w:color w:val="auto"/>
        </w:rPr>
      </w:pPr>
    </w:p>
    <w:p>
      <w:pPr>
        <w:ind w:left="780" w:right="920" w:firstLine="282"/>
        <w:spacing w:after="0" w:line="259" w:lineRule="auto"/>
        <w:rPr>
          <w:sz w:val="20"/>
          <w:szCs w:val="20"/>
          <w:color w:val="auto"/>
        </w:rPr>
      </w:pPr>
      <w:r>
        <w:rPr>
          <w:rFonts w:ascii="Times New Roman" w:cs="Times New Roman" w:eastAsia="Times New Roman" w:hAnsi="Times New Roman"/>
          <w:sz w:val="11"/>
          <w:szCs w:val="11"/>
          <w:color w:val="auto"/>
        </w:rPr>
        <w:t>For the three months ended December 31, 2025, investment income was $70.1 million, which was attributable to $64.2 million from first lien secured debt and $5.9 million from other investments, respectively. For the three months ended December 31, 2024, investment income was $67.0 million, which was attributable to $61.0 million from first lien secured debt and $6.0 million from other investments, respectively. The increase in investment income for the three months ended December 31, 2025, was primarily due to the increase in the size of our debt portfolio.</w:t>
      </w:r>
    </w:p>
    <w:p>
      <w:pPr>
        <w:spacing w:after="0" w:line="10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Expenses</w:t>
      </w:r>
    </w:p>
    <w:p>
      <w:pPr>
        <w:spacing w:after="0" w:line="138" w:lineRule="exact"/>
        <w:rPr>
          <w:sz w:val="20"/>
          <w:szCs w:val="20"/>
          <w:color w:val="auto"/>
        </w:rPr>
      </w:pPr>
    </w:p>
    <w:p>
      <w:pPr>
        <w:ind w:left="780" w:right="820" w:firstLine="282"/>
        <w:spacing w:after="0" w:line="255" w:lineRule="auto"/>
        <w:rPr>
          <w:sz w:val="20"/>
          <w:szCs w:val="20"/>
          <w:color w:val="auto"/>
        </w:rPr>
      </w:pPr>
      <w:r>
        <w:rPr>
          <w:rFonts w:ascii="Times New Roman" w:cs="Times New Roman" w:eastAsia="Times New Roman" w:hAnsi="Times New Roman"/>
          <w:sz w:val="11"/>
          <w:szCs w:val="11"/>
          <w:color w:val="auto"/>
        </w:rPr>
        <w:t>For the three months ended December 31, 2025, expenses totaled $43.5 million and were comprised of: $27.2 million of debt related interest and expenses, $6.8 million of base management fees, $6.7 million of performance-based incentive fees, and $2.1 million of general and administrative expenses, $0.2 million of taxes and $0.5 million in Credit Facility amendment costs. For the three months ended December 31, 2024, expenses totaled $37.0 million and were comprised of; $22.4 million of debt related interest and expenses, $5.3 million of base management fee, $7.5 million of performance-based incentive fee, $1.7 million of general and administrative expenses, $0.2 million of taxes. The increase in expenses for the three months ended December 31, 2025, was primarily due to the increase in interest expense from increased borrowings as a result of the increase in our investment portfolio.</w:t>
      </w:r>
    </w:p>
    <w:p>
      <w:pPr>
        <w:spacing w:after="0" w:line="1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Net Investment Income</w:t>
      </w:r>
    </w:p>
    <w:p>
      <w:pPr>
        <w:spacing w:after="0" w:line="138" w:lineRule="exact"/>
        <w:rPr>
          <w:sz w:val="20"/>
          <w:szCs w:val="20"/>
          <w:color w:val="auto"/>
        </w:rPr>
      </w:pPr>
    </w:p>
    <w:p>
      <w:pPr>
        <w:jc w:val="both"/>
        <w:ind w:left="780" w:right="1060" w:firstLine="282"/>
        <w:spacing w:after="0" w:line="264" w:lineRule="auto"/>
        <w:rPr>
          <w:sz w:val="20"/>
          <w:szCs w:val="20"/>
          <w:color w:val="auto"/>
        </w:rPr>
      </w:pPr>
      <w:r>
        <w:rPr>
          <w:rFonts w:ascii="Times New Roman" w:cs="Times New Roman" w:eastAsia="Times New Roman" w:hAnsi="Times New Roman"/>
          <w:sz w:val="11"/>
          <w:szCs w:val="11"/>
          <w:color w:val="auto"/>
        </w:rPr>
        <w:t>For the three months ended December 31, 2025, net investment income totaled $26.6 million or $0.27 per share. For the three months ended December 31, 2024, net investment income totaled $30.0 million or $0.37 per share. The decrease in net investment income for the three months ended December 31, 2025, was primarily due to an increase in interest expense and one time credit facility amendment costs.</w:t>
      </w:r>
    </w:p>
    <w:p>
      <w:pPr>
        <w:spacing w:after="0" w:line="1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Net Realized Gains or Losses</w:t>
      </w:r>
    </w:p>
    <w:p>
      <w:pPr>
        <w:spacing w:after="0" w:line="138" w:lineRule="exact"/>
        <w:rPr>
          <w:sz w:val="20"/>
          <w:szCs w:val="20"/>
          <w:color w:val="auto"/>
        </w:rPr>
      </w:pPr>
    </w:p>
    <w:p>
      <w:pPr>
        <w:ind w:left="780" w:right="900" w:firstLine="282"/>
        <w:spacing w:after="0" w:line="264" w:lineRule="auto"/>
        <w:rPr>
          <w:sz w:val="20"/>
          <w:szCs w:val="20"/>
          <w:color w:val="auto"/>
        </w:rPr>
      </w:pPr>
      <w:r>
        <w:rPr>
          <w:rFonts w:ascii="Times New Roman" w:cs="Times New Roman" w:eastAsia="Times New Roman" w:hAnsi="Times New Roman"/>
          <w:sz w:val="11"/>
          <w:szCs w:val="11"/>
          <w:color w:val="auto"/>
        </w:rPr>
        <w:t>For the three months ended December 31, 2025, net realized gains (losses) totaled $1.5 million. For the three months ended December 31, 2024, net realized gains (losses) totaled $26.7 million. The change in net realized gains (losses) was primarily due to changes in the market conditions of our investments and the values at which investments were realized.</w:t>
      </w:r>
    </w:p>
    <w:p>
      <w:pPr>
        <w:spacing w:after="0" w:line="1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Unrealized Appreciation or Depreciation on Investments and Debt</w:t>
      </w:r>
    </w:p>
    <w:p>
      <w:pPr>
        <w:spacing w:after="0" w:line="138" w:lineRule="exact"/>
        <w:rPr>
          <w:sz w:val="20"/>
          <w:szCs w:val="20"/>
          <w:color w:val="auto"/>
        </w:rPr>
      </w:pPr>
    </w:p>
    <w:p>
      <w:pPr>
        <w:ind w:left="780" w:right="800" w:firstLine="282"/>
        <w:spacing w:after="0" w:line="256" w:lineRule="auto"/>
        <w:rPr>
          <w:sz w:val="20"/>
          <w:szCs w:val="20"/>
          <w:color w:val="auto"/>
        </w:rPr>
      </w:pPr>
      <w:r>
        <w:rPr>
          <w:rFonts w:ascii="Times New Roman" w:cs="Times New Roman" w:eastAsia="Times New Roman" w:hAnsi="Times New Roman"/>
          <w:sz w:val="11"/>
          <w:szCs w:val="11"/>
          <w:color w:val="auto"/>
        </w:rPr>
        <w:t>For the three months ended December 31, 2025, we reported net change in unrealized appreciation (depreciation) on investments of $(32.3) million. For the three months ended December 31, 2024, we reported net change in unrealized appreciation (depreciation) on investments of $(29.0) million. As of December 31, 2025 and September 30, 2025, our net unrealized appreciation (depreciation) on investments totaled $(78.4) million and $(46.1) million, respectively. The net change in unrealized appreciation (depreciation) on our investments was primarily due to the operating performance of the portfolio companies within our portfolio, changes in the capital market conditions of our investments, and realization of investments.</w:t>
      </w:r>
    </w:p>
    <w:p>
      <w:pPr>
        <w:spacing w:after="0" w:line="112" w:lineRule="exact"/>
        <w:rPr>
          <w:sz w:val="20"/>
          <w:szCs w:val="20"/>
          <w:color w:val="auto"/>
        </w:rPr>
      </w:pPr>
    </w:p>
    <w:p>
      <w:pPr>
        <w:ind w:left="780" w:right="800" w:firstLine="282"/>
        <w:spacing w:after="0" w:line="259" w:lineRule="auto"/>
        <w:rPr>
          <w:sz w:val="20"/>
          <w:szCs w:val="20"/>
          <w:color w:val="auto"/>
        </w:rPr>
      </w:pPr>
      <w:r>
        <w:rPr>
          <w:rFonts w:ascii="Times New Roman" w:cs="Times New Roman" w:eastAsia="Times New Roman" w:hAnsi="Times New Roman"/>
          <w:sz w:val="11"/>
          <w:szCs w:val="11"/>
          <w:color w:val="auto"/>
        </w:rPr>
        <w:t>For the three months ended December 31, 2025, our Credit Facility had a net change in unrealized appreciation (depreciation) of less than $(0.1) million. For the three months ended December 31, 2024, our Credit Facility had a net change in unrealized appreciation (depreciation) of $0.1 million. As of December 31, 2025 and September 30, 2025, the net unrealized appreciation (depreciation) on the Credit Facility totaled zero, respectively. The net change in net unrealized (appreciation) or depreciation was primarily due to changes in the capital markets.</w:t>
      </w:r>
    </w:p>
    <w:p>
      <w:pPr>
        <w:spacing w:after="0" w:line="10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Net Change in Net Assets Resulting from Operations</w:t>
      </w:r>
    </w:p>
    <w:p>
      <w:pPr>
        <w:spacing w:after="0" w:line="138" w:lineRule="exact"/>
        <w:rPr>
          <w:sz w:val="20"/>
          <w:szCs w:val="20"/>
          <w:color w:val="auto"/>
        </w:rPr>
      </w:pPr>
    </w:p>
    <w:p>
      <w:pPr>
        <w:ind w:left="780" w:right="820" w:firstLine="282"/>
        <w:spacing w:after="0" w:line="259" w:lineRule="auto"/>
        <w:rPr>
          <w:sz w:val="20"/>
          <w:szCs w:val="20"/>
          <w:color w:val="auto"/>
        </w:rPr>
      </w:pPr>
      <w:r>
        <w:rPr>
          <w:rFonts w:ascii="Times New Roman" w:cs="Times New Roman" w:eastAsia="Times New Roman" w:hAnsi="Times New Roman"/>
          <w:sz w:val="11"/>
          <w:szCs w:val="11"/>
          <w:color w:val="auto"/>
        </w:rPr>
        <w:t>For the three months ended December 31, 2025, net increase (decrease) in net assets resulting from operations totaled $(3.6) million or $(0.04) per share. For the three months ended December 31, 2024, net increase (decrease) in net assets resulting from operations totaled $28.3 million or $0.35 per share. The net increase or (decrease) from operations for the three months ended December 31, 2025, was primarily due to operating performance of our portfolio and changes in capital market conditions of our investments along with change in size and cost yield of our debt portfolio and costs of financing.</w:t>
      </w:r>
    </w:p>
    <w:p>
      <w:pPr>
        <w:spacing w:after="0" w:line="10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b w:val="1"/>
          <w:bCs w:val="1"/>
          <w:color w:val="auto"/>
        </w:rPr>
        <w:t>LIQUIDITY AND CAPITAL RESOURCES</w:t>
      </w:r>
    </w:p>
    <w:p>
      <w:pPr>
        <w:spacing w:after="0" w:line="138" w:lineRule="exact"/>
        <w:rPr>
          <w:sz w:val="20"/>
          <w:szCs w:val="20"/>
          <w:color w:val="auto"/>
        </w:rPr>
      </w:pPr>
    </w:p>
    <w:p>
      <w:pPr>
        <w:ind w:left="780" w:right="840" w:firstLine="282"/>
        <w:spacing w:after="0" w:line="255" w:lineRule="auto"/>
        <w:rPr>
          <w:sz w:val="20"/>
          <w:szCs w:val="20"/>
          <w:color w:val="auto"/>
        </w:rPr>
      </w:pPr>
      <w:r>
        <w:rPr>
          <w:rFonts w:ascii="Times New Roman" w:cs="Times New Roman" w:eastAsia="Times New Roman" w:hAnsi="Times New Roman"/>
          <w:sz w:val="11"/>
          <w:szCs w:val="11"/>
          <w:color w:val="auto"/>
        </w:rPr>
        <w:t>Our liquidity and capital resources are derived primarily from cash flows from operations, including income earned on our investments, proceeds from investment sales and repayments, and proceeds of securities offerings and debt financings. Our primary use of funds from operations includes investments in portfolio companies and payments of fees and other operating expenses we incur. We have used, and expect to continue to use, our debt capital, proceeds from our portfolio and proceeds from public and private offerings of securities to finance our investment objectives and operations. As of December 31, 2025, in accordance with the 1940 Act, with certain limited exceptions, we were only allowed to borrow amounts such that we were in compliance with a 150% asset coverage ratio requirement after such borrowing.</w:t>
      </w:r>
    </w:p>
    <w:p>
      <w:pPr>
        <w:spacing w:after="0" w:line="112" w:lineRule="exact"/>
        <w:rPr>
          <w:sz w:val="20"/>
          <w:szCs w:val="20"/>
          <w:color w:val="auto"/>
        </w:rPr>
      </w:pPr>
    </w:p>
    <w:p>
      <w:pPr>
        <w:ind w:left="780" w:right="900" w:firstLine="282"/>
        <w:spacing w:after="0" w:line="256" w:lineRule="auto"/>
        <w:rPr>
          <w:sz w:val="20"/>
          <w:szCs w:val="20"/>
          <w:color w:val="auto"/>
        </w:rPr>
      </w:pPr>
      <w:r>
        <w:rPr>
          <w:rFonts w:ascii="Times New Roman" w:cs="Times New Roman" w:eastAsia="Times New Roman" w:hAnsi="Times New Roman"/>
          <w:sz w:val="11"/>
          <w:szCs w:val="11"/>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December 31, 2025 and September 30, 2025, our asset coverage ratio, as computed in accordance with the 1940 Act, was 164% and 160%, respectively.</w:t>
      </w:r>
    </w:p>
    <w:p>
      <w:pPr>
        <w:spacing w:after="0" w:line="112" w:lineRule="exact"/>
        <w:rPr>
          <w:sz w:val="20"/>
          <w:szCs w:val="20"/>
          <w:color w:val="auto"/>
        </w:rPr>
      </w:pPr>
    </w:p>
    <w:p>
      <w:pPr>
        <w:ind w:left="780" w:right="940" w:firstLine="282"/>
        <w:spacing w:after="0" w:line="256" w:lineRule="auto"/>
        <w:rPr>
          <w:sz w:val="20"/>
          <w:szCs w:val="20"/>
          <w:color w:val="auto"/>
        </w:rPr>
      </w:pPr>
      <w:r>
        <w:rPr>
          <w:rFonts w:ascii="Times New Roman" w:cs="Times New Roman" w:eastAsia="Times New Roman" w:hAnsi="Times New Roman"/>
          <w:sz w:val="11"/>
          <w:szCs w:val="11"/>
          <w:color w:val="auto"/>
        </w:rPr>
        <w:t>As of December 31, 2025, the Credit Facility had commitments $768.0 million (increased from $718.0 million in November 2025) and an interest rate spread above SOFR (or an alternative risk-free floating interest rate index) of 200 basis points, a maturity date of August 2030 and a revolving period that ends in August 2028. As of December 31, 2025 and September 30, 2025, Funding I had $488.9 million and $683.9 million of outstanding borrowings under the Credit Facility, respectively. The Credit Facility had a weighted average interest rate of 5.9% and 6.3%, exclusive of the fee on undrawn commitments as of December 31, 2025 and September 30, 2025, respectively.</w:t>
      </w:r>
    </w:p>
    <w:p>
      <w:pPr>
        <w:spacing w:after="0" w:line="112" w:lineRule="exact"/>
        <w:rPr>
          <w:sz w:val="20"/>
          <w:szCs w:val="20"/>
          <w:color w:val="auto"/>
        </w:rPr>
      </w:pPr>
    </w:p>
    <w:p>
      <w:pPr>
        <w:jc w:val="both"/>
        <w:ind w:left="780" w:right="840" w:firstLine="282"/>
        <w:spacing w:after="0" w:line="264" w:lineRule="auto"/>
        <w:rPr>
          <w:sz w:val="20"/>
          <w:szCs w:val="20"/>
          <w:color w:val="auto"/>
        </w:rPr>
      </w:pPr>
      <w:r>
        <w:rPr>
          <w:rFonts w:ascii="Times New Roman" w:cs="Times New Roman" w:eastAsia="Times New Roman" w:hAnsi="Times New Roman"/>
          <w:sz w:val="11"/>
          <w:szCs w:val="11"/>
          <w:color w:val="auto"/>
        </w:rPr>
        <w:t>For the three months ended December 31, 2025 and 2024, the annualized weighted average cost of debt, inclusive of the fee on the undrawn commitment on the Credit Facility, amendment costs and debt issuance costs, was 6.2% and 7.0%, respectively. As of December 31, 2025 and September 30, 2025, we had $279.1 million and $34.1 million of unused borrowing capacity under the Credit Facility, respectively, subject to leverage and borrowing base restrictions.</w:t>
      </w:r>
    </w:p>
    <w:p>
      <w:pPr>
        <w:spacing w:after="0" w:line="107" w:lineRule="exact"/>
        <w:rPr>
          <w:sz w:val="20"/>
          <w:szCs w:val="20"/>
          <w:color w:val="auto"/>
        </w:rPr>
      </w:pPr>
    </w:p>
    <w:p>
      <w:pPr>
        <w:ind w:left="780" w:right="900" w:firstLine="282"/>
        <w:spacing w:after="0" w:line="256" w:lineRule="auto"/>
        <w:rPr>
          <w:sz w:val="20"/>
          <w:szCs w:val="20"/>
          <w:color w:val="auto"/>
        </w:rPr>
      </w:pPr>
      <w:r>
        <w:rPr>
          <w:rFonts w:ascii="Times New Roman" w:cs="Times New Roman" w:eastAsia="Times New Roman" w:hAnsi="Times New Roman"/>
          <w:sz w:val="11"/>
          <w:szCs w:val="11"/>
          <w:color w:val="auto"/>
        </w:rPr>
        <w:t>In April 2025, the Credit Facility was amended. The terms of the amendment decreased the aggregate commitment amounts of the lenders party to the Credit Facility from $736.0 million to $718.0 million, decreased pricing under the Credit Facility to SOFR plus 200 basis points from SOFR plus 225 basis points, extended the reinvestment</w:t>
      </w:r>
    </w:p>
    <w:p>
      <w:pPr>
        <w:jc w:val="center"/>
        <w:ind w:right="20"/>
        <w:spacing w:after="0"/>
        <w:rPr>
          <w:sz w:val="20"/>
          <w:szCs w:val="20"/>
          <w:color w:val="auto"/>
        </w:rPr>
      </w:pPr>
      <w:r>
        <w:rPr>
          <w:rFonts w:ascii="Times New Roman" w:cs="Times New Roman" w:eastAsia="Times New Roman" w:hAnsi="Times New Roman"/>
          <w:sz w:val="11"/>
          <w:szCs w:val="1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3" w:right="1440" w:bottom="1440" w:gutter="0" w:footer="0" w:header="0"/>
        </w:sectPr>
      </w:pPr>
    </w:p>
    <w:bookmarkStart w:id="61" w:name="page62"/>
    <w:bookmarkEnd w:id="61"/>
    <w:p>
      <w:pPr>
        <w:ind w:left="780" w:right="1100"/>
        <w:spacing w:after="0" w:line="279" w:lineRule="auto"/>
        <w:rPr>
          <w:sz w:val="20"/>
          <w:szCs w:val="20"/>
          <w:color w:val="auto"/>
        </w:rPr>
      </w:pPr>
      <w:r>
        <w:rPr>
          <w:rFonts w:ascii="Times New Roman" w:cs="Times New Roman" w:eastAsia="Times New Roman" w:hAnsi="Times New Roman"/>
          <w:sz w:val="11"/>
          <w:szCs w:val="11"/>
          <w:color w:val="auto"/>
        </w:rPr>
        <w:t>period one year to August 2028 from August 2027, extended the maturity date one year to August 2030 from August 2029, and increased the maximum first lien advance rate to 72.5% from 70.0%.</w:t>
      </w:r>
    </w:p>
    <w:p>
      <w:pPr>
        <w:spacing w:after="0" w:line="99" w:lineRule="exact"/>
        <w:rPr>
          <w:sz w:val="20"/>
          <w:szCs w:val="20"/>
          <w:color w:val="auto"/>
        </w:rPr>
      </w:pPr>
    </w:p>
    <w:p>
      <w:pPr>
        <w:ind w:left="780" w:right="780" w:firstLine="282"/>
        <w:spacing w:after="0" w:line="279" w:lineRule="auto"/>
        <w:rPr>
          <w:sz w:val="20"/>
          <w:szCs w:val="20"/>
          <w:color w:val="auto"/>
        </w:rPr>
      </w:pPr>
      <w:r>
        <w:rPr>
          <w:rFonts w:ascii="Times New Roman" w:cs="Times New Roman" w:eastAsia="Times New Roman" w:hAnsi="Times New Roman"/>
          <w:sz w:val="11"/>
          <w:szCs w:val="11"/>
          <w:color w:val="auto"/>
        </w:rPr>
        <w:t>In November 2025, the Credit Facility was amended. The terms of the amendment increased the aggregate commitment amounts of the lenders party to the Credit Facility from $718.0 million to $768.0 million, pricing under the Credit Facility remains at SOFR plus 200 basis points.</w:t>
      </w:r>
    </w:p>
    <w:p>
      <w:pPr>
        <w:spacing w:after="0" w:line="99" w:lineRule="exact"/>
        <w:rPr>
          <w:sz w:val="20"/>
          <w:szCs w:val="20"/>
          <w:color w:val="auto"/>
        </w:rPr>
      </w:pPr>
    </w:p>
    <w:p>
      <w:pPr>
        <w:ind w:left="780" w:right="880" w:firstLine="282"/>
        <w:spacing w:after="0" w:line="256" w:lineRule="auto"/>
        <w:rPr>
          <w:sz w:val="20"/>
          <w:szCs w:val="20"/>
          <w:color w:val="auto"/>
        </w:rPr>
      </w:pPr>
      <w:r>
        <w:rPr>
          <w:rFonts w:ascii="Times New Roman" w:cs="Times New Roman" w:eastAsia="Times New Roman" w:hAnsi="Times New Roman"/>
          <w:sz w:val="11"/>
          <w:szCs w:val="11"/>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December 31, 2025, we were in compliance with the covenants relating to our Credit Facility.</w:t>
      </w:r>
    </w:p>
    <w:p>
      <w:pPr>
        <w:spacing w:after="0" w:line="112" w:lineRule="exact"/>
        <w:rPr>
          <w:sz w:val="20"/>
          <w:szCs w:val="20"/>
          <w:color w:val="auto"/>
        </w:rPr>
      </w:pPr>
    </w:p>
    <w:p>
      <w:pPr>
        <w:ind w:left="780" w:right="820" w:firstLine="282"/>
        <w:spacing w:after="0" w:line="279" w:lineRule="auto"/>
        <w:rPr>
          <w:sz w:val="20"/>
          <w:szCs w:val="20"/>
          <w:color w:val="auto"/>
        </w:rPr>
      </w:pPr>
      <w:r>
        <w:rPr>
          <w:rFonts w:ascii="Times New Roman" w:cs="Times New Roman" w:eastAsia="Times New Roman" w:hAnsi="Times New Roman"/>
          <w:sz w:val="11"/>
          <w:szCs w:val="11"/>
          <w:color w:val="auto"/>
        </w:rPr>
        <w:t>We own 100% of the equity interest in Funding I and treat the indebtedness of Funding I as our leverage. Our Investment Adviser serves as collateral manager to Funding I under the Credit Facility.</w:t>
      </w:r>
    </w:p>
    <w:p>
      <w:pPr>
        <w:spacing w:after="0" w:line="99" w:lineRule="exact"/>
        <w:rPr>
          <w:sz w:val="20"/>
          <w:szCs w:val="20"/>
          <w:color w:val="auto"/>
        </w:rPr>
      </w:pPr>
    </w:p>
    <w:p>
      <w:pPr>
        <w:ind w:left="780" w:right="840" w:firstLine="282"/>
        <w:spacing w:after="0" w:line="255" w:lineRule="auto"/>
        <w:rPr>
          <w:sz w:val="20"/>
          <w:szCs w:val="20"/>
          <w:color w:val="auto"/>
        </w:rPr>
      </w:pPr>
      <w:r>
        <w:rPr>
          <w:rFonts w:ascii="Times New Roman" w:cs="Times New Roman" w:eastAsia="Times New Roman" w:hAnsi="Times New Roman"/>
          <w:sz w:val="11"/>
          <w:szCs w:val="11"/>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12" w:lineRule="exact"/>
        <w:rPr>
          <w:sz w:val="20"/>
          <w:szCs w:val="20"/>
          <w:color w:val="auto"/>
        </w:rPr>
      </w:pPr>
    </w:p>
    <w:p>
      <w:pPr>
        <w:ind w:left="780" w:right="880" w:firstLine="282"/>
        <w:spacing w:after="0" w:line="253" w:lineRule="auto"/>
        <w:rPr>
          <w:sz w:val="20"/>
          <w:szCs w:val="20"/>
          <w:color w:val="auto"/>
        </w:rPr>
      </w:pPr>
      <w:r>
        <w:rPr>
          <w:rFonts w:ascii="Times New Roman" w:cs="Times New Roman" w:eastAsia="Times New Roman" w:hAnsi="Times New Roman"/>
          <w:sz w:val="11"/>
          <w:szCs w:val="11"/>
          <w:color w:val="auto"/>
        </w:rPr>
        <w:t>In March 2021 and in October 2021, we issued $100.0 million and $85.0 million, respectively, in aggregate principal amount of our 2026 Notes at a public offering price per note of 99.4% and 101.5%, respectively. Interest on the 2026 Notes is paid semiannually on April 1 and October 1 of each year, at a rate of 4.25% per year, commencing October 1, 2021. The effective interest rate is 4.15%.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14" w:lineRule="exact"/>
        <w:rPr>
          <w:sz w:val="20"/>
          <w:szCs w:val="20"/>
          <w:color w:val="auto"/>
        </w:rPr>
      </w:pPr>
    </w:p>
    <w:p>
      <w:pPr>
        <w:ind w:left="780" w:right="820" w:firstLine="282"/>
        <w:spacing w:after="0" w:line="132" w:lineRule="exact"/>
        <w:rPr>
          <w:sz w:val="20"/>
          <w:szCs w:val="20"/>
          <w:color w:val="auto"/>
        </w:rPr>
      </w:pPr>
      <w:r>
        <w:rPr>
          <w:rFonts w:ascii="Times New Roman" w:cs="Times New Roman" w:eastAsia="Times New Roman" w:hAnsi="Times New Roman"/>
          <w:sz w:val="11"/>
          <w:szCs w:val="11"/>
          <w:color w:val="auto"/>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maturing 2031, which bear interest at the three-month SOFR plus 1.8%, (ii) $15.0 million Class A-2 Senior Secured Fixed Rate Notes due 2031, which bear interest at 3.7%, (iii) $14.0 million Class B-1 Senior Secured Floating Rate Notes due 2031, which bear interest at the three-month SOFR plus 2.9%, (iv) $16.0 million Class B-2 Senior Secured Fixed Rate Notes due 2031, which bear interest at 4.3%, (v) $19.0 million Class C</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1 Secured Deferrable Floating Rate Notes due 2031, which bear interest at the three-month SOFR plus 4.0%, (vi) $8.0 million Class C-2 Secured Deferrable Fixed Rate Notes due 2031, which bear interest at 5.4%, and (vii) $18.0 million Class D Secured Deferrable Floating Rate Notes due 2031, which bear interest at the three-month SOFR plus 4.8% and (B) the borrowing of $77.5 million Class A</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1 Senior Secured Floating Rate Loans due 2031, which bear interest at the three-month SOFR plus 1.8%, under a credit agreement by and among the Securitization Issuers, as borrowers, various financial institutions, as lenders, and U.S. Bank National Association, as collateral agent and as loan agent. The 2031 Asset-Backed Debt was scheduled to mature on October 15, 2031. As of December 31, 2025 and September 30, 2025, the Company had zero of 2031 Asset-Backed Debt outstanding.</w:t>
      </w:r>
    </w:p>
    <w:p>
      <w:pPr>
        <w:spacing w:after="0" w:line="125" w:lineRule="exact"/>
        <w:rPr>
          <w:sz w:val="20"/>
          <w:szCs w:val="20"/>
          <w:color w:val="auto"/>
        </w:rPr>
      </w:pPr>
    </w:p>
    <w:p>
      <w:pPr>
        <w:ind w:left="780" w:right="780" w:firstLine="282"/>
        <w:spacing w:after="0" w:line="259" w:lineRule="auto"/>
        <w:rPr>
          <w:sz w:val="20"/>
          <w:szCs w:val="20"/>
          <w:color w:val="auto"/>
        </w:rPr>
      </w:pPr>
      <w:r>
        <w:rPr>
          <w:rFonts w:ascii="Times New Roman" w:cs="Times New Roman" w:eastAsia="Times New Roman" w:hAnsi="Times New Roman"/>
          <w:sz w:val="11"/>
          <w:szCs w:val="11"/>
          <w:color w:val="auto"/>
        </w:rPr>
        <w:t>On the closing date of the Debt Securitization, in consideration of our transfer to the Securitization Issuer of the initial closing date loan portfolio, which included loans distributed to us by our wholly 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110" w:lineRule="exact"/>
        <w:rPr>
          <w:sz w:val="20"/>
          <w:szCs w:val="20"/>
          <w:color w:val="auto"/>
        </w:rPr>
      </w:pPr>
    </w:p>
    <w:p>
      <w:pPr>
        <w:ind w:left="780" w:right="1000" w:firstLine="282"/>
        <w:spacing w:after="0" w:line="264" w:lineRule="auto"/>
        <w:rPr>
          <w:sz w:val="20"/>
          <w:szCs w:val="20"/>
          <w:color w:val="auto"/>
        </w:rPr>
      </w:pPr>
      <w:r>
        <w:rPr>
          <w:rFonts w:ascii="Times New Roman" w:cs="Times New Roman" w:eastAsia="Times New Roman" w:hAnsi="Times New Roman"/>
          <w:sz w:val="11"/>
          <w:szCs w:val="11"/>
          <w:color w:val="auto"/>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107" w:lineRule="exact"/>
        <w:rPr>
          <w:sz w:val="20"/>
          <w:szCs w:val="20"/>
          <w:color w:val="auto"/>
        </w:rPr>
      </w:pPr>
    </w:p>
    <w:p>
      <w:pPr>
        <w:ind w:left="780" w:right="800" w:firstLine="282"/>
        <w:spacing w:after="0" w:line="251" w:lineRule="auto"/>
        <w:rPr>
          <w:sz w:val="20"/>
          <w:szCs w:val="20"/>
          <w:color w:val="auto"/>
        </w:rPr>
      </w:pPr>
      <w:r>
        <w:rPr>
          <w:rFonts w:ascii="Times New Roman" w:cs="Times New Roman" w:eastAsia="Times New Roman" w:hAnsi="Times New Roman"/>
          <w:sz w:val="11"/>
          <w:szCs w:val="11"/>
          <w:color w:val="auto"/>
        </w:rPr>
        <w:t>In July 2024, the 2031 Asset-Backed Debt was refinanced through a $351.0 million debt securitization in the form of a collateralized loan obligation, or the "2036-R Asset-Backed Debt". The Company retained $85.0 million of the debt securitization. The 2036-R Asset-Backed Debt was executed through: (A) the issuance by the 2036-R Securitization Issuers of the following classes of notes pursuant that certain indenture, dated September 19, 2019, by and among the 2036-R Securitization Issuers and U.S. Bank Trust Company, National Association, as amended by the second supplemental indenture, dated June 25, 2024): (i) $203.0 million of A-1-R Notes, which bear interest at the three-month SOFR plus 1.75%, (ii) $10.5 million of A-2-R Notes, which bear interest at three-month SOFR plus 1.90%, (iii) $12.0 million of Class B-R Notes, which bear interest at three-month SOFR plus 2.05%, (iv) $28.0 million of C-R Notes, which bear interest at three-month SOFR plus 2.75% and (v) $21.0 million of D-R Notes, which bear interest at three-month SOFR plus 4.30%, (B) the issuance by the issuer of $64.0 million of subordinated notes pursuant to the Indenture and (C) the borrowing by one of the 2036-R Securitization Issuers of $12.5 million of Class B-R Loans, which bear interest at three-month SOFR plus 2.05%, pursuant to a credit agreement, by and among the 2036-R Securitization Issuers, the various financial institutions and other persons party thereto, as lenders and U.S. Bank Trust Company, National Association, as loan agent and as trustee. The 2036-R Asset-Backed Debt matures in July 2036. The company initially retained the D-R Notes and the subordinated Notes through a consolidated subsidiary. On October 29, 2025 the Company sold $21.0 million of D-R Notes, to a third party. As of December 31, 2025, the Company no longer consolidates the D-R Notes.</w:t>
      </w:r>
    </w:p>
    <w:p>
      <w:pPr>
        <w:spacing w:after="0" w:line="118" w:lineRule="exact"/>
        <w:rPr>
          <w:sz w:val="20"/>
          <w:szCs w:val="20"/>
          <w:color w:val="auto"/>
        </w:rPr>
      </w:pPr>
    </w:p>
    <w:p>
      <w:pPr>
        <w:ind w:left="780" w:right="960" w:firstLine="282"/>
        <w:spacing w:after="0" w:line="264" w:lineRule="auto"/>
        <w:rPr>
          <w:sz w:val="20"/>
          <w:szCs w:val="20"/>
          <w:color w:val="auto"/>
        </w:rPr>
      </w:pPr>
      <w:r>
        <w:rPr>
          <w:rFonts w:ascii="Times New Roman" w:cs="Times New Roman" w:eastAsia="Times New Roman" w:hAnsi="Times New Roman"/>
          <w:sz w:val="11"/>
          <w:szCs w:val="11"/>
          <w:color w:val="auto"/>
        </w:rPr>
        <w:t>As of December 31, 2025 and September 30, 2025, the Company had $287.0 million and $266.0 million, respectively of external, 2036-R Asset-Backed Debt outstanding with a weighted average interest rate of 5.9% and 6.2%, respectively. As of December 31, 2025 and September 30, 2025, the unamortized fees on the 2036-R Asset-Backed Debt were $0.4 million and $0.6 million, respectively.</w:t>
      </w:r>
    </w:p>
    <w:p>
      <w:pPr>
        <w:spacing w:after="0" w:line="107" w:lineRule="exact"/>
        <w:rPr>
          <w:sz w:val="20"/>
          <w:szCs w:val="20"/>
          <w:color w:val="auto"/>
        </w:rPr>
      </w:pPr>
    </w:p>
    <w:p>
      <w:pPr>
        <w:ind w:left="780" w:right="860" w:firstLine="282"/>
        <w:spacing w:after="0" w:line="251" w:lineRule="auto"/>
        <w:rPr>
          <w:sz w:val="20"/>
          <w:szCs w:val="20"/>
          <w:color w:val="auto"/>
        </w:rPr>
      </w:pPr>
      <w:r>
        <w:rPr>
          <w:rFonts w:ascii="Times New Roman" w:cs="Times New Roman" w:eastAsia="Times New Roman" w:hAnsi="Times New Roman"/>
          <w:sz w:val="11"/>
          <w:szCs w:val="11"/>
          <w:color w:val="auto"/>
        </w:rPr>
        <w:t>In February 2024, the Company completed the $350.6 million term debt securitization. Term debt securitizations, also known as CLOs, are a form of secured financing incurred by the Company, which is consolidated by the Company and subject to the Company’s asset coverage requirements. The 2036 Asset-Backed Debt was issued by the 2036 Securitization Issuer. The 2036 Asset-Backed Debt is secured by the middle market loans, participation interests in middle market loans and other assets of the 2036 Securitization Issuer. The Debt Securitization was executed through (A) a private placement of: (i) $139.5 million of AAA(sf) Class A-1 Notes, which bear interest at the three-month secured overnight financing rate published by the Federal Reserve Bank of New York (“SOFR”) plus 2.30%, (ii) $14.0 million of AAA(sf) Class A-2 Notes, which bear interest at three-month SOFR plus 2.70%, (iii) $24.5 million of AA(sf) Class B Notes, which bear interest at three-month SOFR plus 2.90%, (iv) $28.0 million of A(sf) Class C Notes, which bear interest at three-month SOFR plus 3.90%, (v) $21.0 million of BBB-(sf) Class D Notes, which bear interest at three-month SOFR plus 5.90%, (together, the “Secured Notes”), and (vi) $63.6 million of subordinated notes (“Subordinated Notes”) and</w:t>
      </w:r>
    </w:p>
    <w:p>
      <w:pPr>
        <w:spacing w:after="0" w:line="3" w:lineRule="exact"/>
        <w:rPr>
          <w:sz w:val="20"/>
          <w:szCs w:val="20"/>
          <w:color w:val="auto"/>
        </w:rPr>
      </w:pPr>
    </w:p>
    <w:p>
      <w:pPr>
        <w:ind w:left="780" w:right="1000" w:hanging="5"/>
        <w:spacing w:after="0" w:line="251" w:lineRule="auto"/>
        <w:tabs>
          <w:tab w:leader="none" w:pos="955"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borrowing of $60.0 million AAA(sf) Class A-1 Senior Secured Floating Rate Loans (the “Class A-1 Loans” and together with the Secured Notes and Subordinated Notes, the “Debt”), which bear interest at three-month SOFR plus 2.30%, under a credit agreement (the “Credit Agreement”), dated as of the Closing Date, by and among the Issuer, as borrower, various financial institutions, as lenders, and Wilmington Trust, National Association, as collateral agent and as loan agent. The Debt is scheduled to mature on April 18, 2036.</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5" w:right="1440" w:bottom="1440" w:gutter="0" w:footer="0" w:header="0"/>
        </w:sectPr>
      </w:pPr>
    </w:p>
    <w:bookmarkStart w:id="62" w:name="page63"/>
    <w:bookmarkEnd w:id="62"/>
    <w:p>
      <w:pPr>
        <w:ind w:left="780" w:right="920" w:firstLine="282"/>
        <w:spacing w:after="0" w:line="259" w:lineRule="auto"/>
        <w:rPr>
          <w:sz w:val="20"/>
          <w:szCs w:val="20"/>
          <w:color w:val="auto"/>
        </w:rPr>
      </w:pPr>
      <w:r>
        <w:rPr>
          <w:rFonts w:ascii="Times New Roman" w:cs="Times New Roman" w:eastAsia="Times New Roman" w:hAnsi="Times New Roman"/>
          <w:sz w:val="11"/>
          <w:szCs w:val="11"/>
          <w:color w:val="auto"/>
        </w:rPr>
        <w:t>The 2036 Asset-Backed Debt is included in the Consolidated Statement of Assets and Liabilities as debt of the Company and the Preferred Shares of the 2036-Securitization Issuer were eliminated in consolidation. As of December 31, 2025 and September 30, 2025, the Company had $287.0 million of 2036 Asset-Backed Debt outstanding with a weighted average interest rate of 6.7% and 7.1%, respectively. As of December 31, 2025, and September 30, 2025, the unamortized fees on the 2036 Asset-Backed Debt were $2.2 million and $2.4 million, respectively.</w:t>
      </w:r>
    </w:p>
    <w:p>
      <w:pPr>
        <w:spacing w:after="0" w:line="110" w:lineRule="exact"/>
        <w:rPr>
          <w:sz w:val="20"/>
          <w:szCs w:val="20"/>
          <w:color w:val="auto"/>
        </w:rPr>
      </w:pPr>
    </w:p>
    <w:p>
      <w:pPr>
        <w:ind w:left="780" w:right="1020" w:firstLine="282"/>
        <w:spacing w:after="0" w:line="264" w:lineRule="auto"/>
        <w:rPr>
          <w:sz w:val="20"/>
          <w:szCs w:val="20"/>
          <w:color w:val="auto"/>
        </w:rPr>
      </w:pPr>
      <w:r>
        <w:rPr>
          <w:rFonts w:ascii="Times New Roman" w:cs="Times New Roman" w:eastAsia="Times New Roman" w:hAnsi="Times New Roman"/>
          <w:sz w:val="11"/>
          <w:szCs w:val="11"/>
          <w:color w:val="auto"/>
        </w:rPr>
        <w:t>Our Investment Adviser serves as collateral manager to the 2036-Securitization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07" w:lineRule="exact"/>
        <w:rPr>
          <w:sz w:val="20"/>
          <w:szCs w:val="20"/>
          <w:color w:val="auto"/>
        </w:rPr>
      </w:pPr>
    </w:p>
    <w:p>
      <w:pPr>
        <w:ind w:left="780" w:right="840" w:firstLine="282"/>
        <w:spacing w:after="0" w:line="250" w:lineRule="auto"/>
        <w:rPr>
          <w:sz w:val="20"/>
          <w:szCs w:val="20"/>
          <w:color w:val="auto"/>
        </w:rPr>
      </w:pPr>
      <w:r>
        <w:rPr>
          <w:rFonts w:ascii="Times New Roman" w:cs="Times New Roman" w:eastAsia="Times New Roman" w:hAnsi="Times New Roman"/>
          <w:sz w:val="11"/>
          <w:szCs w:val="11"/>
          <w:color w:val="auto"/>
        </w:rPr>
        <w:t>In February 2025, we completed the $474.6 million term debt securitization (the “2037 Debt Securitization”). The notes offered in the 2037 Debt Securitization were issued by the 2037 Securitization Issuer and are backed by a portfolio of collateral obligations consisting of middle market loans and participation interests in middle market loans as well as by other assets of the 2037 Securitization Issuer. The Company retained $113.6 million of the debt securitization issued by the 2037 Securitization Issuer. The transaction was executed through (A) a private placement of $220.5 million of AAA(sf) Class A-1 Notes, which bear interest at the three-month SOFR plus 1.49% (the “2037 Class A-1 Notes”), (ii) $19.0 million of AAA(sf) Class A-2 Notes, which bear interest at three-month SOFR plus 1.60% (the “2037 Class A-2 Notes”), (iii) $28.5 million of AA(sf) Class B Notes, which bear interest at three-month SOFR plus 1.75% (the “2037 Class B Notes”), (iv) $38.0 million of A(sf) Class C Notes, which bear interest at three-month SOFR plus 2.20% (the “2037 Class C Notes”), (v) $28.5 million of BBB-(sf) Class D Notes, which bear interest at three-month SOFR plus 3.60%, (the “2037 Class D Notes” and, collectively with the 2037 Class A-2 Notes, the 2037 Class B Notes and the 2037 Class D Notes, the “2037 Secured Notes”), and (vi) $85.1 million of subordinated notes (the “2037 Subordinated Notes”) and (B) the borrowing by 2037 Securitization Issuer of $10.0 million under AAA(sf) Class A-1L-A floating rate loans (the “2037 Class A-1L-A Loans”) and $45.0 million under AAA(sf) Class A-1L-B floating rate loans ( the “2037 Class A-1L-B Loans” and, together with the 2037 Class A-1L-A Loans, the “2037 Asset-Backed Loans,” and collectively with the 2037 Notes, the “2037 Asset-Backed Debt”), which bear interest at three-month SOFR plus 1.49%. The 2037 Class A-1 Loans and the 2037 Secured Notes are secured by the middle market loans, participation interests in middle market loans and other assets of the 2037 Securitization Issuer. The 2037 Asset-Backed Debt is scheduled to mature on April 20, 2037. The Company initially retained the 2037 Class D Notes and the 2037 Subordinated Notes. A portion of the proceeds received by the 2037 Securitization Issuer from the loans securing the 2037 Class A-1 Loans and the 2037 Secured Notes may be used to purchase additional middle market loans under the direction of the Investment Adviser through April 20, 2029. On November 25, 2025 the Company sold $28.5 million of BBB -(sf) Class D Notes, to a third party. As of December 31, 2025, the Company no longer consolidates the BBB-(sf) Class D Notes. The 2037 Asset-Backed Debt is included in the Consolidated Statement of Assets and Liabilities as debt of the Company and the 2037 Class D Notes and the 2037 Subordinated Notes of the 2037 Securitization Issuer were eliminated in consolidation.</w:t>
      </w:r>
    </w:p>
    <w:p>
      <w:pPr>
        <w:spacing w:after="0" w:line="251" w:lineRule="exact"/>
        <w:rPr>
          <w:sz w:val="20"/>
          <w:szCs w:val="20"/>
          <w:color w:val="auto"/>
        </w:rPr>
      </w:pPr>
    </w:p>
    <w:p>
      <w:pPr>
        <w:ind w:left="780" w:right="1020" w:firstLine="282"/>
        <w:spacing w:after="0" w:line="264" w:lineRule="auto"/>
        <w:rPr>
          <w:sz w:val="20"/>
          <w:szCs w:val="20"/>
          <w:color w:val="auto"/>
        </w:rPr>
      </w:pPr>
      <w:r>
        <w:rPr>
          <w:rFonts w:ascii="Times New Roman" w:cs="Times New Roman" w:eastAsia="Times New Roman" w:hAnsi="Times New Roman"/>
          <w:sz w:val="11"/>
          <w:szCs w:val="11"/>
          <w:color w:val="auto"/>
        </w:rPr>
        <w:t>As of December 31, 2025 and September 30, 2025, the Company had $389.5 million and $361.0 million of 2037 Asset-Backed Debt outstanding with a weighted average interest rate of 5.6% and 5.9%, respectively. As of December 31, 2025 and September 30, 2025, the unamortized fees on the 2037 Asset-Backed Debt were $2.5 million and $2.7 million, respectively.</w:t>
      </w:r>
    </w:p>
    <w:p>
      <w:pPr>
        <w:spacing w:after="0" w:line="107" w:lineRule="exact"/>
        <w:rPr>
          <w:sz w:val="20"/>
          <w:szCs w:val="20"/>
          <w:color w:val="auto"/>
        </w:rPr>
      </w:pPr>
    </w:p>
    <w:p>
      <w:pPr>
        <w:ind w:left="780" w:right="1020" w:firstLine="282"/>
        <w:spacing w:after="0" w:line="264" w:lineRule="auto"/>
        <w:rPr>
          <w:sz w:val="20"/>
          <w:szCs w:val="20"/>
          <w:color w:val="auto"/>
        </w:rPr>
      </w:pPr>
      <w:r>
        <w:rPr>
          <w:rFonts w:ascii="Times New Roman" w:cs="Times New Roman" w:eastAsia="Times New Roman" w:hAnsi="Times New Roman"/>
          <w:sz w:val="11"/>
          <w:szCs w:val="11"/>
          <w:color w:val="auto"/>
        </w:rPr>
        <w:t>Our Investment Adviser serves as collateral manager to the 2037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07" w:lineRule="exact"/>
        <w:rPr>
          <w:sz w:val="20"/>
          <w:szCs w:val="20"/>
          <w:color w:val="auto"/>
        </w:rPr>
      </w:pPr>
    </w:p>
    <w:p>
      <w:pPr>
        <w:ind w:left="780" w:right="820" w:firstLine="282"/>
        <w:spacing w:after="0" w:line="252" w:lineRule="auto"/>
        <w:rPr>
          <w:sz w:val="20"/>
          <w:szCs w:val="20"/>
          <w:color w:val="auto"/>
        </w:rPr>
      </w:pPr>
      <w:r>
        <w:rPr>
          <w:rFonts w:ascii="Times New Roman" w:cs="Times New Roman" w:eastAsia="Times New Roman" w:hAnsi="Times New Roman"/>
          <w:sz w:val="11"/>
          <w:szCs w:val="11"/>
          <w:color w:val="auto"/>
        </w:rPr>
        <w:t>On July 17, 2024, we entered into equity distribution agreements (together, the "Equity Distribution Agreements") with Citizens JMP Securities, LLC, Raymond James &amp; Associates, Inc. and Truist Securities, Inc. as the sales agents (collectively the "Sales Agents" and each a "Sales Agent") in connection with the sale of our shares of common stock, with an aggregate offering price of up to $500.0 million under an at-the-market offering program (the "2024 ATM Program"). The Equity Distribution Agreements provide that we may offer and sell shares of our common stock from time to time through the Sales Agents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2024 ATM Program offerings, net of any commissions of the Sale Agents, will not be less than our then current NAV per share. Any such payments made by the Investment Adviser will not be subject to reimbursement by us. In connection with the entry into the Equity Distribution Agreements, the Company terminated the equity distribution agreements with each of Citizens JMP Securities LLC, Raymond James &amp; Associates, Inc. and Truist Securities, Inc. in connection with the 2022 ATM Program.</w:t>
      </w:r>
    </w:p>
    <w:p>
      <w:pPr>
        <w:spacing w:after="0" w:line="115" w:lineRule="exact"/>
        <w:rPr>
          <w:sz w:val="20"/>
          <w:szCs w:val="20"/>
          <w:color w:val="auto"/>
        </w:rPr>
      </w:pPr>
    </w:p>
    <w:p>
      <w:pPr>
        <w:ind w:left="780" w:right="880" w:firstLine="282"/>
        <w:spacing w:after="0" w:line="255" w:lineRule="auto"/>
        <w:rPr>
          <w:sz w:val="20"/>
          <w:szCs w:val="20"/>
          <w:color w:val="auto"/>
        </w:rPr>
      </w:pPr>
      <w:r>
        <w:rPr>
          <w:rFonts w:ascii="Times New Roman" w:cs="Times New Roman" w:eastAsia="Times New Roman" w:hAnsi="Times New Roman"/>
          <w:sz w:val="11"/>
          <w:szCs w:val="11"/>
          <w:color w:val="auto"/>
        </w:rPr>
        <w:t>During the three months ended December 31, 2025 we did not issue any shares of our common stock under the ATM Programs. During the three months ended December 31, 2024 we issued 7,276,000 shares of our common stock under the ATM Programs. During the three months ended December 31, 2024, shares were issued at a weighted average price of $11.30 per share, resulting in net proceeds of $82.2 million after commissions to the sales agents and inclusive of proceeds from the Investment Adviser to ensure that all shares were sold at or above NAV. During the quarter ended December 31, 2025 and 2024, we incurred zero and less than $0.1 million, respectively, of legal and other offering costs associated with establishing the ATM Programs. As of December 31, 2025 and September 30, 2025, we had $192.2 million and $192.2 million, respectively, of our common stock available to be sold under the ATM Programs.</w:t>
      </w:r>
    </w:p>
    <w:p>
      <w:pPr>
        <w:spacing w:after="0" w:line="112" w:lineRule="exact"/>
        <w:rPr>
          <w:sz w:val="20"/>
          <w:szCs w:val="20"/>
          <w:color w:val="auto"/>
        </w:rPr>
      </w:pPr>
    </w:p>
    <w:p>
      <w:pPr>
        <w:ind w:left="780" w:right="820" w:firstLine="282"/>
        <w:spacing w:after="0" w:line="259" w:lineRule="auto"/>
        <w:rPr>
          <w:sz w:val="20"/>
          <w:szCs w:val="20"/>
          <w:color w:val="auto"/>
        </w:rPr>
      </w:pPr>
      <w:r>
        <w:rPr>
          <w:rFonts w:ascii="Times New Roman" w:cs="Times New Roman" w:eastAsia="Times New Roman" w:hAnsi="Times New Roman"/>
          <w:sz w:val="11"/>
          <w:szCs w:val="11"/>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10" w:lineRule="exact"/>
        <w:rPr>
          <w:sz w:val="20"/>
          <w:szCs w:val="20"/>
          <w:color w:val="auto"/>
        </w:rPr>
      </w:pPr>
    </w:p>
    <w:p>
      <w:pPr>
        <w:ind w:left="780" w:right="820" w:firstLine="282"/>
        <w:spacing w:after="0" w:line="259" w:lineRule="auto"/>
        <w:rPr>
          <w:sz w:val="20"/>
          <w:szCs w:val="20"/>
          <w:color w:val="auto"/>
        </w:rPr>
      </w:pPr>
      <w:r>
        <w:rPr>
          <w:rFonts w:ascii="Times New Roman" w:cs="Times New Roman" w:eastAsia="Times New Roman" w:hAnsi="Times New Roman"/>
          <w:sz w:val="11"/>
          <w:szCs w:val="11"/>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May 2025,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10" w:lineRule="exact"/>
        <w:rPr>
          <w:sz w:val="20"/>
          <w:szCs w:val="20"/>
          <w:color w:val="auto"/>
        </w:rPr>
      </w:pPr>
    </w:p>
    <w:p>
      <w:pPr>
        <w:ind w:left="780" w:right="780" w:firstLine="282"/>
        <w:spacing w:after="0" w:line="255" w:lineRule="auto"/>
        <w:rPr>
          <w:sz w:val="20"/>
          <w:szCs w:val="20"/>
          <w:color w:val="auto"/>
        </w:rPr>
      </w:pPr>
      <w:r>
        <w:rPr>
          <w:rFonts w:ascii="Times New Roman" w:cs="Times New Roman" w:eastAsia="Times New Roman" w:hAnsi="Times New Roman"/>
          <w:sz w:val="11"/>
          <w:szCs w:val="11"/>
          <w:color w:val="auto"/>
        </w:rPr>
        <w:t>Under our Administration Agreement, which was most recently reapproved by our board of directors, including a majority of our directors who are not interested persons of us, in May 2025, the Administrator furnishes us with office facilities and administrative services necessary to conduct our day-to-day operations. The Administration Agreement was amended on July 1, 2022.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Financial Officer, Chief Compliance Officer, Corporate Counsel and their respective staffs.</w:t>
      </w:r>
    </w:p>
    <w:p>
      <w:pPr>
        <w:spacing w:after="0" w:line="112" w:lineRule="exact"/>
        <w:rPr>
          <w:sz w:val="20"/>
          <w:szCs w:val="20"/>
          <w:color w:val="auto"/>
        </w:rPr>
      </w:pPr>
    </w:p>
    <w:p>
      <w:pPr>
        <w:ind w:left="780" w:right="860" w:firstLine="282"/>
        <w:spacing w:after="0" w:line="264" w:lineRule="auto"/>
        <w:rPr>
          <w:sz w:val="20"/>
          <w:szCs w:val="20"/>
          <w:color w:val="auto"/>
        </w:rPr>
      </w:pPr>
      <w:r>
        <w:rPr>
          <w:rFonts w:ascii="Times New Roman" w:cs="Times New Roman" w:eastAsia="Times New Roman" w:hAnsi="Times New Roman"/>
          <w:sz w:val="11"/>
          <w:szCs w:val="11"/>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07" w:lineRule="exact"/>
        <w:rPr>
          <w:sz w:val="20"/>
          <w:szCs w:val="20"/>
          <w:color w:val="auto"/>
        </w:rPr>
      </w:pPr>
    </w:p>
    <w:p>
      <w:pPr>
        <w:ind w:left="780" w:right="920" w:firstLine="282"/>
        <w:spacing w:after="0" w:line="279" w:lineRule="auto"/>
        <w:rPr>
          <w:sz w:val="20"/>
          <w:szCs w:val="20"/>
          <w:color w:val="auto"/>
        </w:rPr>
      </w:pPr>
      <w:r>
        <w:rPr>
          <w:rFonts w:ascii="Times New Roman" w:cs="Times New Roman" w:eastAsia="Times New Roman" w:hAnsi="Times New Roman"/>
          <w:sz w:val="11"/>
          <w:szCs w:val="11"/>
          <w:color w:val="auto"/>
        </w:rPr>
        <w:t>As of December 31, 2025 and September 30, 2025, we had cash and cash equivalents of $95.3 million and $122.7 million, respectively, available for investing and general corporate purposes. We believe our liquidity and capital resources are sufficient to take advantage of market opportunities.</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5" w:right="1440" w:bottom="1440" w:gutter="0" w:footer="0" w:header="0"/>
        </w:sectPr>
      </w:pPr>
    </w:p>
    <w:bookmarkStart w:id="63" w:name="page64"/>
    <w:bookmarkEnd w:id="63"/>
    <w:p>
      <w:pPr>
        <w:ind w:left="780" w:right="800" w:firstLine="282"/>
        <w:spacing w:after="0" w:line="264" w:lineRule="auto"/>
        <w:rPr>
          <w:sz w:val="20"/>
          <w:szCs w:val="20"/>
          <w:color w:val="auto"/>
        </w:rPr>
      </w:pPr>
      <w:r>
        <w:rPr>
          <w:rFonts w:ascii="Times New Roman" w:cs="Times New Roman" w:eastAsia="Times New Roman" w:hAnsi="Times New Roman"/>
          <w:sz w:val="11"/>
          <w:szCs w:val="11"/>
          <w:color w:val="auto"/>
        </w:rPr>
        <w:t>For the three months ended December 31, 2025, our operating activities provided cash of $148.6 million and our financing activities used cash of $176.0 million. Our operating activities provided cash primarily due to our investment activities and our financing activities used cash primarily due to repayments of our Credit Facility offset by proceeds received from the sales of $28.5 million of 2037 Class D Notes and $21.0 million of 2036-R Asset-Backed Debt D-R Notes to third parties.</w:t>
      </w:r>
    </w:p>
    <w:p>
      <w:pPr>
        <w:spacing w:after="0" w:line="107" w:lineRule="exact"/>
        <w:rPr>
          <w:sz w:val="20"/>
          <w:szCs w:val="20"/>
          <w:color w:val="auto"/>
        </w:rPr>
      </w:pPr>
    </w:p>
    <w:p>
      <w:pPr>
        <w:ind w:left="780" w:right="800" w:firstLine="282"/>
        <w:spacing w:after="0" w:line="264" w:lineRule="auto"/>
        <w:rPr>
          <w:sz w:val="20"/>
          <w:szCs w:val="20"/>
          <w:color w:val="auto"/>
        </w:rPr>
      </w:pPr>
      <w:r>
        <w:rPr>
          <w:rFonts w:ascii="Times New Roman" w:cs="Times New Roman" w:eastAsia="Times New Roman" w:hAnsi="Times New Roman"/>
          <w:sz w:val="11"/>
          <w:szCs w:val="11"/>
          <w:color w:val="auto"/>
        </w:rPr>
        <w:t>For the three months ended December 31, 2024, our operating activities used cash of $232.7 million and our financing activities provided cash of $222.9 million. Our operating activities used cash primarily due to our investment activities and our financing activities provided cash primarily due to borrowings under our Credit Facility and proceeds from the public offerings under our ATM program.</w:t>
      </w:r>
    </w:p>
    <w:p>
      <w:pPr>
        <w:spacing w:after="0" w:line="1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PennantPark Senior Secured Loan Fund I LLC</w:t>
      </w:r>
    </w:p>
    <w:p>
      <w:pPr>
        <w:spacing w:after="0" w:line="108" w:lineRule="exact"/>
        <w:rPr>
          <w:sz w:val="20"/>
          <w:szCs w:val="20"/>
          <w:color w:val="auto"/>
        </w:rPr>
      </w:pPr>
    </w:p>
    <w:p>
      <w:pPr>
        <w:ind w:left="780" w:right="940" w:firstLine="282"/>
        <w:spacing w:after="0" w:line="255" w:lineRule="auto"/>
        <w:rPr>
          <w:sz w:val="20"/>
          <w:szCs w:val="20"/>
          <w:color w:val="auto"/>
        </w:rPr>
      </w:pPr>
      <w:r>
        <w:rPr>
          <w:rFonts w:ascii="Times New Roman" w:cs="Times New Roman" w:eastAsia="Times New Roman" w:hAnsi="Times New Roman"/>
          <w:sz w:val="11"/>
          <w:szCs w:val="11"/>
          <w:color w:val="auto"/>
        </w:rPr>
        <w:t>In May 2017, we and Kemper formed PSSL, an unconsolidated joint venture. PSSL invests primarily in middle-market and other corporate debt securities consistent with our strategy. PSSL was formed as a Delaware limited liability company. As of December 31, 2025 and September 30, 2025, PSSL had total assets of $1,235.2 million and $1,153.7 million, respectively, and its investment portfolio consisted of investments in 120 and 117 portfolio companies, respectively. As of December 31, 2025, at fair value, the largest investment in a single portfolio company in PSSL was $25.0 million and the five largest investments totaled $110.0 million. As of September 30, 2025, at fair value, the largest investment in a single portfolio company in PSSL was $20.9 million and the five largest investments totaled $99.3 million. PSSL invests in portfolio companies in the same industries in which we may directly invest.</w:t>
      </w:r>
    </w:p>
    <w:p>
      <w:pPr>
        <w:spacing w:after="0" w:line="1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We and Kemper provide capital to PSSL in the form of first lien secured debt and equity interests. As of December 31, 2025 and September 30, 2025, we and</w:t>
      </w:r>
    </w:p>
    <w:p>
      <w:pPr>
        <w:spacing w:after="0" w:line="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Kemper owned 87.5% and 12.5%, respectively, of each of the outstanding first lien secured debt and equity interests. As of the same dates, our investment in PSSL</w:t>
      </w:r>
    </w:p>
    <w:p>
      <w:pPr>
        <w:spacing w:after="0" w:line="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consisted of first lien secured debt of $237.7 million (zero remaining unfunded) and $237.7 million (zero remaining unfunded), respectively, and equity interests of</w:t>
      </w:r>
    </w:p>
    <w:p>
      <w:pPr>
        <w:spacing w:after="0" w:line="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$163.1 million ($26.3 million remaining unfunded) and $123.7 million ($65.6 remaining unfunded), respectively. During the three months ended December 31, 2025,</w:t>
      </w:r>
    </w:p>
    <w:p>
      <w:pPr>
        <w:spacing w:after="0" w:line="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the Company made capital contributions of approximately $39.4 million of assets at their most recent fair market value as of the date of the transaction.</w:t>
      </w:r>
    </w:p>
    <w:p>
      <w:pPr>
        <w:spacing w:after="0" w:line="124" w:lineRule="exact"/>
        <w:rPr>
          <w:sz w:val="20"/>
          <w:szCs w:val="20"/>
          <w:color w:val="auto"/>
        </w:rPr>
      </w:pPr>
    </w:p>
    <w:p>
      <w:pPr>
        <w:ind w:left="780" w:right="820" w:firstLine="282"/>
        <w:spacing w:after="0" w:line="255" w:lineRule="auto"/>
        <w:rPr>
          <w:sz w:val="20"/>
          <w:szCs w:val="20"/>
          <w:color w:val="auto"/>
        </w:rPr>
      </w:pPr>
      <w:r>
        <w:rPr>
          <w:rFonts w:ascii="Times New Roman" w:cs="Times New Roman" w:eastAsia="Times New Roman" w:hAnsi="Times New Roman"/>
          <w:sz w:val="11"/>
          <w:szCs w:val="11"/>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constitutes a quorum, provided that two individuals are present that were elected, designated or appointed by each member.</w:t>
      </w:r>
    </w:p>
    <w:p>
      <w:pPr>
        <w:spacing w:after="0" w:line="112" w:lineRule="exact"/>
        <w:rPr>
          <w:sz w:val="20"/>
          <w:szCs w:val="20"/>
          <w:color w:val="auto"/>
        </w:rPr>
      </w:pPr>
    </w:p>
    <w:p>
      <w:pPr>
        <w:ind w:left="780" w:right="820" w:firstLine="282"/>
        <w:spacing w:after="0" w:line="264" w:lineRule="auto"/>
        <w:rPr>
          <w:sz w:val="20"/>
          <w:szCs w:val="20"/>
          <w:color w:val="auto"/>
        </w:rPr>
      </w:pPr>
      <w:r>
        <w:rPr>
          <w:rFonts w:ascii="Times New Roman" w:cs="Times New Roman" w:eastAsia="Times New Roman" w:hAnsi="Times New Roman"/>
          <w:sz w:val="11"/>
          <w:szCs w:val="11"/>
          <w:color w:val="auto"/>
        </w:rPr>
        <w:t>In December 2024, PSSL entered into a $325.0 million (increased from $260.0 million) senior secured revolving credit facility which bears interest at SOFR plus 225 basis points (including a spread adjustment) with Ally Bank through its wholly owned subsidiary, PennantPark Senior Secured Loan Facility LLC II, or PSSL Subsidiary II, subject to leverage and borrowing base restrictions.</w:t>
      </w:r>
    </w:p>
    <w:p>
      <w:pPr>
        <w:spacing w:after="0" w:line="107" w:lineRule="exact"/>
        <w:rPr>
          <w:sz w:val="20"/>
          <w:szCs w:val="20"/>
          <w:color w:val="auto"/>
        </w:rPr>
      </w:pPr>
    </w:p>
    <w:p>
      <w:pPr>
        <w:ind w:left="780" w:right="840" w:firstLine="282"/>
        <w:spacing w:after="0" w:line="255" w:lineRule="auto"/>
        <w:rPr>
          <w:sz w:val="20"/>
          <w:szCs w:val="20"/>
          <w:color w:val="auto"/>
        </w:rPr>
      </w:pPr>
      <w:r>
        <w:rPr>
          <w:rFonts w:ascii="Times New Roman" w:cs="Times New Roman" w:eastAsia="Times New Roman" w:hAnsi="Times New Roman"/>
          <w:sz w:val="11"/>
          <w:szCs w:val="11"/>
          <w:color w:val="auto"/>
        </w:rPr>
        <w:t>In January 2021, PSSL completed a $300.7 million debt securitization in the form of a collateralized loan obligation, or the “2032 Asset-Backed Debt”. The 2032 Asset-Backed Debt is secured by a carefully constructed portfolio of PennantPark CLO II, Ltd., a wholly owned and consolidated subsidiary of PSSL, consisting primarily of middle market loans and participation interests in middle market loans. The 2032 Asset-Backed Debt matures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12" w:lineRule="exact"/>
        <w:rPr>
          <w:sz w:val="20"/>
          <w:szCs w:val="20"/>
          <w:color w:val="auto"/>
        </w:rPr>
      </w:pPr>
    </w:p>
    <w:p>
      <w:pPr>
        <w:ind w:left="780" w:right="880" w:firstLine="282"/>
        <w:spacing w:after="0" w:line="259" w:lineRule="auto"/>
        <w:rPr>
          <w:sz w:val="20"/>
          <w:szCs w:val="20"/>
          <w:color w:val="auto"/>
        </w:rPr>
      </w:pPr>
      <w:r>
        <w:rPr>
          <w:rFonts w:ascii="Times New Roman" w:cs="Times New Roman" w:eastAsia="Times New Roman" w:hAnsi="Times New Roman"/>
          <w:sz w:val="11"/>
          <w:szCs w:val="11"/>
          <w:color w:val="auto"/>
        </w:rPr>
        <w:t>In May 2024, PSSL completed the refinancing of the 2032 Asset-Backed Debt through a $300.7 million debt securitization in the form of a collateralized loan obligation, or the "2036 PSSL Asset-Backed Debt". The 2036 PSSL Asset-Backed Debt is secured by a carefully constructed portfolio of PennantPark CLO II, Ltd., a wholly owned subsidiary of PSSL, consisting primarily of middle market loans and participation interest in middle market loans. The 2036 PSSL Asset-Backed Debt matures in April 2036. PSSL retained the preferred shares and Class E-R Notes through a consolidated subsidiary as of December 31, 2025.</w:t>
      </w:r>
    </w:p>
    <w:p>
      <w:pPr>
        <w:spacing w:after="0" w:line="110" w:lineRule="exact"/>
        <w:rPr>
          <w:sz w:val="20"/>
          <w:szCs w:val="20"/>
          <w:color w:val="auto"/>
        </w:rPr>
      </w:pPr>
    </w:p>
    <w:p>
      <w:pPr>
        <w:ind w:left="780" w:right="840" w:firstLine="282"/>
        <w:spacing w:after="0" w:line="255" w:lineRule="auto"/>
        <w:rPr>
          <w:sz w:val="20"/>
          <w:szCs w:val="20"/>
          <w:color w:val="auto"/>
        </w:rPr>
      </w:pPr>
      <w:r>
        <w:rPr>
          <w:rFonts w:ascii="Times New Roman" w:cs="Times New Roman" w:eastAsia="Times New Roman" w:hAnsi="Times New Roman"/>
          <w:sz w:val="11"/>
          <w:szCs w:val="11"/>
          <w:color w:val="auto"/>
        </w:rPr>
        <w:t>In April 2023, PSSL completed a $297.8 million debt securitization in the form of a collateralized loan obligation, or the “2035 Asset-Backed Debt”. The 2035 Asset-Backed Debt is secured by a carefully constructed portfolio of PennantPark CLO VI, LLC, a wholly owned and consolidated subsidiary of PSSL, consisting primarily of middle market loans and participation interests in middle market loans. The 2035 Asset-Backed Debt matures in April 2035. On the closing date of the transaction, in consideration of PSSL’s transfer to PennantPark CLO VI, LLC of the initial closing date loan portfolio, which included loans distributed to PSSL by certain of its wholly owned subsidiaries and us, PennantPark CLO VI, LLC transferred to PSSL 100% of the Preferred Shares of CLO VI, LLC, all of which were held by PSSL.</w:t>
      </w:r>
    </w:p>
    <w:p>
      <w:pPr>
        <w:spacing w:after="0" w:line="112" w:lineRule="exact"/>
        <w:rPr>
          <w:sz w:val="20"/>
          <w:szCs w:val="20"/>
          <w:color w:val="auto"/>
        </w:rPr>
      </w:pPr>
    </w:p>
    <w:p>
      <w:pPr>
        <w:ind w:left="780" w:right="840" w:firstLine="282"/>
        <w:spacing w:after="0" w:line="255" w:lineRule="auto"/>
        <w:rPr>
          <w:sz w:val="20"/>
          <w:szCs w:val="20"/>
          <w:color w:val="auto"/>
        </w:rPr>
      </w:pPr>
      <w:r>
        <w:rPr>
          <w:rFonts w:ascii="Times New Roman" w:cs="Times New Roman" w:eastAsia="Times New Roman" w:hAnsi="Times New Roman"/>
          <w:sz w:val="11"/>
          <w:szCs w:val="11"/>
          <w:color w:val="auto"/>
        </w:rPr>
        <w:t>In May 2025, PSSL through its wholly owned and consolidated subsidiary, PennantPark CLO VI, LLC closed the refinancing of the 2035 Asset-Backed Debt through a four year reinvestment period, twelve-year final maturity $315.8 million debt securitization or the "2037-R Asset-Backed Debt." The debt in this securitization is structured in the following manner: (i) $228.0 million of Class A-R Loans, which bears interest at three-month SOFR plus 1.85%, (ii) $18.0 million of Class B-R Loans, which bears interest at three-month SOFR plus 4.50%, (iii) $18.0 million of Class C-R Loans and (iv) $51.8 million of subordinated notes. PSSL will continue to retain all of the subordinated notes and Class C-R Loans through a consolidated subsidiary. The maturity of the replacement debt and existing subordinated notes is now extended to April 2037.</w:t>
      </w:r>
    </w:p>
    <w:p>
      <w:pPr>
        <w:spacing w:after="0" w:line="112" w:lineRule="exact"/>
        <w:rPr>
          <w:sz w:val="20"/>
          <w:szCs w:val="20"/>
          <w:color w:val="auto"/>
        </w:rPr>
      </w:pPr>
    </w:p>
    <w:p>
      <w:pPr>
        <w:ind w:left="780" w:right="840" w:firstLine="282"/>
        <w:spacing w:after="0" w:line="253" w:lineRule="auto"/>
        <w:rPr>
          <w:sz w:val="20"/>
          <w:szCs w:val="20"/>
          <w:color w:val="auto"/>
        </w:rPr>
      </w:pPr>
      <w:r>
        <w:rPr>
          <w:rFonts w:ascii="Times New Roman" w:cs="Times New Roman" w:eastAsia="Times New Roman" w:hAnsi="Times New Roman"/>
          <w:sz w:val="11"/>
          <w:szCs w:val="11"/>
          <w:color w:val="auto"/>
        </w:rPr>
        <w:t>In April 2025, PSSL through its wholly owned and consolidated subsidiary, PennantPark CLO 12, LLC closed a four-year reinvestment period, twelve-year final maturity $301 million debt securitization in the form of a collateralized loan obligation or the "2037 Asset-Backed Debt." The debt in this securitization is structured in the following manner: (i) $30.0 million of Class A-1 Loans, which bear interest at three-month SOFR plus 1.45%, (ii) $141.0 million of Class A-1 Notes, which bear interest at three-month SOFR plus 1.45%, (iii) $12.0 million of Class A-2 Notes, which bear interest at a three-month SOFR plus 1.60%, (iv) $21.0 million of Class B notes, which bears interest at three-month SOFR plus 1.85%, (v) $24.0 million of Class C notes, which bears interest at three-month SOFR plus 2.30%, (vi) $18.0 million Class D notes, which bears interest at three-month SOFR plus 3.30%, (vii) $55.0 million of subordinated notes. PSSL will continue to retain all of the subordinated notes through a consolidated subsidiary. The reinvestment period for the term debt securitization ends in April 2029 and the debt is scheduled to mature in April 2037. The proceeds from the debt repaid a portion of PSSL's $325 million secured credit facility.</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5" w:right="1440" w:bottom="1440" w:gutter="0" w:footer="0" w:header="0"/>
        </w:sectPr>
      </w:pPr>
    </w:p>
    <w:bookmarkStart w:id="64" w:name="page65"/>
    <w:bookmarkEnd w:id="64"/>
    <w:tbl>
      <w:tblPr>
        <w:tblLayout w:type="fixed"/>
        <w:tblInd w:w="380" w:type="dxa"/>
        <w:tblCellMar>
          <w:top w:w="0" w:type="dxa"/>
          <w:left w:w="0" w:type="dxa"/>
          <w:bottom w:w="0" w:type="dxa"/>
          <w:right w:w="0" w:type="dxa"/>
        </w:tblCellMar>
      </w:tblPr>
      <w:tr>
        <w:trPr>
          <w:trHeight w:val="143"/>
        </w:trPr>
        <w:tc>
          <w:tcPr>
            <w:tcW w:w="400" w:type="dxa"/>
            <w:vAlign w:val="bottom"/>
          </w:tcPr>
          <w:p>
            <w:pPr>
              <w:spacing w:after="0"/>
              <w:rPr>
                <w:sz w:val="12"/>
                <w:szCs w:val="12"/>
                <w:color w:val="auto"/>
              </w:rPr>
            </w:pPr>
          </w:p>
        </w:tc>
        <w:tc>
          <w:tcPr>
            <w:tcW w:w="32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Below is a summary of PSSL’s portfolio at fair value:</w:t>
            </w:r>
          </w:p>
        </w:tc>
        <w:tc>
          <w:tcPr>
            <w:tcW w:w="1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90"/>
        </w:trPr>
        <w:tc>
          <w:tcPr>
            <w:tcW w:w="40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 in thousands)</w:t>
            </w:r>
          </w:p>
        </w:tc>
        <w:tc>
          <w:tcPr>
            <w:tcW w:w="1940" w:type="dxa"/>
            <w:vAlign w:val="bottom"/>
          </w:tcPr>
          <w:p>
            <w:pPr>
              <w:spacing w:after="0"/>
              <w:rPr>
                <w:sz w:val="16"/>
                <w:szCs w:val="16"/>
                <w:color w:val="auto"/>
              </w:rPr>
            </w:pPr>
          </w:p>
        </w:tc>
        <w:tc>
          <w:tcPr>
            <w:tcW w:w="1120" w:type="dxa"/>
            <w:vAlign w:val="bottom"/>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98"/>
              </w:rPr>
              <w:t>December 31, 2025</w:t>
            </w: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September 30, 2025</w:t>
            </w:r>
          </w:p>
        </w:tc>
      </w:tr>
      <w:tr>
        <w:trPr>
          <w:trHeight w:val="131"/>
        </w:trPr>
        <w:tc>
          <w:tcPr>
            <w:tcW w:w="400" w:type="dxa"/>
            <w:vAlign w:val="bottom"/>
          </w:tcPr>
          <w:p>
            <w:pPr>
              <w:spacing w:after="0"/>
              <w:rPr>
                <w:sz w:val="11"/>
                <w:szCs w:val="11"/>
                <w:color w:val="auto"/>
              </w:rPr>
            </w:pPr>
          </w:p>
        </w:tc>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Total investments</w:t>
            </w:r>
          </w:p>
        </w:tc>
        <w:tc>
          <w:tcPr>
            <w:tcW w:w="1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rPr>
              <w:t>1,195,016</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rPr>
              <w:t>1,084,649</w:t>
            </w: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Weighted average cost yield on income producing investments</w:t>
            </w:r>
          </w:p>
        </w:tc>
        <w:tc>
          <w:tcPr>
            <w:tcW w:w="1940" w:type="dxa"/>
            <w:vAlign w:val="bottom"/>
          </w:tcPr>
          <w:p>
            <w:pPr>
              <w:spacing w:after="0"/>
              <w:rPr>
                <w:sz w:val="11"/>
                <w:szCs w:val="11"/>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9.6%</w:t>
            </w:r>
          </w:p>
        </w:tc>
        <w:tc>
          <w:tcPr>
            <w:tcW w:w="1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Number of portfolio companies in PSSL</w:t>
            </w:r>
          </w:p>
        </w:tc>
        <w:tc>
          <w:tcPr>
            <w:tcW w:w="1940" w:type="dxa"/>
            <w:vAlign w:val="bottom"/>
            <w:shd w:val="clear" w:color="auto" w:fill="CCECFF"/>
          </w:tcPr>
          <w:p>
            <w:pPr>
              <w:spacing w:after="0"/>
              <w:rPr>
                <w:sz w:val="11"/>
                <w:szCs w:val="11"/>
                <w:color w:val="auto"/>
              </w:rPr>
            </w:pPr>
          </w:p>
        </w:tc>
        <w:tc>
          <w:tcPr>
            <w:tcW w:w="11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shd w:val="clear" w:color="auto" w:fill="CCECFF"/>
          </w:tcPr>
          <w:p>
            <w:pPr>
              <w:spacing w:after="0"/>
              <w:rPr>
                <w:sz w:val="11"/>
                <w:szCs w:val="11"/>
                <w:color w:val="auto"/>
              </w:rPr>
            </w:pPr>
          </w:p>
        </w:tc>
        <w:tc>
          <w:tcPr>
            <w:tcW w:w="108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rPr>
              <w:t>117</w:t>
            </w: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Largest portfolio company investment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24,965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20,901</w:t>
            </w: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Total of five largest portfolio company investments</w:t>
            </w:r>
          </w:p>
        </w:tc>
        <w:tc>
          <w:tcPr>
            <w:tcW w:w="1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rPr>
              <w:t>110,044</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rPr>
              <w:t>99,270</w:t>
            </w:r>
          </w:p>
        </w:tc>
        <w:tc>
          <w:tcPr>
            <w:tcW w:w="400" w:type="dxa"/>
            <w:vAlign w:val="bottom"/>
          </w:tcPr>
          <w:p>
            <w:pPr>
              <w:spacing w:after="0"/>
              <w:rPr>
                <w:sz w:val="11"/>
                <w:szCs w:val="11"/>
                <w:color w:val="auto"/>
              </w:rPr>
            </w:pPr>
          </w:p>
        </w:tc>
      </w:tr>
      <w:tr>
        <w:trPr>
          <w:trHeight w:val="284"/>
        </w:trPr>
        <w:tc>
          <w:tcPr>
            <w:tcW w:w="4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940" w:type="dxa"/>
            <w:vAlign w:val="bottom"/>
          </w:tcPr>
          <w:p>
            <w:pPr>
              <w:jc w:val="right"/>
              <w:ind w:right="1325"/>
              <w:spacing w:after="0"/>
              <w:rPr>
                <w:sz w:val="20"/>
                <w:szCs w:val="20"/>
                <w:color w:val="auto"/>
              </w:rPr>
            </w:pPr>
            <w:r>
              <w:rPr>
                <w:rFonts w:ascii="Times New Roman" w:cs="Times New Roman" w:eastAsia="Times New Roman" w:hAnsi="Times New Roman"/>
                <w:sz w:val="11"/>
                <w:szCs w:val="11"/>
                <w:color w:val="auto"/>
              </w:rPr>
              <w:t>65</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73"/>
        </w:trPr>
        <w:tc>
          <w:tcPr>
            <w:tcW w:w="400" w:type="dxa"/>
            <w:vAlign w:val="bottom"/>
            <w:tcBorders>
              <w:bottom w:val="single" w:sz="8" w:color="EEEEEE"/>
            </w:tcBorders>
          </w:tcPr>
          <w:p>
            <w:pPr>
              <w:spacing w:after="0"/>
              <w:rPr>
                <w:sz w:val="24"/>
                <w:szCs w:val="24"/>
                <w:color w:val="auto"/>
              </w:rPr>
            </w:pPr>
          </w:p>
        </w:tc>
        <w:tc>
          <w:tcPr>
            <w:tcW w:w="3220" w:type="dxa"/>
            <w:vAlign w:val="bottom"/>
            <w:tcBorders>
              <w:bottom w:val="single" w:sz="8" w:color="EEEEEE"/>
            </w:tcBorders>
          </w:tcPr>
          <w:p>
            <w:pPr>
              <w:spacing w:after="0"/>
              <w:rPr>
                <w:sz w:val="24"/>
                <w:szCs w:val="24"/>
                <w:color w:val="auto"/>
              </w:rPr>
            </w:pPr>
          </w:p>
        </w:tc>
        <w:tc>
          <w:tcPr>
            <w:tcW w:w="19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-24765</wp:posOffset>
            </wp:positionV>
            <wp:extent cx="526605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5" w:right="1440" w:bottom="1440" w:gutter="0" w:footer="0" w:header="0"/>
        </w:sectPr>
      </w:pPr>
    </w:p>
    <w:bookmarkStart w:id="65" w:name="page66"/>
    <w:bookmarkEnd w:id="65"/>
    <w:p>
      <w:pPr>
        <w:ind w:left="1060"/>
        <w:spacing w:after="0"/>
        <w:rPr>
          <w:sz w:val="20"/>
          <w:szCs w:val="20"/>
          <w:color w:val="auto"/>
        </w:rPr>
      </w:pPr>
      <w:r>
        <w:rPr>
          <w:rFonts w:ascii="Times New Roman" w:cs="Times New Roman" w:eastAsia="Times New Roman" w:hAnsi="Times New Roman"/>
          <w:sz w:val="11"/>
          <w:szCs w:val="11"/>
          <w:color w:val="auto"/>
        </w:rPr>
        <w:t>Below is a listing of PSSL’s individual investments as of December 31, 2025 (Par and $ in thousands):</w:t>
      </w:r>
    </w:p>
    <w:p>
      <w:pPr>
        <w:spacing w:after="0" w:line="34"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1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1"/>
        </w:trPr>
        <w:tc>
          <w:tcPr>
            <w:tcW w:w="1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7"/>
              </w:rPr>
              <w:t>Spread</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Par or</w:t>
            </w: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1"/>
        </w:trPr>
        <w:tc>
          <w:tcPr>
            <w:tcW w:w="1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9"/>
              </w:rPr>
              <w:t>Current</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Above</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Number</w:t>
            </w: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680" w:type="dxa"/>
            <w:vAlign w:val="bottom"/>
          </w:tcPr>
          <w:p>
            <w:pPr>
              <w:ind w:left="20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620" w:type="dxa"/>
            <w:vAlign w:val="bottom"/>
          </w:tcPr>
          <w:p>
            <w:pPr>
              <w:ind w:left="12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300" w:type="dxa"/>
            <w:vAlign w:val="bottom"/>
          </w:tcPr>
          <w:p>
            <w:pPr>
              <w:ind w:left="52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620" w:type="dxa"/>
            <w:vAlign w:val="bottom"/>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5"/>
              </w:rPr>
              <w:t>Coupon</w:t>
            </w:r>
          </w:p>
        </w:tc>
        <w:tc>
          <w:tcPr>
            <w:tcW w:w="640" w:type="dxa"/>
            <w:vAlign w:val="bottom"/>
          </w:tcPr>
          <w:p>
            <w:pPr>
              <w:jc w:val="center"/>
              <w:spacing w:after="0" w:line="101" w:lineRule="exact"/>
              <w:rPr>
                <w:sz w:val="20"/>
                <w:szCs w:val="20"/>
                <w:color w:val="auto"/>
              </w:rPr>
            </w:pPr>
            <w:r>
              <w:rPr>
                <w:rFonts w:ascii="Times New Roman" w:cs="Times New Roman" w:eastAsia="Times New Roman" w:hAnsi="Times New Roman"/>
                <w:sz w:val="8"/>
                <w:szCs w:val="8"/>
                <w:b w:val="1"/>
                <w:bCs w:val="1"/>
                <w:color w:val="auto"/>
                <w:w w:val="95"/>
              </w:rPr>
              <w:t xml:space="preserve">Index </w:t>
            </w:r>
            <w:r>
              <w:rPr>
                <w:rFonts w:ascii="Times New Roman" w:cs="Times New Roman" w:eastAsia="Times New Roman" w:hAnsi="Times New Roman"/>
                <w:sz w:val="10"/>
                <w:szCs w:val="10"/>
                <w:b w:val="1"/>
                <w:bCs w:val="1"/>
                <w:color w:val="auto"/>
                <w:w w:val="95"/>
                <w:vertAlign w:val="superscript"/>
              </w:rPr>
              <w:t>(1)</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of Shares</w:t>
            </w:r>
          </w:p>
        </w:tc>
        <w:tc>
          <w:tcPr>
            <w:tcW w:w="160" w:type="dxa"/>
            <w:vAlign w:val="bottom"/>
          </w:tcPr>
          <w:p>
            <w:pPr>
              <w:spacing w:after="0"/>
              <w:rPr>
                <w:sz w:val="8"/>
                <w:szCs w:val="8"/>
                <w:color w:val="auto"/>
              </w:rPr>
            </w:pP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Cost</w:t>
            </w:r>
          </w:p>
        </w:tc>
        <w:tc>
          <w:tcPr>
            <w:tcW w:w="620" w:type="dxa"/>
            <w:vAlign w:val="bottom"/>
            <w:gridSpan w:val="2"/>
          </w:tcPr>
          <w:p>
            <w:pPr>
              <w:ind w:left="80"/>
              <w:spacing w:after="0" w:line="101"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(2)</w:t>
            </w:r>
          </w:p>
        </w:tc>
      </w:tr>
      <w:tr>
        <w:trPr>
          <w:trHeight w:val="102"/>
        </w:trPr>
        <w:tc>
          <w:tcPr>
            <w:tcW w:w="18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First Lien Secured Debt - 1,422.7% of Net Assets</w:t>
            </w: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ACP Avenu Buyer,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10/6/2023</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10/2/2029</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8.74%</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19,963</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19,743</w:t>
            </w:r>
          </w:p>
        </w:tc>
        <w:tc>
          <w:tcPr>
            <w:tcW w:w="2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19,913</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ACP Falcon Buyer, Inc.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8/22/2023</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8/1/2029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9.49%</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18,526</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18,271</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18,711</w:t>
            </w:r>
          </w:p>
        </w:tc>
      </w:tr>
      <w:tr>
        <w:trPr>
          <w:trHeight w:val="102"/>
        </w:trPr>
        <w:tc>
          <w:tcPr>
            <w:tcW w:w="18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6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APT OPCO,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9/29/2025</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9/30/2031</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Services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8.67%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12,469</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12,402</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12,313</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Ad.net Acquisition, LLC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5/24/2021</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5/7/2026</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7"/>
              </w:rPr>
              <w:t>Media</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9.93%</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SOFR+626</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12,749</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12,713</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12,749</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Aechelon Technology, Inc.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4/10/2025</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8/16/2029</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Aerospace and Defense</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9.47%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11,520</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11,520</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11,520</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AFC-Dell Holding Corp.</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12/23/2024</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4/9/2027</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8.84%</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7,601</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7,573</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7,601</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Aphix Buyer, Inc.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9/3/2025</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7/17/2031</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8.47%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8,978</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8,928</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8,978</w:t>
            </w:r>
          </w:p>
        </w:tc>
      </w:tr>
      <w:tr>
        <w:trPr>
          <w:trHeight w:val="101"/>
        </w:trPr>
        <w:tc>
          <w:tcPr>
            <w:tcW w:w="186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Alpine Acquisition Corp II </w:t>
            </w:r>
            <w:r>
              <w:rPr>
                <w:rFonts w:ascii="Times New Roman" w:cs="Times New Roman" w:eastAsia="Times New Roman" w:hAnsi="Times New Roman"/>
                <w:sz w:val="10"/>
                <w:szCs w:val="10"/>
                <w:color w:val="auto"/>
                <w:vertAlign w:val="superscript"/>
              </w:rPr>
              <w:t>(4)</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10/11/2022</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11/30/2026</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rPr>
              <w:t>Containers and Packaging</w:t>
            </w:r>
          </w:p>
        </w:tc>
        <w:tc>
          <w:tcPr>
            <w:tcW w:w="620" w:type="dxa"/>
            <w:vAlign w:val="bottom"/>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13,128</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12,990</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6,039</w:t>
            </w:r>
          </w:p>
        </w:tc>
      </w:tr>
      <w:tr>
        <w:trPr>
          <w:trHeight w:val="102"/>
        </w:trPr>
        <w:tc>
          <w:tcPr>
            <w:tcW w:w="18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Media: Advertising, Printing &amp;</w:t>
            </w:r>
          </w:p>
        </w:tc>
        <w:tc>
          <w:tcPr>
            <w:tcW w:w="6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Anteriad, LLC (f/k/a MeritDirect,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4/10/2025</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6/30/2026</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Publishing</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9.57%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SOFR+590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11,136</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11,075</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11,136</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Arcfield Acquisition Corp.</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11/11/2024</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10/28/2031</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rPr>
              <w:t>Aerospace and Defense</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8.84%</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5,940</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5,931</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5,910</w:t>
            </w:r>
          </w:p>
        </w:tc>
      </w:tr>
      <w:tr>
        <w:trPr>
          <w:trHeight w:val="102"/>
        </w:trPr>
        <w:tc>
          <w:tcPr>
            <w:tcW w:w="18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w:t>
            </w:r>
          </w:p>
        </w:tc>
        <w:tc>
          <w:tcPr>
            <w:tcW w:w="6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Archer Lewis,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11/22/2024</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8/28/2029</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4"/>
              </w:rPr>
              <w:t>Supplies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9.42%</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14,862</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14,786</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14,862</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Argano, LLC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1/9/2025</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9/13/2029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9.22%</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12,369</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12,255</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12,493</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Azureon, LLC (F/K/A Tpcn Midco,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4/10/2025</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6/26/2029</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9.42%</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4,962</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4,859</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4,764</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Beacon Behavioral Support Services, LLC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10/9/2024</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6/21/2029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and Pharmaceuticals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9.17%</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24,965</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24,781</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24,965</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Best Practice Associates,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4/10/2025</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11/8/2029</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Aerospace and Defense</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7"/>
              </w:rPr>
              <w:t>10.47%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SOFR+675</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14,887</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14,756</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14,776</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Beta Plus Technologies, Inc.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7/21/2022</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7/2/2029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9.42%</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4,838</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4,784</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4,789</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Big Top Holdings,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6/26/2024</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3/1/2030</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8.92%</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14,633</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14,430</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14,633</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BioDerm, Inc.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2/28/2023</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1/31/2028</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and Pharmaceuticals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7"/>
              </w:rPr>
              <w:t>10.36%</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SOFR+650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8,775</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8,714</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8,665</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Blackhawk Industrial Distribution, Inc.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6/30/2022</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9/17/2026</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9.07%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SOFR+540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14,776</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14,699</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14,481</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BLC Holding Company, Inc.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4/10/2025</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11/20/2030</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8.17%</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SOFR+450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4,962</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4,939</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4,962</w:t>
            </w:r>
          </w:p>
        </w:tc>
      </w:tr>
      <w:tr>
        <w:trPr>
          <w:trHeight w:val="102"/>
        </w:trPr>
        <w:tc>
          <w:tcPr>
            <w:tcW w:w="18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Independent Power and</w:t>
            </w:r>
          </w:p>
        </w:tc>
        <w:tc>
          <w:tcPr>
            <w:tcW w:w="6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1"/>
        </w:trPr>
        <w:tc>
          <w:tcPr>
            <w:tcW w:w="18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Renewable Electricity</w:t>
            </w:r>
          </w:p>
        </w:tc>
        <w:tc>
          <w:tcPr>
            <w:tcW w:w="6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Boss Industries,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4/10/2025</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12/27/2030</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9"/>
              </w:rPr>
              <w:t>Producers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8.67%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4,962</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4,894</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4,962</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Burgess Point Purchaser Corporation</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10/3/2022</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7/25/2029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Automotive</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9.19%</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SOFR+535</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437</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416</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369</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By Light Professional IT Services,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8/28/2025</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7/15/2031</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High Tech Industries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9.22%</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18,446</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18,345</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18,261</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C5MI Acquisition, LLC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3/7/2025</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7/31/2029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IT Services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9.67%</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SOFR+600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14,813</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14,640</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14,813</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Capital Construction,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8/28/2025</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10/22/2026</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Consumer Services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9.89%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SOFR+590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4,263</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4,241</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4,210</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Carisk Buyer, Inc.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10/16/2024</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12/3/2029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Healthcare Technology</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8.67%</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9,900</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9,843</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9,974</w:t>
            </w:r>
          </w:p>
        </w:tc>
      </w:tr>
      <w:tr>
        <w:trPr>
          <w:trHeight w:val="102"/>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Carnegie Dartlet, LLC</w:t>
            </w: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Media: Advertising, Printing &amp;</w:t>
            </w:r>
          </w:p>
        </w:tc>
        <w:tc>
          <w:tcPr>
            <w:tcW w:w="6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8"/>
                <w:szCs w:val="8"/>
                <w:color w:val="auto"/>
              </w:rPr>
            </w:pP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4/11/2025</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2/7/2030</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Publishing</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9.22%</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15,052</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14,865</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14,901</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Cartessa Aesthetics, LLC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4/11/2023</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6/14/2028</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9.67%</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SOFR+600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9,417</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9,344</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9,417</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Case Works,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4/10/2025</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10/1/2029</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8.92%</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14,850</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14,749</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14,598</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CF512, Inc.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12/27/2021</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8/20/2026</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7"/>
              </w:rPr>
              <w:t>Media</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9.98%</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SOFR+619</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6,466</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6,439</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6,401</w:t>
            </w:r>
          </w:p>
        </w:tc>
      </w:tr>
      <w:tr>
        <w:trPr>
          <w:trHeight w:val="102"/>
        </w:trPr>
        <w:tc>
          <w:tcPr>
            <w:tcW w:w="18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w:t>
            </w:r>
          </w:p>
        </w:tc>
        <w:tc>
          <w:tcPr>
            <w:tcW w:w="6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Commercial Fire Protection Holdings,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11/26/2024</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9/23/2030</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4"/>
              </w:rPr>
              <w:t>Supplies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8.17%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SOFR+450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19,787</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19,701</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19,787</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Confluent Health, LLC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1/12/2024</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11/30/2028</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and Pharmaceuticals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7"/>
              </w:rPr>
              <w:t>11.22%</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SOFR+750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6,619</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6,472</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5,858</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CJX Borrower,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7/29/2021</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7/13/2027</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7"/>
              </w:rPr>
              <w:t>Media</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9.70%</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SOFR+576</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3,725</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3,701</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3,725</w:t>
            </w:r>
          </w:p>
        </w:tc>
      </w:tr>
      <w:tr>
        <w:trPr>
          <w:trHeight w:val="102"/>
        </w:trPr>
        <w:tc>
          <w:tcPr>
            <w:tcW w:w="1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Commercial Services &amp;</w:t>
            </w: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Crane 1 Services, Inc.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4/11/2023</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8/16/2027</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4"/>
              </w:rPr>
              <w:t>Supplies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9.08%</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SOFR+536</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2,041</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2,029</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2,026</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DRI Holding Inc.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9/15/2022</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12/21/2028</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7"/>
              </w:rPr>
              <w:t>Media</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9.07%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SOFR+535</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2,567</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2,432</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2,516</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DRS Holdings III, Inc.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1/27/2021</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11/1/2028</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Consumer Goods: Durable</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8.97%</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4,420</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4,413</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4,464</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Duggal Acquisition,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4/10/2025</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9/30/2030</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Marketing Services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8.42%</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4,938</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4,898</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4,938</w:t>
            </w:r>
          </w:p>
        </w:tc>
      </w:tr>
      <w:tr>
        <w:trPr>
          <w:trHeight w:val="101"/>
        </w:trPr>
        <w:tc>
          <w:tcPr>
            <w:tcW w:w="186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Dynata, LLC - First Out Term Loan </w:t>
            </w:r>
            <w:r>
              <w:rPr>
                <w:rFonts w:ascii="Times New Roman" w:cs="Times New Roman" w:eastAsia="Times New Roman" w:hAnsi="Times New Roman"/>
                <w:sz w:val="10"/>
                <w:szCs w:val="10"/>
                <w:color w:val="auto"/>
                <w:vertAlign w:val="superscript"/>
              </w:rPr>
              <w:t>(5)</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7/15/2024</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7/17/2028</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9.14%</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SOFR+576</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1,343</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1,276</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1,331</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Dynata, LLC - Last Out Term Loan</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7/15/2024</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10/16/2028</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9.64%</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SOFR+576</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8,333</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8,333</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5,052</w:t>
            </w:r>
          </w:p>
        </w:tc>
      </w:tr>
      <w:tr>
        <w:trPr>
          <w:trHeight w:val="102"/>
        </w:trPr>
        <w:tc>
          <w:tcPr>
            <w:tcW w:w="1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EDS Buyer, LLC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4/11/2023</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1/10/2029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Instruments, and Components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8.17%</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SOFR+450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8,753</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8,677</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8,775</w:t>
            </w:r>
          </w:p>
        </w:tc>
      </w:tr>
      <w:tr>
        <w:trPr>
          <w:trHeight w:val="102"/>
        </w:trPr>
        <w:tc>
          <w:tcPr>
            <w:tcW w:w="18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6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Emergency Care Partners,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11/11/2024</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10/18/2027</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Services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8.67%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7,184</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7,157</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7,184</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Exigo Intermediate II, LLC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11/21/2022</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3/15/2027</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7"/>
              </w:rPr>
              <w:t>10.07%</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SOFR+635</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12,384</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12,312</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12,322</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ETE Intermediate II,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6/12/2023</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5/29/2029</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8.72%</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12,093</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11,929</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12,093</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EvAL Home Care Solutions Intermediate, LLC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7/10/2024</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5/10/2030</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and Pharmaceuticals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9.47%</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8,623</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8,511</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8,623</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GGG MIDCO,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4/10/2025</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9/27/2030</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8.67%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24,511</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24,433</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24,511</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Global Holdings InterCo, LLC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6/8/2021</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3/16/2026</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Financial Services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9.33%</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SOFR+560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3,344</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3,342</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3,344</w:t>
            </w:r>
          </w:p>
        </w:tc>
      </w:tr>
      <w:tr>
        <w:trPr>
          <w:trHeight w:val="102"/>
        </w:trPr>
        <w:tc>
          <w:tcPr>
            <w:tcW w:w="18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Trading Companies &amp;</w:t>
            </w:r>
          </w:p>
        </w:tc>
        <w:tc>
          <w:tcPr>
            <w:tcW w:w="6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Graffiti Buyer, Inc.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3/15/2022</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8/10/2027</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Distributors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9.42%</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SOFR+560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3,675</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3,653</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3,593</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Halo Buyer, Inc.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5/22/2025</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8/7/2029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Consumer Products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9.72%</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SOFR+600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6,451</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6,332</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6,451</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Hancock Roofing And Construction,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1/27/2021</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12/31/2026</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Insurance</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9.27%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SOFR+560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2,112</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2,102</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2,007</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Harris &amp; Co, LLC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11/26/2024</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8/9/2030</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Professional Services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8.72%</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19,750</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19,601</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19,602</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HEC Purchaser Corp.</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4/10/2025</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6/17/2029</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and Pharmaceuticals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8.87%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6,634</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6,602</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6,634</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Hills Distribution, Inc.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5/3/2024</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11/8/2029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9.19%</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8,230</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8,135</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8,148</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HW Holdco,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4/11/2023</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5/11/2026</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7"/>
              </w:rPr>
              <w:t>Media</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9.80%</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SOFR+590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3,441</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3,433</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3,441</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Imagine Acquisitionco, Inc.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3/15/2022</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11/16/2027</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8.98%</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SOFR+510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9,036</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8,948</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9,036</w:t>
            </w:r>
          </w:p>
        </w:tc>
      </w:tr>
      <w:tr>
        <w:trPr>
          <w:trHeight w:val="102"/>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Infinity Home Services Holdco, Inc.</w:t>
            </w:r>
          </w:p>
        </w:tc>
        <w:tc>
          <w:tcPr>
            <w:tcW w:w="6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Commercial Services &amp;</w:t>
            </w:r>
          </w:p>
        </w:tc>
        <w:tc>
          <w:tcPr>
            <w:tcW w:w="6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1860" w:type="dxa"/>
            <w:vAlign w:val="bottom"/>
            <w:shd w:val="clear" w:color="auto" w:fill="CCECFF"/>
          </w:tcPr>
          <w:p>
            <w:pPr>
              <w:spacing w:after="0"/>
              <w:rPr>
                <w:sz w:val="8"/>
                <w:szCs w:val="8"/>
                <w:color w:val="auto"/>
              </w:rPr>
            </w:pP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4/11/2023</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12/28/2028</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4"/>
              </w:rPr>
              <w:t>Supplies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9.67%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SOFR+600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5,952</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5,882</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5,952</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Inovex Information Systems Incorporated</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3/3/2025</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12/17/2030</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Software</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8.92%</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8,122</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8,069</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8,122</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Inventus Power, Inc.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7/11/2023</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1/15/2026</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Consumer Goods: Durable</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7"/>
              </w:rPr>
              <w:t>11.33%</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SOFR+761</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8,060</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8,059</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8,060</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Kinetic Purchaser, LLC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11/30/2021</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11/10/2027</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9.82%</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SOFR+615</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13,492</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13,358</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10,962</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Lash OpCo,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10/14/2021</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2/18/2027</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7"/>
              </w:rPr>
              <w:t>10.94%</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SOFR+710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15,710</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15,619</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15,317</w:t>
            </w:r>
          </w:p>
        </w:tc>
      </w:tr>
      <w:tr>
        <w:trPr>
          <w:trHeight w:val="101"/>
        </w:trPr>
        <w:tc>
          <w:tcPr>
            <w:tcW w:w="186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LAV Gear Holdings, Inc. - Takeback TL </w:t>
            </w:r>
            <w:r>
              <w:rPr>
                <w:rFonts w:ascii="Times New Roman" w:cs="Times New Roman" w:eastAsia="Times New Roman" w:hAnsi="Times New Roman"/>
                <w:sz w:val="10"/>
                <w:szCs w:val="10"/>
                <w:color w:val="auto"/>
                <w:vertAlign w:val="superscript"/>
              </w:rPr>
              <w:t>(5)</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7/31/2025</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7/31/2029</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9"/>
              </w:rPr>
              <w:t>Capital Equipment</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9.65%</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SOFR+594</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7,660</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7,660</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7,660</w:t>
            </w:r>
          </w:p>
        </w:tc>
      </w:tr>
      <w:tr>
        <w:trPr>
          <w:trHeight w:val="101"/>
        </w:trPr>
        <w:tc>
          <w:tcPr>
            <w:tcW w:w="186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LAV Gear Holdings, Inc. - Priority TL </w:t>
            </w:r>
            <w:r>
              <w:rPr>
                <w:rFonts w:ascii="Times New Roman" w:cs="Times New Roman" w:eastAsia="Times New Roman" w:hAnsi="Times New Roman"/>
                <w:sz w:val="10"/>
                <w:szCs w:val="10"/>
                <w:color w:val="auto"/>
                <w:vertAlign w:val="superscript"/>
              </w:rPr>
              <w:t>(5)</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7/31/2025</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7/31/2029</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9"/>
              </w:rPr>
              <w:t>Capital Equipment</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9.65%</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SOFR+594</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2,424</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2,396</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2,945</w:t>
            </w:r>
          </w:p>
        </w:tc>
      </w:tr>
      <w:tr>
        <w:trPr>
          <w:trHeight w:val="102"/>
        </w:trPr>
        <w:tc>
          <w:tcPr>
            <w:tcW w:w="1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Providers and</w:t>
            </w: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Lightspeed Buyer, Inc.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1/27/2021</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2/3/2027</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rPr>
              <w:t>Services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8.42%</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16,191</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16,153</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16,191</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LJ Avalon Holdings, LLC</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4/11/2023</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2/1/2030</w:t>
            </w:r>
          </w:p>
        </w:tc>
        <w:tc>
          <w:tcPr>
            <w:tcW w:w="1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Environmental Industries</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8.46%</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SOFR+450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2,527</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2,491</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2,527</w:t>
            </w: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Loving Tan Intermediate II, Inc.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10/25/2023</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5/31/2028</w:t>
            </w:r>
          </w:p>
        </w:tc>
        <w:tc>
          <w:tcPr>
            <w:tcW w:w="130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Personal Products</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8.67%</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12,205</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12,098</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12,144</w:t>
            </w: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MAG DS Corp.</w:t>
            </w:r>
          </w:p>
        </w:tc>
        <w:tc>
          <w:tcPr>
            <w:tcW w:w="680" w:type="dxa"/>
            <w:vAlign w:val="bottom"/>
            <w:shd w:val="clear" w:color="auto" w:fill="CCECFF"/>
          </w:tcPr>
          <w:p>
            <w:pPr>
              <w:jc w:val="center"/>
              <w:ind w:left="80"/>
              <w:spacing w:after="0"/>
              <w:rPr>
                <w:sz w:val="20"/>
                <w:szCs w:val="20"/>
                <w:color w:val="auto"/>
              </w:rPr>
            </w:pPr>
            <w:r>
              <w:rPr>
                <w:rFonts w:ascii="Times New Roman" w:cs="Times New Roman" w:eastAsia="Times New Roman" w:hAnsi="Times New Roman"/>
                <w:sz w:val="8"/>
                <w:szCs w:val="8"/>
                <w:color w:val="auto"/>
                <w:w w:val="98"/>
              </w:rPr>
              <w:t>9/27/2023</w:t>
            </w:r>
          </w:p>
        </w:tc>
        <w:tc>
          <w:tcPr>
            <w:tcW w:w="62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4/1/2027</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Aerospace and Defense</w:t>
            </w:r>
          </w:p>
        </w:tc>
        <w:tc>
          <w:tcPr>
            <w:tcW w:w="62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9.27%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SOFR+560</w:t>
            </w:r>
          </w:p>
        </w:tc>
        <w:tc>
          <w:tcPr>
            <w:tcW w:w="5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8"/>
                <w:szCs w:val="8"/>
                <w:color w:val="auto"/>
              </w:rPr>
              <w:t>2,187</w:t>
            </w:r>
          </w:p>
        </w:tc>
        <w:tc>
          <w:tcPr>
            <w:tcW w:w="16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2,147</w:t>
            </w:r>
          </w:p>
        </w:tc>
        <w:tc>
          <w:tcPr>
            <w:tcW w:w="22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2,176</w:t>
            </w:r>
          </w:p>
        </w:tc>
      </w:tr>
      <w:tr>
        <w:trPr>
          <w:trHeight w:val="103"/>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Marketplace Events Acquisition, LLC</w:t>
            </w:r>
          </w:p>
        </w:tc>
        <w:tc>
          <w:tcPr>
            <w:tcW w:w="680" w:type="dxa"/>
            <w:vAlign w:val="bottom"/>
          </w:tcPr>
          <w:p>
            <w:pPr>
              <w:jc w:val="center"/>
              <w:ind w:left="80"/>
              <w:spacing w:after="0"/>
              <w:rPr>
                <w:sz w:val="20"/>
                <w:szCs w:val="20"/>
                <w:color w:val="auto"/>
              </w:rPr>
            </w:pPr>
            <w:r>
              <w:rPr>
                <w:rFonts w:ascii="Times New Roman" w:cs="Times New Roman" w:eastAsia="Times New Roman" w:hAnsi="Times New Roman"/>
                <w:sz w:val="8"/>
                <w:szCs w:val="8"/>
                <w:color w:val="auto"/>
                <w:w w:val="98"/>
              </w:rPr>
              <w:t>1/13/2025</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12/19/2030</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w w:val="97"/>
              </w:rPr>
              <w:t>Media</w:t>
            </w: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9.12%</w:t>
            </w: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rPr>
              <w:t>16,873</w:t>
            </w:r>
          </w:p>
        </w:tc>
        <w:tc>
          <w:tcPr>
            <w:tcW w:w="16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16,732</w:t>
            </w:r>
          </w:p>
        </w:tc>
        <w:tc>
          <w:tcPr>
            <w:tcW w:w="22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16,873</w:t>
            </w:r>
          </w:p>
        </w:tc>
      </w:tr>
    </w:tbl>
    <w:p>
      <w:pPr>
        <w:jc w:val="center"/>
        <w:ind w:right="20"/>
        <w:spacing w:after="0"/>
        <w:rPr>
          <w:sz w:val="20"/>
          <w:szCs w:val="20"/>
          <w:color w:val="auto"/>
        </w:rPr>
      </w:pPr>
      <w:r>
        <w:rPr>
          <w:rFonts w:ascii="Times New Roman" w:cs="Times New Roman" w:eastAsia="Times New Roman" w:hAnsi="Times New Roman"/>
          <w:sz w:val="11"/>
          <w:szCs w:val="1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5" w:right="1440" w:bottom="1440" w:gutter="0" w:footer="0" w:header="0"/>
        </w:sectPr>
      </w:pPr>
    </w:p>
    <w:bookmarkStart w:id="66" w:name="page67"/>
    <w:bookmarkEnd w:id="66"/>
    <w:tbl>
      <w:tblPr>
        <w:tblLayout w:type="fixed"/>
        <w:tblInd w:w="780" w:type="dxa"/>
        <w:tblCellMar>
          <w:top w:w="0" w:type="dxa"/>
          <w:left w:w="0" w:type="dxa"/>
          <w:bottom w:w="0" w:type="dxa"/>
          <w:right w:w="0" w:type="dxa"/>
        </w:tblCellMar>
      </w:tblPr>
      <w:tr>
        <w:trPr>
          <w:trHeight w:val="101"/>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7"/>
              </w:rPr>
              <w:t>Spread</w:t>
            </w:r>
          </w:p>
        </w:tc>
        <w:tc>
          <w:tcPr>
            <w:tcW w:w="700" w:type="dxa"/>
            <w:vAlign w:val="bottom"/>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9"/>
              </w:rPr>
              <w:t>Par or</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0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b w:val="1"/>
                <w:bCs w:val="1"/>
                <w:color w:val="auto"/>
                <w:w w:val="99"/>
              </w:rPr>
              <w:t>Current</w:t>
            </w:r>
          </w:p>
        </w:tc>
        <w:tc>
          <w:tcPr>
            <w:tcW w:w="22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Above</w:t>
            </w:r>
          </w:p>
        </w:tc>
        <w:tc>
          <w:tcPr>
            <w:tcW w:w="700" w:type="dxa"/>
            <w:vAlign w:val="bottom"/>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8"/>
              </w:rPr>
              <w:t>Number</w:t>
            </w:r>
          </w:p>
        </w:tc>
        <w:tc>
          <w:tcPr>
            <w:tcW w:w="420" w:type="dxa"/>
            <w:vAlign w:val="bottom"/>
            <w:vMerge w:val="restart"/>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Cost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Fair Value</w:t>
            </w:r>
          </w:p>
        </w:tc>
        <w:tc>
          <w:tcPr>
            <w:tcW w:w="0" w:type="dxa"/>
            <w:vAlign w:val="bottom"/>
          </w:tcPr>
          <w:p>
            <w:pPr>
              <w:spacing w:after="0"/>
              <w:rPr>
                <w:sz w:val="1"/>
                <w:szCs w:val="1"/>
                <w:color w:val="auto"/>
              </w:rPr>
            </w:pPr>
          </w:p>
        </w:tc>
      </w:tr>
      <w:tr>
        <w:trPr>
          <w:trHeight w:val="91"/>
        </w:trPr>
        <w:tc>
          <w:tcPr>
            <w:tcW w:w="20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440" w:type="dxa"/>
            <w:vAlign w:val="bottom"/>
          </w:tcPr>
          <w:p>
            <w:pPr>
              <w:jc w:val="center"/>
              <w:ind w:left="60"/>
              <w:spacing w:after="0" w:line="91" w:lineRule="exact"/>
              <w:rPr>
                <w:sz w:val="20"/>
                <w:szCs w:val="20"/>
                <w:color w:val="auto"/>
              </w:rPr>
            </w:pPr>
            <w:r>
              <w:rPr>
                <w:rFonts w:ascii="Times New Roman" w:cs="Times New Roman" w:eastAsia="Times New Roman" w:hAnsi="Times New Roman"/>
                <w:sz w:val="8"/>
                <w:szCs w:val="8"/>
                <w:b w:val="1"/>
                <w:bCs w:val="1"/>
                <w:color w:val="auto"/>
                <w:w w:val="95"/>
              </w:rPr>
              <w:t>Coupon</w:t>
            </w:r>
          </w:p>
        </w:tc>
        <w:tc>
          <w:tcPr>
            <w:tcW w:w="220" w:type="dxa"/>
            <w:vAlign w:val="bottom"/>
          </w:tcPr>
          <w:p>
            <w:pPr>
              <w:spacing w:after="0"/>
              <w:rPr>
                <w:sz w:val="7"/>
                <w:szCs w:val="7"/>
                <w:color w:val="auto"/>
              </w:rPr>
            </w:pPr>
          </w:p>
        </w:tc>
        <w:tc>
          <w:tcPr>
            <w:tcW w:w="640" w:type="dxa"/>
            <w:vAlign w:val="bottom"/>
          </w:tcPr>
          <w:p>
            <w:pPr>
              <w:jc w:val="center"/>
              <w:spacing w:after="0" w:line="91" w:lineRule="exact"/>
              <w:rPr>
                <w:sz w:val="20"/>
                <w:szCs w:val="20"/>
                <w:color w:val="auto"/>
              </w:rPr>
            </w:pPr>
            <w:r>
              <w:rPr>
                <w:rFonts w:ascii="Times New Roman" w:cs="Times New Roman" w:eastAsia="Times New Roman" w:hAnsi="Times New Roman"/>
                <w:sz w:val="8"/>
                <w:szCs w:val="8"/>
                <w:b w:val="1"/>
                <w:bCs w:val="1"/>
                <w:color w:val="auto"/>
                <w:w w:val="95"/>
              </w:rPr>
              <w:t xml:space="preserve">Index </w:t>
            </w:r>
            <w:r>
              <w:rPr>
                <w:rFonts w:ascii="Times New Roman" w:cs="Times New Roman" w:eastAsia="Times New Roman" w:hAnsi="Times New Roman"/>
                <w:sz w:val="10"/>
                <w:szCs w:val="10"/>
                <w:b w:val="1"/>
                <w:bCs w:val="1"/>
                <w:color w:val="auto"/>
                <w:w w:val="95"/>
                <w:vertAlign w:val="superscript"/>
              </w:rPr>
              <w:t>(1)</w:t>
            </w:r>
          </w:p>
        </w:tc>
        <w:tc>
          <w:tcPr>
            <w:tcW w:w="700" w:type="dxa"/>
            <w:vAlign w:val="bottom"/>
          </w:tcPr>
          <w:p>
            <w:pPr>
              <w:jc w:val="center"/>
              <w:ind w:right="100"/>
              <w:spacing w:after="0" w:line="91" w:lineRule="exact"/>
              <w:rPr>
                <w:sz w:val="20"/>
                <w:szCs w:val="20"/>
                <w:color w:val="auto"/>
              </w:rPr>
            </w:pPr>
            <w:r>
              <w:rPr>
                <w:rFonts w:ascii="Times New Roman" w:cs="Times New Roman" w:eastAsia="Times New Roman" w:hAnsi="Times New Roman"/>
                <w:sz w:val="8"/>
                <w:szCs w:val="8"/>
                <w:b w:val="1"/>
                <w:bCs w:val="1"/>
                <w:color w:val="auto"/>
              </w:rPr>
              <w:t>of Shares</w:t>
            </w:r>
          </w:p>
        </w:tc>
        <w:tc>
          <w:tcPr>
            <w:tcW w:w="4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5"/>
                <w:szCs w:val="5"/>
                <w:b w:val="1"/>
                <w:bCs w:val="1"/>
                <w:color w:val="auto"/>
              </w:rPr>
              <w:t>(2)</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MBS Holdings, Inc.</w:t>
            </w:r>
          </w:p>
        </w:tc>
        <w:tc>
          <w:tcPr>
            <w:tcW w:w="54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6/8/2021</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4/16/2027</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Internet Software and Services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8.92%</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SOFR+510</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8,223</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8,173</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8,223</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MDI Buyer,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4/11/2023</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7/25/2028</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Chemicals, Plastics and Rubber</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8.57%</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6,235</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6,171</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6,235</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Meadowlark Acquirer,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1/29/2022</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12/10/2027</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Professional Services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9.32%</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SOFR+565</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2,317</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2,300</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2,317</w:t>
            </w: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Healthcare and</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Medina Health,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11/6/2023</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10/20/2028</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Pharmaceuticals</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9.92%</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SOFR+625</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18,833</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18,628</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18,833</w:t>
            </w: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Electronic Equipment,</w:t>
            </w: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Megawatt Acquisitionco, Inc.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4/29/2024</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3/1/2030</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Instruments, and Components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9.17%</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15,474</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15,302</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15,474</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MOREgroup Holdings,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3/22/2024</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1/16/2030</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8.92%</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17,890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17,750</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17,890</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MES Internediate, Inc.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4/11/2023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10/1/2027</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Distributors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8.42%</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3,351</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3,328</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3,351</w:t>
            </w: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Education &amp;</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NBH Group,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8/25/2021</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8/19/2026</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Childcare</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9.71%</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SOFR+585</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10,325</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10,288</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10,325</w:t>
            </w: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Healthcare Providers and</w:t>
            </w: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NORA Acquisition,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10/2/2023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8/31/2029</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7"/>
              </w:rPr>
              <w:t>10.02%</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SOFR+635</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21,005</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20,731</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20,375</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North American Rail Solutions,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8/29/2025</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8/29/2031</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Manufacturing/Basic Industry</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8.42%</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17,456</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17,383</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17,369</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Omnia Exterior Solutions,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11/1/2024</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12/31/2029</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8.92%</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16,915</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16,787</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16,704</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One Stop Mailing, LLC</w:t>
            </w:r>
          </w:p>
        </w:tc>
        <w:tc>
          <w:tcPr>
            <w:tcW w:w="54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7/8/2021</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5/7/2027</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Air Freight and Logistics</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7"/>
              </w:rPr>
              <w:t>10.08%</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SOFR+636</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15,394</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15,283</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15,394</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ORL Acquisition, Inc. </w:t>
            </w:r>
            <w:r>
              <w:rPr>
                <w:rFonts w:ascii="Times New Roman" w:cs="Times New Roman" w:eastAsia="Times New Roman" w:hAnsi="Times New Roman"/>
                <w:sz w:val="10"/>
                <w:szCs w:val="10"/>
                <w:color w:val="auto"/>
                <w:vertAlign w:val="superscript"/>
              </w:rPr>
              <w:t>(5)</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5/22/2025</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9/3/2027</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Consumer Finance</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7"/>
              </w:rPr>
              <w:t>13.07%</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SOFR+940</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2,284</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2,275</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1,782</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OSP Embedded Purchaser,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11/19/2024</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12/17/2029</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9.42%</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14,862</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14,668</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14,090</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Output Services Group, Inc. - First-Out Term Loan</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12/1/2023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11/30/2028</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7"/>
              </w:rPr>
              <w:t>12.16%</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SOFR+842</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821</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821</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821</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Output Services Group, Inc. - Last-Out Term Loan</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12/1/2023</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5/30/2028</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7"/>
              </w:rPr>
              <w:t>10.41%</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SOFR+667</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1,667</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1,667</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1,667</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PCS MIDCO, Inc.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4/10/2025</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3/1/2030</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9.42%</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3,823</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3,781</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3,842</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Pacific Purchaser,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1/12/2024</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10/2/2028</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9.85%</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SOFR+625</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11,788</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11,649</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11,505</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PAR Excellence Holdings, Inc.</w:t>
            </w:r>
          </w:p>
        </w:tc>
        <w:tc>
          <w:tcPr>
            <w:tcW w:w="54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10/16/24</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9/3/2030</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8.77%</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10,905</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10,815</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10,714</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Paving Lessor Corp. First Lien -Term Loan</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8/28/2025</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7/1/2031</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8.94%</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19,877</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19,744</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19,777</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PN Buyer, Inc.</w:t>
            </w:r>
          </w:p>
        </w:tc>
        <w:tc>
          <w:tcPr>
            <w:tcW w:w="54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9/8/2025</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7/31/2031</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Professional Services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8.17%</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SOFR+450</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10,000</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9,954</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9,950</w:t>
            </w: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Textiles, Apparel and Luxury</w:t>
            </w:r>
          </w:p>
        </w:tc>
        <w:tc>
          <w:tcPr>
            <w:tcW w:w="440" w:type="dxa"/>
            <w:vAlign w:val="bottom"/>
          </w:tcPr>
          <w:p>
            <w:pPr>
              <w:spacing w:after="0"/>
              <w:rPr>
                <w:sz w:val="8"/>
                <w:szCs w:val="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line="100" w:lineRule="exact"/>
              <w:rPr>
                <w:sz w:val="20"/>
                <w:szCs w:val="20"/>
                <w:color w:val="auto"/>
              </w:rPr>
            </w:pPr>
            <w:r>
              <w:rPr>
                <w:rFonts w:ascii="Times New Roman" w:cs="Times New Roman" w:eastAsia="Times New Roman" w:hAnsi="Times New Roman"/>
                <w:sz w:val="8"/>
                <w:szCs w:val="8"/>
                <w:color w:val="auto"/>
              </w:rPr>
              <w:t xml:space="preserve">Pink Lilly Holdco, LLC </w:t>
            </w:r>
            <w:r>
              <w:rPr>
                <w:rFonts w:ascii="Times New Roman" w:cs="Times New Roman" w:eastAsia="Times New Roman" w:hAnsi="Times New Roman"/>
                <w:sz w:val="10"/>
                <w:szCs w:val="10"/>
                <w:color w:val="auto"/>
                <w:vertAlign w:val="superscript"/>
              </w:rPr>
              <w:t>(4),(5)</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11/30/2021</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11/9/2027</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5"/>
              </w:rPr>
              <w:t>Goods</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8,503</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8,414</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1,063</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Podean Buyer, LLC</w:t>
            </w:r>
          </w:p>
        </w:tc>
        <w:tc>
          <w:tcPr>
            <w:tcW w:w="54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8/4/2025</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8/4/2031</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Marketing Services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9.66%</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SOFR+600</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4,988</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4,942</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4,938</w:t>
            </w:r>
          </w:p>
        </w:tc>
        <w:tc>
          <w:tcPr>
            <w:tcW w:w="0" w:type="dxa"/>
            <w:vAlign w:val="bottom"/>
          </w:tcPr>
          <w:p>
            <w:pPr>
              <w:spacing w:after="0"/>
              <w:rPr>
                <w:sz w:val="1"/>
                <w:szCs w:val="1"/>
                <w:color w:val="auto"/>
              </w:rPr>
            </w:pPr>
          </w:p>
        </w:tc>
      </w:tr>
      <w:tr>
        <w:trPr>
          <w:trHeight w:val="101"/>
        </w:trPr>
        <w:tc>
          <w:tcPr>
            <w:tcW w:w="20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Pragmatic Institute, LLC </w:t>
            </w:r>
            <w:r>
              <w:rPr>
                <w:rFonts w:ascii="Times New Roman" w:cs="Times New Roman" w:eastAsia="Times New Roman" w:hAnsi="Times New Roman"/>
                <w:sz w:val="10"/>
                <w:szCs w:val="10"/>
                <w:color w:val="auto"/>
                <w:vertAlign w:val="superscript"/>
              </w:rPr>
              <w:t>(4)</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3/28/2025</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3/28/2030</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Education</w:t>
            </w:r>
          </w:p>
        </w:tc>
        <w:tc>
          <w:tcPr>
            <w:tcW w:w="440" w:type="dxa"/>
            <w:vAlign w:val="bottom"/>
          </w:tcPr>
          <w:p>
            <w:pPr>
              <w:spacing w:after="0"/>
              <w:rPr>
                <w:sz w:val="8"/>
                <w:szCs w:val="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4,292</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4,190</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2,608</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Project Granite Buyer, Inc.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5/22/2025</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12/31/2030</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Professional Services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9.42%</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6,451</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6,361</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6,516</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Puget Collision,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10/3/2025</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10/3/2031</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Automobiles</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8.42%</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15,000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14,918</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14,906</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RRA Corporate,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4/10/2025</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8/15/2029</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8.92%</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7,681</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7,622</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7,443</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RTIC Subsidiary Holdings,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11/1/2024</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5/3/2029</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Leisure Products</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9.42%</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14,837</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14,679</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14,689</w:t>
            </w: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Healthcare Providers and</w:t>
            </w: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Rancho Health MSO, Inc.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4/11/2023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6/20/2029</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8.99%</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18,718</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18,657</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18,718</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Recteq,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2/24/2021</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1/29/2026</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Leisure Products</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7"/>
              </w:rPr>
              <w:t>10.07%</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SOFR+640</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4,763</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4,761</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4,763</w:t>
            </w: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Healthcare Providers and</w:t>
            </w: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Ro Health, LLC</w:t>
            </w:r>
          </w:p>
        </w:tc>
        <w:tc>
          <w:tcPr>
            <w:tcW w:w="54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3/3/2025</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1/17/2031</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Services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8.17%</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SOFR+450</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10,490</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10,422</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10,490</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Rosco Parent, LLC</w:t>
            </w:r>
          </w:p>
        </w:tc>
        <w:tc>
          <w:tcPr>
            <w:tcW w:w="54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9/9/2025</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9/12/2031</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8.42%</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10,500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10,432</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10,421</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Rural Sourcing Holdings, Inc.</w:t>
            </w:r>
          </w:p>
        </w:tc>
        <w:tc>
          <w:tcPr>
            <w:tcW w:w="54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9/6/2023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6/15/2029</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High Tech Industries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9.85%</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SOFR+625</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4,349</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4,296</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3,914</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Sabel Systems Technology Solutions,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11/11/2024</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10/31/2030</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Government Services</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9.72%</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SOFR+600</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5,955</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5,905</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5,955</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Safe Haven Defense US,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9/19/2024</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5/23/2029</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Construction and Building</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9.19%</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9,837</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9,726</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9,591</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Sales Benchmark Index,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1/27/2021</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7/7/2026</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Professional Services</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9.87%</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SOFR+620</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9,158</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9,146</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9,158</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Sath Industries,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4/10/2025</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12/17/2029</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Event Services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9.17%</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10,280</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10,193</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10,280</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Schlesinger Global,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9/30/2021</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3/31/2027</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9.82%</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SOFR+610</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6,711</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6,711</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6,376</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Seaway Buyer,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4/11/2023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6/13/2029</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Chemicals, Plastics and Rubber</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9.82%</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SOFR+615</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4,838</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4,794</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4,620</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Sigma Defense Systems,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12/27/2021</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12/20/2027</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7"/>
              </w:rPr>
              <w:t>10.62%</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SOFR+690</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20,486</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20,221</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20,281</w:t>
            </w: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and</w:t>
            </w: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Smile Brands, Inc.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1/27/2021</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10/12/2027</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Pharmaceuticals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9.77%</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SOFR+600</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12,341</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12,256</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10,848</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Spendmend Holdings,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4/11/2023</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3/1/2028</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Healthcare Technology</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9.15%</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SOFR+515</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4,018</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3,983</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4,018</w:t>
            </w:r>
          </w:p>
        </w:tc>
        <w:tc>
          <w:tcPr>
            <w:tcW w:w="0" w:type="dxa"/>
            <w:vAlign w:val="bottom"/>
          </w:tcPr>
          <w:p>
            <w:pPr>
              <w:spacing w:after="0"/>
              <w:rPr>
                <w:sz w:val="1"/>
                <w:szCs w:val="1"/>
                <w:color w:val="auto"/>
              </w:rPr>
            </w:pPr>
          </w:p>
        </w:tc>
      </w:tr>
      <w:tr>
        <w:trPr>
          <w:trHeight w:val="81"/>
        </w:trPr>
        <w:tc>
          <w:tcPr>
            <w:tcW w:w="2000" w:type="dxa"/>
            <w:vAlign w:val="bottom"/>
            <w:shd w:val="clear" w:color="auto" w:fill="CCECFF"/>
          </w:tcPr>
          <w:p>
            <w:pPr>
              <w:spacing w:after="0" w:line="81" w:lineRule="exact"/>
              <w:rPr>
                <w:sz w:val="20"/>
                <w:szCs w:val="20"/>
                <w:color w:val="auto"/>
              </w:rPr>
            </w:pPr>
            <w:r>
              <w:rPr>
                <w:rFonts w:ascii="Times New Roman" w:cs="Times New Roman" w:eastAsia="Times New Roman" w:hAnsi="Times New Roman"/>
                <w:sz w:val="8"/>
                <w:szCs w:val="8"/>
                <w:color w:val="auto"/>
              </w:rPr>
              <w:t>STG Distribution, LLC - First Out New Money Term Loans</w:t>
            </w:r>
          </w:p>
        </w:tc>
        <w:tc>
          <w:tcPr>
            <w:tcW w:w="5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10/24/2024</w:t>
            </w:r>
          </w:p>
        </w:tc>
        <w:tc>
          <w:tcPr>
            <w:tcW w:w="680" w:type="dxa"/>
            <w:vAlign w:val="bottom"/>
            <w:vMerge w:val="restart"/>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10/3/2029</w:t>
            </w:r>
          </w:p>
        </w:tc>
        <w:tc>
          <w:tcPr>
            <w:tcW w:w="12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Air Freight and Logistics</w:t>
            </w:r>
          </w:p>
        </w:tc>
        <w:tc>
          <w:tcPr>
            <w:tcW w:w="440" w:type="dxa"/>
            <w:vAlign w:val="bottom"/>
            <w:shd w:val="clear" w:color="auto" w:fill="CCECFF"/>
          </w:tcPr>
          <w:p>
            <w:pPr>
              <w:spacing w:after="0"/>
              <w:rPr>
                <w:sz w:val="7"/>
                <w:szCs w:val="7"/>
                <w:color w:val="auto"/>
              </w:rPr>
            </w:pPr>
          </w:p>
        </w:tc>
        <w:tc>
          <w:tcPr>
            <w:tcW w:w="220" w:type="dxa"/>
            <w:vAlign w:val="bottom"/>
            <w:shd w:val="clear" w:color="auto" w:fill="CCECFF"/>
          </w:tcPr>
          <w:p>
            <w:pPr>
              <w:ind w:left="20"/>
              <w:spacing w:after="0" w:line="81" w:lineRule="exact"/>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ind w:left="460"/>
              <w:spacing w:after="0" w:line="81" w:lineRule="exact"/>
              <w:rPr>
                <w:sz w:val="20"/>
                <w:szCs w:val="20"/>
                <w:color w:val="auto"/>
              </w:rPr>
            </w:pPr>
            <w:r>
              <w:rPr>
                <w:rFonts w:ascii="Times New Roman" w:cs="Times New Roman" w:eastAsia="Times New Roman" w:hAnsi="Times New Roman"/>
                <w:sz w:val="8"/>
                <w:szCs w:val="8"/>
                <w:color w:val="auto"/>
              </w:rPr>
              <w:t>—</w:t>
            </w:r>
          </w:p>
        </w:tc>
        <w:tc>
          <w:tcPr>
            <w:tcW w:w="700" w:type="dxa"/>
            <w:vAlign w:val="bottom"/>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1,973</w:t>
            </w:r>
          </w:p>
        </w:tc>
        <w:tc>
          <w:tcPr>
            <w:tcW w:w="420" w:type="dxa"/>
            <w:vAlign w:val="bottom"/>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1,887</w:t>
            </w:r>
          </w:p>
        </w:tc>
        <w:tc>
          <w:tcPr>
            <w:tcW w:w="140" w:type="dxa"/>
            <w:vAlign w:val="bottom"/>
            <w:shd w:val="clear" w:color="auto" w:fill="CCECFF"/>
          </w:tcPr>
          <w:p>
            <w:pPr>
              <w:spacing w:after="0"/>
              <w:rPr>
                <w:sz w:val="7"/>
                <w:szCs w:val="7"/>
                <w:color w:val="auto"/>
              </w:rPr>
            </w:pPr>
          </w:p>
        </w:tc>
        <w:tc>
          <w:tcPr>
            <w:tcW w:w="420" w:type="dxa"/>
            <w:vAlign w:val="bottom"/>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1,677</w:t>
            </w:r>
          </w:p>
        </w:tc>
        <w:tc>
          <w:tcPr>
            <w:tcW w:w="0" w:type="dxa"/>
            <w:vAlign w:val="bottom"/>
          </w:tcPr>
          <w:p>
            <w:pPr>
              <w:spacing w:after="0"/>
              <w:rPr>
                <w:sz w:val="1"/>
                <w:szCs w:val="1"/>
                <w:color w:val="auto"/>
              </w:rPr>
            </w:pPr>
          </w:p>
        </w:tc>
      </w:tr>
      <w:tr>
        <w:trPr>
          <w:trHeight w:val="71"/>
        </w:trPr>
        <w:tc>
          <w:tcPr>
            <w:tcW w:w="20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5"/>
                <w:szCs w:val="5"/>
                <w:color w:val="auto"/>
              </w:rPr>
              <w:t>(4)(5)</w:t>
            </w:r>
          </w:p>
        </w:tc>
        <w:tc>
          <w:tcPr>
            <w:tcW w:w="540" w:type="dxa"/>
            <w:vAlign w:val="bottom"/>
            <w:tcBorders>
              <w:bottom w:val="single" w:sz="8" w:color="CCECFF"/>
            </w:tcBorders>
            <w:vMerge w:val="continue"/>
            <w:shd w:val="clear" w:color="auto" w:fill="CCECFF"/>
          </w:tcPr>
          <w:p>
            <w:pPr>
              <w:spacing w:after="0"/>
              <w:rPr>
                <w:sz w:val="6"/>
                <w:szCs w:val="6"/>
                <w:color w:val="auto"/>
              </w:rPr>
            </w:pPr>
          </w:p>
        </w:tc>
        <w:tc>
          <w:tcPr>
            <w:tcW w:w="680" w:type="dxa"/>
            <w:vAlign w:val="bottom"/>
            <w:tcBorders>
              <w:bottom w:val="single" w:sz="8" w:color="CCECFF"/>
            </w:tcBorders>
            <w:vMerge w:val="continue"/>
            <w:shd w:val="clear" w:color="auto" w:fill="CCECFF"/>
          </w:tcPr>
          <w:p>
            <w:pPr>
              <w:spacing w:after="0"/>
              <w:rPr>
                <w:sz w:val="6"/>
                <w:szCs w:val="6"/>
                <w:color w:val="auto"/>
              </w:rPr>
            </w:pPr>
          </w:p>
        </w:tc>
        <w:tc>
          <w:tcPr>
            <w:tcW w:w="1260" w:type="dxa"/>
            <w:vAlign w:val="bottom"/>
            <w:tcBorders>
              <w:bottom w:val="single" w:sz="8" w:color="CCECFF"/>
            </w:tcBorders>
            <w:vMerge w:val="continue"/>
            <w:shd w:val="clear" w:color="auto" w:fill="CCECFF"/>
          </w:tcPr>
          <w:p>
            <w:pPr>
              <w:spacing w:after="0"/>
              <w:rPr>
                <w:sz w:val="6"/>
                <w:szCs w:val="6"/>
                <w:color w:val="auto"/>
              </w:rPr>
            </w:pPr>
          </w:p>
        </w:tc>
        <w:tc>
          <w:tcPr>
            <w:tcW w:w="440" w:type="dxa"/>
            <w:vAlign w:val="bottom"/>
            <w:tcBorders>
              <w:bottom w:val="single" w:sz="8" w:color="CCECFF"/>
            </w:tcBorders>
            <w:shd w:val="clear" w:color="auto" w:fill="CCECFF"/>
          </w:tcPr>
          <w:p>
            <w:pPr>
              <w:spacing w:after="0"/>
              <w:rPr>
                <w:sz w:val="6"/>
                <w:szCs w:val="6"/>
                <w:color w:val="auto"/>
              </w:rPr>
            </w:pPr>
          </w:p>
        </w:tc>
        <w:tc>
          <w:tcPr>
            <w:tcW w:w="220" w:type="dxa"/>
            <w:vAlign w:val="bottom"/>
            <w:tcBorders>
              <w:bottom w:val="single" w:sz="8" w:color="CCECFF"/>
            </w:tcBorders>
            <w:shd w:val="clear" w:color="auto" w:fill="CCECFF"/>
          </w:tcPr>
          <w:p>
            <w:pPr>
              <w:spacing w:after="0"/>
              <w:rPr>
                <w:sz w:val="6"/>
                <w:szCs w:val="6"/>
                <w:color w:val="auto"/>
              </w:rPr>
            </w:pPr>
          </w:p>
        </w:tc>
        <w:tc>
          <w:tcPr>
            <w:tcW w:w="640" w:type="dxa"/>
            <w:vAlign w:val="bottom"/>
            <w:tcBorders>
              <w:bottom w:val="single" w:sz="8" w:color="CCECFF"/>
            </w:tcBorders>
            <w:shd w:val="clear" w:color="auto" w:fill="CCECFF"/>
          </w:tcPr>
          <w:p>
            <w:pPr>
              <w:spacing w:after="0"/>
              <w:rPr>
                <w:sz w:val="6"/>
                <w:szCs w:val="6"/>
                <w:color w:val="auto"/>
              </w:rPr>
            </w:pPr>
          </w:p>
        </w:tc>
        <w:tc>
          <w:tcPr>
            <w:tcW w:w="700" w:type="dxa"/>
            <w:vAlign w:val="bottom"/>
            <w:tcBorders>
              <w:bottom w:val="single" w:sz="8" w:color="CCECFF"/>
            </w:tcBorders>
            <w:vMerge w:val="continue"/>
            <w:shd w:val="clear" w:color="auto" w:fill="CCECFF"/>
          </w:tcPr>
          <w:p>
            <w:pPr>
              <w:spacing w:after="0"/>
              <w:rPr>
                <w:sz w:val="6"/>
                <w:szCs w:val="6"/>
                <w:color w:val="auto"/>
              </w:rPr>
            </w:pPr>
          </w:p>
        </w:tc>
        <w:tc>
          <w:tcPr>
            <w:tcW w:w="420" w:type="dxa"/>
            <w:vAlign w:val="bottom"/>
            <w:tcBorders>
              <w:bottom w:val="single" w:sz="8" w:color="CCECFF"/>
            </w:tcBorders>
            <w:vMerge w:val="continue"/>
            <w:shd w:val="clear" w:color="auto" w:fill="CCECFF"/>
          </w:tcPr>
          <w:p>
            <w:pPr>
              <w:spacing w:after="0"/>
              <w:rPr>
                <w:sz w:val="6"/>
                <w:szCs w:val="6"/>
                <w:color w:val="auto"/>
              </w:rPr>
            </w:pPr>
          </w:p>
        </w:tc>
        <w:tc>
          <w:tcPr>
            <w:tcW w:w="140" w:type="dxa"/>
            <w:vAlign w:val="bottom"/>
            <w:tcBorders>
              <w:bottom w:val="single" w:sz="8" w:color="CCECFF"/>
            </w:tcBorders>
            <w:shd w:val="clear" w:color="auto" w:fill="CCECFF"/>
          </w:tcPr>
          <w:p>
            <w:pPr>
              <w:spacing w:after="0"/>
              <w:rPr>
                <w:sz w:val="6"/>
                <w:szCs w:val="6"/>
                <w:color w:val="auto"/>
              </w:rPr>
            </w:pPr>
          </w:p>
        </w:tc>
        <w:tc>
          <w:tcPr>
            <w:tcW w:w="420" w:type="dxa"/>
            <w:vAlign w:val="bottom"/>
            <w:tcBorders>
              <w:bottom w:val="single" w:sz="8" w:color="CCECFF"/>
            </w:tcBorders>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STG Distribution, LLC - Second Out Term Loans </w:t>
            </w:r>
            <w:r>
              <w:rPr>
                <w:rFonts w:ascii="Times New Roman" w:cs="Times New Roman" w:eastAsia="Times New Roman" w:hAnsi="Times New Roman"/>
                <w:sz w:val="10"/>
                <w:szCs w:val="10"/>
                <w:color w:val="auto"/>
                <w:vertAlign w:val="superscript"/>
              </w:rPr>
              <w:t>(4),(5)</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5/22/2025</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10/3/2029</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Air Freight and Logistics</w:t>
            </w:r>
          </w:p>
        </w:tc>
        <w:tc>
          <w:tcPr>
            <w:tcW w:w="440" w:type="dxa"/>
            <w:vAlign w:val="bottom"/>
          </w:tcPr>
          <w:p>
            <w:pPr>
              <w:spacing w:after="0"/>
              <w:rPr>
                <w:sz w:val="8"/>
                <w:szCs w:val="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4,559</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2,562</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342</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SV-Aero Holdings,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10/31/2024</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11/1/2030</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8.67%</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SOFR+500</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14,625</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14,563</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14,625</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Systems Planning And Analysis,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3/15/2022</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8/16/2027</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Aerospace and Defense</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8.42%</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14,400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14,317</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14,357</w:t>
            </w: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Commercial Services &amp;</w:t>
            </w: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TMII Enterprises,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4/11/2023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12/22/2028</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Supplies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8.22%</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SOFR+450</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2,866</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2,831</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2,866</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TCG 3.0 Jogger Acquisitionco,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4/26/2024</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1/23/2029</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Media</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7"/>
              </w:rPr>
              <w:t>10.17%</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SOFR+650</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19,380</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19,146</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19,089</w:t>
            </w: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Healthcare and</w:t>
            </w: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Team Services Group,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10/4/2022</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12/20/2027</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Pharmaceuticals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9.09%</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SOFR+525</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5,314</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5,147</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5,292</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The Bluebird Group, LLC</w:t>
            </w:r>
          </w:p>
        </w:tc>
        <w:tc>
          <w:tcPr>
            <w:tcW w:w="54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8/9/2021</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7/28/2026</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Professional Services</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9.57%</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SOFR+590</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7,214</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7,187</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7,214</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The Vertex Companies,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4/11/2023</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8/31/2028</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Construction and Engineering</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8.75%</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SOFR+475</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17,438</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17,283</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17,333</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TPC US Parent,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4/11/2023</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2/23/2026</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Consumer Goods: Non-Durable</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9.89%</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SOFR+590</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16,313</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16,302</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16,297</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Transgo,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1/19/2024</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12/29/2028</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Automotive</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9.47%</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SOFR+575</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15,830</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15,657</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15,830</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Tyto Athene, LLC</w:t>
            </w:r>
          </w:p>
        </w:tc>
        <w:tc>
          <w:tcPr>
            <w:tcW w:w="54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5/5/2021</w:t>
            </w: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8"/>
                <w:szCs w:val="8"/>
                <w:color w:val="auto"/>
                <w:w w:val="98"/>
              </w:rPr>
              <w:t>4/3/2028</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IT Services</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8.88%</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SOFR+490</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14,604</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14,545</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14,015</w:t>
            </w: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Walker Edison Furniture Company, LLC - Unfunded Term</w:t>
            </w:r>
          </w:p>
        </w:tc>
        <w:tc>
          <w:tcPr>
            <w:tcW w:w="5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6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11"/>
                <w:szCs w:val="11"/>
                <w:color w:val="auto"/>
                <w:vertAlign w:val="subscript"/>
              </w:rPr>
              <w:t>Loan</w:t>
            </w:r>
            <w:r>
              <w:rPr>
                <w:rFonts w:ascii="Times New Roman" w:cs="Times New Roman" w:eastAsia="Times New Roman" w:hAnsi="Times New Roman"/>
                <w:sz w:val="4"/>
                <w:szCs w:val="4"/>
                <w:color w:val="auto"/>
              </w:rPr>
              <w:t xml:space="preserve"> (3),(5)</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8/29/2025</w:t>
            </w:r>
          </w:p>
        </w:tc>
        <w:tc>
          <w:tcPr>
            <w:tcW w:w="68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8"/>
                <w:szCs w:val="8"/>
                <w:color w:val="auto"/>
                <w:w w:val="98"/>
              </w:rPr>
              <w:t>3/1/2029</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Wholesale</w:t>
            </w: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208</w:t>
            </w:r>
          </w:p>
        </w:tc>
        <w:tc>
          <w:tcPr>
            <w:tcW w:w="4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81"/>
        </w:trPr>
        <w:tc>
          <w:tcPr>
            <w:tcW w:w="2000" w:type="dxa"/>
            <w:vAlign w:val="bottom"/>
          </w:tcPr>
          <w:p>
            <w:pPr>
              <w:spacing w:after="0" w:line="81" w:lineRule="exact"/>
              <w:rPr>
                <w:sz w:val="20"/>
                <w:szCs w:val="20"/>
                <w:color w:val="auto"/>
              </w:rPr>
            </w:pPr>
            <w:r>
              <w:rPr>
                <w:rFonts w:ascii="Times New Roman" w:cs="Times New Roman" w:eastAsia="Times New Roman" w:hAnsi="Times New Roman"/>
                <w:sz w:val="8"/>
                <w:szCs w:val="8"/>
                <w:color w:val="auto"/>
              </w:rPr>
              <w:t>Walker Edison Furniture Company, LLC - New Money DIP</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8"/>
                <w:szCs w:val="8"/>
                <w:color w:val="auto"/>
              </w:rPr>
              <w:t>8/29/2025</w:t>
            </w:r>
          </w:p>
        </w:tc>
        <w:tc>
          <w:tcPr>
            <w:tcW w:w="680" w:type="dxa"/>
            <w:vAlign w:val="bottom"/>
            <w:vMerge w:val="restart"/>
          </w:tcPr>
          <w:p>
            <w:pPr>
              <w:jc w:val="center"/>
              <w:ind w:right="80"/>
              <w:spacing w:after="0"/>
              <w:rPr>
                <w:sz w:val="20"/>
                <w:szCs w:val="20"/>
                <w:color w:val="auto"/>
              </w:rPr>
            </w:pPr>
            <w:r>
              <w:rPr>
                <w:rFonts w:ascii="Times New Roman" w:cs="Times New Roman" w:eastAsia="Times New Roman" w:hAnsi="Times New Roman"/>
                <w:sz w:val="8"/>
                <w:szCs w:val="8"/>
                <w:color w:val="auto"/>
                <w:w w:val="98"/>
              </w:rPr>
              <w:t>3/1/2029</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8"/>
                <w:szCs w:val="8"/>
                <w:color w:val="auto"/>
              </w:rPr>
              <w:t>Wholesale</w:t>
            </w:r>
          </w:p>
        </w:tc>
        <w:tc>
          <w:tcPr>
            <w:tcW w:w="440" w:type="dxa"/>
            <w:vAlign w:val="bottom"/>
            <w:vMerge w:val="restart"/>
          </w:tcPr>
          <w:p>
            <w:pPr>
              <w:jc w:val="center"/>
              <w:ind w:left="40"/>
              <w:spacing w:after="0"/>
              <w:rPr>
                <w:sz w:val="20"/>
                <w:szCs w:val="20"/>
                <w:color w:val="auto"/>
              </w:rPr>
            </w:pPr>
            <w:r>
              <w:rPr>
                <w:rFonts w:ascii="Times New Roman" w:cs="Times New Roman" w:eastAsia="Times New Roman" w:hAnsi="Times New Roman"/>
                <w:sz w:val="8"/>
                <w:szCs w:val="8"/>
                <w:color w:val="auto"/>
                <w:w w:val="97"/>
              </w:rPr>
              <w:t>10.00%</w:t>
            </w:r>
          </w:p>
        </w:tc>
        <w:tc>
          <w:tcPr>
            <w:tcW w:w="220" w:type="dxa"/>
            <w:vAlign w:val="bottom"/>
          </w:tcPr>
          <w:p>
            <w:pPr>
              <w:spacing w:after="0"/>
              <w:rPr>
                <w:sz w:val="7"/>
                <w:szCs w:val="7"/>
                <w:color w:val="auto"/>
              </w:rPr>
            </w:pPr>
          </w:p>
        </w:tc>
        <w:tc>
          <w:tcPr>
            <w:tcW w:w="640" w:type="dxa"/>
            <w:vAlign w:val="bottom"/>
          </w:tcPr>
          <w:p>
            <w:pPr>
              <w:ind w:left="460"/>
              <w:spacing w:after="0" w:line="81" w:lineRule="exact"/>
              <w:rPr>
                <w:sz w:val="20"/>
                <w:szCs w:val="20"/>
                <w:color w:val="auto"/>
              </w:rPr>
            </w:pPr>
            <w:r>
              <w:rPr>
                <w:rFonts w:ascii="Times New Roman" w:cs="Times New Roman" w:eastAsia="Times New Roman" w:hAnsi="Times New Roman"/>
                <w:sz w:val="8"/>
                <w:szCs w:val="8"/>
                <w:color w:val="auto"/>
              </w:rPr>
              <w:t>—</w:t>
            </w:r>
          </w:p>
        </w:tc>
        <w:tc>
          <w:tcPr>
            <w:tcW w:w="700" w:type="dxa"/>
            <w:vAlign w:val="bottom"/>
            <w:vMerge w:val="restart"/>
          </w:tcPr>
          <w:p>
            <w:pPr>
              <w:jc w:val="right"/>
              <w:ind w:right="180"/>
              <w:spacing w:after="0"/>
              <w:rPr>
                <w:sz w:val="20"/>
                <w:szCs w:val="20"/>
                <w:color w:val="auto"/>
              </w:rPr>
            </w:pPr>
            <w:r>
              <w:rPr>
                <w:rFonts w:ascii="Times New Roman" w:cs="Times New Roman" w:eastAsia="Times New Roman" w:hAnsi="Times New Roman"/>
                <w:sz w:val="8"/>
                <w:szCs w:val="8"/>
                <w:color w:val="auto"/>
              </w:rPr>
              <w:t>146</w:t>
            </w:r>
          </w:p>
        </w:tc>
        <w:tc>
          <w:tcPr>
            <w:tcW w:w="420" w:type="dxa"/>
            <w:vAlign w:val="bottom"/>
            <w:vMerge w:val="restart"/>
          </w:tcPr>
          <w:p>
            <w:pPr>
              <w:jc w:val="right"/>
              <w:ind w:right="40"/>
              <w:spacing w:after="0"/>
              <w:rPr>
                <w:sz w:val="20"/>
                <w:szCs w:val="20"/>
                <w:color w:val="auto"/>
              </w:rPr>
            </w:pPr>
            <w:r>
              <w:rPr>
                <w:rFonts w:ascii="Times New Roman" w:cs="Times New Roman" w:eastAsia="Times New Roman" w:hAnsi="Times New Roman"/>
                <w:sz w:val="8"/>
                <w:szCs w:val="8"/>
                <w:color w:val="auto"/>
              </w:rPr>
              <w:t>146</w:t>
            </w:r>
          </w:p>
        </w:tc>
        <w:tc>
          <w:tcPr>
            <w:tcW w:w="140" w:type="dxa"/>
            <w:vAlign w:val="bottom"/>
          </w:tcPr>
          <w:p>
            <w:pPr>
              <w:spacing w:after="0"/>
              <w:rPr>
                <w:sz w:val="7"/>
                <w:szCs w:val="7"/>
                <w:color w:val="auto"/>
              </w:rPr>
            </w:pPr>
          </w:p>
        </w:tc>
        <w:tc>
          <w:tcPr>
            <w:tcW w:w="420" w:type="dxa"/>
            <w:vAlign w:val="bottom"/>
            <w:vMerge w:val="restart"/>
          </w:tcPr>
          <w:p>
            <w:pPr>
              <w:jc w:val="right"/>
              <w:ind w:right="40"/>
              <w:spacing w:after="0"/>
              <w:rPr>
                <w:sz w:val="20"/>
                <w:szCs w:val="20"/>
                <w:color w:val="auto"/>
              </w:rPr>
            </w:pPr>
            <w:r>
              <w:rPr>
                <w:rFonts w:ascii="Times New Roman" w:cs="Times New Roman" w:eastAsia="Times New Roman" w:hAnsi="Times New Roman"/>
                <w:sz w:val="8"/>
                <w:szCs w:val="8"/>
                <w:color w:val="auto"/>
              </w:rPr>
              <w:t>151</w:t>
            </w:r>
          </w:p>
        </w:tc>
        <w:tc>
          <w:tcPr>
            <w:tcW w:w="0" w:type="dxa"/>
            <w:vAlign w:val="bottom"/>
          </w:tcPr>
          <w:p>
            <w:pPr>
              <w:spacing w:after="0"/>
              <w:rPr>
                <w:sz w:val="1"/>
                <w:szCs w:val="1"/>
                <w:color w:val="auto"/>
              </w:rPr>
            </w:pPr>
          </w:p>
        </w:tc>
      </w:tr>
      <w:tr>
        <w:trPr>
          <w:trHeight w:val="63"/>
        </w:trPr>
        <w:tc>
          <w:tcPr>
            <w:tcW w:w="2000" w:type="dxa"/>
            <w:vAlign w:val="bottom"/>
          </w:tcPr>
          <w:p>
            <w:pPr>
              <w:spacing w:after="0"/>
              <w:rPr>
                <w:sz w:val="20"/>
                <w:szCs w:val="20"/>
                <w:color w:val="auto"/>
              </w:rPr>
            </w:pPr>
            <w:r>
              <w:rPr>
                <w:rFonts w:ascii="Times New Roman" w:cs="Times New Roman" w:eastAsia="Times New Roman" w:hAnsi="Times New Roman"/>
                <w:sz w:val="5"/>
                <w:szCs w:val="5"/>
                <w:color w:val="auto"/>
              </w:rPr>
              <w:t>(5)</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Watchtower Buyer,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5/20/2024</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12/3/2029</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9.67%</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SOFR+600</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12,036</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11,895</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12,036</w:t>
            </w:r>
          </w:p>
        </w:tc>
        <w:tc>
          <w:tcPr>
            <w:tcW w:w="0" w:type="dxa"/>
            <w:vAlign w:val="bottom"/>
          </w:tcPr>
          <w:p>
            <w:pPr>
              <w:spacing w:after="0"/>
              <w:rPr>
                <w:sz w:val="1"/>
                <w:szCs w:val="1"/>
                <w:color w:val="auto"/>
              </w:rPr>
            </w:pPr>
          </w:p>
        </w:tc>
      </w:tr>
      <w:tr>
        <w:trPr>
          <w:trHeight w:val="101"/>
        </w:trPr>
        <w:tc>
          <w:tcPr>
            <w:tcW w:w="20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Wash &amp; Wax Systems LLC </w:t>
            </w:r>
            <w:r>
              <w:rPr>
                <w:rFonts w:ascii="Times New Roman" w:cs="Times New Roman" w:eastAsia="Times New Roman" w:hAnsi="Times New Roman"/>
                <w:sz w:val="10"/>
                <w:szCs w:val="10"/>
                <w:color w:val="auto"/>
                <w:vertAlign w:val="superscript"/>
              </w:rPr>
              <w:t>(5)</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4/30/2025</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4/30/2028</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Automobiles</w:t>
            </w:r>
          </w:p>
        </w:tc>
        <w:tc>
          <w:tcPr>
            <w:tcW w:w="44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9.34%</w:t>
            </w:r>
          </w:p>
        </w:tc>
        <w:tc>
          <w:tcPr>
            <w:tcW w:w="2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SOFR+550</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5,833</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5,924</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5,950</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First Lien Secured Debt</w:t>
            </w:r>
          </w:p>
        </w:tc>
        <w:tc>
          <w:tcPr>
            <w:tcW w:w="5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6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w w:val="99"/>
              </w:rPr>
              <w:t>1,206,530</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w w:val="99"/>
              </w:rPr>
              <w:t>1,181,870</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Subordinate Debt - 9.2% of Net Assets</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Integrative Nutrition,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4/17/2025</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4/15/2030</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1,877</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1,641</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1,605</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Integrative Nutrition,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4/17/2025</w:t>
            </w: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4/15/2033</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440" w:type="dxa"/>
            <w:vAlign w:val="bottom"/>
          </w:tcPr>
          <w:p>
            <w:pPr>
              <w:spacing w:after="0"/>
              <w:rPr>
                <w:sz w:val="8"/>
                <w:szCs w:val="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4,275</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1,977</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1,977</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Wash &amp; Wax Systems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4/30/2025</w:t>
            </w:r>
          </w:p>
        </w:tc>
        <w:tc>
          <w:tcPr>
            <w:tcW w:w="68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7/30/2028</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Automobiles</w:t>
            </w:r>
          </w:p>
        </w:tc>
        <w:tc>
          <w:tcPr>
            <w:tcW w:w="44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7"/>
              </w:rPr>
              <w:t>12.00%</w:t>
            </w: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4,052</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4,053</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4,052</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Subordinate Debt</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7,671</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7,634</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Equity Securities - 6.6% of Net Assets</w:t>
            </w:r>
          </w:p>
        </w:tc>
        <w:tc>
          <w:tcPr>
            <w:tcW w:w="5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6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48Forty Intermediate Holdings, Inc. - Common Equity</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11/5/2024</w:t>
            </w:r>
          </w:p>
        </w:tc>
        <w:tc>
          <w:tcPr>
            <w:tcW w:w="680" w:type="dxa"/>
            <w:vAlign w:val="bottom"/>
          </w:tcPr>
          <w:p>
            <w:pPr>
              <w:ind w:left="500"/>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Containers and Packaging</w:t>
            </w:r>
          </w:p>
        </w:tc>
        <w:tc>
          <w:tcPr>
            <w:tcW w:w="440" w:type="dxa"/>
            <w:vAlign w:val="bottom"/>
          </w:tcPr>
          <w:p>
            <w:pPr>
              <w:spacing w:after="0"/>
              <w:rPr>
                <w:sz w:val="8"/>
                <w:szCs w:val="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1,722</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New Insight Holdings, Inc. - Common Equity</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7/15/2024</w:t>
            </w:r>
          </w:p>
        </w:tc>
        <w:tc>
          <w:tcPr>
            <w:tcW w:w="68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116,055</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2,031</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1,322</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Output Services Group, Inc. - Common Equity</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12/1/2023</w:t>
            </w:r>
          </w:p>
        </w:tc>
        <w:tc>
          <w:tcPr>
            <w:tcW w:w="680" w:type="dxa"/>
            <w:vAlign w:val="bottom"/>
          </w:tcPr>
          <w:p>
            <w:pPr>
              <w:ind w:left="500"/>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440" w:type="dxa"/>
            <w:vAlign w:val="bottom"/>
          </w:tcPr>
          <w:p>
            <w:pPr>
              <w:spacing w:after="0"/>
              <w:rPr>
                <w:sz w:val="8"/>
                <w:szCs w:val="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126,324</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1,012</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808</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Pragmatic Holdco, Inc. - Common Equity</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3/28/2025</w:t>
            </w:r>
          </w:p>
        </w:tc>
        <w:tc>
          <w:tcPr>
            <w:tcW w:w="68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Education</w:t>
            </w: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134</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Wash &amp; Wax Group, LP - Common Equity</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4/30/2025</w:t>
            </w:r>
          </w:p>
        </w:tc>
        <w:tc>
          <w:tcPr>
            <w:tcW w:w="680" w:type="dxa"/>
            <w:vAlign w:val="bottom"/>
          </w:tcPr>
          <w:p>
            <w:pPr>
              <w:ind w:left="500"/>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Automobiles</w:t>
            </w:r>
          </w:p>
        </w:tc>
        <w:tc>
          <w:tcPr>
            <w:tcW w:w="440" w:type="dxa"/>
            <w:vAlign w:val="bottom"/>
          </w:tcPr>
          <w:p>
            <w:pPr>
              <w:spacing w:after="0"/>
              <w:rPr>
                <w:sz w:val="8"/>
                <w:szCs w:val="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rPr>
              <w:t>2,493</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4,449</w:t>
            </w:r>
          </w:p>
        </w:tc>
        <w:tc>
          <w:tcPr>
            <w:tcW w:w="140" w:type="dxa"/>
            <w:vAlign w:val="bottom"/>
          </w:tcPr>
          <w:p>
            <w:pPr>
              <w:spacing w:after="0"/>
              <w:rPr>
                <w:sz w:val="8"/>
                <w:szCs w:val="8"/>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3,118</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White Tiger Newco, LLC - Common Equity </w:t>
            </w:r>
            <w:r>
              <w:rPr>
                <w:rFonts w:ascii="Times New Roman" w:cs="Times New Roman" w:eastAsia="Times New Roman" w:hAnsi="Times New Roman"/>
                <w:sz w:val="10"/>
                <w:szCs w:val="10"/>
                <w:color w:val="auto"/>
                <w:vertAlign w:val="superscript"/>
              </w:rPr>
              <w:t>(5)</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7/31/2025</w:t>
            </w:r>
          </w:p>
        </w:tc>
        <w:tc>
          <w:tcPr>
            <w:tcW w:w="68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6"/>
              </w:rPr>
              <w:t>Automobiles</w:t>
            </w: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shd w:val="clear" w:color="auto" w:fill="CCECFF"/>
          </w:tcPr>
          <w:p>
            <w:pPr>
              <w:jc w:val="right"/>
              <w:ind w:right="180"/>
              <w:spacing w:after="0"/>
              <w:rPr>
                <w:sz w:val="20"/>
                <w:szCs w:val="20"/>
                <w:color w:val="auto"/>
              </w:rPr>
            </w:pPr>
            <w:r>
              <w:rPr>
                <w:rFonts w:ascii="Times New Roman" w:cs="Times New Roman" w:eastAsia="Times New Roman" w:hAnsi="Times New Roman"/>
                <w:sz w:val="8"/>
                <w:szCs w:val="8"/>
                <w:color w:val="auto"/>
              </w:rPr>
              <w:t>35,834</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2,734</w:t>
            </w:r>
          </w:p>
        </w:tc>
        <w:tc>
          <w:tcPr>
            <w:tcW w:w="140" w:type="dxa"/>
            <w:vAlign w:val="bottom"/>
            <w:shd w:val="clear" w:color="auto" w:fill="CCECFF"/>
          </w:tcPr>
          <w:p>
            <w:pPr>
              <w:spacing w:after="0"/>
              <w:rPr>
                <w:sz w:val="8"/>
                <w:szCs w:val="8"/>
                <w:color w:val="auto"/>
              </w:rPr>
            </w:pP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264</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Equity Securities</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10,226</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5,512</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b w:val="1"/>
                <w:bCs w:val="1"/>
                <w:color w:val="auto"/>
              </w:rPr>
              <w:t xml:space="preserve">Total Investments - 1,438.5% of Net Assets </w:t>
            </w:r>
            <w:r>
              <w:rPr>
                <w:rFonts w:ascii="Times New Roman" w:cs="Times New Roman" w:eastAsia="Times New Roman" w:hAnsi="Times New Roman"/>
                <w:sz w:val="10"/>
                <w:szCs w:val="10"/>
                <w:b w:val="1"/>
                <w:bCs w:val="1"/>
                <w:color w:val="auto"/>
                <w:vertAlign w:val="superscript"/>
              </w:rPr>
              <w:t>(6)(7)</w:t>
            </w:r>
          </w:p>
        </w:tc>
        <w:tc>
          <w:tcPr>
            <w:tcW w:w="5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26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w w:val="99"/>
              </w:rPr>
              <w:t>1,224,427</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w w:val="99"/>
              </w:rPr>
              <w:t>1,195,016</w:t>
            </w:r>
          </w:p>
        </w:tc>
        <w:tc>
          <w:tcPr>
            <w:tcW w:w="0" w:type="dxa"/>
            <w:vAlign w:val="bottom"/>
          </w:tcPr>
          <w:p>
            <w:pPr>
              <w:spacing w:after="0"/>
              <w:rPr>
                <w:sz w:val="1"/>
                <w:szCs w:val="1"/>
                <w:color w:val="auto"/>
              </w:rPr>
            </w:pPr>
          </w:p>
        </w:tc>
      </w:tr>
    </w:tbl>
    <w:p>
      <w:pPr>
        <w:jc w:val="center"/>
        <w:ind w:right="20"/>
        <w:spacing w:after="0"/>
        <w:rPr>
          <w:sz w:val="20"/>
          <w:szCs w:val="20"/>
          <w:color w:val="auto"/>
        </w:rPr>
      </w:pPr>
      <w:r>
        <w:rPr>
          <w:rFonts w:ascii="Times New Roman" w:cs="Times New Roman" w:eastAsia="Times New Roman" w:hAnsi="Times New Roman"/>
          <w:sz w:val="11"/>
          <w:szCs w:val="1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349250</wp:posOffset>
            </wp:positionV>
            <wp:extent cx="526605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204" w:right="1440" w:bottom="1440" w:gutter="0" w:footer="0" w:header="0"/>
        </w:sectPr>
      </w:pPr>
    </w:p>
    <w:bookmarkStart w:id="67" w:name="page68"/>
    <w:bookmarkEnd w:id="67"/>
    <w:tbl>
      <w:tblPr>
        <w:tblLayout w:type="fixed"/>
        <w:tblInd w:w="780" w:type="dxa"/>
        <w:tblCellMar>
          <w:top w:w="0" w:type="dxa"/>
          <w:left w:w="0" w:type="dxa"/>
          <w:bottom w:w="0" w:type="dxa"/>
          <w:right w:w="0" w:type="dxa"/>
        </w:tblCellMar>
      </w:tblPr>
      <w:tr>
        <w:trPr>
          <w:trHeight w:val="101"/>
        </w:trPr>
        <w:tc>
          <w:tcPr>
            <w:tcW w:w="2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Spread</w:t>
            </w: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9"/>
              </w:rPr>
              <w:t>Par or</w:t>
            </w: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jc w:val="right"/>
              <w:ind w:right="24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Above</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8"/>
              </w:rPr>
              <w:t>Number</w:t>
            </w: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560" w:type="dxa"/>
            <w:vAlign w:val="bottom"/>
          </w:tcPr>
          <w:p>
            <w:pPr>
              <w:ind w:left="6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760" w:type="dxa"/>
            <w:vAlign w:val="bottom"/>
          </w:tcPr>
          <w:p>
            <w:pPr>
              <w:ind w:left="10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940" w:type="dxa"/>
            <w:vAlign w:val="bottom"/>
          </w:tcPr>
          <w:p>
            <w:pPr>
              <w:ind w:left="36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860" w:type="dxa"/>
            <w:vAlign w:val="bottom"/>
          </w:tcPr>
          <w:p>
            <w:pPr>
              <w:jc w:val="right"/>
              <w:ind w:right="240"/>
              <w:spacing w:after="0"/>
              <w:rPr>
                <w:sz w:val="20"/>
                <w:szCs w:val="20"/>
                <w:color w:val="auto"/>
              </w:rPr>
            </w:pPr>
            <w:r>
              <w:rPr>
                <w:rFonts w:ascii="Times New Roman" w:cs="Times New Roman" w:eastAsia="Times New Roman" w:hAnsi="Times New Roman"/>
                <w:sz w:val="8"/>
                <w:szCs w:val="8"/>
                <w:b w:val="1"/>
                <w:bCs w:val="1"/>
                <w:color w:val="auto"/>
              </w:rPr>
              <w:t>Coupon</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b w:val="1"/>
                <w:bCs w:val="1"/>
                <w:color w:val="auto"/>
                <w:w w:val="95"/>
              </w:rPr>
              <w:t xml:space="preserve">Index </w:t>
            </w:r>
            <w:r>
              <w:rPr>
                <w:rFonts w:ascii="Times New Roman" w:cs="Times New Roman" w:eastAsia="Times New Roman" w:hAnsi="Times New Roman"/>
                <w:sz w:val="10"/>
                <w:szCs w:val="10"/>
                <w:b w:val="1"/>
                <w:bCs w:val="1"/>
                <w:color w:val="auto"/>
                <w:w w:val="95"/>
                <w:vertAlign w:val="superscript"/>
              </w:rPr>
              <w:t>(1)</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of Shares</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Cost</w:t>
            </w:r>
          </w:p>
        </w:tc>
        <w:tc>
          <w:tcPr>
            <w:tcW w:w="140" w:type="dxa"/>
            <w:vAlign w:val="bottom"/>
          </w:tcPr>
          <w:p>
            <w:pPr>
              <w:spacing w:after="0"/>
              <w:rPr>
                <w:sz w:val="11"/>
                <w:szCs w:val="11"/>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(2)</w:t>
            </w:r>
          </w:p>
        </w:tc>
        <w:tc>
          <w:tcPr>
            <w:tcW w:w="0" w:type="dxa"/>
            <w:vAlign w:val="bottom"/>
          </w:tcPr>
          <w:p>
            <w:pPr>
              <w:spacing w:after="0"/>
              <w:rPr>
                <w:sz w:val="1"/>
                <w:szCs w:val="1"/>
                <w:color w:val="auto"/>
              </w:rPr>
            </w:pPr>
          </w:p>
        </w:tc>
      </w:tr>
      <w:tr>
        <w:trPr>
          <w:trHeight w:val="70"/>
        </w:trPr>
        <w:tc>
          <w:tcPr>
            <w:tcW w:w="2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Cash Equivalents - 22.7% of Net Assets</w:t>
            </w:r>
          </w:p>
        </w:tc>
        <w:tc>
          <w:tcPr>
            <w:tcW w:w="560" w:type="dxa"/>
            <w:vAlign w:val="bottom"/>
            <w:shd w:val="clear" w:color="auto" w:fill="CCECFF"/>
          </w:tcPr>
          <w:p>
            <w:pPr>
              <w:spacing w:after="0"/>
              <w:rPr>
                <w:sz w:val="8"/>
                <w:szCs w:val="8"/>
                <w:color w:val="auto"/>
              </w:rPr>
            </w:pPr>
          </w:p>
        </w:tc>
        <w:tc>
          <w:tcPr>
            <w:tcW w:w="760" w:type="dxa"/>
            <w:vAlign w:val="bottom"/>
            <w:shd w:val="clear" w:color="auto" w:fill="CCECFF"/>
          </w:tcPr>
          <w:p>
            <w:pPr>
              <w:spacing w:after="0"/>
              <w:rPr>
                <w:sz w:val="8"/>
                <w:szCs w:val="8"/>
                <w:color w:val="auto"/>
              </w:rPr>
            </w:pPr>
          </w:p>
        </w:tc>
        <w:tc>
          <w:tcPr>
            <w:tcW w:w="940" w:type="dxa"/>
            <w:vAlign w:val="bottom"/>
            <w:shd w:val="clear" w:color="auto" w:fill="CCECFF"/>
          </w:tcPr>
          <w:p>
            <w:pPr>
              <w:spacing w:after="0"/>
              <w:rPr>
                <w:sz w:val="8"/>
                <w:szCs w:val="8"/>
                <w:color w:val="auto"/>
              </w:rPr>
            </w:pPr>
          </w:p>
        </w:tc>
        <w:tc>
          <w:tcPr>
            <w:tcW w:w="86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BlackRock Federal FD Institutional 81 ( Money Market</w:t>
            </w: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Fund)</w:t>
            </w: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3.69%</w:t>
            </w:r>
          </w:p>
        </w:tc>
        <w:tc>
          <w:tcPr>
            <w:tcW w:w="580" w:type="dxa"/>
            <w:vAlign w:val="bottom"/>
          </w:tcPr>
          <w:p>
            <w:pPr>
              <w:spacing w:after="0"/>
              <w:rPr>
                <w:sz w:val="8"/>
                <w:szCs w:val="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3,715</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3,715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Blackrock Liquidity Fed Fund Inst (Money Market Fund)</w:t>
            </w:r>
          </w:p>
        </w:tc>
        <w:tc>
          <w:tcPr>
            <w:tcW w:w="560" w:type="dxa"/>
            <w:vAlign w:val="bottom"/>
            <w:shd w:val="clear" w:color="auto" w:fill="CCECFF"/>
          </w:tcPr>
          <w:p>
            <w:pPr>
              <w:spacing w:after="0"/>
              <w:rPr>
                <w:sz w:val="8"/>
                <w:szCs w:val="8"/>
                <w:color w:val="auto"/>
              </w:rPr>
            </w:pPr>
          </w:p>
        </w:tc>
        <w:tc>
          <w:tcPr>
            <w:tcW w:w="760" w:type="dxa"/>
            <w:vAlign w:val="bottom"/>
            <w:shd w:val="clear" w:color="auto" w:fill="CCECFF"/>
          </w:tcPr>
          <w:p>
            <w:pPr>
              <w:spacing w:after="0"/>
              <w:rPr>
                <w:sz w:val="8"/>
                <w:szCs w:val="8"/>
                <w:color w:val="auto"/>
              </w:rPr>
            </w:pPr>
          </w:p>
        </w:tc>
        <w:tc>
          <w:tcPr>
            <w:tcW w:w="940" w:type="dxa"/>
            <w:vAlign w:val="bottom"/>
            <w:shd w:val="clear" w:color="auto" w:fill="CCECFF"/>
          </w:tcPr>
          <w:p>
            <w:pPr>
              <w:spacing w:after="0"/>
              <w:rPr>
                <w:sz w:val="8"/>
                <w:szCs w:val="8"/>
                <w:color w:val="auto"/>
              </w:rPr>
            </w:pPr>
          </w:p>
        </w:tc>
        <w:tc>
          <w:tcPr>
            <w:tcW w:w="8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3.64%</w:t>
            </w:r>
          </w:p>
        </w:tc>
        <w:tc>
          <w:tcPr>
            <w:tcW w:w="58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3,635</w:t>
            </w: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3,635</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JP Morgan USD Liquidity Inst (Money Market Fund)</w:t>
            </w: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3.81%</w:t>
            </w: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4,293</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4,293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JP Morgan US Government Fund (Money Market Fund)</w:t>
            </w:r>
          </w:p>
        </w:tc>
        <w:tc>
          <w:tcPr>
            <w:tcW w:w="560" w:type="dxa"/>
            <w:vAlign w:val="bottom"/>
            <w:shd w:val="clear" w:color="auto" w:fill="CCECFF"/>
          </w:tcPr>
          <w:p>
            <w:pPr>
              <w:spacing w:after="0"/>
              <w:rPr>
                <w:sz w:val="8"/>
                <w:szCs w:val="8"/>
                <w:color w:val="auto"/>
              </w:rPr>
            </w:pPr>
          </w:p>
        </w:tc>
        <w:tc>
          <w:tcPr>
            <w:tcW w:w="760" w:type="dxa"/>
            <w:vAlign w:val="bottom"/>
            <w:shd w:val="clear" w:color="auto" w:fill="CCECFF"/>
          </w:tcPr>
          <w:p>
            <w:pPr>
              <w:spacing w:after="0"/>
              <w:rPr>
                <w:sz w:val="8"/>
                <w:szCs w:val="8"/>
                <w:color w:val="auto"/>
              </w:rPr>
            </w:pPr>
          </w:p>
        </w:tc>
        <w:tc>
          <w:tcPr>
            <w:tcW w:w="940" w:type="dxa"/>
            <w:vAlign w:val="bottom"/>
            <w:shd w:val="clear" w:color="auto" w:fill="CCECFF"/>
          </w:tcPr>
          <w:p>
            <w:pPr>
              <w:spacing w:after="0"/>
              <w:rPr>
                <w:sz w:val="8"/>
                <w:szCs w:val="8"/>
                <w:color w:val="auto"/>
              </w:rPr>
            </w:pPr>
          </w:p>
        </w:tc>
        <w:tc>
          <w:tcPr>
            <w:tcW w:w="8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3.61%</w:t>
            </w:r>
          </w:p>
        </w:tc>
        <w:tc>
          <w:tcPr>
            <w:tcW w:w="58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2,206</w:t>
            </w: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2,206</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Goldman Sachs Financial Square Government Fund (Money</w:t>
            </w: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Market Fund)</w:t>
            </w: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3.71%</w:t>
            </w: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5,014</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5,014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Cash Equivalents</w:t>
            </w:r>
          </w:p>
        </w:tc>
        <w:tc>
          <w:tcPr>
            <w:tcW w:w="560" w:type="dxa"/>
            <w:vAlign w:val="bottom"/>
            <w:shd w:val="clear" w:color="auto" w:fill="CCECFF"/>
          </w:tcPr>
          <w:p>
            <w:pPr>
              <w:spacing w:after="0"/>
              <w:rPr>
                <w:sz w:val="8"/>
                <w:szCs w:val="8"/>
                <w:color w:val="auto"/>
              </w:rPr>
            </w:pPr>
          </w:p>
        </w:tc>
        <w:tc>
          <w:tcPr>
            <w:tcW w:w="760" w:type="dxa"/>
            <w:vAlign w:val="bottom"/>
            <w:shd w:val="clear" w:color="auto" w:fill="CCECFF"/>
          </w:tcPr>
          <w:p>
            <w:pPr>
              <w:spacing w:after="0"/>
              <w:rPr>
                <w:sz w:val="8"/>
                <w:szCs w:val="8"/>
                <w:color w:val="auto"/>
              </w:rPr>
            </w:pPr>
          </w:p>
        </w:tc>
        <w:tc>
          <w:tcPr>
            <w:tcW w:w="940" w:type="dxa"/>
            <w:vAlign w:val="bottom"/>
            <w:shd w:val="clear" w:color="auto" w:fill="CCECFF"/>
          </w:tcPr>
          <w:p>
            <w:pPr>
              <w:spacing w:after="0"/>
              <w:rPr>
                <w:sz w:val="8"/>
                <w:szCs w:val="8"/>
                <w:color w:val="auto"/>
              </w:rPr>
            </w:pPr>
          </w:p>
        </w:tc>
        <w:tc>
          <w:tcPr>
            <w:tcW w:w="86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18,863</w:t>
            </w:r>
          </w:p>
        </w:tc>
        <w:tc>
          <w:tcPr>
            <w:tcW w:w="22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18,863</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Cash - 17.9% of Net Assets</w:t>
            </w: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Cash</w:t>
            </w:r>
          </w:p>
        </w:tc>
        <w:tc>
          <w:tcPr>
            <w:tcW w:w="560" w:type="dxa"/>
            <w:vAlign w:val="bottom"/>
            <w:shd w:val="clear" w:color="auto" w:fill="CCECFF"/>
          </w:tcPr>
          <w:p>
            <w:pPr>
              <w:spacing w:after="0"/>
              <w:rPr>
                <w:sz w:val="8"/>
                <w:szCs w:val="8"/>
                <w:color w:val="auto"/>
              </w:rPr>
            </w:pPr>
          </w:p>
        </w:tc>
        <w:tc>
          <w:tcPr>
            <w:tcW w:w="760" w:type="dxa"/>
            <w:vAlign w:val="bottom"/>
            <w:shd w:val="clear" w:color="auto" w:fill="CCECFF"/>
          </w:tcPr>
          <w:p>
            <w:pPr>
              <w:spacing w:after="0"/>
              <w:rPr>
                <w:sz w:val="8"/>
                <w:szCs w:val="8"/>
                <w:color w:val="auto"/>
              </w:rPr>
            </w:pPr>
          </w:p>
        </w:tc>
        <w:tc>
          <w:tcPr>
            <w:tcW w:w="940" w:type="dxa"/>
            <w:vAlign w:val="bottom"/>
            <w:shd w:val="clear" w:color="auto" w:fill="CCECFF"/>
          </w:tcPr>
          <w:p>
            <w:pPr>
              <w:spacing w:after="0"/>
              <w:rPr>
                <w:sz w:val="8"/>
                <w:szCs w:val="8"/>
                <w:color w:val="auto"/>
              </w:rPr>
            </w:pPr>
          </w:p>
        </w:tc>
        <w:tc>
          <w:tcPr>
            <w:tcW w:w="86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14,853</w:t>
            </w:r>
          </w:p>
        </w:tc>
        <w:tc>
          <w:tcPr>
            <w:tcW w:w="22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14,853</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Cash</w:t>
            </w: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14,853</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14,853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Investments, Cash Equivalents, and Cash —</w:t>
            </w:r>
          </w:p>
        </w:tc>
        <w:tc>
          <w:tcPr>
            <w:tcW w:w="560" w:type="dxa"/>
            <w:vAlign w:val="bottom"/>
            <w:shd w:val="clear" w:color="auto" w:fill="CCECFF"/>
          </w:tcPr>
          <w:p>
            <w:pPr>
              <w:spacing w:after="0"/>
              <w:rPr>
                <w:sz w:val="8"/>
                <w:szCs w:val="8"/>
                <w:color w:val="auto"/>
              </w:rPr>
            </w:pPr>
          </w:p>
        </w:tc>
        <w:tc>
          <w:tcPr>
            <w:tcW w:w="760" w:type="dxa"/>
            <w:vAlign w:val="bottom"/>
            <w:shd w:val="clear" w:color="auto" w:fill="CCECFF"/>
          </w:tcPr>
          <w:p>
            <w:pPr>
              <w:spacing w:after="0"/>
              <w:rPr>
                <w:sz w:val="8"/>
                <w:szCs w:val="8"/>
                <w:color w:val="auto"/>
              </w:rPr>
            </w:pPr>
          </w:p>
        </w:tc>
        <w:tc>
          <w:tcPr>
            <w:tcW w:w="940" w:type="dxa"/>
            <w:vAlign w:val="bottom"/>
            <w:shd w:val="clear" w:color="auto" w:fill="CCECFF"/>
          </w:tcPr>
          <w:p>
            <w:pPr>
              <w:spacing w:after="0"/>
              <w:rPr>
                <w:sz w:val="8"/>
                <w:szCs w:val="8"/>
                <w:color w:val="auto"/>
              </w:rPr>
            </w:pPr>
          </w:p>
        </w:tc>
        <w:tc>
          <w:tcPr>
            <w:tcW w:w="86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72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w w:val="99"/>
              </w:rPr>
              <w:t>1,258,143</w:t>
            </w:r>
          </w:p>
        </w:tc>
        <w:tc>
          <w:tcPr>
            <w:tcW w:w="220" w:type="dxa"/>
            <w:vAlign w:val="bottom"/>
            <w:gridSpan w:val="2"/>
            <w:vMerge w:val="restart"/>
            <w:shd w:val="clear" w:color="auto" w:fill="CCECFF"/>
          </w:tcPr>
          <w:p>
            <w:pPr>
              <w:ind w:left="14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1,228,732</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00" w:type="dxa"/>
            <w:vAlign w:val="bottom"/>
            <w:shd w:val="clear" w:color="auto" w:fill="CCECFF"/>
          </w:tcPr>
          <w:p>
            <w:pPr>
              <w:spacing w:after="0" w:line="62" w:lineRule="exact"/>
              <w:rPr>
                <w:sz w:val="20"/>
                <w:szCs w:val="20"/>
                <w:color w:val="auto"/>
              </w:rPr>
            </w:pPr>
            <w:r>
              <w:rPr>
                <w:rFonts w:ascii="Times New Roman" w:cs="Times New Roman" w:eastAsia="Times New Roman" w:hAnsi="Times New Roman"/>
                <w:sz w:val="7"/>
                <w:szCs w:val="7"/>
                <w:b w:val="1"/>
                <w:bCs w:val="1"/>
                <w:color w:val="auto"/>
              </w:rPr>
              <w:t>1,479.1% of Net Assets</w:t>
            </w:r>
          </w:p>
        </w:tc>
        <w:tc>
          <w:tcPr>
            <w:tcW w:w="5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94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720" w:type="dxa"/>
            <w:vAlign w:val="bottom"/>
            <w:gridSpan w:val="2"/>
            <w:vMerge w:val="continue"/>
            <w:shd w:val="clear" w:color="auto" w:fill="CCECFF"/>
          </w:tcPr>
          <w:p>
            <w:pPr>
              <w:spacing w:after="0"/>
              <w:rPr>
                <w:sz w:val="9"/>
                <w:szCs w:val="9"/>
                <w:color w:val="auto"/>
              </w:rPr>
            </w:pPr>
          </w:p>
        </w:tc>
        <w:tc>
          <w:tcPr>
            <w:tcW w:w="340" w:type="dxa"/>
            <w:vAlign w:val="bottom"/>
            <w:vMerge w:val="continue"/>
            <w:shd w:val="clear" w:color="auto" w:fill="CCECFF"/>
          </w:tcPr>
          <w:p>
            <w:pPr>
              <w:spacing w:after="0"/>
              <w:rPr>
                <w:sz w:val="9"/>
                <w:szCs w:val="9"/>
                <w:color w:val="auto"/>
              </w:rPr>
            </w:pPr>
          </w:p>
        </w:tc>
        <w:tc>
          <w:tcPr>
            <w:tcW w:w="220" w:type="dxa"/>
            <w:vAlign w:val="bottom"/>
            <w:gridSpan w:val="2"/>
            <w:vMerge w:val="continue"/>
            <w:shd w:val="clear" w:color="auto" w:fill="CCECFF"/>
          </w:tcPr>
          <w:p>
            <w:pPr>
              <w:spacing w:after="0"/>
              <w:rPr>
                <w:sz w:val="9"/>
                <w:szCs w:val="9"/>
                <w:color w:val="auto"/>
              </w:rPr>
            </w:pPr>
          </w:p>
        </w:tc>
        <w:tc>
          <w:tcPr>
            <w:tcW w:w="400" w:type="dxa"/>
            <w:vAlign w:val="bottom"/>
            <w:vMerge w:val="continue"/>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00" w:type="dxa"/>
            <w:vAlign w:val="bottom"/>
            <w:tcBorders>
              <w:top w:val="single" w:sz="8" w:color="CCECFF"/>
            </w:tcBorders>
          </w:tcPr>
          <w:p>
            <w:pPr>
              <w:spacing w:after="0" w:line="70" w:lineRule="exact"/>
              <w:rPr>
                <w:sz w:val="20"/>
                <w:szCs w:val="20"/>
                <w:color w:val="auto"/>
              </w:rPr>
            </w:pPr>
            <w:r>
              <w:rPr>
                <w:rFonts w:ascii="Times New Roman" w:cs="Times New Roman" w:eastAsia="Times New Roman" w:hAnsi="Times New Roman"/>
                <w:sz w:val="8"/>
                <w:szCs w:val="8"/>
                <w:b w:val="1"/>
                <w:bCs w:val="1"/>
                <w:color w:val="auto"/>
              </w:rPr>
              <w:t>Liabilities in Excess of Other Assets — (1,379.1)% of Net</w:t>
            </w:r>
          </w:p>
        </w:tc>
        <w:tc>
          <w:tcPr>
            <w:tcW w:w="560" w:type="dxa"/>
            <w:vAlign w:val="bottom"/>
            <w:tcBorders>
              <w:top w:val="single" w:sz="8" w:color="CCECFF"/>
            </w:tcBorders>
          </w:tcPr>
          <w:p>
            <w:pPr>
              <w:spacing w:after="0"/>
              <w:rPr>
                <w:sz w:val="6"/>
                <w:szCs w:val="6"/>
                <w:color w:val="auto"/>
              </w:rPr>
            </w:pPr>
          </w:p>
        </w:tc>
        <w:tc>
          <w:tcPr>
            <w:tcW w:w="760" w:type="dxa"/>
            <w:vAlign w:val="bottom"/>
            <w:tcBorders>
              <w:top w:val="single" w:sz="8" w:color="CCECFF"/>
            </w:tcBorders>
          </w:tcPr>
          <w:p>
            <w:pPr>
              <w:spacing w:after="0"/>
              <w:rPr>
                <w:sz w:val="6"/>
                <w:szCs w:val="6"/>
                <w:color w:val="auto"/>
              </w:rPr>
            </w:pPr>
          </w:p>
        </w:tc>
        <w:tc>
          <w:tcPr>
            <w:tcW w:w="940" w:type="dxa"/>
            <w:vAlign w:val="bottom"/>
            <w:tcBorders>
              <w:top w:val="single" w:sz="8" w:color="CCECFF"/>
            </w:tcBorders>
          </w:tcPr>
          <w:p>
            <w:pPr>
              <w:spacing w:after="0"/>
              <w:rPr>
                <w:sz w:val="6"/>
                <w:szCs w:val="6"/>
                <w:color w:val="auto"/>
              </w:rPr>
            </w:pPr>
          </w:p>
        </w:tc>
        <w:tc>
          <w:tcPr>
            <w:tcW w:w="860" w:type="dxa"/>
            <w:vAlign w:val="bottom"/>
            <w:tcBorders>
              <w:top w:val="single" w:sz="8" w:color="CCECFF"/>
            </w:tcBorders>
          </w:tcPr>
          <w:p>
            <w:pPr>
              <w:spacing w:after="0"/>
              <w:rPr>
                <w:sz w:val="6"/>
                <w:szCs w:val="6"/>
                <w:color w:val="auto"/>
              </w:rPr>
            </w:pPr>
          </w:p>
        </w:tc>
        <w:tc>
          <w:tcPr>
            <w:tcW w:w="580" w:type="dxa"/>
            <w:vAlign w:val="bottom"/>
            <w:tcBorders>
              <w:top w:val="single" w:sz="8" w:color="CCECFF"/>
            </w:tcBorders>
          </w:tcPr>
          <w:p>
            <w:pPr>
              <w:spacing w:after="0"/>
              <w:rPr>
                <w:sz w:val="6"/>
                <w:szCs w:val="6"/>
                <w:color w:val="auto"/>
              </w:rPr>
            </w:pPr>
          </w:p>
        </w:tc>
        <w:tc>
          <w:tcPr>
            <w:tcW w:w="640" w:type="dxa"/>
            <w:vAlign w:val="bottom"/>
            <w:tcBorders>
              <w:top w:val="single" w:sz="8" w:color="CCEC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40" w:type="dxa"/>
            <w:vAlign w:val="bottom"/>
            <w:tcBorders>
              <w:top w:val="single" w:sz="8" w:color="CCEC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80" w:type="dxa"/>
            <w:vAlign w:val="bottom"/>
            <w:tcBorders>
              <w:top w:val="single" w:sz="8" w:color="CCECFF"/>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(1,145,657)</w:t>
            </w:r>
          </w:p>
        </w:tc>
        <w:tc>
          <w:tcPr>
            <w:tcW w:w="0" w:type="dxa"/>
            <w:vAlign w:val="bottom"/>
          </w:tcPr>
          <w:p>
            <w:pPr>
              <w:spacing w:after="0"/>
              <w:rPr>
                <w:sz w:val="1"/>
                <w:szCs w:val="1"/>
                <w:color w:val="auto"/>
              </w:rPr>
            </w:pPr>
          </w:p>
        </w:tc>
      </w:tr>
      <w:tr>
        <w:trPr>
          <w:trHeight w:val="141"/>
        </w:trPr>
        <w:tc>
          <w:tcPr>
            <w:tcW w:w="2000" w:type="dxa"/>
            <w:vAlign w:val="bottom"/>
            <w:tcBorders>
              <w:bottom w:val="single" w:sz="8" w:color="CCECFF"/>
            </w:tcBorders>
            <w:shd w:val="clear" w:color="auto" w:fill="CCECFF"/>
          </w:tcPr>
          <w:p>
            <w:pPr>
              <w:spacing w:after="0" w:line="91" w:lineRule="exact"/>
              <w:rPr>
                <w:sz w:val="20"/>
                <w:szCs w:val="20"/>
                <w:color w:val="auto"/>
              </w:rPr>
            </w:pPr>
            <w:r>
              <w:rPr>
                <w:rFonts w:ascii="Times New Roman" w:cs="Times New Roman" w:eastAsia="Times New Roman" w:hAnsi="Times New Roman"/>
                <w:sz w:val="8"/>
                <w:szCs w:val="8"/>
                <w:b w:val="1"/>
                <w:bCs w:val="1"/>
                <w:color w:val="auto"/>
              </w:rPr>
              <w:t>Members' Equity—100.0%</w:t>
            </w:r>
          </w:p>
        </w:tc>
        <w:tc>
          <w:tcPr>
            <w:tcW w:w="560" w:type="dxa"/>
            <w:vAlign w:val="bottom"/>
            <w:tcBorders>
              <w:bottom w:val="single" w:sz="8" w:color="CCECFF"/>
            </w:tcBorders>
            <w:shd w:val="clear" w:color="auto" w:fill="CCECFF"/>
          </w:tcPr>
          <w:p>
            <w:pPr>
              <w:spacing w:after="0"/>
              <w:rPr>
                <w:sz w:val="12"/>
                <w:szCs w:val="12"/>
                <w:color w:val="auto"/>
              </w:rPr>
            </w:pPr>
          </w:p>
        </w:tc>
        <w:tc>
          <w:tcPr>
            <w:tcW w:w="760" w:type="dxa"/>
            <w:vAlign w:val="bottom"/>
            <w:tcBorders>
              <w:bottom w:val="single" w:sz="8" w:color="CCECFF"/>
            </w:tcBorders>
            <w:shd w:val="clear" w:color="auto" w:fill="CCECFF"/>
          </w:tcPr>
          <w:p>
            <w:pPr>
              <w:spacing w:after="0"/>
              <w:rPr>
                <w:sz w:val="12"/>
                <w:szCs w:val="12"/>
                <w:color w:val="auto"/>
              </w:rPr>
            </w:pPr>
          </w:p>
        </w:tc>
        <w:tc>
          <w:tcPr>
            <w:tcW w:w="940" w:type="dxa"/>
            <w:vAlign w:val="bottom"/>
            <w:tcBorders>
              <w:bottom w:val="single" w:sz="8" w:color="CCECFF"/>
            </w:tcBorders>
            <w:shd w:val="clear" w:color="auto" w:fill="CCECFF"/>
          </w:tcPr>
          <w:p>
            <w:pPr>
              <w:spacing w:after="0"/>
              <w:rPr>
                <w:sz w:val="12"/>
                <w:szCs w:val="12"/>
                <w:color w:val="auto"/>
              </w:rPr>
            </w:pPr>
          </w:p>
        </w:tc>
        <w:tc>
          <w:tcPr>
            <w:tcW w:w="86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83,075</w:t>
            </w:r>
          </w:p>
        </w:tc>
        <w:tc>
          <w:tcPr>
            <w:tcW w:w="8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8"/>
          <w:szCs w:val="8"/>
          <w:color w:val="auto"/>
        </w:rPr>
        <w:t>——————————————————————</w:t>
      </w:r>
    </w:p>
    <w:p>
      <w:pPr>
        <w:spacing w:after="0" w:line="12" w:lineRule="exact"/>
        <w:rPr>
          <w:sz w:val="20"/>
          <w:szCs w:val="20"/>
          <w:color w:val="auto"/>
        </w:rPr>
      </w:pPr>
    </w:p>
    <w:p>
      <w:pPr>
        <w:ind w:left="780" w:right="960"/>
        <w:spacing w:after="0" w:line="236" w:lineRule="auto"/>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8"/>
          <w:szCs w:val="8"/>
          <w:color w:val="auto"/>
        </w:rPr>
        <w:t>Represents floating rate instruments that accrue interest at a predetermined spread relative to an index, typically the applicable Secured Overnight Financing Rate or "SOFR". The spread may change based on the type of rate used. The terms in the Consolidated Schedule of Investments disclose the actual interest rate in effect as of the reporting period. All securities are subject to a SOFR floor where a spread is provided, unless noted. The spread provided includes PIK interest and other fee rates, if any.</w:t>
      </w:r>
    </w:p>
    <w:p>
      <w:pPr>
        <w:ind w:left="780"/>
        <w:spacing w:after="0" w:line="218" w:lineRule="auto"/>
        <w:rPr>
          <w:sz w:val="20"/>
          <w:szCs w:val="20"/>
          <w:color w:val="auto"/>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8"/>
          <w:szCs w:val="8"/>
          <w:color w:val="auto"/>
        </w:rPr>
        <w:t>Valued based on PSSL’s accounting policy.</w:t>
      </w:r>
    </w:p>
    <w:p>
      <w:pPr>
        <w:ind w:left="780"/>
        <w:spacing w:after="0" w:line="211" w:lineRule="auto"/>
        <w:rPr>
          <w:sz w:val="20"/>
          <w:szCs w:val="20"/>
          <w:color w:val="auto"/>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8"/>
          <w:szCs w:val="8"/>
          <w:color w:val="auto"/>
        </w:rPr>
        <w:t>Represents the purchase of a security with a delayed settlement or a revolving line of credit that is currently an unfunded investment. This security does not earn a basis point spread above an index while it is unfunded.</w:t>
      </w:r>
    </w:p>
    <w:p>
      <w:pPr>
        <w:ind w:left="780"/>
        <w:spacing w:after="0" w:line="210" w:lineRule="auto"/>
        <w:rPr>
          <w:sz w:val="20"/>
          <w:szCs w:val="20"/>
          <w:color w:val="auto"/>
        </w:rPr>
      </w:pP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8"/>
          <w:szCs w:val="8"/>
          <w:color w:val="auto"/>
        </w:rPr>
        <w:t>Non-accrual security.</w:t>
      </w:r>
    </w:p>
    <w:p>
      <w:pPr>
        <w:spacing w:after="0" w:line="1" w:lineRule="exact"/>
        <w:rPr>
          <w:sz w:val="20"/>
          <w:szCs w:val="20"/>
          <w:color w:val="auto"/>
        </w:rPr>
      </w:pPr>
    </w:p>
    <w:p>
      <w:pPr>
        <w:ind w:left="780" w:right="860"/>
        <w:spacing w:after="0" w:line="223" w:lineRule="auto"/>
        <w:rPr>
          <w:sz w:val="20"/>
          <w:szCs w:val="20"/>
          <w:color w:val="auto"/>
        </w:rPr>
      </w:pPr>
      <w:r>
        <w:rPr>
          <w:rFonts w:ascii="Times New Roman" w:cs="Times New Roman" w:eastAsia="Times New Roman" w:hAnsi="Times New Roman"/>
          <w:sz w:val="16"/>
          <w:szCs w:val="16"/>
          <w:color w:val="auto"/>
          <w:vertAlign w:val="superscript"/>
        </w:rPr>
        <w:t>(5)</w:t>
      </w:r>
      <w:r>
        <w:rPr>
          <w:rFonts w:ascii="Times New Roman" w:cs="Times New Roman" w:eastAsia="Times New Roman" w:hAnsi="Times New Roman"/>
          <w:sz w:val="8"/>
          <w:szCs w:val="8"/>
          <w:color w:val="auto"/>
        </w:rPr>
        <w:t>The securities, or a portion thereof, 1) are not pledged as collateral under the Credit Facility and held through Funding I; 2) do not secure the 2037-R Asset-Backed Debt and are not held through PennantPark CLO VI, LLC, 3) do not secure the 2036 Asset-Backed Debt and are not held through PennantPark CLO II, Ltd. and 4) do not secure the 2037 Asset-Backed Debt held through PennantPark CLO 12, LLC.</w:t>
      </w:r>
    </w:p>
    <w:p>
      <w:pPr>
        <w:ind w:left="780"/>
        <w:spacing w:after="0" w:line="218" w:lineRule="auto"/>
        <w:rPr>
          <w:sz w:val="20"/>
          <w:szCs w:val="20"/>
          <w:color w:val="auto"/>
        </w:rPr>
      </w:pPr>
      <w:r>
        <w:rPr>
          <w:rFonts w:ascii="Times New Roman" w:cs="Times New Roman" w:eastAsia="Times New Roman" w:hAnsi="Times New Roman"/>
          <w:sz w:val="16"/>
          <w:szCs w:val="16"/>
          <w:color w:val="auto"/>
          <w:vertAlign w:val="superscript"/>
        </w:rPr>
        <w:t>(6)</w:t>
      </w:r>
      <w:r>
        <w:rPr>
          <w:rFonts w:ascii="Times New Roman" w:cs="Times New Roman" w:eastAsia="Times New Roman" w:hAnsi="Times New Roman"/>
          <w:sz w:val="8"/>
          <w:szCs w:val="8"/>
          <w:color w:val="auto"/>
        </w:rPr>
        <w:t>As of December 31, 2025, all investments in U.S companies and total cost, fair value, and percentage of Net Assets for the U.S Companies were $1,224.4 million, $1,195.0 million and 1,438.5%.</w:t>
      </w:r>
    </w:p>
    <w:p>
      <w:pPr>
        <w:ind w:left="780"/>
        <w:spacing w:after="0" w:line="201" w:lineRule="auto"/>
        <w:rPr>
          <w:sz w:val="20"/>
          <w:szCs w:val="20"/>
          <w:color w:val="auto"/>
        </w:rPr>
      </w:pPr>
      <w:r>
        <w:rPr>
          <w:rFonts w:ascii="Times New Roman" w:cs="Times New Roman" w:eastAsia="Times New Roman" w:hAnsi="Times New Roman"/>
          <w:sz w:val="16"/>
          <w:szCs w:val="16"/>
          <w:color w:val="auto"/>
          <w:vertAlign w:val="superscript"/>
        </w:rPr>
        <w:t>(7)</w:t>
      </w:r>
      <w:r>
        <w:rPr>
          <w:rFonts w:ascii="Times New Roman" w:cs="Times New Roman" w:eastAsia="Times New Roman" w:hAnsi="Times New Roman"/>
          <w:sz w:val="8"/>
          <w:szCs w:val="8"/>
          <w:color w:val="auto"/>
        </w:rPr>
        <w:t>All of our investments are not registered under the 1933 Act and have restrictions on resale.</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347980</wp:posOffset>
            </wp:positionV>
            <wp:extent cx="526605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204" w:right="1440" w:bottom="1440" w:gutter="0" w:footer="0" w:header="0"/>
        </w:sectPr>
      </w:pPr>
    </w:p>
    <w:bookmarkStart w:id="68" w:name="page69"/>
    <w:bookmarkEnd w:id="68"/>
    <w:p>
      <w:pPr>
        <w:ind w:left="1060"/>
        <w:spacing w:after="0"/>
        <w:rPr>
          <w:sz w:val="20"/>
          <w:szCs w:val="20"/>
          <w:color w:val="auto"/>
        </w:rPr>
      </w:pPr>
      <w:r>
        <w:rPr>
          <w:rFonts w:ascii="Times New Roman" w:cs="Times New Roman" w:eastAsia="Times New Roman" w:hAnsi="Times New Roman"/>
          <w:sz w:val="11"/>
          <w:szCs w:val="11"/>
          <w:color w:val="auto"/>
        </w:rPr>
        <w:t>Below is a listing of PSSL’s individual investments as of September 30, 2025 (Par and $ in thousands):</w:t>
      </w:r>
    </w:p>
    <w:p>
      <w:pPr>
        <w:spacing w:after="0" w:line="165"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jc w:val="center"/>
              <w:ind w:left="20"/>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1"/>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b w:val="1"/>
                <w:bCs w:val="1"/>
                <w:color w:val="auto"/>
                <w:w w:val="97"/>
              </w:rPr>
              <w:t>Spread</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Par or</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1"/>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b w:val="1"/>
                <w:bCs w:val="1"/>
                <w:color w:val="auto"/>
                <w:w w:val="99"/>
              </w:rPr>
              <w:t>Current</w:t>
            </w:r>
          </w:p>
        </w:tc>
        <w:tc>
          <w:tcPr>
            <w:tcW w:w="680" w:type="dxa"/>
            <w:vAlign w:val="bottom"/>
          </w:tcPr>
          <w:p>
            <w:pPr>
              <w:jc w:val="center"/>
              <w:ind w:left="20"/>
              <w:spacing w:after="0"/>
              <w:rPr>
                <w:sz w:val="20"/>
                <w:szCs w:val="20"/>
                <w:color w:val="auto"/>
              </w:rPr>
            </w:pPr>
            <w:r>
              <w:rPr>
                <w:rFonts w:ascii="Times New Roman" w:cs="Times New Roman" w:eastAsia="Times New Roman" w:hAnsi="Times New Roman"/>
                <w:sz w:val="8"/>
                <w:szCs w:val="8"/>
                <w:b w:val="1"/>
                <w:bCs w:val="1"/>
                <w:color w:val="auto"/>
              </w:rPr>
              <w:t>Above</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Number</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540" w:type="dxa"/>
            <w:vAlign w:val="bottom"/>
          </w:tcPr>
          <w:p>
            <w:pPr>
              <w:ind w:left="6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640" w:type="dxa"/>
            <w:vAlign w:val="bottom"/>
          </w:tcPr>
          <w:p>
            <w:pPr>
              <w:ind w:left="12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300" w:type="dxa"/>
            <w:vAlign w:val="bottom"/>
          </w:tcPr>
          <w:p>
            <w:pPr>
              <w:ind w:left="54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5"/>
              </w:rPr>
              <w:t>Coupon</w:t>
            </w:r>
          </w:p>
        </w:tc>
        <w:tc>
          <w:tcPr>
            <w:tcW w:w="680" w:type="dxa"/>
            <w:vAlign w:val="bottom"/>
          </w:tcPr>
          <w:p>
            <w:pPr>
              <w:jc w:val="center"/>
              <w:ind w:left="40"/>
              <w:spacing w:after="0" w:line="101" w:lineRule="exact"/>
              <w:rPr>
                <w:sz w:val="20"/>
                <w:szCs w:val="20"/>
                <w:color w:val="auto"/>
              </w:rPr>
            </w:pPr>
            <w:r>
              <w:rPr>
                <w:rFonts w:ascii="Times New Roman" w:cs="Times New Roman" w:eastAsia="Times New Roman" w:hAnsi="Times New Roman"/>
                <w:sz w:val="8"/>
                <w:szCs w:val="8"/>
                <w:b w:val="1"/>
                <w:bCs w:val="1"/>
                <w:color w:val="auto"/>
                <w:w w:val="95"/>
              </w:rPr>
              <w:t xml:space="preserve">Index </w:t>
            </w:r>
            <w:r>
              <w:rPr>
                <w:rFonts w:ascii="Times New Roman" w:cs="Times New Roman" w:eastAsia="Times New Roman" w:hAnsi="Times New Roman"/>
                <w:sz w:val="10"/>
                <w:szCs w:val="10"/>
                <w:b w:val="1"/>
                <w:bCs w:val="1"/>
                <w:color w:val="auto"/>
                <w:w w:val="95"/>
                <w:vertAlign w:val="superscript"/>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of Shares</w:t>
            </w:r>
          </w:p>
        </w:tc>
        <w:tc>
          <w:tcPr>
            <w:tcW w:w="160" w:type="dxa"/>
            <w:vAlign w:val="bottom"/>
          </w:tcPr>
          <w:p>
            <w:pPr>
              <w:spacing w:after="0"/>
              <w:rPr>
                <w:sz w:val="8"/>
                <w:szCs w:val="8"/>
                <w:color w:val="auto"/>
              </w:rPr>
            </w:pP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Cost</w:t>
            </w:r>
          </w:p>
        </w:tc>
        <w:tc>
          <w:tcPr>
            <w:tcW w:w="600" w:type="dxa"/>
            <w:vAlign w:val="bottom"/>
            <w:gridSpan w:val="2"/>
          </w:tcPr>
          <w:p>
            <w:pPr>
              <w:ind w:left="60"/>
              <w:spacing w:after="0" w:line="101"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(2)</w:t>
            </w:r>
          </w:p>
        </w:tc>
      </w:tr>
      <w:tr>
        <w:trPr>
          <w:trHeight w:val="102"/>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First Lien Secured Debt - 2,106.3% of Net Assets</w:t>
            </w: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ACP Avenu Buyer,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10/6/2023</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10/2/2029</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9.29%</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14,825</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14,649</w:t>
            </w:r>
          </w:p>
        </w:tc>
        <w:tc>
          <w:tcPr>
            <w:tcW w:w="2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14,677</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ACP Falcon Buyer,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8/22/2023</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8/1/2029</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9.79%</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SOFR+550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18,573</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18,304</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18,759</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Ad.net Acquisition,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5/24/2021</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5/7/2026</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Media</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7"/>
              </w:rPr>
              <w:t>10.26%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SOFR+626</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11,610</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11,566</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11,610</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Aechelon Technology,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8/16/2029</w:t>
            </w:r>
          </w:p>
        </w:tc>
        <w:tc>
          <w:tcPr>
            <w:tcW w:w="13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Aerospace and Defense</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9.91%</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11,640</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11,640</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11,640</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AFC-Dell Holding Corp.</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12/23/2024</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4/9/2027</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9.83%</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SOFR+550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7,608</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7,576</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7,570</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Aphix Buyer,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9/3/2025</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7/17/2031</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8.91%</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SOFR+475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9,000</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8,951</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8,955</w:t>
            </w:r>
          </w:p>
        </w:tc>
      </w:tr>
      <w:tr>
        <w:trPr>
          <w:trHeight w:val="101"/>
        </w:trPr>
        <w:tc>
          <w:tcPr>
            <w:tcW w:w="20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Alpine Acquisition Corp II </w:t>
            </w:r>
            <w:r>
              <w:rPr>
                <w:rFonts w:ascii="Times New Roman" w:cs="Times New Roman" w:eastAsia="Times New Roman" w:hAnsi="Times New Roman"/>
                <w:sz w:val="10"/>
                <w:szCs w:val="10"/>
                <w:color w:val="auto"/>
                <w:vertAlign w:val="superscript"/>
              </w:rPr>
              <w:t>(4)</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10/11/2022</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11/30/2026</w:t>
            </w:r>
          </w:p>
        </w:tc>
        <w:tc>
          <w:tcPr>
            <w:tcW w:w="13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Containers and Packaging</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13,154</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13,012</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6,840</w:t>
            </w:r>
          </w:p>
        </w:tc>
      </w:tr>
      <w:tr>
        <w:trPr>
          <w:trHeight w:val="102"/>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Media: Advertising, Printing</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Anteriad, LLC (f/k/a MeritDirect,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6/30/2026</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&amp; Publishing</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9.90%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4,434</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4,357</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4,434</w:t>
            </w:r>
          </w:p>
        </w:tc>
      </w:tr>
      <w:tr>
        <w:trPr>
          <w:trHeight w:val="102"/>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Anteriad, LLC (f/k/a MeritDirect, LLC) - Incremental Term</w:t>
            </w:r>
          </w:p>
        </w:tc>
        <w:tc>
          <w:tcPr>
            <w:tcW w:w="5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Media: Advertising, Printing</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Loan</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6/30/2026</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&amp; Publishing</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9.90%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4,375</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4,360</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4,375</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Arcfield Acquisition Corp.</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11/11/2024</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10/28/2031</w:t>
            </w:r>
          </w:p>
        </w:tc>
        <w:tc>
          <w:tcPr>
            <w:tcW w:w="13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Aerospace and Defense</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9.31%</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5,955</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5,946</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5,925</w:t>
            </w: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Commercial Services &amp;</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Archer Lewis,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11/22/2024</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8/28/2029</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Supplies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9.75%</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9,900</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9,821</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9,900</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Argano,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1/9/2025</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9/13/2029</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9.89%</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9,900</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9,819</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9,752</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Azureon, LLC (F/K/A Tpcn Midco,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6/26/2029</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9.75%</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4,975</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4,865</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4,831</w:t>
            </w:r>
          </w:p>
        </w:tc>
      </w:tr>
      <w:tr>
        <w:trPr>
          <w:trHeight w:val="102"/>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Healthcare and</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Beacon Behavioral Support Services,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10/9/2024</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6/21/2029</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Pharmaceuticals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9.50%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SOFR+550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17,748</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17,549</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17,748</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Best Practice Associates,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11/8/2029</w:t>
            </w:r>
          </w:p>
        </w:tc>
        <w:tc>
          <w:tcPr>
            <w:tcW w:w="13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Aerospace and Defense</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7"/>
              </w:rPr>
              <w:t>10.91%</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SOFR+675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14,925</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14,792</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14,813</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Beta Plus Technologies,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7/21/2022</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7/2/2029</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9.75%</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4,850</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4,794</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4,802</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Big Top Holdings,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6/26/2024</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3/1/2030</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9.25%</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SOFR+525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14,671</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14,458</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14,671</w:t>
            </w:r>
          </w:p>
        </w:tc>
      </w:tr>
      <w:tr>
        <w:trPr>
          <w:trHeight w:val="102"/>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Healthcare and</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BioDerm,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2/28/2023</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1/31/2028</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Pharmaceuticals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10.77%</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SOFR+650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8,798</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8,730</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8,688</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Blackhawk Industrial Distribution, Inc.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6/30/2022</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9/17/2026</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9.40%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SOFR+540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14,816</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14,714</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14,557</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BLC Holding Company,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11/20/2030</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8.50%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SOFR+450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4,975</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4,952</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4,975</w:t>
            </w: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Independent Power and</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1"/>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Renewable Electricity</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Boss Industries,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12/27/2030</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w w:val="99"/>
              </w:rPr>
              <w:t>Producers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9.00%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4,975</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4,904</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4,975</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Burgess Point Purchaser Corporation</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10/3/2022</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7/25/2029</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Automotive</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9.51%</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SOFR+535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438</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416</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378</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By Light Professional IT Services,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8/28/2025</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7/15/2031</w:t>
            </w:r>
          </w:p>
        </w:tc>
        <w:tc>
          <w:tcPr>
            <w:tcW w:w="13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High Tech Industries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9.66%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SOFR+550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5,000</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5,000</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4,963</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C5MI Acquisition,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3/7/2025</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7/31/2029</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IT 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10.00%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SOFR+600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14,850</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14,670</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14,850</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Capital Construction,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8/28/2025</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10/22/2026</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Consumer 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9.89%</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SOFR+590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4,263</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4,236</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4,220</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Carisk Buyer,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10/16/2024</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12/3/2029</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Healthcare Technology</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9.00%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9,925</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9,863</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9,925</w:t>
            </w:r>
          </w:p>
        </w:tc>
      </w:tr>
      <w:tr>
        <w:trPr>
          <w:trHeight w:val="102"/>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Carnegie Dartlet, LLC</w:t>
            </w:r>
          </w:p>
        </w:tc>
        <w:tc>
          <w:tcPr>
            <w:tcW w:w="5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Media: Advertising, Printing</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4/11/2025</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2/7/2030</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&amp; Publishing</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9.66%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SOFR+550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15,090</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14,897</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14,939</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Cartessa Aesthetics,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6/14/2028</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10.00%</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SOFR+600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9,441</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9,359</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9,441</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Case Works,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10/1/2029</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9.25%</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SOFR+525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14,887</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14,783</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14,218</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CF512,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12/27/2021</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8/20/2026</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Media</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10.36%</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SOFR+619</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6,483</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6,447</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6,418</w:t>
            </w: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Commercial Services &amp;</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Commercial Fire Protection Holdings,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11/26/2024</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9/23/2030</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Supplies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8.50%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SOFR+450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19,837</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19,746</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19,837</w:t>
            </w:r>
          </w:p>
        </w:tc>
      </w:tr>
      <w:tr>
        <w:trPr>
          <w:trHeight w:val="102"/>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Healthcare and</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Confluent Health,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1/12/2024</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11/30/2028</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Pharmaceuticals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11.66%</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SOFR+750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6,637</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6,479</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6,206</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CJX Borrower,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7/29/2021</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7/13/2027</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Media</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7"/>
              </w:rPr>
              <w:t>10.08%</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SOFR+576</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3,735</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3,708</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3,735</w:t>
            </w:r>
          </w:p>
        </w:tc>
      </w:tr>
      <w:tr>
        <w:trPr>
          <w:trHeight w:val="102"/>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Commercial Services &amp;</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Crane 1 Services,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8/16/2027</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rPr>
              <w:t>Supplies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10.03%</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SOFR+586</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2,046</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2,034</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2,031</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DRI Holding Inc.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9/15/2022</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12/21/2028</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Media</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9.51%</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SOFR+535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2,574</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2,429</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2,522</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DRS Holdings III,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1/27/2021</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11/3/2025</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Consumer Goods: Durable</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9.41%</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SOFR+525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4,487</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4,487</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4,532</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Duggal Acquisition,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9/30/2030</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Marketing 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8.75%</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SOFR+475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4,950</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4,909</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4,950</w:t>
            </w:r>
          </w:p>
        </w:tc>
      </w:tr>
      <w:tr>
        <w:trPr>
          <w:trHeight w:val="101"/>
        </w:trPr>
        <w:tc>
          <w:tcPr>
            <w:tcW w:w="20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Dynata, LLC - First Out Term Loan </w:t>
            </w:r>
            <w:r>
              <w:rPr>
                <w:rFonts w:ascii="Times New Roman" w:cs="Times New Roman" w:eastAsia="Times New Roman" w:hAnsi="Times New Roman"/>
                <w:sz w:val="10"/>
                <w:szCs w:val="10"/>
                <w:color w:val="auto"/>
                <w:vertAlign w:val="superscript"/>
              </w:rPr>
              <w:t>(5)</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7/15/2024</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7/17/2028</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9.46%</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SOFR+526</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1,347</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1,273</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1,341</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Dynata, LLC - Last Out Term Loan</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7/15/2024</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10/16/2028</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9.96%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SOFR+576</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8,354</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8,354</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6,802</w:t>
            </w:r>
          </w:p>
        </w:tc>
      </w:tr>
      <w:tr>
        <w:trPr>
          <w:trHeight w:val="102"/>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Electronic Equipment,</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EDS Buyer,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1/10/2029</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rPr>
              <w:t>Instruments, and Components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8.75%</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SOFR+475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8,776</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8,694</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8,797</w:t>
            </w: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Healthcare Providers and</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Emergency Care Partners,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11/11/2024</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10/18/2027</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5"/>
              </w:rPr>
              <w:t>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9.00%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5,940</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5,911</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5,940</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Exigo Intermediate II,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11/21/2022</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3/15/2027</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Software</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10.51%</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SOFR+635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12,416</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12,335</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12,416</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ETE Intermediate II,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6/12/2023</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5/29/2029</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9.16%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12,124</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11,950</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12,124</w:t>
            </w:r>
          </w:p>
        </w:tc>
      </w:tr>
      <w:tr>
        <w:trPr>
          <w:trHeight w:val="102"/>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Healthcare and</w:t>
            </w: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EvAL Home Care Solutions Intermediate,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7/10/2024</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5/10/2030</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Pharmaceuticals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9.91%</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SOFR+575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8,822</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8,704</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8,822</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GGG MIDCO,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9/27/2030</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9.00%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19,573</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19,491</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19,573</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Global Holdings InterCo,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6/8/2021</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3/16/2026</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Diversified Financial 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9.74%</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SOFR+560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3,505</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3,503</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3,505</w:t>
            </w: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Trading Companies &amp;</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Graffiti Buyer, Inc.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3/15/2022</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8/10/2027</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Distributors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9.80%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SOFR+560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3,685</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3,660</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3,611</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Halo Buyer,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5/22/2025</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8/7/2029</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Consumer Products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10.16%</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SOFR+600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6,468</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6,344</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6,468</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Hancock Roofing And Construction,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1/27/2021</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12/31/2026</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6"/>
              </w:rPr>
              <w:t>Insurance</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9.60%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SOFR+550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2,112</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2,100</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2,091</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Harris &amp; Co,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11/26/2024</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8/9/2030</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Professional 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9.16%</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19,800</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19,650</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19,627</w:t>
            </w:r>
          </w:p>
        </w:tc>
      </w:tr>
      <w:tr>
        <w:trPr>
          <w:trHeight w:val="102"/>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HEC Purchaser Corp.</w:t>
            </w:r>
          </w:p>
        </w:tc>
        <w:tc>
          <w:tcPr>
            <w:tcW w:w="5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Healthcare and</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6/17/2029</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Pharmaceuticals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8.87%</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3,606</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3,572</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3,606</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Hills Distribution,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5/3/2024</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11/8/2029</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10.32%</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SOFR+600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8,867</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8,761</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8,867</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HW Holdco,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5/11/2026</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Media</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9.90%</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SOFR+590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3,441</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3,431</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3,441</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Imagine Acquisitionco,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3/15/2022</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11/15/2027</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Software</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9.29%</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SOFR+510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9,060</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8,961</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9,060</w:t>
            </w:r>
          </w:p>
        </w:tc>
      </w:tr>
      <w:tr>
        <w:trPr>
          <w:trHeight w:val="102"/>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Infinity Home Services Holdco, Inc.</w:t>
            </w:r>
          </w:p>
        </w:tc>
        <w:tc>
          <w:tcPr>
            <w:tcW w:w="5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Commercial Services &amp;</w:t>
            </w:r>
          </w:p>
        </w:tc>
        <w:tc>
          <w:tcPr>
            <w:tcW w:w="5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r>
      <w:tr>
        <w:trPr>
          <w:trHeight w:val="100"/>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12/28/2028</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Supplies</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7"/>
              </w:rPr>
              <w:t>10.16%</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SOFR+600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5,968</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5,891</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5,968</w:t>
            </w: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Inovex Information Systems Incorporated</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3/3/2025</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12/17/2030</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Software</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9.25%</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SOFR+525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8,143</w:t>
            </w:r>
          </w:p>
        </w:tc>
        <w:tc>
          <w:tcPr>
            <w:tcW w:w="16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8,087</w:t>
            </w:r>
          </w:p>
        </w:tc>
        <w:tc>
          <w:tcPr>
            <w:tcW w:w="200" w:type="dxa"/>
            <w:vAlign w:val="bottom"/>
          </w:tcPr>
          <w:p>
            <w:pPr>
              <w:spacing w:after="0"/>
              <w:rPr>
                <w:sz w:val="8"/>
                <w:szCs w:val="8"/>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8,143</w:t>
            </w: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Inventus Power, Inc.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7/11/2023</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1/15/2026</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Consumer Goods: Durable</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7"/>
              </w:rPr>
              <w:t>11.78%</w:t>
            </w:r>
          </w:p>
        </w:tc>
        <w:tc>
          <w:tcPr>
            <w:tcW w:w="68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8"/>
              </w:rPr>
              <w:t>SOFR+761</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8,081</w:t>
            </w:r>
          </w:p>
        </w:tc>
        <w:tc>
          <w:tcPr>
            <w:tcW w:w="16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8,062</w:t>
            </w:r>
          </w:p>
        </w:tc>
        <w:tc>
          <w:tcPr>
            <w:tcW w:w="200" w:type="dxa"/>
            <w:vAlign w:val="bottom"/>
            <w:shd w:val="clear" w:color="auto" w:fill="CCECFF"/>
          </w:tcPr>
          <w:p>
            <w:pPr>
              <w:spacing w:after="0"/>
              <w:rPr>
                <w:sz w:val="8"/>
                <w:szCs w:val="8"/>
                <w:color w:val="auto"/>
              </w:rPr>
            </w:pPr>
          </w:p>
        </w:tc>
        <w:tc>
          <w:tcPr>
            <w:tcW w:w="4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8,081</w:t>
            </w:r>
          </w:p>
        </w:tc>
      </w:tr>
    </w:tbl>
    <w:p>
      <w:pPr>
        <w:jc w:val="center"/>
        <w:ind w:right="20"/>
        <w:spacing w:after="0"/>
        <w:rPr>
          <w:sz w:val="20"/>
          <w:szCs w:val="20"/>
          <w:color w:val="auto"/>
        </w:rPr>
      </w:pPr>
      <w:r>
        <w:rPr>
          <w:rFonts w:ascii="Times New Roman" w:cs="Times New Roman" w:eastAsia="Times New Roman" w:hAnsi="Times New Roman"/>
          <w:sz w:val="11"/>
          <w:szCs w:val="1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349250</wp:posOffset>
            </wp:positionV>
            <wp:extent cx="526605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5" w:right="1440" w:bottom="1440" w:gutter="0" w:footer="0" w:header="0"/>
        </w:sectPr>
      </w:pPr>
    </w:p>
    <w:bookmarkStart w:id="69" w:name="page70"/>
    <w:bookmarkEnd w:id="69"/>
    <w:tbl>
      <w:tblPr>
        <w:tblLayout w:type="fixed"/>
        <w:tblInd w:w="780" w:type="dxa"/>
        <w:tblCellMar>
          <w:top w:w="0" w:type="dxa"/>
          <w:left w:w="0" w:type="dxa"/>
          <w:bottom w:w="0" w:type="dxa"/>
          <w:right w:w="0" w:type="dxa"/>
        </w:tblCellMar>
      </w:tblPr>
      <w:tr>
        <w:trPr>
          <w:trHeight w:val="101"/>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7"/>
              </w:rPr>
              <w:t>Spread</w:t>
            </w:r>
          </w:p>
        </w:tc>
        <w:tc>
          <w:tcPr>
            <w:tcW w:w="620" w:type="dxa"/>
            <w:vAlign w:val="bottom"/>
          </w:tcPr>
          <w:p>
            <w:pPr>
              <w:jc w:val="center"/>
              <w:ind w:right="40"/>
              <w:spacing w:after="0"/>
              <w:rPr>
                <w:sz w:val="20"/>
                <w:szCs w:val="20"/>
                <w:color w:val="auto"/>
              </w:rPr>
            </w:pPr>
            <w:r>
              <w:rPr>
                <w:rFonts w:ascii="Times New Roman" w:cs="Times New Roman" w:eastAsia="Times New Roman" w:hAnsi="Times New Roman"/>
                <w:sz w:val="8"/>
                <w:szCs w:val="8"/>
                <w:b w:val="1"/>
                <w:bCs w:val="1"/>
                <w:color w:val="auto"/>
                <w:w w:val="99"/>
              </w:rPr>
              <w:t>Par or</w:t>
            </w: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9"/>
              </w:rPr>
              <w:t>Current</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Above</w:t>
            </w:r>
          </w:p>
        </w:tc>
        <w:tc>
          <w:tcPr>
            <w:tcW w:w="620" w:type="dxa"/>
            <w:vAlign w:val="bottom"/>
          </w:tcPr>
          <w:p>
            <w:pPr>
              <w:jc w:val="center"/>
              <w:ind w:right="60"/>
              <w:spacing w:after="0"/>
              <w:rPr>
                <w:sz w:val="20"/>
                <w:szCs w:val="20"/>
                <w:color w:val="auto"/>
              </w:rPr>
            </w:pPr>
            <w:r>
              <w:rPr>
                <w:rFonts w:ascii="Times New Roman" w:cs="Times New Roman" w:eastAsia="Times New Roman" w:hAnsi="Times New Roman"/>
                <w:sz w:val="8"/>
                <w:szCs w:val="8"/>
                <w:b w:val="1"/>
                <w:bCs w:val="1"/>
                <w:color w:val="auto"/>
                <w:w w:val="98"/>
              </w:rPr>
              <w:t>Number</w:t>
            </w: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540" w:type="dxa"/>
            <w:vAlign w:val="bottom"/>
          </w:tcPr>
          <w:p>
            <w:pPr>
              <w:ind w:left="6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640" w:type="dxa"/>
            <w:vAlign w:val="bottom"/>
          </w:tcPr>
          <w:p>
            <w:pPr>
              <w:ind w:left="12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5"/>
              </w:rPr>
              <w:t>Coupon</w:t>
            </w:r>
          </w:p>
        </w:tc>
        <w:tc>
          <w:tcPr>
            <w:tcW w:w="600" w:type="dxa"/>
            <w:vAlign w:val="bottom"/>
          </w:tcPr>
          <w:p>
            <w:pPr>
              <w:jc w:val="center"/>
              <w:spacing w:after="0" w:line="103" w:lineRule="exact"/>
              <w:rPr>
                <w:sz w:val="20"/>
                <w:szCs w:val="20"/>
                <w:color w:val="auto"/>
              </w:rPr>
            </w:pPr>
            <w:r>
              <w:rPr>
                <w:rFonts w:ascii="Times New Roman" w:cs="Times New Roman" w:eastAsia="Times New Roman" w:hAnsi="Times New Roman"/>
                <w:sz w:val="8"/>
                <w:szCs w:val="8"/>
                <w:b w:val="1"/>
                <w:bCs w:val="1"/>
                <w:color w:val="auto"/>
                <w:w w:val="95"/>
              </w:rPr>
              <w:t xml:space="preserve">Index </w:t>
            </w:r>
            <w:r>
              <w:rPr>
                <w:rFonts w:ascii="Times New Roman" w:cs="Times New Roman" w:eastAsia="Times New Roman" w:hAnsi="Times New Roman"/>
                <w:sz w:val="10"/>
                <w:szCs w:val="10"/>
                <w:b w:val="1"/>
                <w:bCs w:val="1"/>
                <w:color w:val="auto"/>
                <w:w w:val="95"/>
                <w:vertAlign w:val="superscript"/>
              </w:rPr>
              <w:t>(1)</w:t>
            </w:r>
          </w:p>
        </w:tc>
        <w:tc>
          <w:tcPr>
            <w:tcW w:w="620" w:type="dxa"/>
            <w:vAlign w:val="bottom"/>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of Shares</w:t>
            </w:r>
          </w:p>
        </w:tc>
        <w:tc>
          <w:tcPr>
            <w:tcW w:w="500" w:type="dxa"/>
            <w:vAlign w:val="bottom"/>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Cost</w:t>
            </w:r>
          </w:p>
        </w:tc>
        <w:tc>
          <w:tcPr>
            <w:tcW w:w="600" w:type="dxa"/>
            <w:vAlign w:val="bottom"/>
          </w:tcPr>
          <w:p>
            <w:pPr>
              <w:jc w:val="right"/>
              <w:ind w:right="40"/>
              <w:spacing w:after="0" w:line="103"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(2)</w:t>
            </w: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Kinetic Purchaser,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11/30/2021</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11/10/2027</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Personal Products</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7"/>
              </w:rPr>
              <w:t>10.15%</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SOFR+615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13,492</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13,344</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11,468</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Lash OpCo,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10/14/2021</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2/18/2027</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Personal Products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7"/>
              </w:rPr>
              <w:t>12.16%</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SOFR+785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15,508</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15,400</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15,120</w:t>
            </w:r>
          </w:p>
        </w:tc>
        <w:tc>
          <w:tcPr>
            <w:tcW w:w="0" w:type="dxa"/>
            <w:vAlign w:val="bottom"/>
          </w:tcPr>
          <w:p>
            <w:pPr>
              <w:spacing w:after="0"/>
              <w:rPr>
                <w:sz w:val="1"/>
                <w:szCs w:val="1"/>
                <w:color w:val="auto"/>
              </w:rPr>
            </w:pPr>
          </w:p>
        </w:tc>
      </w:tr>
      <w:tr>
        <w:trPr>
          <w:trHeight w:val="101"/>
        </w:trPr>
        <w:tc>
          <w:tcPr>
            <w:tcW w:w="20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LAV Gear Holdings, Inc. - Takeback TL </w:t>
            </w:r>
            <w:r>
              <w:rPr>
                <w:rFonts w:ascii="Times New Roman" w:cs="Times New Roman" w:eastAsia="Times New Roman" w:hAnsi="Times New Roman"/>
                <w:sz w:val="10"/>
                <w:szCs w:val="10"/>
                <w:color w:val="auto"/>
                <w:vertAlign w:val="superscript"/>
              </w:rPr>
              <w:t>(5)</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7/31/2025</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7/31/2029</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Capital Equipment</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7"/>
              </w:rPr>
              <w:t>10.10%</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SOFR+594</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7,612</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7,612</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7,612</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LAV Gear Holdings, Inc. - Priority TL </w:t>
            </w:r>
            <w:r>
              <w:rPr>
                <w:rFonts w:ascii="Times New Roman" w:cs="Times New Roman" w:eastAsia="Times New Roman" w:hAnsi="Times New Roman"/>
                <w:sz w:val="10"/>
                <w:szCs w:val="10"/>
                <w:color w:val="auto"/>
                <w:vertAlign w:val="superscript"/>
              </w:rPr>
              <w:t>(5)</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7/31/2025</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7/31/2029</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Capital Equipment</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7"/>
              </w:rPr>
              <w:t>10.10%</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SOFR+594</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2,409</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2,381</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2,967</w:t>
            </w: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Healthcare Providers and</w:t>
            </w: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Lightspeed Buyer,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1/27/2021</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2/3/2027</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5"/>
              </w:rPr>
              <w:t>Services</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8.75%</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SOFR+475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16,232</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16,187</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16,232</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LJ Avalon Holdings,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2/1/2030</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Environmental Industries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8.77%</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SOFR+450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2,533</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2,497</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2,533</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Loving Tan Intermediate II,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10/25/2023</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5/31/2028</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Personal Products</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9.00%</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SOFR+500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12,279</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12,164</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12,279</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Lucky Bucks, LLC - First-Out Term Loan </w:t>
            </w:r>
            <w:r>
              <w:rPr>
                <w:rFonts w:ascii="Times New Roman" w:cs="Times New Roman" w:eastAsia="Times New Roman" w:hAnsi="Times New Roman"/>
                <w:sz w:val="10"/>
                <w:szCs w:val="10"/>
                <w:color w:val="auto"/>
                <w:vertAlign w:val="superscript"/>
              </w:rPr>
              <w:t>(5)</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12/1/2023</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10/2/2028</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Hotel, Gaming and Leisure</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7"/>
              </w:rPr>
              <w:t>11.66%</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SOFR+765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256</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256</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238</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Lucky Bucks, LLC - Last-Out Term Loan</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5/20/2024</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10/2/2029</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rPr>
              <w:t>Hotel, Gaming and Leisure</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7"/>
              </w:rPr>
              <w:t>11.66%</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SOFR+765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529</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529</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426</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MAG DS Corp.</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9/27/2023</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4/1/2027</w:t>
            </w:r>
          </w:p>
        </w:tc>
        <w:tc>
          <w:tcPr>
            <w:tcW w:w="13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9.60%</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SOFR+560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2,193</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2,146</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2,184</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Marketplace Events Acquisition,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1/13/2025</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12/19/2030</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Media</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9.12%</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SOFR+525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16,915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16,769</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16,915</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MBS Holdings, Inc.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6/8/2021</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4/16/2027</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Internet Software and Services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9.30%</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SOFR+510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8,244</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8,186</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8,244</w:t>
            </w: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rPr>
              <w:t>Chemicals, Plastics and</w:t>
            </w: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MDI Buyer,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7/25/2028</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8"/>
                <w:szCs w:val="8"/>
                <w:color w:val="auto"/>
              </w:rPr>
              <w:t>Rubber</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8.95%</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SOFR+475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6,251</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6,181</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6,251</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Meadowlark Acquirer,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1/29/2022</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12/10/2027</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9.65%</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SOFR+565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2,323</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2,303</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2,323</w:t>
            </w: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Healthcare and</w:t>
            </w: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Medina Health,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11/6/2023</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10/20/2028</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Pharmaceuticals</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7"/>
              </w:rPr>
              <w:t>10.25%</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SOFR+625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18,833</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18,613</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18,927</w:t>
            </w: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Electronic Equipment,</w:t>
            </w:r>
          </w:p>
        </w:tc>
        <w:tc>
          <w:tcPr>
            <w:tcW w:w="66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Megawatt Acquisitionco, Inc.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4/29/2024</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3/1/2030</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Instruments, and Components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9.25%</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SOFR+525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15,514</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15,338</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14,769</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MOREgroup Holdings,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3/22/2024</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1/16/2030</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9.25%</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SOFR+525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12,935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12,788</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12,935</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Municipal Emergency Services, Inc.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10/1/2027</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Distributors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9.15%</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SOFR+515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3,360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3,332</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3,360</w:t>
            </w: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Healthcare, Education &amp;</w:t>
            </w: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NBH Group,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8/25/2021</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8/19/2026</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6"/>
              </w:rPr>
              <w:t>Childcare</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7"/>
              </w:rPr>
              <w:t>10.12%</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SOFR+585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10,352</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10,304</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10,352</w:t>
            </w: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Healthcare Providers and</w:t>
            </w:r>
          </w:p>
        </w:tc>
        <w:tc>
          <w:tcPr>
            <w:tcW w:w="66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NORA Acquisition,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10/2/2023</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8/31/2029</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5"/>
              </w:rPr>
              <w:t>Services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7"/>
              </w:rPr>
              <w:t>10.35%</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SOFR+635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21,059</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20,761</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20,901</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Omnia Exterior Solutions,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11/1/2024</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12/31/2029</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9.26%</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SOFR+525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16,958</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16,824</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16,619</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One Stop Mailing,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7/8/2021</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5/7/2027</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Air Freight and Logistics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7"/>
              </w:rPr>
              <w:t>10.53%</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SOFR+636</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15,484</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15,358</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15,484</w:t>
            </w:r>
          </w:p>
        </w:tc>
        <w:tc>
          <w:tcPr>
            <w:tcW w:w="0" w:type="dxa"/>
            <w:vAlign w:val="bottom"/>
          </w:tcPr>
          <w:p>
            <w:pPr>
              <w:spacing w:after="0"/>
              <w:rPr>
                <w:sz w:val="1"/>
                <w:szCs w:val="1"/>
                <w:color w:val="auto"/>
              </w:rPr>
            </w:pPr>
          </w:p>
        </w:tc>
      </w:tr>
      <w:tr>
        <w:trPr>
          <w:trHeight w:val="101"/>
        </w:trPr>
        <w:tc>
          <w:tcPr>
            <w:tcW w:w="20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ORL Acquisition, Inc. </w:t>
            </w:r>
            <w:r>
              <w:rPr>
                <w:rFonts w:ascii="Times New Roman" w:cs="Times New Roman" w:eastAsia="Times New Roman" w:hAnsi="Times New Roman"/>
                <w:sz w:val="10"/>
                <w:szCs w:val="10"/>
                <w:color w:val="auto"/>
                <w:vertAlign w:val="superscript"/>
              </w:rPr>
              <w:t>(5)</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5/22/2025</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9/3/2027</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Consumer Finance</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7"/>
              </w:rPr>
              <w:t>13.70%</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SOFR+940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2,231</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2,220</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1,975</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OSP Embedded Purchaser,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11/19/2024</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12/17/2029</w:t>
            </w:r>
          </w:p>
        </w:tc>
        <w:tc>
          <w:tcPr>
            <w:tcW w:w="13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9.76%</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SOFR+575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14,900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14,695</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14,691</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Output Services Group, Inc. - First-Out Term Loan</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12/1/2023</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11/30/2028</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7"/>
              </w:rPr>
              <w:t>12.71%</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SOFR+843</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821</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821</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821</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Output Services Group, Inc. - Last-Out Term Loan</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12/1/2023</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5/30/2028</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7"/>
              </w:rPr>
              <w:t>10.96%</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SOFR+668</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1,667</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1,667</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1,667</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PCS MIDCO,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3/1/2030</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9.75%</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SOFR+575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3,833</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3,787</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3,833</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Pacific Purchaser,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1/12/2024</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10/2/2028</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7"/>
              </w:rPr>
              <w:t>10.42%</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SOFR+625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11,818</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11,669</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11,770</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PAR Excellence Holdings,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10/16/24</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9/3/2030</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Healthcare Technology</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9.17%</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SOFR+500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10,933</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10,836</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10,741</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Paving Lessor Corp. First Lien -Term Loan</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8/28/2025</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7/1/2031</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9.25%</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SOFR+525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9,963</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9,896</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9,888</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Penta Group Holdings,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9/8/2025</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7/31/2031</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8.81%</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SOFR+450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5,000</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4,979</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4,975</w:t>
            </w: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Textiles, Apparel and Luxury</w:t>
            </w:r>
          </w:p>
        </w:tc>
        <w:tc>
          <w:tcPr>
            <w:tcW w:w="660" w:type="dxa"/>
            <w:vAlign w:val="bottom"/>
            <w:shd w:val="clear" w:color="auto" w:fill="CCECFF"/>
          </w:tcPr>
          <w:p>
            <w:pPr>
              <w:spacing w:after="0"/>
              <w:rPr>
                <w:sz w:val="8"/>
                <w:szCs w:val="8"/>
                <w:color w:val="auto"/>
              </w:rPr>
            </w:pPr>
          </w:p>
        </w:tc>
        <w:tc>
          <w:tcPr>
            <w:tcW w:w="600" w:type="dxa"/>
            <w:vAlign w:val="bottom"/>
            <w:shd w:val="clear" w:color="auto" w:fill="CCEC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8"/>
                <w:szCs w:val="8"/>
                <w:color w:val="auto"/>
              </w:rPr>
              <w:t xml:space="preserve">Pink Lily Holdco, LLC </w:t>
            </w:r>
            <w:r>
              <w:rPr>
                <w:rFonts w:ascii="Times New Roman" w:cs="Times New Roman" w:eastAsia="Times New Roman" w:hAnsi="Times New Roman"/>
                <w:sz w:val="10"/>
                <w:szCs w:val="10"/>
                <w:color w:val="auto"/>
                <w:vertAlign w:val="superscript"/>
              </w:rPr>
              <w:t>(5),(7)</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11/30/2021</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11/9/2027</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Goods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4.35%</w:t>
            </w:r>
          </w:p>
        </w:tc>
        <w:tc>
          <w:tcPr>
            <w:tcW w:w="600" w:type="dxa"/>
            <w:vAlign w:val="bottom"/>
            <w:shd w:val="clear" w:color="auto" w:fill="CCECFF"/>
          </w:tcPr>
          <w:p>
            <w:pPr>
              <w:spacing w:after="0"/>
              <w:rPr>
                <w:sz w:val="8"/>
                <w:szCs w:val="8"/>
                <w:color w:val="auto"/>
              </w:rPr>
            </w:pP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8,359</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8,323</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3,343</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Pragmatic Institute,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3/28/2025</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3/28/2030</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Education</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9.50%</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SOFR+550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4,200</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4,200</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3,045</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Project Granite Buyer, Inc.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5/22/2025</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12/31/2030</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9.75%</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SOFR+575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6,467</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6,375</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6,532</w:t>
            </w: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Healthcare Providers and</w:t>
            </w: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Rancho Health MSO,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6/20/2029</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5"/>
              </w:rPr>
              <w:t>Services</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9.29%</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SOFR+500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18,781</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18,717</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18,781</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Recteq,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2/24/2021</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1/29/2026</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Leisure Products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7"/>
              </w:rPr>
              <w:t>10.40%</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SOFR+640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4,775</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4,768</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4,763</w:t>
            </w: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Healthcare Providers and</w:t>
            </w: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Ro Health,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3/3/2025</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1/17/2031</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5"/>
              </w:rPr>
              <w:t>Services</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8.50%</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SOFR+450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10,518</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10,449</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10,518</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RRA Corporate,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8/15/2029</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9.25%</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SOFR+525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7,700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7,639</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7,654</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RTIC Subsidiary Holdings,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11/1/2024</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5/3/2029</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9"/>
              </w:rPr>
              <w:t>Leisure Products</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9.75%</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SOFR+575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9,875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9,758</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9,776</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Rural Sourcing Holdings, Inc.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9/6/2023</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6/15/2029</w:t>
            </w:r>
          </w:p>
        </w:tc>
        <w:tc>
          <w:tcPr>
            <w:tcW w:w="13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High Tech Industries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9.92%</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SOFR+575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4,303</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4,245</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3,873</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Sabel Systems Technology Solutions,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11/11/2024</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10/31/2030</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Government Services</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9.91%</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SOFR+575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5,955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5,905</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5,955</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Safe Haven Defense US,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9/19/2024</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5/23/2029</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Construction and Building</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9.50%</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SOFR+550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9,864</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9,747</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9,815</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Sales Benchmark Index,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1/27/2021</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7/7/2026</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7"/>
              </w:rPr>
              <w:t>10.20%</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SOFR+620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9,186</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9,172</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9,186</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Sath Industries,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4/10/2025</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12/17/2029</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Event Services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9.66%</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SOFR+550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10,306</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10,213</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10,306</w:t>
            </w:r>
          </w:p>
        </w:tc>
        <w:tc>
          <w:tcPr>
            <w:tcW w:w="0" w:type="dxa"/>
            <w:vAlign w:val="bottom"/>
          </w:tcPr>
          <w:p>
            <w:pPr>
              <w:spacing w:after="0"/>
              <w:rPr>
                <w:sz w:val="1"/>
                <w:szCs w:val="1"/>
                <w:color w:val="auto"/>
              </w:rPr>
            </w:pPr>
          </w:p>
        </w:tc>
      </w:tr>
      <w:tr>
        <w:trPr>
          <w:trHeight w:val="101"/>
        </w:trPr>
        <w:tc>
          <w:tcPr>
            <w:tcW w:w="20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Schlesinger Global, Inc. </w:t>
            </w:r>
            <w:r>
              <w:rPr>
                <w:rFonts w:ascii="Times New Roman" w:cs="Times New Roman" w:eastAsia="Times New Roman" w:hAnsi="Times New Roman"/>
                <w:sz w:val="10"/>
                <w:szCs w:val="10"/>
                <w:color w:val="auto"/>
                <w:vertAlign w:val="superscript"/>
              </w:rPr>
              <w:t>(6)</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9/30/2021</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10/24/2025</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Business Services</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7"/>
              </w:rPr>
              <w:t>12.76%</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SOFR+860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6,647</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6,647</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6,315</w:t>
            </w: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Chemicals, Plastics and</w:t>
            </w:r>
          </w:p>
        </w:tc>
        <w:tc>
          <w:tcPr>
            <w:tcW w:w="66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Seaway Buyer,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6/13/2029</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Rubber</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7"/>
              </w:rPr>
              <w:t>10.15%</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SOFR+615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4,850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4,802</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4,523</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Sigma Defense Systems,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12/27/2021</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12/20/2027</w:t>
            </w:r>
          </w:p>
        </w:tc>
        <w:tc>
          <w:tcPr>
            <w:tcW w:w="13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7"/>
              </w:rPr>
              <w:t>10.31%</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SOFR+615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18,078</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17,812</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18,078</w:t>
            </w: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Healthcare and</w:t>
            </w:r>
          </w:p>
        </w:tc>
        <w:tc>
          <w:tcPr>
            <w:tcW w:w="66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Smile Brands, Inc.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1/27/2021</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10/12/2027</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Pharmaceuticals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7"/>
              </w:rPr>
              <w:t>10.10%</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SOFR+610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12,294</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12,212</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10,609</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Spendmend Holdings,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3/1/2028</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w w:val="98"/>
              </w:rPr>
              <w:t>Healthcare Technology</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9.15%</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SOFR+515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4,029</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3,989</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4,029</w:t>
            </w:r>
          </w:p>
        </w:tc>
        <w:tc>
          <w:tcPr>
            <w:tcW w:w="0" w:type="dxa"/>
            <w:vAlign w:val="bottom"/>
          </w:tcPr>
          <w:p>
            <w:pPr>
              <w:spacing w:after="0"/>
              <w:rPr>
                <w:sz w:val="1"/>
                <w:szCs w:val="1"/>
                <w:color w:val="auto"/>
              </w:rPr>
            </w:pPr>
          </w:p>
        </w:tc>
      </w:tr>
      <w:tr>
        <w:trPr>
          <w:trHeight w:val="81"/>
        </w:trPr>
        <w:tc>
          <w:tcPr>
            <w:tcW w:w="2000" w:type="dxa"/>
            <w:vAlign w:val="bottom"/>
            <w:shd w:val="clear" w:color="auto" w:fill="CCECFF"/>
          </w:tcPr>
          <w:p>
            <w:pPr>
              <w:spacing w:after="0" w:line="81" w:lineRule="exact"/>
              <w:rPr>
                <w:sz w:val="20"/>
                <w:szCs w:val="20"/>
                <w:color w:val="auto"/>
              </w:rPr>
            </w:pPr>
            <w:r>
              <w:rPr>
                <w:rFonts w:ascii="Times New Roman" w:cs="Times New Roman" w:eastAsia="Times New Roman" w:hAnsi="Times New Roman"/>
                <w:sz w:val="8"/>
                <w:szCs w:val="8"/>
                <w:color w:val="auto"/>
              </w:rPr>
              <w:t>STG Distribution, LLC - First Out New Money Term Loans</w:t>
            </w:r>
          </w:p>
        </w:tc>
        <w:tc>
          <w:tcPr>
            <w:tcW w:w="5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10/24/2024</w:t>
            </w:r>
          </w:p>
        </w:tc>
        <w:tc>
          <w:tcPr>
            <w:tcW w:w="640" w:type="dxa"/>
            <w:vAlign w:val="bottom"/>
            <w:vMerge w:val="restart"/>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10/3/2029</w:t>
            </w:r>
          </w:p>
        </w:tc>
        <w:tc>
          <w:tcPr>
            <w:tcW w:w="1300" w:type="dxa"/>
            <w:vAlign w:val="bottom"/>
            <w:vMerge w:val="restart"/>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Air Freight and Logistics</w:t>
            </w:r>
          </w:p>
        </w:tc>
        <w:tc>
          <w:tcPr>
            <w:tcW w:w="660" w:type="dxa"/>
            <w:vAlign w:val="bottom"/>
            <w:vMerge w:val="restart"/>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7"/>
              </w:rPr>
              <w:t>12.57%</w:t>
            </w:r>
          </w:p>
        </w:tc>
        <w:tc>
          <w:tcPr>
            <w:tcW w:w="600" w:type="dxa"/>
            <w:vAlign w:val="bottom"/>
            <w:vMerge w:val="restart"/>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SOFR+835</w:t>
            </w:r>
          </w:p>
        </w:tc>
        <w:tc>
          <w:tcPr>
            <w:tcW w:w="620" w:type="dxa"/>
            <w:vAlign w:val="bottom"/>
            <w:vMerge w:val="restart"/>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1,961</w:t>
            </w:r>
          </w:p>
        </w:tc>
        <w:tc>
          <w:tcPr>
            <w:tcW w:w="500" w:type="dxa"/>
            <w:vAlign w:val="bottom"/>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1,871</w:t>
            </w:r>
          </w:p>
        </w:tc>
        <w:tc>
          <w:tcPr>
            <w:tcW w:w="600" w:type="dxa"/>
            <w:vAlign w:val="bottom"/>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1,745</w:t>
            </w:r>
          </w:p>
        </w:tc>
        <w:tc>
          <w:tcPr>
            <w:tcW w:w="0" w:type="dxa"/>
            <w:vAlign w:val="bottom"/>
          </w:tcPr>
          <w:p>
            <w:pPr>
              <w:spacing w:after="0"/>
              <w:rPr>
                <w:sz w:val="1"/>
                <w:szCs w:val="1"/>
                <w:color w:val="auto"/>
              </w:rPr>
            </w:pPr>
          </w:p>
        </w:tc>
      </w:tr>
      <w:tr>
        <w:trPr>
          <w:trHeight w:val="71"/>
        </w:trPr>
        <w:tc>
          <w:tcPr>
            <w:tcW w:w="20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5"/>
                <w:szCs w:val="5"/>
                <w:color w:val="auto"/>
              </w:rPr>
              <w:t>(5)</w:t>
            </w:r>
          </w:p>
        </w:tc>
        <w:tc>
          <w:tcPr>
            <w:tcW w:w="540" w:type="dxa"/>
            <w:vAlign w:val="bottom"/>
            <w:tcBorders>
              <w:bottom w:val="single" w:sz="8" w:color="CCECFF"/>
            </w:tcBorders>
            <w:vMerge w:val="continue"/>
            <w:shd w:val="clear" w:color="auto" w:fill="CCECFF"/>
          </w:tcPr>
          <w:p>
            <w:pPr>
              <w:spacing w:after="0"/>
              <w:rPr>
                <w:sz w:val="6"/>
                <w:szCs w:val="6"/>
                <w:color w:val="auto"/>
              </w:rPr>
            </w:pPr>
          </w:p>
        </w:tc>
        <w:tc>
          <w:tcPr>
            <w:tcW w:w="640" w:type="dxa"/>
            <w:vAlign w:val="bottom"/>
            <w:tcBorders>
              <w:bottom w:val="single" w:sz="8" w:color="CCECFF"/>
            </w:tcBorders>
            <w:vMerge w:val="continue"/>
            <w:shd w:val="clear" w:color="auto" w:fill="CCECFF"/>
          </w:tcPr>
          <w:p>
            <w:pPr>
              <w:spacing w:after="0"/>
              <w:rPr>
                <w:sz w:val="6"/>
                <w:szCs w:val="6"/>
                <w:color w:val="auto"/>
              </w:rPr>
            </w:pPr>
          </w:p>
        </w:tc>
        <w:tc>
          <w:tcPr>
            <w:tcW w:w="1300" w:type="dxa"/>
            <w:vAlign w:val="bottom"/>
            <w:tcBorders>
              <w:bottom w:val="single" w:sz="8" w:color="CCECFF"/>
            </w:tcBorders>
            <w:vMerge w:val="continue"/>
            <w:shd w:val="clear" w:color="auto" w:fill="CCECFF"/>
          </w:tcPr>
          <w:p>
            <w:pPr>
              <w:spacing w:after="0"/>
              <w:rPr>
                <w:sz w:val="6"/>
                <w:szCs w:val="6"/>
                <w:color w:val="auto"/>
              </w:rPr>
            </w:pPr>
          </w:p>
        </w:tc>
        <w:tc>
          <w:tcPr>
            <w:tcW w:w="660" w:type="dxa"/>
            <w:vAlign w:val="bottom"/>
            <w:tcBorders>
              <w:bottom w:val="single" w:sz="8" w:color="CCECFF"/>
            </w:tcBorders>
            <w:vMerge w:val="continue"/>
            <w:shd w:val="clear" w:color="auto" w:fill="CCECFF"/>
          </w:tcPr>
          <w:p>
            <w:pPr>
              <w:spacing w:after="0"/>
              <w:rPr>
                <w:sz w:val="6"/>
                <w:szCs w:val="6"/>
                <w:color w:val="auto"/>
              </w:rPr>
            </w:pPr>
          </w:p>
        </w:tc>
        <w:tc>
          <w:tcPr>
            <w:tcW w:w="600" w:type="dxa"/>
            <w:vAlign w:val="bottom"/>
            <w:tcBorders>
              <w:bottom w:val="single" w:sz="8" w:color="CCECFF"/>
            </w:tcBorders>
            <w:vMerge w:val="continue"/>
            <w:shd w:val="clear" w:color="auto" w:fill="CCECFF"/>
          </w:tcPr>
          <w:p>
            <w:pPr>
              <w:spacing w:after="0"/>
              <w:rPr>
                <w:sz w:val="6"/>
                <w:szCs w:val="6"/>
                <w:color w:val="auto"/>
              </w:rPr>
            </w:pPr>
          </w:p>
        </w:tc>
        <w:tc>
          <w:tcPr>
            <w:tcW w:w="620" w:type="dxa"/>
            <w:vAlign w:val="bottom"/>
            <w:tcBorders>
              <w:bottom w:val="single" w:sz="8" w:color="CCECFF"/>
            </w:tcBorders>
            <w:vMerge w:val="continue"/>
            <w:shd w:val="clear" w:color="auto" w:fill="CCECFF"/>
          </w:tcPr>
          <w:p>
            <w:pPr>
              <w:spacing w:after="0"/>
              <w:rPr>
                <w:sz w:val="6"/>
                <w:szCs w:val="6"/>
                <w:color w:val="auto"/>
              </w:rPr>
            </w:pPr>
          </w:p>
        </w:tc>
        <w:tc>
          <w:tcPr>
            <w:tcW w:w="500" w:type="dxa"/>
            <w:vAlign w:val="bottom"/>
            <w:tcBorders>
              <w:bottom w:val="single" w:sz="8" w:color="CCECFF"/>
            </w:tcBorders>
            <w:vMerge w:val="continue"/>
            <w:shd w:val="clear" w:color="auto" w:fill="CCECFF"/>
          </w:tcPr>
          <w:p>
            <w:pPr>
              <w:spacing w:after="0"/>
              <w:rPr>
                <w:sz w:val="6"/>
                <w:szCs w:val="6"/>
                <w:color w:val="auto"/>
              </w:rPr>
            </w:pPr>
          </w:p>
        </w:tc>
        <w:tc>
          <w:tcPr>
            <w:tcW w:w="600" w:type="dxa"/>
            <w:vAlign w:val="bottom"/>
            <w:tcBorders>
              <w:bottom w:val="single" w:sz="8" w:color="CCECFF"/>
            </w:tcBorders>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line="101" w:lineRule="exact"/>
              <w:rPr>
                <w:sz w:val="20"/>
                <w:szCs w:val="20"/>
                <w:color w:val="auto"/>
              </w:rPr>
            </w:pPr>
            <w:r>
              <w:rPr>
                <w:rFonts w:ascii="Times New Roman" w:cs="Times New Roman" w:eastAsia="Times New Roman" w:hAnsi="Times New Roman"/>
                <w:sz w:val="8"/>
                <w:szCs w:val="8"/>
                <w:color w:val="auto"/>
              </w:rPr>
              <w:t xml:space="preserve">STG Distribution, LLC - Second Out Term Loans </w:t>
            </w:r>
            <w:r>
              <w:rPr>
                <w:rFonts w:ascii="Times New Roman" w:cs="Times New Roman" w:eastAsia="Times New Roman" w:hAnsi="Times New Roman"/>
                <w:sz w:val="10"/>
                <w:szCs w:val="10"/>
                <w:color w:val="auto"/>
                <w:vertAlign w:val="superscript"/>
              </w:rPr>
              <w:t>(5),(7)</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5/22/2025</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10/3/2029</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Air Freight and Logistics</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5.32%</w:t>
            </w: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4,535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2,562</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363</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SV-Aero Holdings,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10/31/2024</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11/1/2030</w:t>
            </w:r>
          </w:p>
        </w:tc>
        <w:tc>
          <w:tcPr>
            <w:tcW w:w="1300" w:type="dxa"/>
            <w:vAlign w:val="bottom"/>
            <w:shd w:val="clear" w:color="auto" w:fill="CCECFF"/>
          </w:tcPr>
          <w:p>
            <w:pPr>
              <w:jc w:val="center"/>
              <w:ind w:left="6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9.00%</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SOFR+500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14,719</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14,656</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14,719</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Systems Planning And Analysis,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3/15/2022</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8/16/2027</w:t>
            </w:r>
          </w:p>
        </w:tc>
        <w:tc>
          <w:tcPr>
            <w:tcW w:w="1300" w:type="dxa"/>
            <w:vAlign w:val="bottom"/>
          </w:tcPr>
          <w:p>
            <w:pPr>
              <w:jc w:val="center"/>
              <w:ind w:left="6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8.92%</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SOFR+475</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14,438</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14,345</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14,322</w:t>
            </w: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Commercial Services &amp;</w:t>
            </w:r>
          </w:p>
        </w:tc>
        <w:tc>
          <w:tcPr>
            <w:tcW w:w="66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TMII Enterprises,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12/22/2028</w:t>
            </w:r>
          </w:p>
        </w:tc>
        <w:tc>
          <w:tcPr>
            <w:tcW w:w="13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8"/>
                <w:szCs w:val="8"/>
                <w:color w:val="auto"/>
              </w:rPr>
              <w:t>Supplies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8.66%</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SOFR+450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2,873</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2,835</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2,873</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TCG 3.0 Jogger Acquisitionco, Inc.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4/26/2024</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1/23/2029</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Media</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7"/>
              </w:rPr>
              <w:t>10.52%</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SOFR+650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19,429</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19,179</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19,332</w:t>
            </w: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Healthcare and</w:t>
            </w:r>
          </w:p>
        </w:tc>
        <w:tc>
          <w:tcPr>
            <w:tcW w:w="66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Team Services Group,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10/4/2022</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12/20/2027</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Pharmaceuticals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9.56%</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SOFR+525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5,327</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5,141</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5,305</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The Bluebird Group,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8/9/2021</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7/28/2026</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9.90%</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SOFR+590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7,985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7,943</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7,985</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The Vertex Companies,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8/31/2028</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Construction and Engineering</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8.93%</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SOFR+475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17,482</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17,309</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17,395</w:t>
            </w: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Consumer Goods: Non-</w:t>
            </w: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TPC US Parent,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11/24/2025</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Durable</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7"/>
              </w:rPr>
              <w:t>10.19%</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SOFR+590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16,355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16,341</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16,224</w:t>
            </w: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Transgo,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1/19/2024</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12/29/2028</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w w:val="99"/>
              </w:rPr>
              <w:t>Automotive</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9.91%</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SOFR+575</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15,880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15,694</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16,005</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Tyto Athene,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5/5/2021</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4/3/2028</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IT Services</w:t>
            </w: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8"/>
                <w:szCs w:val="8"/>
                <w:color w:val="auto"/>
                <w:w w:val="96"/>
              </w:rPr>
              <w:t>9.19%</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rPr>
              <w:t>SOFR+490</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14,604</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14,530</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14,238</w:t>
            </w:r>
          </w:p>
        </w:tc>
        <w:tc>
          <w:tcPr>
            <w:tcW w:w="0" w:type="dxa"/>
            <w:vAlign w:val="bottom"/>
          </w:tcPr>
          <w:p>
            <w:pPr>
              <w:spacing w:after="0"/>
              <w:rPr>
                <w:sz w:val="1"/>
                <w:szCs w:val="1"/>
                <w:color w:val="auto"/>
              </w:rPr>
            </w:pPr>
          </w:p>
        </w:tc>
      </w:tr>
      <w:tr>
        <w:trPr>
          <w:trHeight w:val="102"/>
        </w:trPr>
        <w:tc>
          <w:tcPr>
            <w:tcW w:w="20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Healthcare and</w:t>
            </w:r>
          </w:p>
        </w:tc>
        <w:tc>
          <w:tcPr>
            <w:tcW w:w="66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Urology Management Holdings, Inc.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4/11/2023</w:t>
            </w:r>
          </w:p>
        </w:tc>
        <w:tc>
          <w:tcPr>
            <w:tcW w:w="64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6/15/2027</w:t>
            </w:r>
          </w:p>
        </w:tc>
        <w:tc>
          <w:tcPr>
            <w:tcW w:w="1300" w:type="dxa"/>
            <w:vAlign w:val="bottom"/>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Pharmaceuticals</w:t>
            </w:r>
          </w:p>
        </w:tc>
        <w:tc>
          <w:tcPr>
            <w:tcW w:w="6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6"/>
              </w:rPr>
              <w:t>9.66%</w:t>
            </w:r>
          </w:p>
        </w:tc>
        <w:tc>
          <w:tcPr>
            <w:tcW w:w="60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8"/>
                <w:szCs w:val="8"/>
                <w:color w:val="auto"/>
              </w:rPr>
              <w:t>SOFR+550</w:t>
            </w:r>
          </w:p>
        </w:tc>
        <w:tc>
          <w:tcPr>
            <w:tcW w:w="62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6,753</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6,718</w:t>
            </w:r>
          </w:p>
        </w:tc>
        <w:tc>
          <w:tcPr>
            <w:tcW w:w="6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6,753</w:t>
            </w:r>
          </w:p>
        </w:tc>
        <w:tc>
          <w:tcPr>
            <w:tcW w:w="0" w:type="dxa"/>
            <w:vAlign w:val="bottom"/>
          </w:tcPr>
          <w:p>
            <w:pPr>
              <w:spacing w:after="0"/>
              <w:rPr>
                <w:sz w:val="1"/>
                <w:szCs w:val="1"/>
                <w:color w:val="auto"/>
              </w:rPr>
            </w:pPr>
          </w:p>
        </w:tc>
      </w:tr>
      <w:tr>
        <w:trPr>
          <w:trHeight w:val="102"/>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Walker Edison Furniture Company, LLC - Unfunded Term</w:t>
            </w: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vertAlign w:val="subscript"/>
              </w:rPr>
              <w:t>Loan</w:t>
            </w:r>
            <w:r>
              <w:rPr>
                <w:rFonts w:ascii="Times New Roman" w:cs="Times New Roman" w:eastAsia="Times New Roman" w:hAnsi="Times New Roman"/>
                <w:sz w:val="4"/>
                <w:szCs w:val="4"/>
                <w:color w:val="auto"/>
              </w:rPr>
              <w:t xml:space="preserve"> (3),(5)</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8/29/2025</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8"/>
                <w:szCs w:val="8"/>
                <w:color w:val="auto"/>
              </w:rPr>
              <w:t>3/1/2029</w:t>
            </w: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8"/>
                <w:szCs w:val="8"/>
                <w:color w:val="auto"/>
              </w:rPr>
              <w:t>Wholesale</w:t>
            </w: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353</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12</w:t>
            </w:r>
          </w:p>
        </w:tc>
        <w:tc>
          <w:tcPr>
            <w:tcW w:w="0" w:type="dxa"/>
            <w:vAlign w:val="bottom"/>
          </w:tcPr>
          <w:p>
            <w:pPr>
              <w:spacing w:after="0"/>
              <w:rPr>
                <w:sz w:val="1"/>
                <w:szCs w:val="1"/>
                <w:color w:val="auto"/>
              </w:rPr>
            </w:pPr>
          </w:p>
        </w:tc>
      </w:tr>
      <w:tr>
        <w:trPr>
          <w:trHeight w:val="81"/>
        </w:trPr>
        <w:tc>
          <w:tcPr>
            <w:tcW w:w="2000" w:type="dxa"/>
            <w:vAlign w:val="bottom"/>
            <w:shd w:val="clear" w:color="auto" w:fill="CCECFF"/>
          </w:tcPr>
          <w:p>
            <w:pPr>
              <w:spacing w:after="0" w:line="81" w:lineRule="exact"/>
              <w:rPr>
                <w:sz w:val="20"/>
                <w:szCs w:val="20"/>
                <w:color w:val="auto"/>
              </w:rPr>
            </w:pPr>
            <w:r>
              <w:rPr>
                <w:rFonts w:ascii="Times New Roman" w:cs="Times New Roman" w:eastAsia="Times New Roman" w:hAnsi="Times New Roman"/>
                <w:sz w:val="8"/>
                <w:szCs w:val="8"/>
                <w:color w:val="auto"/>
              </w:rPr>
              <w:t>Walker Edison Furniture Company, LLC - New Money DIP</w:t>
            </w:r>
          </w:p>
        </w:tc>
        <w:tc>
          <w:tcPr>
            <w:tcW w:w="5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8/29/2025</w:t>
            </w:r>
          </w:p>
        </w:tc>
        <w:tc>
          <w:tcPr>
            <w:tcW w:w="640" w:type="dxa"/>
            <w:vAlign w:val="bottom"/>
            <w:vMerge w:val="restart"/>
            <w:shd w:val="clear" w:color="auto" w:fill="CCECFF"/>
          </w:tcPr>
          <w:p>
            <w:pPr>
              <w:jc w:val="center"/>
              <w:ind w:right="60"/>
              <w:spacing w:after="0"/>
              <w:rPr>
                <w:sz w:val="20"/>
                <w:szCs w:val="20"/>
                <w:color w:val="auto"/>
              </w:rPr>
            </w:pPr>
            <w:r>
              <w:rPr>
                <w:rFonts w:ascii="Times New Roman" w:cs="Times New Roman" w:eastAsia="Times New Roman" w:hAnsi="Times New Roman"/>
                <w:sz w:val="8"/>
                <w:szCs w:val="8"/>
                <w:color w:val="auto"/>
              </w:rPr>
              <w:t>3/1/2029</w:t>
            </w:r>
          </w:p>
        </w:tc>
        <w:tc>
          <w:tcPr>
            <w:tcW w:w="1300" w:type="dxa"/>
            <w:vAlign w:val="bottom"/>
            <w:vMerge w:val="restart"/>
            <w:shd w:val="clear" w:color="auto" w:fill="CCECFF"/>
          </w:tcPr>
          <w:p>
            <w:pPr>
              <w:jc w:val="center"/>
              <w:ind w:left="40"/>
              <w:spacing w:after="0"/>
              <w:rPr>
                <w:sz w:val="20"/>
                <w:szCs w:val="20"/>
                <w:color w:val="auto"/>
              </w:rPr>
            </w:pPr>
            <w:r>
              <w:rPr>
                <w:rFonts w:ascii="Times New Roman" w:cs="Times New Roman" w:eastAsia="Times New Roman" w:hAnsi="Times New Roman"/>
                <w:sz w:val="8"/>
                <w:szCs w:val="8"/>
                <w:color w:val="auto"/>
              </w:rPr>
              <w:t>Wholesale</w:t>
            </w:r>
          </w:p>
        </w:tc>
        <w:tc>
          <w:tcPr>
            <w:tcW w:w="660" w:type="dxa"/>
            <w:vAlign w:val="bottom"/>
            <w:vMerge w:val="restart"/>
            <w:shd w:val="clear" w:color="auto" w:fill="CCECFF"/>
          </w:tcPr>
          <w:p>
            <w:pPr>
              <w:jc w:val="center"/>
              <w:ind w:right="100"/>
              <w:spacing w:after="0"/>
              <w:rPr>
                <w:sz w:val="20"/>
                <w:szCs w:val="20"/>
                <w:color w:val="auto"/>
              </w:rPr>
            </w:pPr>
            <w:r>
              <w:rPr>
                <w:rFonts w:ascii="Times New Roman" w:cs="Times New Roman" w:eastAsia="Times New Roman" w:hAnsi="Times New Roman"/>
                <w:sz w:val="8"/>
                <w:szCs w:val="8"/>
                <w:color w:val="auto"/>
                <w:w w:val="97"/>
              </w:rPr>
              <w:t>10.00%</w:t>
            </w:r>
          </w:p>
        </w:tc>
        <w:tc>
          <w:tcPr>
            <w:tcW w:w="600" w:type="dxa"/>
            <w:vAlign w:val="bottom"/>
            <w:shd w:val="clear" w:color="auto" w:fill="CCECFF"/>
          </w:tcPr>
          <w:p>
            <w:pPr>
              <w:jc w:val="right"/>
              <w:ind w:right="60"/>
              <w:spacing w:after="0" w:line="81" w:lineRule="exact"/>
              <w:rPr>
                <w:sz w:val="20"/>
                <w:szCs w:val="20"/>
                <w:color w:val="auto"/>
              </w:rPr>
            </w:pPr>
            <w:r>
              <w:rPr>
                <w:rFonts w:ascii="Times New Roman" w:cs="Times New Roman" w:eastAsia="Times New Roman" w:hAnsi="Times New Roman"/>
                <w:sz w:val="8"/>
                <w:szCs w:val="8"/>
                <w:color w:val="auto"/>
              </w:rPr>
              <w:t>—</w:t>
            </w:r>
          </w:p>
        </w:tc>
        <w:tc>
          <w:tcPr>
            <w:tcW w:w="620" w:type="dxa"/>
            <w:vAlign w:val="bottom"/>
            <w:vMerge w:val="restart"/>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134</w:t>
            </w:r>
          </w:p>
        </w:tc>
        <w:tc>
          <w:tcPr>
            <w:tcW w:w="500" w:type="dxa"/>
            <w:vAlign w:val="bottom"/>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134</w:t>
            </w:r>
          </w:p>
        </w:tc>
        <w:tc>
          <w:tcPr>
            <w:tcW w:w="600" w:type="dxa"/>
            <w:vAlign w:val="bottom"/>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136</w:t>
            </w:r>
          </w:p>
        </w:tc>
        <w:tc>
          <w:tcPr>
            <w:tcW w:w="0" w:type="dxa"/>
            <w:vAlign w:val="bottom"/>
          </w:tcPr>
          <w:p>
            <w:pPr>
              <w:spacing w:after="0"/>
              <w:rPr>
                <w:sz w:val="1"/>
                <w:szCs w:val="1"/>
                <w:color w:val="auto"/>
              </w:rPr>
            </w:pPr>
          </w:p>
        </w:tc>
      </w:tr>
      <w:tr>
        <w:trPr>
          <w:trHeight w:val="63"/>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5"/>
                <w:szCs w:val="5"/>
                <w:color w:val="auto"/>
              </w:rPr>
              <w:t>(5)</w:t>
            </w:r>
          </w:p>
        </w:tc>
        <w:tc>
          <w:tcPr>
            <w:tcW w:w="540" w:type="dxa"/>
            <w:vAlign w:val="bottom"/>
            <w:vMerge w:val="continue"/>
            <w:shd w:val="clear" w:color="auto" w:fill="CCECFF"/>
          </w:tcPr>
          <w:p>
            <w:pPr>
              <w:spacing w:after="0"/>
              <w:rPr>
                <w:sz w:val="5"/>
                <w:szCs w:val="5"/>
                <w:color w:val="auto"/>
              </w:rPr>
            </w:pPr>
          </w:p>
        </w:tc>
        <w:tc>
          <w:tcPr>
            <w:tcW w:w="640" w:type="dxa"/>
            <w:vAlign w:val="bottom"/>
            <w:vMerge w:val="continue"/>
            <w:shd w:val="clear" w:color="auto" w:fill="CCECFF"/>
          </w:tcPr>
          <w:p>
            <w:pPr>
              <w:spacing w:after="0"/>
              <w:rPr>
                <w:sz w:val="5"/>
                <w:szCs w:val="5"/>
                <w:color w:val="auto"/>
              </w:rPr>
            </w:pPr>
          </w:p>
        </w:tc>
        <w:tc>
          <w:tcPr>
            <w:tcW w:w="1300" w:type="dxa"/>
            <w:vAlign w:val="bottom"/>
            <w:vMerge w:val="continue"/>
            <w:shd w:val="clear" w:color="auto" w:fill="CCECFF"/>
          </w:tcPr>
          <w:p>
            <w:pPr>
              <w:spacing w:after="0"/>
              <w:rPr>
                <w:sz w:val="5"/>
                <w:szCs w:val="5"/>
                <w:color w:val="auto"/>
              </w:rPr>
            </w:pPr>
          </w:p>
        </w:tc>
        <w:tc>
          <w:tcPr>
            <w:tcW w:w="660" w:type="dxa"/>
            <w:vAlign w:val="bottom"/>
            <w:vMerge w:val="continue"/>
            <w:shd w:val="clear" w:color="auto" w:fill="CCECFF"/>
          </w:tcPr>
          <w:p>
            <w:pPr>
              <w:spacing w:after="0"/>
              <w:rPr>
                <w:sz w:val="5"/>
                <w:szCs w:val="5"/>
                <w:color w:val="auto"/>
              </w:rPr>
            </w:pPr>
          </w:p>
        </w:tc>
        <w:tc>
          <w:tcPr>
            <w:tcW w:w="600" w:type="dxa"/>
            <w:vAlign w:val="bottom"/>
            <w:shd w:val="clear" w:color="auto" w:fill="CCECFF"/>
          </w:tcPr>
          <w:p>
            <w:pPr>
              <w:spacing w:after="0"/>
              <w:rPr>
                <w:sz w:val="5"/>
                <w:szCs w:val="5"/>
                <w:color w:val="auto"/>
              </w:rPr>
            </w:pPr>
          </w:p>
        </w:tc>
        <w:tc>
          <w:tcPr>
            <w:tcW w:w="620" w:type="dxa"/>
            <w:vAlign w:val="bottom"/>
            <w:vMerge w:val="continue"/>
            <w:shd w:val="clear" w:color="auto" w:fill="CCECFF"/>
          </w:tcPr>
          <w:p>
            <w:pPr>
              <w:spacing w:after="0"/>
              <w:rPr>
                <w:sz w:val="5"/>
                <w:szCs w:val="5"/>
                <w:color w:val="auto"/>
              </w:rPr>
            </w:pPr>
          </w:p>
        </w:tc>
        <w:tc>
          <w:tcPr>
            <w:tcW w:w="500" w:type="dxa"/>
            <w:vAlign w:val="bottom"/>
            <w:vMerge w:val="continue"/>
            <w:shd w:val="clear" w:color="auto" w:fill="CCECFF"/>
          </w:tcPr>
          <w:p>
            <w:pPr>
              <w:spacing w:after="0"/>
              <w:rPr>
                <w:sz w:val="5"/>
                <w:szCs w:val="5"/>
                <w:color w:val="auto"/>
              </w:rPr>
            </w:pPr>
          </w:p>
        </w:tc>
        <w:tc>
          <w:tcPr>
            <w:tcW w:w="600" w:type="dxa"/>
            <w:vAlign w:val="bottom"/>
            <w:vMerge w:val="continue"/>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00" w:type="dxa"/>
            <w:vAlign w:val="bottom"/>
            <w:shd w:val="clear" w:color="auto" w:fill="CCECFF"/>
          </w:tcPr>
          <w:p>
            <w:pPr>
              <w:spacing w:after="0"/>
              <w:rPr>
                <w:sz w:val="2"/>
                <w:szCs w:val="2"/>
                <w:color w:val="auto"/>
              </w:rPr>
            </w:pPr>
          </w:p>
        </w:tc>
        <w:tc>
          <w:tcPr>
            <w:tcW w:w="540" w:type="dxa"/>
            <w:vAlign w:val="bottom"/>
            <w:vMerge w:val="continue"/>
            <w:shd w:val="clear" w:color="auto" w:fill="CCECFF"/>
          </w:tcPr>
          <w:p>
            <w:pPr>
              <w:spacing w:after="0"/>
              <w:rPr>
                <w:sz w:val="2"/>
                <w:szCs w:val="2"/>
                <w:color w:val="auto"/>
              </w:rPr>
            </w:pPr>
          </w:p>
        </w:tc>
        <w:tc>
          <w:tcPr>
            <w:tcW w:w="640" w:type="dxa"/>
            <w:vAlign w:val="bottom"/>
            <w:vMerge w:val="continue"/>
            <w:shd w:val="clear" w:color="auto" w:fill="CCECFF"/>
          </w:tcPr>
          <w:p>
            <w:pPr>
              <w:spacing w:after="0"/>
              <w:rPr>
                <w:sz w:val="2"/>
                <w:szCs w:val="2"/>
                <w:color w:val="auto"/>
              </w:rPr>
            </w:pPr>
          </w:p>
        </w:tc>
        <w:tc>
          <w:tcPr>
            <w:tcW w:w="1300" w:type="dxa"/>
            <w:vAlign w:val="bottom"/>
            <w:vMerge w:val="continue"/>
            <w:shd w:val="clear" w:color="auto" w:fill="CCECFF"/>
          </w:tcPr>
          <w:p>
            <w:pPr>
              <w:spacing w:after="0"/>
              <w:rPr>
                <w:sz w:val="2"/>
                <w:szCs w:val="2"/>
                <w:color w:val="auto"/>
              </w:rPr>
            </w:pPr>
          </w:p>
        </w:tc>
        <w:tc>
          <w:tcPr>
            <w:tcW w:w="660" w:type="dxa"/>
            <w:vAlign w:val="bottom"/>
            <w:vMerge w:val="continue"/>
            <w:shd w:val="clear" w:color="auto" w:fill="CCECFF"/>
          </w:tcPr>
          <w:p>
            <w:pPr>
              <w:spacing w:after="0"/>
              <w:rPr>
                <w:sz w:val="2"/>
                <w:szCs w:val="2"/>
                <w:color w:val="auto"/>
              </w:rPr>
            </w:pPr>
          </w:p>
        </w:tc>
        <w:tc>
          <w:tcPr>
            <w:tcW w:w="600" w:type="dxa"/>
            <w:vAlign w:val="bottom"/>
            <w:shd w:val="clear" w:color="auto" w:fill="CCECFF"/>
          </w:tcPr>
          <w:p>
            <w:pPr>
              <w:spacing w:after="0"/>
              <w:rPr>
                <w:sz w:val="2"/>
                <w:szCs w:val="2"/>
                <w:color w:val="auto"/>
              </w:rPr>
            </w:pPr>
          </w:p>
        </w:tc>
        <w:tc>
          <w:tcPr>
            <w:tcW w:w="620" w:type="dxa"/>
            <w:vAlign w:val="bottom"/>
            <w:vMerge w:val="continue"/>
            <w:shd w:val="clear" w:color="auto" w:fill="CCECFF"/>
          </w:tcPr>
          <w:p>
            <w:pPr>
              <w:spacing w:after="0"/>
              <w:rPr>
                <w:sz w:val="2"/>
                <w:szCs w:val="2"/>
                <w:color w:val="auto"/>
              </w:rPr>
            </w:pPr>
          </w:p>
        </w:tc>
        <w:tc>
          <w:tcPr>
            <w:tcW w:w="500" w:type="dxa"/>
            <w:vAlign w:val="bottom"/>
            <w:vMerge w:val="continue"/>
            <w:shd w:val="clear" w:color="auto" w:fill="CCECFF"/>
          </w:tcPr>
          <w:p>
            <w:pPr>
              <w:spacing w:after="0"/>
              <w:rPr>
                <w:sz w:val="2"/>
                <w:szCs w:val="2"/>
                <w:color w:val="auto"/>
              </w:rPr>
            </w:pPr>
          </w:p>
        </w:tc>
        <w:tc>
          <w:tcPr>
            <w:tcW w:w="600" w:type="dxa"/>
            <w:vAlign w:val="bottom"/>
            <w:vMerge w:val="continue"/>
            <w:shd w:val="clear" w:color="auto" w:fill="CCECFF"/>
          </w:tcPr>
          <w:p>
            <w:pPr>
              <w:spacing w:after="0"/>
              <w:rPr>
                <w:sz w:val="2"/>
                <w:szCs w:val="2"/>
                <w:color w:val="auto"/>
              </w:rPr>
            </w:pPr>
          </w:p>
        </w:tc>
        <w:tc>
          <w:tcPr>
            <w:tcW w:w="0" w:type="dxa"/>
            <w:vAlign w:val="bottom"/>
          </w:tcPr>
          <w:p>
            <w:pPr>
              <w:spacing w:after="0" w:line="20" w:lineRule="exact"/>
              <w:rPr>
                <w:sz w:val="1"/>
                <w:szCs w:val="1"/>
                <w:color w:val="auto"/>
              </w:rPr>
            </w:pPr>
          </w:p>
        </w:tc>
      </w:tr>
    </w:tbl>
    <w:p>
      <w:pPr>
        <w:jc w:val="center"/>
        <w:ind w:right="20"/>
        <w:spacing w:after="0"/>
        <w:rPr>
          <w:sz w:val="20"/>
          <w:szCs w:val="20"/>
          <w:color w:val="auto"/>
        </w:rPr>
      </w:pPr>
      <w:r>
        <w:rPr>
          <w:rFonts w:ascii="Times New Roman" w:cs="Times New Roman" w:eastAsia="Times New Roman" w:hAnsi="Times New Roman"/>
          <w:sz w:val="11"/>
          <w:szCs w:val="1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349250</wp:posOffset>
            </wp:positionV>
            <wp:extent cx="526605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204" w:right="1440" w:bottom="1440" w:gutter="0" w:footer="0" w:header="0"/>
        </w:sectPr>
      </w:pPr>
    </w:p>
    <w:bookmarkStart w:id="70" w:name="page71"/>
    <w:bookmarkEnd w:id="70"/>
    <w:tbl>
      <w:tblPr>
        <w:tblLayout w:type="fixed"/>
        <w:tblInd w:w="780" w:type="dxa"/>
        <w:tblCellMar>
          <w:top w:w="0" w:type="dxa"/>
          <w:left w:w="0" w:type="dxa"/>
          <w:bottom w:w="0" w:type="dxa"/>
          <w:right w:w="0" w:type="dxa"/>
        </w:tblCellMar>
      </w:tblPr>
      <w:tr>
        <w:trPr>
          <w:trHeight w:val="101"/>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b w:val="1"/>
                <w:bCs w:val="1"/>
                <w:color w:val="auto"/>
                <w:w w:val="97"/>
              </w:rPr>
              <w:t>Spread</w:t>
            </w: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9"/>
              </w:rPr>
              <w:t>Par or</w:t>
            </w: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jc w:val="right"/>
              <w:ind w:right="240"/>
              <w:spacing w:after="0"/>
              <w:rPr>
                <w:sz w:val="20"/>
                <w:szCs w:val="20"/>
                <w:color w:val="auto"/>
              </w:rPr>
            </w:pPr>
            <w:r>
              <w:rPr>
                <w:rFonts w:ascii="Times New Roman" w:cs="Times New Roman" w:eastAsia="Times New Roman" w:hAnsi="Times New Roman"/>
                <w:sz w:val="8"/>
                <w:szCs w:val="8"/>
                <w:b w:val="1"/>
                <w:bCs w:val="1"/>
                <w:color w:val="auto"/>
              </w:rPr>
              <w:t>Current</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Above</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8"/>
              </w:rPr>
              <w:t>Number</w:t>
            </w: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7"/>
              </w:rPr>
              <w:t>Acquisition</w:t>
            </w:r>
          </w:p>
        </w:tc>
        <w:tc>
          <w:tcPr>
            <w:tcW w:w="440" w:type="dxa"/>
            <w:vAlign w:val="bottom"/>
          </w:tcPr>
          <w:p>
            <w:pPr>
              <w:ind w:left="10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220" w:type="dxa"/>
            <w:vAlign w:val="bottom"/>
          </w:tcPr>
          <w:p>
            <w:pPr>
              <w:spacing w:after="0"/>
              <w:rPr>
                <w:sz w:val="8"/>
                <w:szCs w:val="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680" w:type="dxa"/>
            <w:vAlign w:val="bottom"/>
          </w:tcPr>
          <w:p>
            <w:pPr>
              <w:jc w:val="right"/>
              <w:ind w:right="240"/>
              <w:spacing w:after="0"/>
              <w:rPr>
                <w:sz w:val="20"/>
                <w:szCs w:val="20"/>
                <w:color w:val="auto"/>
              </w:rPr>
            </w:pPr>
            <w:r>
              <w:rPr>
                <w:rFonts w:ascii="Times New Roman" w:cs="Times New Roman" w:eastAsia="Times New Roman" w:hAnsi="Times New Roman"/>
                <w:sz w:val="8"/>
                <w:szCs w:val="8"/>
                <w:b w:val="1"/>
                <w:bCs w:val="1"/>
                <w:color w:val="auto"/>
              </w:rPr>
              <w:t>Coupon</w:t>
            </w:r>
          </w:p>
        </w:tc>
        <w:tc>
          <w:tcPr>
            <w:tcW w:w="580" w:type="dxa"/>
            <w:vAlign w:val="bottom"/>
          </w:tcPr>
          <w:p>
            <w:pPr>
              <w:jc w:val="center"/>
              <w:ind w:right="20"/>
              <w:spacing w:after="0" w:line="103" w:lineRule="exact"/>
              <w:rPr>
                <w:sz w:val="20"/>
                <w:szCs w:val="20"/>
                <w:color w:val="auto"/>
              </w:rPr>
            </w:pPr>
            <w:r>
              <w:rPr>
                <w:rFonts w:ascii="Times New Roman" w:cs="Times New Roman" w:eastAsia="Times New Roman" w:hAnsi="Times New Roman"/>
                <w:sz w:val="8"/>
                <w:szCs w:val="8"/>
                <w:b w:val="1"/>
                <w:bCs w:val="1"/>
                <w:color w:val="auto"/>
                <w:w w:val="95"/>
              </w:rPr>
              <w:t xml:space="preserve">Index </w:t>
            </w:r>
            <w:r>
              <w:rPr>
                <w:rFonts w:ascii="Times New Roman" w:cs="Times New Roman" w:eastAsia="Times New Roman" w:hAnsi="Times New Roman"/>
                <w:sz w:val="10"/>
                <w:szCs w:val="10"/>
                <w:b w:val="1"/>
                <w:bCs w:val="1"/>
                <w:color w:val="auto"/>
                <w:w w:val="95"/>
                <w:vertAlign w:val="superscript"/>
              </w:rPr>
              <w:t>(1)</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of Shares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Cost</w:t>
            </w:r>
          </w:p>
        </w:tc>
        <w:tc>
          <w:tcPr>
            <w:tcW w:w="680" w:type="dxa"/>
            <w:vAlign w:val="bottom"/>
            <w:gridSpan w:val="3"/>
          </w:tcPr>
          <w:p>
            <w:pPr>
              <w:ind w:left="140"/>
              <w:spacing w:after="0" w:line="103" w:lineRule="exact"/>
              <w:rPr>
                <w:sz w:val="20"/>
                <w:szCs w:val="20"/>
                <w:color w:val="auto"/>
              </w:rPr>
            </w:pPr>
            <w:r>
              <w:rPr>
                <w:rFonts w:ascii="Times New Roman" w:cs="Times New Roman" w:eastAsia="Times New Roman" w:hAnsi="Times New Roman"/>
                <w:sz w:val="8"/>
                <w:szCs w:val="8"/>
                <w:b w:val="1"/>
                <w:bCs w:val="1"/>
                <w:color w:val="auto"/>
              </w:rPr>
              <w:t xml:space="preserve">Fair Value </w:t>
            </w:r>
            <w:r>
              <w:rPr>
                <w:rFonts w:ascii="Times New Roman" w:cs="Times New Roman" w:eastAsia="Times New Roman" w:hAnsi="Times New Roman"/>
                <w:sz w:val="10"/>
                <w:szCs w:val="10"/>
                <w:b w:val="1"/>
                <w:bCs w:val="1"/>
                <w:color w:val="auto"/>
                <w:vertAlign w:val="superscript"/>
              </w:rPr>
              <w:t>(2)</w:t>
            </w: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Watchtower Buyer,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5/20/2024</w:t>
            </w:r>
          </w:p>
        </w:tc>
        <w:tc>
          <w:tcPr>
            <w:tcW w:w="440" w:type="dxa"/>
            <w:vAlign w:val="bottom"/>
          </w:tcPr>
          <w:p>
            <w:pPr>
              <w:ind w:left="100"/>
              <w:spacing w:after="0"/>
              <w:rPr>
                <w:sz w:val="20"/>
                <w:szCs w:val="20"/>
                <w:color w:val="auto"/>
              </w:rPr>
            </w:pPr>
            <w:r>
              <w:rPr>
                <w:rFonts w:ascii="Times New Roman" w:cs="Times New Roman" w:eastAsia="Times New Roman" w:hAnsi="Times New Roman"/>
                <w:sz w:val="8"/>
                <w:szCs w:val="8"/>
                <w:color w:val="auto"/>
                <w:w w:val="98"/>
              </w:rPr>
              <w:t>12/3/2029</w:t>
            </w:r>
          </w:p>
        </w:tc>
        <w:tc>
          <w:tcPr>
            <w:tcW w:w="220" w:type="dxa"/>
            <w:vAlign w:val="bottom"/>
          </w:tcPr>
          <w:p>
            <w:pPr>
              <w:spacing w:after="0"/>
              <w:rPr>
                <w:sz w:val="8"/>
                <w:szCs w:val="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80" w:type="dxa"/>
            <w:vAlign w:val="bottom"/>
          </w:tcPr>
          <w:p>
            <w:pPr>
              <w:jc w:val="center"/>
              <w:ind w:right="120"/>
              <w:spacing w:after="0"/>
              <w:rPr>
                <w:sz w:val="20"/>
                <w:szCs w:val="20"/>
                <w:color w:val="auto"/>
              </w:rPr>
            </w:pPr>
            <w:r>
              <w:rPr>
                <w:rFonts w:ascii="Times New Roman" w:cs="Times New Roman" w:eastAsia="Times New Roman" w:hAnsi="Times New Roman"/>
                <w:sz w:val="8"/>
                <w:szCs w:val="8"/>
                <w:color w:val="auto"/>
                <w:w w:val="97"/>
              </w:rPr>
              <w:t>10.00%</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8"/>
              </w:rPr>
              <w:t>SOFR+600</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12,066</w:t>
            </w:r>
          </w:p>
        </w:tc>
        <w:tc>
          <w:tcPr>
            <w:tcW w:w="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11,914</w:t>
            </w:r>
          </w:p>
        </w:tc>
        <w:tc>
          <w:tcPr>
            <w:tcW w:w="20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11,946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Wash &amp; Wax Systems LLC </w:t>
            </w:r>
            <w:r>
              <w:rPr>
                <w:rFonts w:ascii="Times New Roman" w:cs="Times New Roman" w:eastAsia="Times New Roman" w:hAnsi="Times New Roman"/>
                <w:sz w:val="10"/>
                <w:szCs w:val="10"/>
                <w:color w:val="auto"/>
                <w:vertAlign w:val="superscript"/>
              </w:rPr>
              <w:t>(5)</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4/30/2025</w:t>
            </w:r>
          </w:p>
        </w:tc>
        <w:tc>
          <w:tcPr>
            <w:tcW w:w="4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8"/>
                <w:szCs w:val="8"/>
                <w:color w:val="auto"/>
                <w:w w:val="98"/>
              </w:rPr>
              <w:t>4/30/2028</w:t>
            </w:r>
          </w:p>
        </w:tc>
        <w:tc>
          <w:tcPr>
            <w:tcW w:w="220" w:type="dxa"/>
            <w:vAlign w:val="bottom"/>
            <w:shd w:val="clear" w:color="auto" w:fill="CCECFF"/>
          </w:tcPr>
          <w:p>
            <w:pPr>
              <w:spacing w:after="0"/>
              <w:rPr>
                <w:sz w:val="8"/>
                <w:szCs w:val="8"/>
                <w:color w:val="auto"/>
              </w:rPr>
            </w:pP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68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8"/>
                <w:szCs w:val="8"/>
                <w:color w:val="auto"/>
                <w:w w:val="96"/>
              </w:rPr>
              <w:t>9.81%</w:t>
            </w:r>
          </w:p>
        </w:tc>
        <w:tc>
          <w:tcPr>
            <w:tcW w:w="5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SOFR+550</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5,847</w:t>
            </w:r>
          </w:p>
        </w:tc>
        <w:tc>
          <w:tcPr>
            <w:tcW w:w="80" w:type="dxa"/>
            <w:vAlign w:val="bottom"/>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5,947</w:t>
            </w:r>
          </w:p>
        </w:tc>
        <w:tc>
          <w:tcPr>
            <w:tcW w:w="200" w:type="dxa"/>
            <w:vAlign w:val="bottom"/>
            <w:tcBorders>
              <w:right w:val="single" w:sz="8" w:color="CCECFF"/>
            </w:tcBorders>
            <w:shd w:val="clear" w:color="auto" w:fill="CCECFF"/>
          </w:tcPr>
          <w:p>
            <w:pPr>
              <w:spacing w:after="0"/>
              <w:rPr>
                <w:sz w:val="8"/>
                <w:szCs w:val="8"/>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5,964</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First Lien Secured Debt</w:t>
            </w: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1,083,891</w:t>
            </w:r>
          </w:p>
        </w:tc>
        <w:tc>
          <w:tcPr>
            <w:tcW w:w="200" w:type="dxa"/>
            <w:vAlign w:val="bottom"/>
          </w:tcPr>
          <w:p>
            <w:pPr>
              <w:ind w:left="14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1,066,863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Subordinate Debt - 14.8% of Net Assets</w:t>
            </w:r>
          </w:p>
        </w:tc>
        <w:tc>
          <w:tcPr>
            <w:tcW w:w="54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60" w:type="dxa"/>
            <w:vAlign w:val="bottom"/>
            <w:shd w:val="clear" w:color="auto" w:fill="CCECFF"/>
          </w:tcPr>
          <w:p>
            <w:pPr>
              <w:spacing w:after="0"/>
              <w:rPr>
                <w:sz w:val="8"/>
                <w:szCs w:val="8"/>
                <w:color w:val="auto"/>
              </w:rPr>
            </w:pPr>
          </w:p>
        </w:tc>
        <w:tc>
          <w:tcPr>
            <w:tcW w:w="200" w:type="dxa"/>
            <w:vAlign w:val="bottom"/>
            <w:tcBorders>
              <w:right w:val="single" w:sz="8" w:color="CCECFF"/>
            </w:tcBorders>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Integrative Nutrition,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4/17/2025</w:t>
            </w:r>
          </w:p>
        </w:tc>
        <w:tc>
          <w:tcPr>
            <w:tcW w:w="440" w:type="dxa"/>
            <w:vAlign w:val="bottom"/>
          </w:tcPr>
          <w:p>
            <w:pPr>
              <w:ind w:left="100"/>
              <w:spacing w:after="0"/>
              <w:rPr>
                <w:sz w:val="20"/>
                <w:szCs w:val="20"/>
                <w:color w:val="auto"/>
              </w:rPr>
            </w:pPr>
            <w:r>
              <w:rPr>
                <w:rFonts w:ascii="Times New Roman" w:cs="Times New Roman" w:eastAsia="Times New Roman" w:hAnsi="Times New Roman"/>
                <w:sz w:val="8"/>
                <w:szCs w:val="8"/>
                <w:color w:val="auto"/>
                <w:w w:val="98"/>
              </w:rPr>
              <w:t>4/15/2030</w:t>
            </w:r>
          </w:p>
        </w:tc>
        <w:tc>
          <w:tcPr>
            <w:tcW w:w="220" w:type="dxa"/>
            <w:vAlign w:val="bottom"/>
          </w:tcPr>
          <w:p>
            <w:pPr>
              <w:spacing w:after="0"/>
              <w:rPr>
                <w:sz w:val="8"/>
                <w:szCs w:val="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1,877</w:t>
            </w:r>
          </w:p>
        </w:tc>
        <w:tc>
          <w:tcPr>
            <w:tcW w:w="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1,628</w:t>
            </w:r>
          </w:p>
        </w:tc>
        <w:tc>
          <w:tcPr>
            <w:tcW w:w="20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Integrative Nutrition, LLC</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4/17/2025</w:t>
            </w:r>
          </w:p>
        </w:tc>
        <w:tc>
          <w:tcPr>
            <w:tcW w:w="4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8"/>
                <w:szCs w:val="8"/>
                <w:color w:val="auto"/>
                <w:w w:val="98"/>
              </w:rPr>
              <w:t>4/15/2033</w:t>
            </w:r>
          </w:p>
        </w:tc>
        <w:tc>
          <w:tcPr>
            <w:tcW w:w="220" w:type="dxa"/>
            <w:vAlign w:val="bottom"/>
            <w:shd w:val="clear" w:color="auto" w:fill="CCECFF"/>
          </w:tcPr>
          <w:p>
            <w:pPr>
              <w:spacing w:after="0"/>
              <w:rPr>
                <w:sz w:val="8"/>
                <w:szCs w:val="8"/>
                <w:color w:val="auto"/>
              </w:rPr>
            </w:pP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8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4,275</w:t>
            </w:r>
          </w:p>
        </w:tc>
        <w:tc>
          <w:tcPr>
            <w:tcW w:w="80" w:type="dxa"/>
            <w:vAlign w:val="bottom"/>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1,977</w:t>
            </w:r>
          </w:p>
        </w:tc>
        <w:tc>
          <w:tcPr>
            <w:tcW w:w="200" w:type="dxa"/>
            <w:vAlign w:val="bottom"/>
            <w:tcBorders>
              <w:right w:val="single" w:sz="8" w:color="CCECFF"/>
            </w:tcBorders>
            <w:shd w:val="clear" w:color="auto" w:fill="CCECFF"/>
          </w:tcPr>
          <w:p>
            <w:pPr>
              <w:spacing w:after="0"/>
              <w:rPr>
                <w:sz w:val="8"/>
                <w:szCs w:val="8"/>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1,977</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Wash &amp; Wax Systems LLC</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4/30/2025</w:t>
            </w:r>
          </w:p>
        </w:tc>
        <w:tc>
          <w:tcPr>
            <w:tcW w:w="440" w:type="dxa"/>
            <w:vAlign w:val="bottom"/>
          </w:tcPr>
          <w:p>
            <w:pPr>
              <w:ind w:left="100"/>
              <w:spacing w:after="0"/>
              <w:rPr>
                <w:sz w:val="20"/>
                <w:szCs w:val="20"/>
                <w:color w:val="auto"/>
              </w:rPr>
            </w:pPr>
            <w:r>
              <w:rPr>
                <w:rFonts w:ascii="Times New Roman" w:cs="Times New Roman" w:eastAsia="Times New Roman" w:hAnsi="Times New Roman"/>
                <w:sz w:val="8"/>
                <w:szCs w:val="8"/>
                <w:color w:val="auto"/>
                <w:w w:val="98"/>
              </w:rPr>
              <w:t>7/30/2028</w:t>
            </w:r>
          </w:p>
        </w:tc>
        <w:tc>
          <w:tcPr>
            <w:tcW w:w="220" w:type="dxa"/>
            <w:vAlign w:val="bottom"/>
          </w:tcPr>
          <w:p>
            <w:pPr>
              <w:spacing w:after="0"/>
              <w:rPr>
                <w:sz w:val="8"/>
                <w:szCs w:val="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680" w:type="dxa"/>
            <w:vAlign w:val="bottom"/>
          </w:tcPr>
          <w:p>
            <w:pPr>
              <w:jc w:val="center"/>
              <w:ind w:right="120"/>
              <w:spacing w:after="0"/>
              <w:rPr>
                <w:sz w:val="20"/>
                <w:szCs w:val="20"/>
                <w:color w:val="auto"/>
              </w:rPr>
            </w:pPr>
            <w:r>
              <w:rPr>
                <w:rFonts w:ascii="Times New Roman" w:cs="Times New Roman" w:eastAsia="Times New Roman" w:hAnsi="Times New Roman"/>
                <w:sz w:val="8"/>
                <w:szCs w:val="8"/>
                <w:color w:val="auto"/>
                <w:w w:val="97"/>
              </w:rPr>
              <w:t>12.00%</w:t>
            </w:r>
          </w:p>
        </w:tc>
        <w:tc>
          <w:tcPr>
            <w:tcW w:w="580" w:type="dxa"/>
            <w:vAlign w:val="bottom"/>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3,932</w:t>
            </w:r>
          </w:p>
        </w:tc>
        <w:tc>
          <w:tcPr>
            <w:tcW w:w="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3,932</w:t>
            </w:r>
          </w:p>
        </w:tc>
        <w:tc>
          <w:tcPr>
            <w:tcW w:w="20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3,932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Subordinate Debt</w:t>
            </w:r>
          </w:p>
        </w:tc>
        <w:tc>
          <w:tcPr>
            <w:tcW w:w="54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7,537</w:t>
            </w:r>
          </w:p>
        </w:tc>
        <w:tc>
          <w:tcPr>
            <w:tcW w:w="200" w:type="dxa"/>
            <w:vAlign w:val="bottom"/>
            <w:tcBorders>
              <w:right w:val="single" w:sz="8" w:color="CCECFF"/>
            </w:tcBorders>
            <w:shd w:val="clear" w:color="auto" w:fill="CCECFF"/>
          </w:tcPr>
          <w:p>
            <w:pPr>
              <w:ind w:left="14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7,514</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Equity Securities - 20.3% of Net Assets</w:t>
            </w: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48Forty Intermediate Holdings, Inc. - Common Equity</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11/5/2024</w:t>
            </w: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Containers and Packaging</w:t>
            </w:r>
          </w:p>
        </w:tc>
        <w:tc>
          <w:tcPr>
            <w:tcW w:w="68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1,722</w:t>
            </w:r>
          </w:p>
        </w:tc>
        <w:tc>
          <w:tcPr>
            <w:tcW w:w="80" w:type="dxa"/>
            <w:vAlign w:val="bottom"/>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Borders>
              <w:right w:val="single" w:sz="8" w:color="CCECFF"/>
            </w:tcBorders>
            <w:shd w:val="clear" w:color="auto" w:fill="CCECFF"/>
          </w:tcPr>
          <w:p>
            <w:pPr>
              <w:spacing w:after="0"/>
              <w:rPr>
                <w:sz w:val="8"/>
                <w:szCs w:val="8"/>
                <w:color w:val="auto"/>
              </w:rPr>
            </w:pPr>
          </w:p>
        </w:tc>
        <w:tc>
          <w:tcPr>
            <w:tcW w:w="4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New Insight Holdings, Inc. - Common Equity</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7/15/2024</w:t>
            </w:r>
          </w:p>
        </w:tc>
        <w:tc>
          <w:tcPr>
            <w:tcW w:w="440" w:type="dxa"/>
            <w:vAlign w:val="bottom"/>
          </w:tcPr>
          <w:p>
            <w:pPr>
              <w:spacing w:after="0"/>
              <w:rPr>
                <w:sz w:val="8"/>
                <w:szCs w:val="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Diversified Consumer Services</w:t>
            </w:r>
          </w:p>
        </w:tc>
        <w:tc>
          <w:tcPr>
            <w:tcW w:w="6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116,055</w:t>
            </w:r>
          </w:p>
        </w:tc>
        <w:tc>
          <w:tcPr>
            <w:tcW w:w="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2,031</w:t>
            </w:r>
          </w:p>
        </w:tc>
        <w:tc>
          <w:tcPr>
            <w:tcW w:w="20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1,740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Lucky Bucks, LLC - Common Equity</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12/1/2023</w:t>
            </w: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Hotel, Gaming and Leisure</w:t>
            </w:r>
          </w:p>
        </w:tc>
        <w:tc>
          <w:tcPr>
            <w:tcW w:w="68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73,870</w:t>
            </w:r>
          </w:p>
        </w:tc>
        <w:tc>
          <w:tcPr>
            <w:tcW w:w="80" w:type="dxa"/>
            <w:vAlign w:val="bottom"/>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2,062</w:t>
            </w:r>
          </w:p>
        </w:tc>
        <w:tc>
          <w:tcPr>
            <w:tcW w:w="200" w:type="dxa"/>
            <w:vAlign w:val="bottom"/>
            <w:tcBorders>
              <w:right w:val="single" w:sz="8" w:color="CCECFF"/>
            </w:tcBorders>
            <w:shd w:val="clear" w:color="auto" w:fill="CCECFF"/>
          </w:tcPr>
          <w:p>
            <w:pPr>
              <w:spacing w:after="0"/>
              <w:rPr>
                <w:sz w:val="8"/>
                <w:szCs w:val="8"/>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392</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Output Services Group, Inc. - Common Equity</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12/1/2023</w:t>
            </w:r>
          </w:p>
        </w:tc>
        <w:tc>
          <w:tcPr>
            <w:tcW w:w="440" w:type="dxa"/>
            <w:vAlign w:val="bottom"/>
          </w:tcPr>
          <w:p>
            <w:pPr>
              <w:spacing w:after="0"/>
              <w:rPr>
                <w:sz w:val="8"/>
                <w:szCs w:val="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Business Services</w:t>
            </w:r>
          </w:p>
        </w:tc>
        <w:tc>
          <w:tcPr>
            <w:tcW w:w="6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126,324</w:t>
            </w:r>
          </w:p>
        </w:tc>
        <w:tc>
          <w:tcPr>
            <w:tcW w:w="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1,012</w:t>
            </w:r>
          </w:p>
        </w:tc>
        <w:tc>
          <w:tcPr>
            <w:tcW w:w="20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1,037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Pragmatic Holdco, Inc. - Common Equity</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3/28/2025</w:t>
            </w: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Education</w:t>
            </w:r>
          </w:p>
        </w:tc>
        <w:tc>
          <w:tcPr>
            <w:tcW w:w="68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134</w:t>
            </w:r>
          </w:p>
        </w:tc>
        <w:tc>
          <w:tcPr>
            <w:tcW w:w="80" w:type="dxa"/>
            <w:vAlign w:val="bottom"/>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Borders>
              <w:right w:val="single" w:sz="8" w:color="CCECFF"/>
            </w:tcBorders>
            <w:shd w:val="clear" w:color="auto" w:fill="CCECFF"/>
          </w:tcPr>
          <w:p>
            <w:pPr>
              <w:spacing w:after="0"/>
              <w:rPr>
                <w:sz w:val="8"/>
                <w:szCs w:val="8"/>
                <w:color w:val="auto"/>
              </w:rPr>
            </w:pPr>
          </w:p>
        </w:tc>
        <w:tc>
          <w:tcPr>
            <w:tcW w:w="4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Wash &amp; Wax Group, LP - Common Equity</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4/30/2025</w:t>
            </w:r>
          </w:p>
        </w:tc>
        <w:tc>
          <w:tcPr>
            <w:tcW w:w="440" w:type="dxa"/>
            <w:vAlign w:val="bottom"/>
          </w:tcPr>
          <w:p>
            <w:pPr>
              <w:spacing w:after="0"/>
              <w:rPr>
                <w:sz w:val="8"/>
                <w:szCs w:val="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6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2,493</w:t>
            </w:r>
          </w:p>
        </w:tc>
        <w:tc>
          <w:tcPr>
            <w:tcW w:w="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4,449</w:t>
            </w:r>
          </w:p>
        </w:tc>
        <w:tc>
          <w:tcPr>
            <w:tcW w:w="20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4,593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color w:val="auto"/>
              </w:rPr>
              <w:t xml:space="preserve">White Tiger Newco, LLC - Common Equity </w:t>
            </w:r>
            <w:r>
              <w:rPr>
                <w:rFonts w:ascii="Times New Roman" w:cs="Times New Roman" w:eastAsia="Times New Roman" w:hAnsi="Times New Roman"/>
                <w:sz w:val="10"/>
                <w:szCs w:val="10"/>
                <w:color w:val="auto"/>
                <w:vertAlign w:val="superscript"/>
              </w:rPr>
              <w:t>(5)</w:t>
            </w:r>
          </w:p>
        </w:tc>
        <w:tc>
          <w:tcPr>
            <w:tcW w:w="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7/31/2025</w:t>
            </w: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rPr>
              <w:t>Automobiles</w:t>
            </w:r>
          </w:p>
        </w:tc>
        <w:tc>
          <w:tcPr>
            <w:tcW w:w="68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35,834</w:t>
            </w:r>
          </w:p>
        </w:tc>
        <w:tc>
          <w:tcPr>
            <w:tcW w:w="80" w:type="dxa"/>
            <w:vAlign w:val="bottom"/>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2,734</w:t>
            </w:r>
          </w:p>
        </w:tc>
        <w:tc>
          <w:tcPr>
            <w:tcW w:w="200" w:type="dxa"/>
            <w:vAlign w:val="bottom"/>
            <w:tcBorders>
              <w:right w:val="single" w:sz="8" w:color="CCECFF"/>
            </w:tcBorders>
            <w:shd w:val="clear" w:color="auto" w:fill="CCECFF"/>
          </w:tcPr>
          <w:p>
            <w:pPr>
              <w:spacing w:after="0"/>
              <w:rPr>
                <w:sz w:val="8"/>
                <w:szCs w:val="8"/>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2,510</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Equity Securities</w:t>
            </w: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12,288</w:t>
            </w:r>
          </w:p>
        </w:tc>
        <w:tc>
          <w:tcPr>
            <w:tcW w:w="200" w:type="dxa"/>
            <w:vAlign w:val="bottom"/>
          </w:tcPr>
          <w:p>
            <w:pPr>
              <w:ind w:left="14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10,272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line="101" w:lineRule="exact"/>
              <w:rPr>
                <w:sz w:val="20"/>
                <w:szCs w:val="20"/>
                <w:color w:val="auto"/>
              </w:rPr>
            </w:pPr>
            <w:r>
              <w:rPr>
                <w:rFonts w:ascii="Times New Roman" w:cs="Times New Roman" w:eastAsia="Times New Roman" w:hAnsi="Times New Roman"/>
                <w:sz w:val="8"/>
                <w:szCs w:val="8"/>
                <w:b w:val="1"/>
                <w:bCs w:val="1"/>
                <w:color w:val="auto"/>
              </w:rPr>
              <w:t xml:space="preserve">Total Investments - 2,141.5% of Net Assets </w:t>
            </w:r>
            <w:r>
              <w:rPr>
                <w:rFonts w:ascii="Times New Roman" w:cs="Times New Roman" w:eastAsia="Times New Roman" w:hAnsi="Times New Roman"/>
                <w:sz w:val="10"/>
                <w:szCs w:val="10"/>
                <w:b w:val="1"/>
                <w:bCs w:val="1"/>
                <w:color w:val="auto"/>
                <w:vertAlign w:val="superscript"/>
              </w:rPr>
              <w:t>(6)(8)</w:t>
            </w:r>
          </w:p>
        </w:tc>
        <w:tc>
          <w:tcPr>
            <w:tcW w:w="54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1,103,716</w:t>
            </w:r>
          </w:p>
        </w:tc>
        <w:tc>
          <w:tcPr>
            <w:tcW w:w="200" w:type="dxa"/>
            <w:vAlign w:val="bottom"/>
            <w:tcBorders>
              <w:right w:val="single" w:sz="8" w:color="CCECFF"/>
            </w:tcBorders>
            <w:shd w:val="clear" w:color="auto" w:fill="CCECFF"/>
          </w:tcPr>
          <w:p>
            <w:pPr>
              <w:ind w:left="14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1,084,649</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Cash Equivalents - 94.5% of Net Assets</w:t>
            </w:r>
          </w:p>
        </w:tc>
        <w:tc>
          <w:tcPr>
            <w:tcW w:w="54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60" w:type="dxa"/>
            <w:vAlign w:val="bottom"/>
            <w:shd w:val="clear" w:color="auto" w:fill="CCECFF"/>
          </w:tcPr>
          <w:p>
            <w:pPr>
              <w:spacing w:after="0"/>
              <w:rPr>
                <w:sz w:val="8"/>
                <w:szCs w:val="8"/>
                <w:color w:val="auto"/>
              </w:rPr>
            </w:pPr>
          </w:p>
        </w:tc>
        <w:tc>
          <w:tcPr>
            <w:tcW w:w="200" w:type="dxa"/>
            <w:vAlign w:val="bottom"/>
            <w:tcBorders>
              <w:right w:val="single" w:sz="8" w:color="CCECFF"/>
            </w:tcBorders>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BlackRock Federal FD Institutional 81 ( Money Market</w:t>
            </w: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Fund)</w:t>
            </w: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4.11%</w:t>
            </w:r>
          </w:p>
        </w:tc>
        <w:tc>
          <w:tcPr>
            <w:tcW w:w="580" w:type="dxa"/>
            <w:vAlign w:val="bottom"/>
          </w:tcPr>
          <w:p>
            <w:pPr>
              <w:spacing w:after="0"/>
              <w:rPr>
                <w:sz w:val="8"/>
                <w:szCs w:val="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12,475</w:t>
            </w:r>
          </w:p>
        </w:tc>
        <w:tc>
          <w:tcPr>
            <w:tcW w:w="200" w:type="dxa"/>
            <w:vAlign w:val="bottom"/>
          </w:tcPr>
          <w:p>
            <w:pPr>
              <w:ind w:left="14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12,475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Blackrock Liquidity Fed Fund Inst (Money Market Fund)</w:t>
            </w:r>
          </w:p>
        </w:tc>
        <w:tc>
          <w:tcPr>
            <w:tcW w:w="54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40" w:type="dxa"/>
            <w:vAlign w:val="bottom"/>
            <w:shd w:val="clear" w:color="auto" w:fill="CCECFF"/>
          </w:tcPr>
          <w:p>
            <w:pPr>
              <w:spacing w:after="0"/>
              <w:rPr>
                <w:sz w:val="8"/>
                <w:szCs w:val="8"/>
                <w:color w:val="auto"/>
              </w:rPr>
            </w:pPr>
          </w:p>
        </w:tc>
        <w:tc>
          <w:tcPr>
            <w:tcW w:w="6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4.02%</w:t>
            </w:r>
          </w:p>
        </w:tc>
        <w:tc>
          <w:tcPr>
            <w:tcW w:w="58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4,265</w:t>
            </w:r>
          </w:p>
        </w:tc>
        <w:tc>
          <w:tcPr>
            <w:tcW w:w="200" w:type="dxa"/>
            <w:vAlign w:val="bottom"/>
            <w:tcBorders>
              <w:right w:val="single" w:sz="8" w:color="CCECFF"/>
            </w:tcBorders>
            <w:shd w:val="clear" w:color="auto" w:fill="CCECFF"/>
          </w:tcPr>
          <w:p>
            <w:pPr>
              <w:spacing w:after="0"/>
              <w:rPr>
                <w:sz w:val="8"/>
                <w:szCs w:val="8"/>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4,265</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JP Morgan USD Liquidity Inst (Money Market Fund)</w:t>
            </w: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4.10%</w:t>
            </w: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14,682</w:t>
            </w:r>
          </w:p>
        </w:tc>
        <w:tc>
          <w:tcPr>
            <w:tcW w:w="20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14,682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JP Morgan US Government Fund (Money Market Fund)</w:t>
            </w:r>
          </w:p>
        </w:tc>
        <w:tc>
          <w:tcPr>
            <w:tcW w:w="54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40" w:type="dxa"/>
            <w:vAlign w:val="bottom"/>
            <w:shd w:val="clear" w:color="auto" w:fill="CCECFF"/>
          </w:tcPr>
          <w:p>
            <w:pPr>
              <w:spacing w:after="0"/>
              <w:rPr>
                <w:sz w:val="8"/>
                <w:szCs w:val="8"/>
                <w:color w:val="auto"/>
              </w:rPr>
            </w:pPr>
          </w:p>
        </w:tc>
        <w:tc>
          <w:tcPr>
            <w:tcW w:w="68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4.02%</w:t>
            </w:r>
          </w:p>
        </w:tc>
        <w:tc>
          <w:tcPr>
            <w:tcW w:w="58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10,539</w:t>
            </w:r>
          </w:p>
        </w:tc>
        <w:tc>
          <w:tcPr>
            <w:tcW w:w="200" w:type="dxa"/>
            <w:vAlign w:val="bottom"/>
            <w:tcBorders>
              <w:right w:val="single" w:sz="8" w:color="CCECFF"/>
            </w:tcBorders>
            <w:shd w:val="clear" w:color="auto" w:fill="CCECFF"/>
          </w:tcPr>
          <w:p>
            <w:pPr>
              <w:spacing w:after="0"/>
              <w:rPr>
                <w:sz w:val="8"/>
                <w:szCs w:val="8"/>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10,539</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Goldman Sachs Financial Square Government Fund (Money</w:t>
            </w: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auto"/>
              </w:rPr>
              <w:t>Market Fund)</w:t>
            </w: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4.10%</w:t>
            </w: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5,909</w:t>
            </w:r>
          </w:p>
        </w:tc>
        <w:tc>
          <w:tcPr>
            <w:tcW w:w="20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Cash Equivalents</w:t>
            </w:r>
          </w:p>
        </w:tc>
        <w:tc>
          <w:tcPr>
            <w:tcW w:w="54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47,870</w:t>
            </w:r>
          </w:p>
        </w:tc>
        <w:tc>
          <w:tcPr>
            <w:tcW w:w="200" w:type="dxa"/>
            <w:vAlign w:val="bottom"/>
            <w:tcBorders>
              <w:right w:val="single" w:sz="8" w:color="CCECFF"/>
            </w:tcBorders>
            <w:shd w:val="clear" w:color="auto" w:fill="CCECFF"/>
          </w:tcPr>
          <w:p>
            <w:pPr>
              <w:ind w:left="14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47,870</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Cash - 27.0% of Net Assets</w:t>
            </w: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Cash</w:t>
            </w:r>
          </w:p>
        </w:tc>
        <w:tc>
          <w:tcPr>
            <w:tcW w:w="54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13,690</w:t>
            </w:r>
          </w:p>
        </w:tc>
        <w:tc>
          <w:tcPr>
            <w:tcW w:w="200" w:type="dxa"/>
            <w:vAlign w:val="bottom"/>
            <w:tcBorders>
              <w:right w:val="single" w:sz="8" w:color="CCECFF"/>
            </w:tcBorders>
            <w:shd w:val="clear" w:color="auto" w:fill="CCECFF"/>
          </w:tcPr>
          <w:p>
            <w:pPr>
              <w:ind w:left="14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13,690</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Cash</w:t>
            </w: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13,690</w:t>
            </w:r>
          </w:p>
        </w:tc>
        <w:tc>
          <w:tcPr>
            <w:tcW w:w="200" w:type="dxa"/>
            <w:vAlign w:val="bottom"/>
          </w:tcPr>
          <w:p>
            <w:pPr>
              <w:ind w:left="14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13,690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Investments, Cash Equivalents, and Cash —</w:t>
            </w:r>
          </w:p>
        </w:tc>
        <w:tc>
          <w:tcPr>
            <w:tcW w:w="54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72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1,165,276</w:t>
            </w:r>
          </w:p>
        </w:tc>
        <w:tc>
          <w:tcPr>
            <w:tcW w:w="200" w:type="dxa"/>
            <w:vAlign w:val="bottom"/>
            <w:tcBorders>
              <w:right w:val="single" w:sz="8" w:color="CCECFF"/>
            </w:tcBorders>
            <w:vMerge w:val="restart"/>
            <w:shd w:val="clear" w:color="auto" w:fill="CCECFF"/>
          </w:tcPr>
          <w:p>
            <w:pPr>
              <w:ind w:left="14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1,146,209</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00" w:type="dxa"/>
            <w:vAlign w:val="bottom"/>
            <w:shd w:val="clear" w:color="auto" w:fill="CCECFF"/>
          </w:tcPr>
          <w:p>
            <w:pPr>
              <w:spacing w:after="0" w:line="62" w:lineRule="exact"/>
              <w:rPr>
                <w:sz w:val="20"/>
                <w:szCs w:val="20"/>
                <w:color w:val="auto"/>
              </w:rPr>
            </w:pPr>
            <w:r>
              <w:rPr>
                <w:rFonts w:ascii="Times New Roman" w:cs="Times New Roman" w:eastAsia="Times New Roman" w:hAnsi="Times New Roman"/>
                <w:sz w:val="7"/>
                <w:szCs w:val="7"/>
                <w:b w:val="1"/>
                <w:bCs w:val="1"/>
                <w:color w:val="auto"/>
              </w:rPr>
              <w:t>2,263.0% of Net Assets</w:t>
            </w:r>
          </w:p>
        </w:tc>
        <w:tc>
          <w:tcPr>
            <w:tcW w:w="54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4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720" w:type="dxa"/>
            <w:vAlign w:val="bottom"/>
            <w:gridSpan w:val="2"/>
            <w:vMerge w:val="continue"/>
            <w:shd w:val="clear" w:color="auto" w:fill="CCECFF"/>
          </w:tcPr>
          <w:p>
            <w:pPr>
              <w:spacing w:after="0"/>
              <w:rPr>
                <w:sz w:val="9"/>
                <w:szCs w:val="9"/>
                <w:color w:val="auto"/>
              </w:rPr>
            </w:pPr>
          </w:p>
        </w:tc>
        <w:tc>
          <w:tcPr>
            <w:tcW w:w="360" w:type="dxa"/>
            <w:vAlign w:val="bottom"/>
            <w:vMerge w:val="continue"/>
            <w:shd w:val="clear" w:color="auto" w:fill="CCECFF"/>
          </w:tcPr>
          <w:p>
            <w:pPr>
              <w:spacing w:after="0"/>
              <w:rPr>
                <w:sz w:val="9"/>
                <w:szCs w:val="9"/>
                <w:color w:val="auto"/>
              </w:rPr>
            </w:pPr>
          </w:p>
        </w:tc>
        <w:tc>
          <w:tcPr>
            <w:tcW w:w="200" w:type="dxa"/>
            <w:vAlign w:val="bottom"/>
            <w:tcBorders>
              <w:right w:val="single" w:sz="8" w:color="CCECFF"/>
            </w:tcBorders>
            <w:vMerge w:val="continue"/>
            <w:shd w:val="clear" w:color="auto" w:fill="CCECFF"/>
          </w:tcPr>
          <w:p>
            <w:pPr>
              <w:spacing w:after="0"/>
              <w:rPr>
                <w:sz w:val="9"/>
                <w:szCs w:val="9"/>
                <w:color w:val="auto"/>
              </w:rPr>
            </w:pPr>
          </w:p>
        </w:tc>
        <w:tc>
          <w:tcPr>
            <w:tcW w:w="380" w:type="dxa"/>
            <w:vAlign w:val="bottom"/>
            <w:vMerge w:val="continue"/>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00" w:type="dxa"/>
            <w:vAlign w:val="bottom"/>
            <w:tcBorders>
              <w:top w:val="single" w:sz="8" w:color="CCECFF"/>
            </w:tcBorders>
          </w:tcPr>
          <w:p>
            <w:pPr>
              <w:spacing w:after="0" w:line="70" w:lineRule="exact"/>
              <w:rPr>
                <w:sz w:val="20"/>
                <w:szCs w:val="20"/>
                <w:color w:val="auto"/>
              </w:rPr>
            </w:pPr>
            <w:r>
              <w:rPr>
                <w:rFonts w:ascii="Times New Roman" w:cs="Times New Roman" w:eastAsia="Times New Roman" w:hAnsi="Times New Roman"/>
                <w:sz w:val="8"/>
                <w:szCs w:val="8"/>
                <w:b w:val="1"/>
                <w:bCs w:val="1"/>
                <w:color w:val="auto"/>
              </w:rPr>
              <w:t>Liabilities in Excess of Other Assets — (2,163.0)% of Net</w:t>
            </w:r>
          </w:p>
        </w:tc>
        <w:tc>
          <w:tcPr>
            <w:tcW w:w="540" w:type="dxa"/>
            <w:vAlign w:val="bottom"/>
            <w:tcBorders>
              <w:top w:val="single" w:sz="8" w:color="CCECFF"/>
            </w:tcBorders>
          </w:tcPr>
          <w:p>
            <w:pPr>
              <w:spacing w:after="0"/>
              <w:rPr>
                <w:sz w:val="6"/>
                <w:szCs w:val="6"/>
                <w:color w:val="auto"/>
              </w:rPr>
            </w:pPr>
          </w:p>
        </w:tc>
        <w:tc>
          <w:tcPr>
            <w:tcW w:w="440" w:type="dxa"/>
            <w:vAlign w:val="bottom"/>
            <w:tcBorders>
              <w:top w:val="single" w:sz="8" w:color="CCECFF"/>
            </w:tcBorders>
          </w:tcPr>
          <w:p>
            <w:pPr>
              <w:spacing w:after="0"/>
              <w:rPr>
                <w:sz w:val="6"/>
                <w:szCs w:val="6"/>
                <w:color w:val="auto"/>
              </w:rPr>
            </w:pPr>
          </w:p>
        </w:tc>
        <w:tc>
          <w:tcPr>
            <w:tcW w:w="220" w:type="dxa"/>
            <w:vAlign w:val="bottom"/>
            <w:tcBorders>
              <w:top w:val="single" w:sz="8" w:color="CCECFF"/>
            </w:tcBorders>
          </w:tcPr>
          <w:p>
            <w:pPr>
              <w:spacing w:after="0"/>
              <w:rPr>
                <w:sz w:val="6"/>
                <w:szCs w:val="6"/>
                <w:color w:val="auto"/>
              </w:rPr>
            </w:pPr>
          </w:p>
        </w:tc>
        <w:tc>
          <w:tcPr>
            <w:tcW w:w="1240" w:type="dxa"/>
            <w:vAlign w:val="bottom"/>
            <w:tcBorders>
              <w:top w:val="single" w:sz="8" w:color="CCECFF"/>
            </w:tcBorders>
          </w:tcPr>
          <w:p>
            <w:pPr>
              <w:spacing w:after="0"/>
              <w:rPr>
                <w:sz w:val="6"/>
                <w:szCs w:val="6"/>
                <w:color w:val="auto"/>
              </w:rPr>
            </w:pPr>
          </w:p>
        </w:tc>
        <w:tc>
          <w:tcPr>
            <w:tcW w:w="680" w:type="dxa"/>
            <w:vAlign w:val="bottom"/>
            <w:tcBorders>
              <w:top w:val="single" w:sz="8" w:color="CCECFF"/>
            </w:tcBorders>
          </w:tcPr>
          <w:p>
            <w:pPr>
              <w:spacing w:after="0"/>
              <w:rPr>
                <w:sz w:val="6"/>
                <w:szCs w:val="6"/>
                <w:color w:val="auto"/>
              </w:rPr>
            </w:pPr>
          </w:p>
        </w:tc>
        <w:tc>
          <w:tcPr>
            <w:tcW w:w="580" w:type="dxa"/>
            <w:vAlign w:val="bottom"/>
            <w:tcBorders>
              <w:top w:val="single" w:sz="8" w:color="CCECFF"/>
            </w:tcBorders>
          </w:tcPr>
          <w:p>
            <w:pPr>
              <w:spacing w:after="0"/>
              <w:rPr>
                <w:sz w:val="6"/>
                <w:szCs w:val="6"/>
                <w:color w:val="auto"/>
              </w:rPr>
            </w:pPr>
          </w:p>
        </w:tc>
        <w:tc>
          <w:tcPr>
            <w:tcW w:w="640" w:type="dxa"/>
            <w:vAlign w:val="bottom"/>
            <w:tcBorders>
              <w:top w:val="single" w:sz="8" w:color="CCEC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200" w:type="dxa"/>
            <w:vAlign w:val="bottom"/>
            <w:tcBorders>
              <w:top w:val="single" w:sz="8" w:color="CCECFF"/>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Borders>
              <w:top w:val="single" w:sz="8" w:color="CCECFF"/>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(1,095,559)</w:t>
            </w:r>
          </w:p>
        </w:tc>
        <w:tc>
          <w:tcPr>
            <w:tcW w:w="0" w:type="dxa"/>
            <w:vAlign w:val="bottom"/>
          </w:tcPr>
          <w:p>
            <w:pPr>
              <w:spacing w:after="0"/>
              <w:rPr>
                <w:sz w:val="1"/>
                <w:szCs w:val="1"/>
                <w:color w:val="auto"/>
              </w:rPr>
            </w:pPr>
          </w:p>
        </w:tc>
      </w:tr>
      <w:tr>
        <w:trPr>
          <w:trHeight w:val="121"/>
        </w:trPr>
        <w:tc>
          <w:tcPr>
            <w:tcW w:w="2000" w:type="dxa"/>
            <w:vAlign w:val="bottom"/>
            <w:shd w:val="clear" w:color="auto" w:fill="CCECFF"/>
          </w:tcPr>
          <w:p>
            <w:pPr>
              <w:spacing w:after="0" w:line="91" w:lineRule="exact"/>
              <w:rPr>
                <w:sz w:val="20"/>
                <w:szCs w:val="20"/>
                <w:color w:val="auto"/>
              </w:rPr>
            </w:pPr>
            <w:r>
              <w:rPr>
                <w:rFonts w:ascii="Times New Roman" w:cs="Times New Roman" w:eastAsia="Times New Roman" w:hAnsi="Times New Roman"/>
                <w:sz w:val="8"/>
                <w:szCs w:val="8"/>
                <w:b w:val="1"/>
                <w:bCs w:val="1"/>
                <w:color w:val="auto"/>
              </w:rPr>
              <w:t>Members' Equity—100.0%</w:t>
            </w:r>
          </w:p>
        </w:tc>
        <w:tc>
          <w:tcPr>
            <w:tcW w:w="54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360" w:type="dxa"/>
            <w:vAlign w:val="bottom"/>
            <w:shd w:val="clear" w:color="auto" w:fill="CCECFF"/>
          </w:tcPr>
          <w:p>
            <w:pPr>
              <w:spacing w:after="0"/>
              <w:rPr>
                <w:sz w:val="10"/>
                <w:szCs w:val="10"/>
                <w:color w:val="auto"/>
              </w:rPr>
            </w:pPr>
          </w:p>
        </w:tc>
        <w:tc>
          <w:tcPr>
            <w:tcW w:w="200" w:type="dxa"/>
            <w:vAlign w:val="bottom"/>
            <w:tcBorders>
              <w:right w:val="single" w:sz="8" w:color="CCECFF"/>
            </w:tcBorders>
            <w:shd w:val="clear" w:color="auto" w:fill="CCECFF"/>
          </w:tcPr>
          <w:p>
            <w:pPr>
              <w:ind w:left="14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50,650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CFF"/>
            </w:tcBorders>
            <w:shd w:val="clear" w:color="auto" w:fill="CCECFF"/>
          </w:tcPr>
          <w:p>
            <w:pPr>
              <w:spacing w:after="0" w:line="20" w:lineRule="exact"/>
              <w:rPr>
                <w:sz w:val="1"/>
                <w:szCs w:val="1"/>
                <w:color w:val="auto"/>
              </w:rPr>
            </w:pPr>
          </w:p>
        </w:tc>
        <w:tc>
          <w:tcPr>
            <w:tcW w:w="540" w:type="dxa"/>
            <w:vAlign w:val="bottom"/>
            <w:tcBorders>
              <w:top w:val="single" w:sz="8" w:color="CCECFF"/>
            </w:tcBorders>
            <w:shd w:val="clear" w:color="auto" w:fill="CCECFF"/>
          </w:tcPr>
          <w:p>
            <w:pPr>
              <w:spacing w:after="0" w:line="20" w:lineRule="exact"/>
              <w:rPr>
                <w:sz w:val="1"/>
                <w:szCs w:val="1"/>
                <w:color w:val="auto"/>
              </w:rPr>
            </w:pPr>
          </w:p>
        </w:tc>
        <w:tc>
          <w:tcPr>
            <w:tcW w:w="4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24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6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CCECFF"/>
              <w:right w:val="single" w:sz="8" w:color="auto"/>
            </w:tcBorders>
            <w:shd w:val="clear" w:color="auto" w:fill="CCEC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780" w:right="960"/>
        <w:spacing w:after="0" w:line="238" w:lineRule="auto"/>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8"/>
          <w:szCs w:val="8"/>
          <w:color w:val="auto"/>
        </w:rPr>
        <w:t>Represents floating rate instruments that accrue interest at a predetermined spread relative to an index, typically the applicable Secured Overnight Financing Rate or "SOFR". The spread may change based on the type of rate used. The terms in the Consolidated Schedule of Investments disclose the actual interest rate in effect as of the reporting period. All securities are subject to a SOFR floor where a spread is provided, unless noted. The spread provided includes PIK interest and other fee rates, if any.</w:t>
      </w:r>
    </w:p>
    <w:p>
      <w:pPr>
        <w:spacing w:after="0" w:line="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8"/>
          <w:szCs w:val="8"/>
          <w:color w:val="auto"/>
        </w:rPr>
        <w:t>Valued based on PSSL’s accounting policy.</w:t>
      </w:r>
    </w:p>
    <w:p>
      <w:pPr>
        <w:spacing w:after="0" w:line="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8"/>
          <w:szCs w:val="8"/>
          <w:color w:val="auto"/>
        </w:rPr>
        <w:t>Represents the purchase of a security with a delayed settlement or a revolving line of credit that is currently an unfunded investment. This security does not earn a basis point spread above an index while it is unfunded.</w:t>
      </w:r>
    </w:p>
    <w:p>
      <w:pPr>
        <w:ind w:left="780"/>
        <w:spacing w:after="0" w:line="236" w:lineRule="auto"/>
        <w:rPr>
          <w:sz w:val="20"/>
          <w:szCs w:val="20"/>
          <w:color w:val="auto"/>
        </w:rPr>
      </w:pP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8"/>
          <w:szCs w:val="8"/>
          <w:color w:val="auto"/>
        </w:rPr>
        <w:t>Non-accrual security.</w:t>
      </w:r>
    </w:p>
    <w:p>
      <w:pPr>
        <w:spacing w:after="0" w:line="1" w:lineRule="exact"/>
        <w:rPr>
          <w:sz w:val="20"/>
          <w:szCs w:val="20"/>
          <w:color w:val="auto"/>
        </w:rPr>
      </w:pPr>
    </w:p>
    <w:p>
      <w:pPr>
        <w:ind w:left="780" w:right="920"/>
        <w:spacing w:after="0" w:line="223" w:lineRule="auto"/>
        <w:rPr>
          <w:sz w:val="20"/>
          <w:szCs w:val="20"/>
          <w:color w:val="auto"/>
        </w:rPr>
      </w:pPr>
      <w:r>
        <w:rPr>
          <w:rFonts w:ascii="Times New Roman" w:cs="Times New Roman" w:eastAsia="Times New Roman" w:hAnsi="Times New Roman"/>
          <w:sz w:val="16"/>
          <w:szCs w:val="16"/>
          <w:color w:val="auto"/>
          <w:vertAlign w:val="superscript"/>
        </w:rPr>
        <w:t>(5)</w:t>
      </w:r>
      <w:r>
        <w:rPr>
          <w:rFonts w:ascii="Times New Roman" w:cs="Times New Roman" w:eastAsia="Times New Roman" w:hAnsi="Times New Roman"/>
          <w:sz w:val="8"/>
          <w:szCs w:val="8"/>
          <w:color w:val="auto"/>
        </w:rPr>
        <w:t>The securities, or a portion thereof, 1) are not pledged as collateral under the Credit Facility and held through Funding I; 2) do no secure the 2037-R Asset-Backed Debt and held through PennantPark CLO VI, LLC, 3) do not secure the 2036 Asset-Backed Debt and are not held through PennantPark CLO II, Ltd. and 4) do not secure the 2037 Asset-Backed Debt and are not held through PennantPark CLO 12, LLC.</w:t>
      </w:r>
    </w:p>
    <w:p>
      <w:pPr>
        <w:spacing w:after="0" w:line="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vertAlign w:val="superscript"/>
        </w:rPr>
        <w:t>(6)</w:t>
      </w:r>
      <w:r>
        <w:rPr>
          <w:rFonts w:ascii="Times New Roman" w:cs="Times New Roman" w:eastAsia="Times New Roman" w:hAnsi="Times New Roman"/>
          <w:sz w:val="8"/>
          <w:szCs w:val="8"/>
          <w:color w:val="auto"/>
        </w:rPr>
        <w:t>As of September 30, 2025, all investments were in U.S Companies and total cost, fair value, and percentage of Net Assets for the U.S Companies were $1,103.7 million, $1,084.6 million and 2,141.5%.</w:t>
      </w:r>
    </w:p>
    <w:p>
      <w:pPr>
        <w:spacing w:after="0" w:line="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vertAlign w:val="superscript"/>
        </w:rPr>
        <w:t>(7)</w:t>
      </w:r>
      <w:r>
        <w:rPr>
          <w:rFonts w:ascii="Times New Roman" w:cs="Times New Roman" w:eastAsia="Times New Roman" w:hAnsi="Times New Roman"/>
          <w:sz w:val="8"/>
          <w:szCs w:val="8"/>
          <w:color w:val="auto"/>
        </w:rPr>
        <w:t>Partial PIK non-accrual security</w:t>
      </w:r>
    </w:p>
    <w:p>
      <w:pPr>
        <w:ind w:left="780"/>
        <w:spacing w:after="0"/>
        <w:rPr>
          <w:sz w:val="20"/>
          <w:szCs w:val="20"/>
          <w:color w:val="auto"/>
        </w:rPr>
      </w:pPr>
      <w:r>
        <w:rPr>
          <w:rFonts w:ascii="Times New Roman" w:cs="Times New Roman" w:eastAsia="Times New Roman" w:hAnsi="Times New Roman"/>
          <w:sz w:val="16"/>
          <w:szCs w:val="16"/>
          <w:color w:val="auto"/>
          <w:vertAlign w:val="superscript"/>
        </w:rPr>
        <w:t>(8)</w:t>
      </w:r>
      <w:r>
        <w:rPr>
          <w:rFonts w:ascii="Times New Roman" w:cs="Times New Roman" w:eastAsia="Times New Roman" w:hAnsi="Times New Roman"/>
          <w:sz w:val="8"/>
          <w:szCs w:val="8"/>
          <w:color w:val="auto"/>
        </w:rPr>
        <w:t>All of our investments are not registered under the 1933 Act and have restrictions on resale.</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204" w:right="1440" w:bottom="1440" w:gutter="0" w:footer="0" w:header="0"/>
        </w:sectPr>
      </w:pPr>
    </w:p>
    <w:bookmarkStart w:id="71" w:name="page72"/>
    <w:bookmarkEnd w:id="71"/>
    <w:tbl>
      <w:tblPr>
        <w:tblLayout w:type="fixed"/>
        <w:tblInd w:w="780" w:type="dxa"/>
        <w:tblCellMar>
          <w:top w:w="0" w:type="dxa"/>
          <w:left w:w="0" w:type="dxa"/>
          <w:bottom w:w="0" w:type="dxa"/>
          <w:right w:w="0" w:type="dxa"/>
        </w:tblCellMar>
      </w:tblPr>
      <w:tr>
        <w:trPr>
          <w:trHeight w:val="143"/>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Below are the consolidated statements of assets and liabilities for PSSL ($ in thousands):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370"/>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3"/>
        </w:trPr>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8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7"/>
              </w:rPr>
              <w:t>September 30, 2025</w:t>
            </w:r>
          </w:p>
        </w:tc>
      </w:tr>
      <w:tr>
        <w:trPr>
          <w:trHeight w:val="13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Investments at fair value (amortized cost—$1,224,427 and $1,103,716, respectively)</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1,195,016</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1,084,649</w:t>
            </w:r>
          </w:p>
        </w:tc>
        <w:tc>
          <w:tcPr>
            <w:tcW w:w="80" w:type="dxa"/>
            <w:vAlign w:val="bottom"/>
          </w:tcPr>
          <w:p>
            <w:pPr>
              <w:spacing w:after="0"/>
              <w:rPr>
                <w:sz w:val="11"/>
                <w:szCs w:val="11"/>
                <w:color w:val="auto"/>
              </w:rPr>
            </w:pPr>
          </w:p>
        </w:tc>
      </w:tr>
      <w:tr>
        <w:trPr>
          <w:trHeight w:val="13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Cash equivalents (cost—$18,863 and $47,870, respectively)</w:t>
            </w:r>
          </w:p>
        </w:tc>
        <w:tc>
          <w:tcPr>
            <w:tcW w:w="100" w:type="dxa"/>
            <w:vAlign w:val="bottom"/>
            <w:shd w:val="clear" w:color="auto" w:fill="CCECFF"/>
          </w:tcPr>
          <w:p>
            <w:pPr>
              <w:spacing w:after="0"/>
              <w:rPr>
                <w:sz w:val="11"/>
                <w:szCs w:val="11"/>
                <w:color w:val="auto"/>
              </w:rPr>
            </w:pPr>
          </w:p>
        </w:tc>
        <w:tc>
          <w:tcPr>
            <w:tcW w:w="11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18,863</w:t>
            </w:r>
          </w:p>
        </w:tc>
        <w:tc>
          <w:tcPr>
            <w:tcW w:w="80" w:type="dxa"/>
            <w:vAlign w:val="bottom"/>
            <w:shd w:val="clear" w:color="auto" w:fill="CCECFF"/>
          </w:tcPr>
          <w:p>
            <w:pPr>
              <w:spacing w:after="0"/>
              <w:rPr>
                <w:sz w:val="11"/>
                <w:szCs w:val="11"/>
                <w:color w:val="auto"/>
              </w:rPr>
            </w:pPr>
          </w:p>
        </w:tc>
        <w:tc>
          <w:tcPr>
            <w:tcW w:w="10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47,870</w:t>
            </w:r>
          </w:p>
        </w:tc>
      </w:tr>
      <w:tr>
        <w:trPr>
          <w:trHeight w:val="131"/>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Cash (cost—$14,853 and $13,690, respectively)</w:t>
            </w:r>
          </w:p>
        </w:tc>
        <w:tc>
          <w:tcPr>
            <w:tcW w:w="100" w:type="dxa"/>
            <w:vAlign w:val="bottom"/>
          </w:tcPr>
          <w:p>
            <w:pPr>
              <w:spacing w:after="0"/>
              <w:rPr>
                <w:sz w:val="11"/>
                <w:szCs w:val="1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14,853</w:t>
            </w:r>
          </w:p>
        </w:tc>
        <w:tc>
          <w:tcPr>
            <w:tcW w:w="8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13,690</w:t>
            </w:r>
          </w:p>
        </w:tc>
      </w:tr>
      <w:tr>
        <w:trPr>
          <w:trHeight w:val="13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Interest receivable</w:t>
            </w:r>
          </w:p>
        </w:tc>
        <w:tc>
          <w:tcPr>
            <w:tcW w:w="100" w:type="dxa"/>
            <w:vAlign w:val="bottom"/>
            <w:shd w:val="clear" w:color="auto" w:fill="CCECFF"/>
          </w:tcPr>
          <w:p>
            <w:pPr>
              <w:spacing w:after="0"/>
              <w:rPr>
                <w:sz w:val="11"/>
                <w:szCs w:val="11"/>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4,177</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4,138</w:t>
            </w: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Receivable for investments sold</w:t>
            </w: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838</w:t>
            </w:r>
          </w:p>
        </w:tc>
        <w:tc>
          <w:tcPr>
            <w:tcW w:w="80" w:type="dxa"/>
            <w:vAlign w:val="bottom"/>
          </w:tcPr>
          <w:p>
            <w:pPr>
              <w:spacing w:after="0"/>
              <w:rPr>
                <w:sz w:val="11"/>
                <w:szCs w:val="11"/>
                <w:color w:val="auto"/>
              </w:rPr>
            </w:pPr>
          </w:p>
        </w:tc>
      </w:tr>
      <w:tr>
        <w:trPr>
          <w:trHeight w:val="13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Due from affiliate</w:t>
            </w:r>
          </w:p>
        </w:tc>
        <w:tc>
          <w:tcPr>
            <w:tcW w:w="100" w:type="dxa"/>
            <w:vAlign w:val="bottom"/>
            <w:shd w:val="clear" w:color="auto" w:fill="CCECFF"/>
          </w:tcPr>
          <w:p>
            <w:pPr>
              <w:spacing w:after="0"/>
              <w:rPr>
                <w:sz w:val="11"/>
                <w:szCs w:val="11"/>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2,296</w:t>
            </w:r>
          </w:p>
        </w:tc>
        <w:tc>
          <w:tcPr>
            <w:tcW w:w="80" w:type="dxa"/>
            <w:vAlign w:val="bottom"/>
          </w:tcPr>
          <w:p>
            <w:pPr>
              <w:spacing w:after="0"/>
              <w:rPr>
                <w:sz w:val="11"/>
                <w:szCs w:val="11"/>
                <w:color w:val="auto"/>
              </w:rPr>
            </w:pPr>
          </w:p>
        </w:tc>
      </w:tr>
      <w:tr>
        <w:trPr>
          <w:trHeight w:val="131"/>
        </w:trPr>
        <w:tc>
          <w:tcPr>
            <w:tcW w:w="514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00" w:type="dxa"/>
            <w:vAlign w:val="bottom"/>
            <w:shd w:val="clear" w:color="auto" w:fill="CCECFF"/>
          </w:tcPr>
          <w:p>
            <w:pPr>
              <w:spacing w:after="0"/>
              <w:rPr>
                <w:sz w:val="11"/>
                <w:szCs w:val="11"/>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1,235,184</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1,153,689</w:t>
            </w: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Credit facility payable</w:t>
            </w:r>
          </w:p>
        </w:tc>
        <w:tc>
          <w:tcPr>
            <w:tcW w:w="100" w:type="dxa"/>
            <w:vAlign w:val="bottom"/>
            <w:shd w:val="clear" w:color="auto" w:fill="CCECFF"/>
          </w:tcPr>
          <w:p>
            <w:pPr>
              <w:spacing w:after="0"/>
              <w:rPr>
                <w:sz w:val="11"/>
                <w:szCs w:val="11"/>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130,500</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10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74,500</w:t>
            </w:r>
          </w:p>
        </w:tc>
      </w:tr>
      <w:tr>
        <w:trPr>
          <w:trHeight w:val="121"/>
        </w:trPr>
        <w:tc>
          <w:tcPr>
            <w:tcW w:w="51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2036 Asset-backed debt, net (par—$246,000) (unamortized deferred financing costs of $1,269 and $1,341,</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1"/>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respectively)</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244,731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244,659</w:t>
            </w:r>
          </w:p>
        </w:tc>
        <w:tc>
          <w:tcPr>
            <w:tcW w:w="80" w:type="dxa"/>
            <w:vAlign w:val="bottom"/>
          </w:tcPr>
          <w:p>
            <w:pPr>
              <w:spacing w:after="0"/>
              <w:rPr>
                <w:sz w:val="12"/>
                <w:szCs w:val="12"/>
                <w:color w:val="auto"/>
              </w:rPr>
            </w:pPr>
          </w:p>
        </w:tc>
      </w:tr>
      <w:tr>
        <w:trPr>
          <w:trHeight w:val="121"/>
        </w:trPr>
        <w:tc>
          <w:tcPr>
            <w:tcW w:w="5140" w:type="dxa"/>
            <w:vAlign w:val="bottom"/>
            <w:shd w:val="clear" w:color="auto" w:fill="CCECFF"/>
          </w:tcPr>
          <w:p>
            <w:pPr>
              <w:spacing w:after="0" w:line="121" w:lineRule="exact"/>
              <w:rPr>
                <w:sz w:val="20"/>
                <w:szCs w:val="20"/>
                <w:color w:val="auto"/>
              </w:rPr>
            </w:pPr>
            <w:r>
              <w:rPr>
                <w:rFonts w:ascii="Times New Roman" w:cs="Times New Roman" w:eastAsia="Times New Roman" w:hAnsi="Times New Roman"/>
                <w:sz w:val="11"/>
                <w:szCs w:val="11"/>
                <w:color w:val="auto"/>
              </w:rPr>
              <w:t>2037 Asset-backed debt, net (par—$246,000) (unamortized deferred financing costs of $1,818 and $1,904,</w:t>
            </w:r>
          </w:p>
        </w:tc>
        <w:tc>
          <w:tcPr>
            <w:tcW w:w="1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4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respectively)</w:t>
            </w:r>
          </w:p>
        </w:tc>
        <w:tc>
          <w:tcPr>
            <w:tcW w:w="100" w:type="dxa"/>
            <w:vAlign w:val="bottom"/>
            <w:shd w:val="clear" w:color="auto" w:fill="CCECFF"/>
          </w:tcPr>
          <w:p>
            <w:pPr>
              <w:spacing w:after="0"/>
              <w:rPr>
                <w:sz w:val="12"/>
                <w:szCs w:val="12"/>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244,182</w:t>
            </w: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244,096</w:t>
            </w:r>
          </w:p>
        </w:tc>
        <w:tc>
          <w:tcPr>
            <w:tcW w:w="80" w:type="dxa"/>
            <w:vAlign w:val="bottom"/>
            <w:shd w:val="clear" w:color="auto" w:fill="CCECFF"/>
          </w:tcPr>
          <w:p>
            <w:pPr>
              <w:spacing w:after="0"/>
              <w:rPr>
                <w:sz w:val="12"/>
                <w:szCs w:val="12"/>
                <w:color w:val="auto"/>
              </w:rPr>
            </w:pPr>
          </w:p>
        </w:tc>
      </w:tr>
      <w:tr>
        <w:trPr>
          <w:trHeight w:val="121"/>
        </w:trPr>
        <w:tc>
          <w:tcPr>
            <w:tcW w:w="51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2037-R Asset-backed debt, net (par—$246,000) (unamortized deferred financing costs of $2,407 and $2,518,</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1"/>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respectively)</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243,593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243,481</w:t>
            </w:r>
          </w:p>
        </w:tc>
        <w:tc>
          <w:tcPr>
            <w:tcW w:w="80" w:type="dxa"/>
            <w:vAlign w:val="bottom"/>
          </w:tcPr>
          <w:p>
            <w:pPr>
              <w:spacing w:after="0"/>
              <w:rPr>
                <w:sz w:val="12"/>
                <w:szCs w:val="12"/>
                <w:color w:val="auto"/>
              </w:rPr>
            </w:pPr>
          </w:p>
        </w:tc>
      </w:tr>
      <w:tr>
        <w:trPr>
          <w:trHeight w:val="13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Notes payable to members</w:t>
            </w:r>
          </w:p>
        </w:tc>
        <w:tc>
          <w:tcPr>
            <w:tcW w:w="100" w:type="dxa"/>
            <w:vAlign w:val="bottom"/>
            <w:shd w:val="clear" w:color="auto" w:fill="CCECFF"/>
          </w:tcPr>
          <w:p>
            <w:pPr>
              <w:spacing w:after="0"/>
              <w:rPr>
                <w:sz w:val="11"/>
                <w:szCs w:val="11"/>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271,600</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271,600</w:t>
            </w: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Interest payable on credit facility and asset backed debt</w:t>
            </w: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16,868</w:t>
            </w:r>
          </w:p>
        </w:tc>
      </w:tr>
      <w:tr>
        <w:trPr>
          <w:trHeight w:val="13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Interest payable on notes to members</w:t>
            </w:r>
          </w:p>
        </w:tc>
        <w:tc>
          <w:tcPr>
            <w:tcW w:w="100" w:type="dxa"/>
            <w:vAlign w:val="bottom"/>
            <w:shd w:val="clear" w:color="auto" w:fill="CCECFF"/>
          </w:tcPr>
          <w:p>
            <w:pPr>
              <w:spacing w:after="0"/>
              <w:rPr>
                <w:sz w:val="11"/>
                <w:szCs w:val="11"/>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6,545</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6,788</w:t>
            </w: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spacing w:after="0"/>
              <w:rPr>
                <w:sz w:val="20"/>
                <w:szCs w:val="20"/>
                <w:color w:val="auto"/>
              </w:rPr>
            </w:pPr>
            <w:r>
              <w:rPr>
                <w:rFonts w:ascii="Times New Roman" w:cs="Times New Roman" w:eastAsia="Times New Roman" w:hAnsi="Times New Roman"/>
                <w:sz w:val="11"/>
                <w:szCs w:val="11"/>
                <w:color w:val="auto"/>
              </w:rPr>
              <w:t>Accrued expenses</w:t>
            </w: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w:t>
            </w:r>
          </w:p>
        </w:tc>
        <w:tc>
          <w:tcPr>
            <w:tcW w:w="80" w:type="dxa"/>
            <w:vAlign w:val="bottom"/>
          </w:tcPr>
          <w:p>
            <w:pPr>
              <w:spacing w:after="0"/>
              <w:rPr>
                <w:sz w:val="11"/>
                <w:szCs w:val="11"/>
                <w:color w:val="auto"/>
              </w:rPr>
            </w:pPr>
          </w:p>
        </w:tc>
      </w:tr>
      <w:tr>
        <w:trPr>
          <w:trHeight w:val="131"/>
        </w:trPr>
        <w:tc>
          <w:tcPr>
            <w:tcW w:w="51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Due to affiliate</w:t>
            </w:r>
          </w:p>
        </w:tc>
        <w:tc>
          <w:tcPr>
            <w:tcW w:w="100" w:type="dxa"/>
            <w:vAlign w:val="bottom"/>
            <w:shd w:val="clear" w:color="auto" w:fill="CCECFF"/>
          </w:tcPr>
          <w:p>
            <w:pPr>
              <w:spacing w:after="0"/>
              <w:rPr>
                <w:sz w:val="11"/>
                <w:szCs w:val="11"/>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shd w:val="clear" w:color="auto" w:fill="CCECFF"/>
          </w:tcPr>
          <w:p>
            <w:pPr>
              <w:spacing w:after="0"/>
              <w:rPr>
                <w:sz w:val="11"/>
                <w:szCs w:val="11"/>
                <w:color w:val="auto"/>
              </w:rPr>
            </w:pPr>
          </w:p>
        </w:tc>
      </w:tr>
      <w:tr>
        <w:trPr>
          <w:trHeight w:val="131"/>
        </w:trPr>
        <w:tc>
          <w:tcPr>
            <w:tcW w:w="514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1,152,108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1,103,039</w:t>
            </w:r>
          </w:p>
        </w:tc>
        <w:tc>
          <w:tcPr>
            <w:tcW w:w="80" w:type="dxa"/>
            <w:vAlign w:val="bottom"/>
          </w:tcPr>
          <w:p>
            <w:pPr>
              <w:spacing w:after="0"/>
              <w:rPr>
                <w:sz w:val="11"/>
                <w:szCs w:val="11"/>
                <w:color w:val="auto"/>
              </w:rPr>
            </w:pPr>
          </w:p>
        </w:tc>
      </w:tr>
      <w:tr>
        <w:trPr>
          <w:trHeight w:val="131"/>
        </w:trPr>
        <w:tc>
          <w:tcPr>
            <w:tcW w:w="514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b w:val="1"/>
                <w:bCs w:val="1"/>
                <w:color w:val="auto"/>
              </w:rPr>
              <w:t>Members' equity</w:t>
            </w:r>
          </w:p>
        </w:tc>
        <w:tc>
          <w:tcPr>
            <w:tcW w:w="100" w:type="dxa"/>
            <w:vAlign w:val="bottom"/>
            <w:shd w:val="clear" w:color="auto" w:fill="CCECFF"/>
          </w:tcPr>
          <w:p>
            <w:pPr>
              <w:spacing w:after="0"/>
              <w:rPr>
                <w:sz w:val="11"/>
                <w:szCs w:val="11"/>
                <w:color w:val="auto"/>
              </w:rPr>
            </w:pPr>
          </w:p>
        </w:tc>
        <w:tc>
          <w:tcPr>
            <w:tcW w:w="11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83,076</w:t>
            </w:r>
          </w:p>
        </w:tc>
        <w:tc>
          <w:tcPr>
            <w:tcW w:w="80" w:type="dxa"/>
            <w:vAlign w:val="bottom"/>
            <w:shd w:val="clear" w:color="auto" w:fill="CCECFF"/>
          </w:tcPr>
          <w:p>
            <w:pPr>
              <w:spacing w:after="0"/>
              <w:rPr>
                <w:sz w:val="11"/>
                <w:szCs w:val="11"/>
                <w:color w:val="auto"/>
              </w:rPr>
            </w:pPr>
          </w:p>
        </w:tc>
        <w:tc>
          <w:tcPr>
            <w:tcW w:w="10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50,650</w:t>
            </w:r>
          </w:p>
        </w:tc>
      </w:tr>
      <w:tr>
        <w:trPr>
          <w:trHeight w:val="131"/>
        </w:trPr>
        <w:tc>
          <w:tcPr>
            <w:tcW w:w="514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Total liabilities and members'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1,235,184</w:t>
            </w:r>
          </w:p>
        </w:tc>
        <w:tc>
          <w:tcPr>
            <w:tcW w:w="1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1,153,689</w:t>
            </w:r>
          </w:p>
        </w:tc>
        <w:tc>
          <w:tcPr>
            <w:tcW w:w="80" w:type="dxa"/>
            <w:vAlign w:val="bottom"/>
          </w:tcPr>
          <w:p>
            <w:pPr>
              <w:spacing w:after="0"/>
              <w:rPr>
                <w:sz w:val="11"/>
                <w:szCs w:val="1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8"/>
          <w:szCs w:val="8"/>
          <w:color w:val="auto"/>
        </w:rPr>
        <w:t>———————————————————</w:t>
      </w:r>
    </w:p>
    <w:p>
      <w:pPr>
        <w:spacing w:after="0" w:line="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8"/>
          <w:szCs w:val="8"/>
          <w:color w:val="auto"/>
        </w:rPr>
        <w:t>* As of December 31, 2025 and September 30, 2025, PSSL had unfunded commitments to fund investments of $0.2 and $0.4 million, respectively.</w:t>
      </w:r>
    </w:p>
    <w:p>
      <w:pPr>
        <w:spacing w:after="0" w:line="96" w:lineRule="exact"/>
        <w:rPr>
          <w:sz w:val="20"/>
          <w:szCs w:val="20"/>
          <w:color w:val="auto"/>
        </w:rPr>
      </w:pPr>
    </w:p>
    <w:tbl>
      <w:tblPr>
        <w:tblLayout w:type="fixed"/>
        <w:tblInd w:w="780" w:type="dxa"/>
        <w:tblCellMar>
          <w:top w:w="0" w:type="dxa"/>
          <w:left w:w="0" w:type="dxa"/>
          <w:bottom w:w="0" w:type="dxa"/>
          <w:right w:w="0" w:type="dxa"/>
        </w:tblCellMar>
      </w:tblPr>
      <w:tr>
        <w:trPr>
          <w:trHeight w:val="143"/>
        </w:trPr>
        <w:tc>
          <w:tcPr>
            <w:tcW w:w="520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Below are the consolidated statements of operations for PSSL ($ in thousands):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5200" w:type="dxa"/>
            <w:vAlign w:val="bottom"/>
          </w:tcPr>
          <w:p>
            <w:pPr>
              <w:spacing w:after="0"/>
              <w:rPr>
                <w:sz w:val="11"/>
                <w:szCs w:val="11"/>
                <w:color w:val="auto"/>
              </w:rPr>
            </w:pPr>
          </w:p>
        </w:tc>
        <w:tc>
          <w:tcPr>
            <w:tcW w:w="2260" w:type="dxa"/>
            <w:vAlign w:val="bottom"/>
            <w:gridSpan w:val="7"/>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r>
      <w:tr>
        <w:trPr>
          <w:trHeight w:val="143"/>
        </w:trPr>
        <w:tc>
          <w:tcPr>
            <w:tcW w:w="5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r>
      <w:tr>
        <w:trPr>
          <w:trHeight w:val="131"/>
        </w:trPr>
        <w:tc>
          <w:tcPr>
            <w:tcW w:w="52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Investment income:</w:t>
            </w:r>
          </w:p>
        </w:tc>
        <w:tc>
          <w:tcPr>
            <w:tcW w:w="62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31"/>
        </w:trPr>
        <w:tc>
          <w:tcPr>
            <w:tcW w:w="5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w:t>
            </w:r>
          </w:p>
        </w:tc>
        <w:tc>
          <w:tcPr>
            <w:tcW w:w="620" w:type="dxa"/>
            <w:vAlign w:val="bottom"/>
          </w:tcPr>
          <w:p>
            <w:pPr>
              <w:jc w:val="right"/>
              <w:ind w:right="541"/>
              <w:spacing w:after="0"/>
              <w:rPr>
                <w:sz w:val="20"/>
                <w:szCs w:val="20"/>
                <w:color w:val="auto"/>
              </w:rPr>
            </w:pPr>
            <w:r>
              <w:rPr>
                <w:rFonts w:ascii="Times New Roman" w:cs="Times New Roman" w:eastAsia="Times New Roman" w:hAnsi="Times New Roman"/>
                <w:sz w:val="4"/>
                <w:szCs w:val="4"/>
                <w:color w:val="auto"/>
                <w:w w:val="97"/>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29,167</w:t>
            </w:r>
          </w:p>
        </w:tc>
        <w:tc>
          <w:tcPr>
            <w:tcW w:w="200" w:type="dxa"/>
            <w:vAlign w:val="bottom"/>
          </w:tcPr>
          <w:p>
            <w:pPr>
              <w:spacing w:after="0"/>
              <w:rPr>
                <w:sz w:val="11"/>
                <w:szCs w:val="11"/>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29,425</w:t>
            </w:r>
          </w:p>
        </w:tc>
      </w:tr>
      <w:tr>
        <w:trPr>
          <w:trHeight w:val="131"/>
        </w:trPr>
        <w:tc>
          <w:tcPr>
            <w:tcW w:w="52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Other income</w:t>
            </w:r>
          </w:p>
        </w:tc>
        <w:tc>
          <w:tcPr>
            <w:tcW w:w="620" w:type="dxa"/>
            <w:vAlign w:val="bottom"/>
            <w:shd w:val="clear" w:color="auto" w:fill="CCECFF"/>
          </w:tcPr>
          <w:p>
            <w:pPr>
              <w:spacing w:after="0"/>
              <w:rPr>
                <w:sz w:val="11"/>
                <w:szCs w:val="11"/>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583</w:t>
            </w:r>
          </w:p>
        </w:tc>
        <w:tc>
          <w:tcPr>
            <w:tcW w:w="80" w:type="dxa"/>
            <w:vAlign w:val="bottom"/>
            <w:shd w:val="clear" w:color="auto" w:fill="CCECFF"/>
          </w:tcPr>
          <w:p>
            <w:pPr>
              <w:spacing w:after="0"/>
              <w:rPr>
                <w:sz w:val="11"/>
                <w:szCs w:val="11"/>
                <w:color w:val="auto"/>
              </w:rPr>
            </w:pPr>
          </w:p>
        </w:tc>
      </w:tr>
      <w:tr>
        <w:trPr>
          <w:trHeight w:val="131"/>
        </w:trPr>
        <w:tc>
          <w:tcPr>
            <w:tcW w:w="52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Total investment income</w:t>
            </w:r>
          </w:p>
        </w:tc>
        <w:tc>
          <w:tcPr>
            <w:tcW w:w="620" w:type="dxa"/>
            <w:vAlign w:val="bottom"/>
          </w:tcPr>
          <w:p>
            <w:pPr>
              <w:spacing w:after="0"/>
              <w:rPr>
                <w:sz w:val="11"/>
                <w:szCs w:val="1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29,473</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30,008</w:t>
            </w:r>
          </w:p>
        </w:tc>
      </w:tr>
      <w:tr>
        <w:trPr>
          <w:trHeight w:val="131"/>
        </w:trPr>
        <w:tc>
          <w:tcPr>
            <w:tcW w:w="5200" w:type="dxa"/>
            <w:vAlign w:val="bottom"/>
            <w:shd w:val="clear" w:color="auto" w:fill="CCECFF"/>
          </w:tcPr>
          <w:p>
            <w:pPr>
              <w:spacing w:after="0" w:line="131" w:lineRule="exact"/>
              <w:rPr>
                <w:sz w:val="20"/>
                <w:szCs w:val="20"/>
                <w:color w:val="auto"/>
              </w:rPr>
            </w:pPr>
            <w:r>
              <w:rPr>
                <w:rFonts w:ascii="Times New Roman" w:cs="Times New Roman" w:eastAsia="Times New Roman" w:hAnsi="Times New Roman"/>
                <w:sz w:val="11"/>
                <w:szCs w:val="11"/>
                <w:b w:val="1"/>
                <w:bCs w:val="1"/>
                <w:color w:val="auto"/>
              </w:rPr>
              <w:t>Expenses:</w:t>
            </w:r>
            <w:r>
              <w:rPr>
                <w:rFonts w:ascii="Times New Roman" w:cs="Times New Roman" w:eastAsia="Times New Roman" w:hAnsi="Times New Roman"/>
                <w:sz w:val="14"/>
                <w:szCs w:val="14"/>
                <w:b w:val="1"/>
                <w:bCs w:val="1"/>
                <w:color w:val="auto"/>
                <w:vertAlign w:val="superscript"/>
              </w:rPr>
              <w:t>(1)</w:t>
            </w:r>
          </w:p>
        </w:tc>
        <w:tc>
          <w:tcPr>
            <w:tcW w:w="62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31"/>
        </w:trPr>
        <w:tc>
          <w:tcPr>
            <w:tcW w:w="5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and expense on credit facility and asset-backed debt</w:t>
            </w:r>
          </w:p>
        </w:tc>
        <w:tc>
          <w:tcPr>
            <w:tcW w:w="620" w:type="dxa"/>
            <w:vAlign w:val="bottom"/>
          </w:tcPr>
          <w:p>
            <w:pPr>
              <w:spacing w:after="0"/>
              <w:rPr>
                <w:sz w:val="11"/>
                <w:szCs w:val="1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14,302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14,085</w:t>
            </w:r>
          </w:p>
        </w:tc>
      </w:tr>
      <w:tr>
        <w:trPr>
          <w:trHeight w:val="131"/>
        </w:trPr>
        <w:tc>
          <w:tcPr>
            <w:tcW w:w="52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Interest expense on notes to members</w:t>
            </w:r>
          </w:p>
        </w:tc>
        <w:tc>
          <w:tcPr>
            <w:tcW w:w="620" w:type="dxa"/>
            <w:vAlign w:val="bottom"/>
            <w:shd w:val="clear" w:color="auto" w:fill="CCECFF"/>
          </w:tcPr>
          <w:p>
            <w:pPr>
              <w:spacing w:after="0"/>
              <w:rPr>
                <w:sz w:val="11"/>
                <w:szCs w:val="11"/>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8,312</w:t>
            </w:r>
          </w:p>
        </w:tc>
        <w:tc>
          <w:tcPr>
            <w:tcW w:w="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8,853</w:t>
            </w:r>
          </w:p>
        </w:tc>
        <w:tc>
          <w:tcPr>
            <w:tcW w:w="80" w:type="dxa"/>
            <w:vAlign w:val="bottom"/>
            <w:shd w:val="clear" w:color="auto" w:fill="CCECFF"/>
          </w:tcPr>
          <w:p>
            <w:pPr>
              <w:spacing w:after="0"/>
              <w:rPr>
                <w:sz w:val="11"/>
                <w:szCs w:val="11"/>
                <w:color w:val="auto"/>
              </w:rPr>
            </w:pPr>
          </w:p>
        </w:tc>
      </w:tr>
      <w:tr>
        <w:trPr>
          <w:trHeight w:val="131"/>
        </w:trPr>
        <w:tc>
          <w:tcPr>
            <w:tcW w:w="5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Administration fees</w:t>
            </w:r>
          </w:p>
        </w:tc>
        <w:tc>
          <w:tcPr>
            <w:tcW w:w="6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758</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w:t>
            </w:r>
          </w:p>
        </w:tc>
        <w:tc>
          <w:tcPr>
            <w:tcW w:w="80" w:type="dxa"/>
            <w:vAlign w:val="bottom"/>
          </w:tcPr>
          <w:p>
            <w:pPr>
              <w:spacing w:after="0"/>
              <w:rPr>
                <w:sz w:val="11"/>
                <w:szCs w:val="11"/>
                <w:color w:val="auto"/>
              </w:rPr>
            </w:pPr>
          </w:p>
        </w:tc>
      </w:tr>
      <w:tr>
        <w:trPr>
          <w:trHeight w:val="131"/>
        </w:trPr>
        <w:tc>
          <w:tcPr>
            <w:tcW w:w="52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General and administrative expenses</w:t>
            </w:r>
          </w:p>
        </w:tc>
        <w:tc>
          <w:tcPr>
            <w:tcW w:w="620" w:type="dxa"/>
            <w:vAlign w:val="bottom"/>
            <w:shd w:val="clear" w:color="auto" w:fill="CCECFF"/>
          </w:tcPr>
          <w:p>
            <w:pPr>
              <w:spacing w:after="0"/>
              <w:rPr>
                <w:sz w:val="11"/>
                <w:szCs w:val="11"/>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463</w:t>
            </w:r>
          </w:p>
        </w:tc>
        <w:tc>
          <w:tcPr>
            <w:tcW w:w="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w:t>
            </w:r>
          </w:p>
        </w:tc>
        <w:tc>
          <w:tcPr>
            <w:tcW w:w="80" w:type="dxa"/>
            <w:vAlign w:val="bottom"/>
            <w:shd w:val="clear" w:color="auto" w:fill="CCECFF"/>
          </w:tcPr>
          <w:p>
            <w:pPr>
              <w:spacing w:after="0"/>
              <w:rPr>
                <w:sz w:val="11"/>
                <w:szCs w:val="11"/>
                <w:color w:val="auto"/>
              </w:rPr>
            </w:pPr>
          </w:p>
        </w:tc>
      </w:tr>
      <w:tr>
        <w:trPr>
          <w:trHeight w:val="131"/>
        </w:trPr>
        <w:tc>
          <w:tcPr>
            <w:tcW w:w="52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Total expenses</w:t>
            </w:r>
          </w:p>
        </w:tc>
        <w:tc>
          <w:tcPr>
            <w:tcW w:w="620" w:type="dxa"/>
            <w:vAlign w:val="bottom"/>
          </w:tcPr>
          <w:p>
            <w:pPr>
              <w:spacing w:after="0"/>
              <w:rPr>
                <w:sz w:val="11"/>
                <w:szCs w:val="1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23,835</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24,099</w:t>
            </w:r>
          </w:p>
        </w:tc>
      </w:tr>
      <w:tr>
        <w:trPr>
          <w:trHeight w:val="131"/>
        </w:trPr>
        <w:tc>
          <w:tcPr>
            <w:tcW w:w="52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b w:val="1"/>
                <w:bCs w:val="1"/>
                <w:color w:val="auto"/>
              </w:rPr>
              <w:t>Net investment income</w:t>
            </w:r>
          </w:p>
        </w:tc>
        <w:tc>
          <w:tcPr>
            <w:tcW w:w="620" w:type="dxa"/>
            <w:vAlign w:val="bottom"/>
            <w:shd w:val="clear" w:color="auto" w:fill="CCECFF"/>
          </w:tcPr>
          <w:p>
            <w:pPr>
              <w:spacing w:after="0"/>
              <w:rPr>
                <w:sz w:val="11"/>
                <w:szCs w:val="11"/>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5,638</w:t>
            </w:r>
          </w:p>
        </w:tc>
        <w:tc>
          <w:tcPr>
            <w:tcW w:w="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5,909</w:t>
            </w:r>
          </w:p>
        </w:tc>
        <w:tc>
          <w:tcPr>
            <w:tcW w:w="80" w:type="dxa"/>
            <w:vAlign w:val="bottom"/>
            <w:shd w:val="clear" w:color="auto" w:fill="CCECFF"/>
          </w:tcPr>
          <w:p>
            <w:pPr>
              <w:spacing w:after="0"/>
              <w:rPr>
                <w:sz w:val="11"/>
                <w:szCs w:val="11"/>
                <w:color w:val="auto"/>
              </w:rPr>
            </w:pPr>
          </w:p>
        </w:tc>
      </w:tr>
      <w:tr>
        <w:trPr>
          <w:trHeight w:val="131"/>
        </w:trPr>
        <w:tc>
          <w:tcPr>
            <w:tcW w:w="5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Realized and unrealized gain (loss) on investments:</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1"/>
        </w:trPr>
        <w:tc>
          <w:tcPr>
            <w:tcW w:w="52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Net realized gain (loss) on investments</w:t>
            </w:r>
          </w:p>
        </w:tc>
        <w:tc>
          <w:tcPr>
            <w:tcW w:w="620" w:type="dxa"/>
            <w:vAlign w:val="bottom"/>
            <w:shd w:val="clear" w:color="auto" w:fill="CCECFF"/>
          </w:tcPr>
          <w:p>
            <w:pPr>
              <w:spacing w:after="0"/>
              <w:rPr>
                <w:sz w:val="11"/>
                <w:szCs w:val="11"/>
                <w:color w:val="auto"/>
              </w:rPr>
            </w:pPr>
          </w:p>
        </w:tc>
        <w:tc>
          <w:tcPr>
            <w:tcW w:w="58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(2,176)</w:t>
            </w: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1,333</w:t>
            </w:r>
          </w:p>
        </w:tc>
        <w:tc>
          <w:tcPr>
            <w:tcW w:w="80" w:type="dxa"/>
            <w:vAlign w:val="bottom"/>
            <w:shd w:val="clear" w:color="auto" w:fill="CCECFF"/>
          </w:tcPr>
          <w:p>
            <w:pPr>
              <w:spacing w:after="0"/>
              <w:rPr>
                <w:sz w:val="11"/>
                <w:szCs w:val="11"/>
                <w:color w:val="auto"/>
              </w:rPr>
            </w:pPr>
          </w:p>
        </w:tc>
      </w:tr>
      <w:tr>
        <w:trPr>
          <w:trHeight w:val="131"/>
        </w:trPr>
        <w:tc>
          <w:tcPr>
            <w:tcW w:w="5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change in unrealized appreciation (depreciation) on investments</w:t>
            </w:r>
          </w:p>
        </w:tc>
        <w:tc>
          <w:tcPr>
            <w:tcW w:w="620" w:type="dxa"/>
            <w:vAlign w:val="bottom"/>
          </w:tcPr>
          <w:p>
            <w:pPr>
              <w:spacing w:after="0"/>
              <w:rPr>
                <w:sz w:val="11"/>
                <w:szCs w:val="11"/>
                <w:color w:val="auto"/>
              </w:rPr>
            </w:pP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(10,386)</w:t>
            </w:r>
          </w:p>
        </w:tc>
        <w:tc>
          <w:tcPr>
            <w:tcW w:w="220" w:type="dxa"/>
            <w:vAlign w:val="bottom"/>
          </w:tcPr>
          <w:p>
            <w:pPr>
              <w:spacing w:after="0"/>
              <w:rPr>
                <w:sz w:val="11"/>
                <w:szCs w:val="1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(10,890)</w:t>
            </w:r>
          </w:p>
        </w:tc>
      </w:tr>
      <w:tr>
        <w:trPr>
          <w:trHeight w:val="131"/>
        </w:trPr>
        <w:tc>
          <w:tcPr>
            <w:tcW w:w="52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b w:val="1"/>
                <w:bCs w:val="1"/>
                <w:color w:val="auto"/>
              </w:rPr>
              <w:t>Net realized and unrealized gain (loss) on investments</w:t>
            </w:r>
          </w:p>
        </w:tc>
        <w:tc>
          <w:tcPr>
            <w:tcW w:w="620" w:type="dxa"/>
            <w:vAlign w:val="bottom"/>
            <w:shd w:val="clear" w:color="auto" w:fill="CCECFF"/>
          </w:tcPr>
          <w:p>
            <w:pPr>
              <w:spacing w:after="0"/>
              <w:rPr>
                <w:sz w:val="11"/>
                <w:szCs w:val="11"/>
                <w:color w:val="auto"/>
              </w:rPr>
            </w:pPr>
          </w:p>
        </w:tc>
        <w:tc>
          <w:tcPr>
            <w:tcW w:w="58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(12,562)</w:t>
            </w:r>
          </w:p>
        </w:tc>
        <w:tc>
          <w:tcPr>
            <w:tcW w:w="2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(9,557)</w:t>
            </w:r>
          </w:p>
        </w:tc>
      </w:tr>
      <w:tr>
        <w:trPr>
          <w:trHeight w:val="131"/>
        </w:trPr>
        <w:tc>
          <w:tcPr>
            <w:tcW w:w="5200" w:type="dxa"/>
            <w:vAlign w:val="bottom"/>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Net increase (decrease) in members' equity resulting from operations</w:t>
            </w:r>
          </w:p>
        </w:tc>
        <w:tc>
          <w:tcPr>
            <w:tcW w:w="620" w:type="dxa"/>
            <w:vAlign w:val="bottom"/>
          </w:tcPr>
          <w:p>
            <w:pPr>
              <w:jc w:val="right"/>
              <w:ind w:right="541"/>
              <w:spacing w:after="0"/>
              <w:rPr>
                <w:sz w:val="20"/>
                <w:szCs w:val="20"/>
                <w:color w:val="auto"/>
              </w:rPr>
            </w:pPr>
            <w:r>
              <w:rPr>
                <w:rFonts w:ascii="Times New Roman" w:cs="Times New Roman" w:eastAsia="Times New Roman" w:hAnsi="Times New Roman"/>
                <w:sz w:val="4"/>
                <w:szCs w:val="4"/>
                <w:color w:val="auto"/>
                <w:w w:val="97"/>
              </w:rPr>
              <w:t>$</w:t>
            </w:r>
          </w:p>
        </w:tc>
        <w:tc>
          <w:tcPr>
            <w:tcW w:w="580" w:type="dxa"/>
            <w:vAlign w:val="bottom"/>
            <w:gridSpan w:val="3"/>
          </w:tcPr>
          <w:p>
            <w:pPr>
              <w:jc w:val="right"/>
              <w:ind w:right="180"/>
              <w:spacing w:after="0" w:line="111" w:lineRule="exact"/>
              <w:rPr>
                <w:sz w:val="20"/>
                <w:szCs w:val="20"/>
                <w:color w:val="auto"/>
              </w:rPr>
            </w:pPr>
            <w:r>
              <w:rPr>
                <w:rFonts w:ascii="Times New Roman" w:cs="Times New Roman" w:eastAsia="Times New Roman" w:hAnsi="Times New Roman"/>
                <w:sz w:val="8"/>
                <w:szCs w:val="8"/>
                <w:color w:val="auto"/>
              </w:rPr>
              <w:t>(6,924</w:t>
            </w:r>
            <w:r>
              <w:rPr>
                <w:rFonts w:ascii="Times New Roman" w:cs="Times New Roman" w:eastAsia="Times New Roman" w:hAnsi="Times New Roman"/>
                <w:sz w:val="12"/>
                <w:szCs w:val="12"/>
                <w:color w:val="auto"/>
                <w:vertAlign w:val="subscript"/>
              </w:rPr>
              <w:t>)</w:t>
            </w:r>
          </w:p>
        </w:tc>
        <w:tc>
          <w:tcPr>
            <w:tcW w:w="220" w:type="dxa"/>
            <w:vAlign w:val="bottom"/>
          </w:tcPr>
          <w:p>
            <w:pPr>
              <w:jc w:val="right"/>
              <w:ind w:right="105"/>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8"/>
                <w:szCs w:val="8"/>
                <w:color w:val="auto"/>
              </w:rPr>
              <w:t>(3,648</w:t>
            </w:r>
            <w:r>
              <w:rPr>
                <w:rFonts w:ascii="Times New Roman" w:cs="Times New Roman" w:eastAsia="Times New Roman" w:hAnsi="Times New Roman"/>
                <w:sz w:val="12"/>
                <w:szCs w:val="12"/>
                <w:color w:val="auto"/>
                <w:vertAlign w:val="subscript"/>
              </w:rPr>
              <w:t>)</w:t>
            </w:r>
          </w:p>
        </w:tc>
      </w:tr>
      <w:tr>
        <w:trPr>
          <w:trHeight w:val="20"/>
        </w:trPr>
        <w:tc>
          <w:tcPr>
            <w:tcW w:w="5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8"/>
          <w:szCs w:val="8"/>
          <w:color w:val="auto"/>
        </w:rPr>
        <w:t>———————————————————</w:t>
      </w:r>
    </w:p>
    <w:p>
      <w:pPr>
        <w:spacing w:after="0" w:line="29" w:lineRule="exact"/>
        <w:rPr>
          <w:sz w:val="20"/>
          <w:szCs w:val="20"/>
          <w:color w:val="auto"/>
        </w:rPr>
      </w:pPr>
    </w:p>
    <w:p>
      <w:pPr>
        <w:ind w:left="780" w:right="1000" w:hanging="5"/>
        <w:spacing w:after="0" w:line="237" w:lineRule="auto"/>
        <w:tabs>
          <w:tab w:leader="none" w:pos="861" w:val="left"/>
        </w:tabs>
        <w:numPr>
          <w:ilvl w:val="0"/>
          <w:numId w:val="23"/>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8"/>
          <w:szCs w:val="8"/>
          <w:color w:val="auto"/>
        </w:rPr>
        <w:t>Currently, no management or incentive fees are payable by PSSL. If any fees were to be charged, they would be separately disclosed in the Statements of Operations. PSSL pays the Administrator an annual fee of 0.25% of average gross assets under management on a quarterly basis.</w:t>
      </w:r>
    </w:p>
    <w:p>
      <w:pPr>
        <w:spacing w:after="0" w:line="1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PennantPark Senior Secured Loan Fund II LLC</w:t>
      </w:r>
    </w:p>
    <w:p>
      <w:pPr>
        <w:spacing w:after="0" w:line="138" w:lineRule="exact"/>
        <w:rPr>
          <w:sz w:val="20"/>
          <w:szCs w:val="20"/>
          <w:color w:val="auto"/>
        </w:rPr>
      </w:pPr>
    </w:p>
    <w:p>
      <w:pPr>
        <w:ind w:left="780" w:right="800" w:firstLine="282"/>
        <w:spacing w:after="0" w:line="255" w:lineRule="auto"/>
        <w:rPr>
          <w:sz w:val="20"/>
          <w:szCs w:val="20"/>
          <w:color w:val="auto"/>
        </w:rPr>
      </w:pPr>
      <w:r>
        <w:rPr>
          <w:rFonts w:ascii="Times New Roman" w:cs="Times New Roman" w:eastAsia="Times New Roman" w:hAnsi="Times New Roman"/>
          <w:sz w:val="11"/>
          <w:szCs w:val="11"/>
          <w:color w:val="auto"/>
        </w:rPr>
        <w:t>In August 2025, we and Hamilton Lane ("HL") formed PSSL II, an unconsolidated joint venture. PSSL II invests primarily in middle-market and other corporate debt securities consistent with our strategy. PSSL II was formed as a Delaware limited liability company. PSSL II invests in portfolio companies in the same industries in which we may directly invest. PSSL II commenced operations on November 18, 2025. As of December 31, 2025, PSSL II had total assets of $201.7 million and its investment portfolio consisted of investments in 41 portfolio companies. As of December 31, 2025, at fair value, the largest investment in a single portfolio company in PSSL II was $7.0 million and the five largest investments totaled $34.9 million. PSSL II invests in portfolio companies in the same industries in which we may directly invest.</w:t>
      </w:r>
    </w:p>
    <w:p>
      <w:pPr>
        <w:spacing w:after="0" w:line="112" w:lineRule="exact"/>
        <w:rPr>
          <w:sz w:val="20"/>
          <w:szCs w:val="20"/>
          <w:color w:val="auto"/>
        </w:rPr>
      </w:pPr>
    </w:p>
    <w:p>
      <w:pPr>
        <w:ind w:left="780" w:right="860" w:firstLine="282"/>
        <w:spacing w:after="0" w:line="255" w:lineRule="auto"/>
        <w:rPr>
          <w:sz w:val="20"/>
          <w:szCs w:val="20"/>
          <w:color w:val="auto"/>
        </w:rPr>
      </w:pPr>
      <w:r>
        <w:rPr>
          <w:rFonts w:ascii="Times New Roman" w:cs="Times New Roman" w:eastAsia="Times New Roman" w:hAnsi="Times New Roman"/>
          <w:sz w:val="11"/>
          <w:szCs w:val="11"/>
          <w:color w:val="auto"/>
        </w:rPr>
        <w:t>We and HL have committed to invest up to $200.0 million in the aggregate in the PSSL II, with the Company committing to invest up to $150.0 million and HL committing to invest up to $50.0 million. Investments by each of the Company and HL are made in the form of membership interests and secured notes. The Company's commitment consists of $105.0 million in secured notes and $45.0 million in membership interests. HL's commitment consists of $35.0 million in secured notes and $15.0 million in membership interests. All material decisions regarding PSSL II must be submitted to its board of managers, which is comprised of an equal number of representatives from each of the Company and HL. Further, all portfolio and other material decisions require the affirmative vote of at least one board member designated by the Company and one board member from HL.</w:t>
      </w:r>
    </w:p>
    <w:p>
      <w:pPr>
        <w:spacing w:after="0" w:line="1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276" w:right="1440" w:bottom="1440" w:gutter="0" w:footer="0" w:header="0"/>
        </w:sectPr>
      </w:pPr>
    </w:p>
    <w:bookmarkStart w:id="72" w:name="page73"/>
    <w:bookmarkEnd w:id="72"/>
    <w:p>
      <w:pPr>
        <w:ind w:left="780" w:right="840" w:firstLine="282"/>
        <w:spacing w:after="0" w:line="259" w:lineRule="auto"/>
        <w:rPr>
          <w:sz w:val="20"/>
          <w:szCs w:val="20"/>
          <w:color w:val="auto"/>
        </w:rPr>
      </w:pPr>
      <w:r>
        <w:rPr>
          <w:rFonts w:ascii="Times New Roman" w:cs="Times New Roman" w:eastAsia="Times New Roman" w:hAnsi="Times New Roman"/>
          <w:sz w:val="11"/>
          <w:szCs w:val="11"/>
          <w:color w:val="auto"/>
        </w:rPr>
        <w:t>We and HL provide capital to PSSL II in the form of secured notes and equity interests. As of December 31, 2025, our investment in PSSL II consisted of secured notes of $39.4 million ($65.6 million remaining unfunded) and equity interests of $16.9 million ($28.1 million remaining unfunded). During the three months ended December 31, 2025, the Company made capital contributions of approximately $56.2 million of assets at their most recent fair market value as of the date of the transaction.</w:t>
      </w:r>
    </w:p>
    <w:p>
      <w:pPr>
        <w:spacing w:after="0" w:line="110" w:lineRule="exact"/>
        <w:rPr>
          <w:sz w:val="20"/>
          <w:szCs w:val="20"/>
          <w:color w:val="auto"/>
        </w:rPr>
      </w:pPr>
    </w:p>
    <w:p>
      <w:pPr>
        <w:ind w:left="780" w:right="800" w:firstLine="282"/>
        <w:spacing w:after="0" w:line="279" w:lineRule="auto"/>
        <w:rPr>
          <w:sz w:val="20"/>
          <w:szCs w:val="20"/>
          <w:color w:val="auto"/>
        </w:rPr>
      </w:pPr>
      <w:r>
        <w:rPr>
          <w:rFonts w:ascii="Times New Roman" w:cs="Times New Roman" w:eastAsia="Times New Roman" w:hAnsi="Times New Roman"/>
          <w:sz w:val="11"/>
          <w:szCs w:val="11"/>
          <w:color w:val="auto"/>
        </w:rPr>
        <w:t>In November 2025, PSSL II entered into a $150.0 million revolving credit facility which bears all-in interest rate at SOFR plus 1.85% with Goldman Sachs Bank USA through its wholly owned subsidiary, PSSL II SPV LLC, subject to leverage and borrowing base restrictions.</w:t>
      </w:r>
    </w:p>
    <w:p>
      <w:pPr>
        <w:spacing w:after="0" w:line="99" w:lineRule="exact"/>
        <w:rPr>
          <w:sz w:val="20"/>
          <w:szCs w:val="20"/>
          <w:color w:val="auto"/>
        </w:rPr>
      </w:pPr>
    </w:p>
    <w:tbl>
      <w:tblPr>
        <w:tblLayout w:type="fixed"/>
        <w:tblInd w:w="380" w:type="dxa"/>
        <w:tblCellMar>
          <w:top w:w="0" w:type="dxa"/>
          <w:left w:w="0" w:type="dxa"/>
          <w:bottom w:w="0" w:type="dxa"/>
          <w:right w:w="0" w:type="dxa"/>
        </w:tblCellMar>
      </w:tblPr>
      <w:tr>
        <w:trPr>
          <w:trHeight w:val="143"/>
        </w:trPr>
        <w:tc>
          <w:tcPr>
            <w:tcW w:w="400" w:type="dxa"/>
            <w:vAlign w:val="bottom"/>
          </w:tcPr>
          <w:p>
            <w:pPr>
              <w:spacing w:after="0"/>
              <w:rPr>
                <w:sz w:val="12"/>
                <w:szCs w:val="12"/>
                <w:color w:val="auto"/>
              </w:rPr>
            </w:pPr>
          </w:p>
        </w:tc>
        <w:tc>
          <w:tcPr>
            <w:tcW w:w="32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Below is a summary of PSSL II's portfolio at fair value:</w:t>
            </w:r>
          </w:p>
        </w:tc>
        <w:tc>
          <w:tcPr>
            <w:tcW w:w="3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81"/>
        </w:trPr>
        <w:tc>
          <w:tcPr>
            <w:tcW w:w="40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 in thousands)</w:t>
            </w:r>
          </w:p>
        </w:tc>
        <w:tc>
          <w:tcPr>
            <w:tcW w:w="300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31"/>
        </w:trPr>
        <w:tc>
          <w:tcPr>
            <w:tcW w:w="400" w:type="dxa"/>
            <w:vAlign w:val="bottom"/>
          </w:tcPr>
          <w:p>
            <w:pPr>
              <w:spacing w:after="0"/>
              <w:rPr>
                <w:sz w:val="11"/>
                <w:szCs w:val="11"/>
                <w:color w:val="auto"/>
              </w:rPr>
            </w:pPr>
          </w:p>
        </w:tc>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Total investments</w:t>
            </w:r>
          </w:p>
        </w:tc>
        <w:tc>
          <w:tcPr>
            <w:tcW w:w="3000" w:type="dxa"/>
            <w:vAlign w:val="bottom"/>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rPr>
              <w:t>193,151</w:t>
            </w: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Weighted average cost yield on income producing investments</w:t>
            </w:r>
          </w:p>
        </w:tc>
        <w:tc>
          <w:tcPr>
            <w:tcW w:w="30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Number of portfolio companies in PSSL II</w:t>
            </w:r>
          </w:p>
        </w:tc>
        <w:tc>
          <w:tcPr>
            <w:tcW w:w="3000" w:type="dxa"/>
            <w:vAlign w:val="bottom"/>
            <w:shd w:val="clear" w:color="auto" w:fill="CCECFF"/>
          </w:tcPr>
          <w:p>
            <w:pPr>
              <w:spacing w:after="0"/>
              <w:rPr>
                <w:sz w:val="11"/>
                <w:szCs w:val="11"/>
                <w:color w:val="auto"/>
              </w:rPr>
            </w:pPr>
          </w:p>
        </w:tc>
        <w:tc>
          <w:tcPr>
            <w:tcW w:w="124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rPr>
              <w:t>41</w:t>
            </w: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Largest portfolio company investment</w:t>
            </w:r>
          </w:p>
        </w:tc>
        <w:tc>
          <w:tcPr>
            <w:tcW w:w="30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6,983</w:t>
            </w:r>
          </w:p>
        </w:tc>
        <w:tc>
          <w:tcPr>
            <w:tcW w:w="400" w:type="dxa"/>
            <w:vAlign w:val="bottom"/>
          </w:tcPr>
          <w:p>
            <w:pPr>
              <w:spacing w:after="0"/>
              <w:rPr>
                <w:sz w:val="11"/>
                <w:szCs w:val="11"/>
                <w:color w:val="auto"/>
              </w:rPr>
            </w:pPr>
          </w:p>
        </w:tc>
      </w:tr>
      <w:tr>
        <w:trPr>
          <w:trHeight w:val="131"/>
        </w:trPr>
        <w:tc>
          <w:tcPr>
            <w:tcW w:w="400" w:type="dxa"/>
            <w:vAlign w:val="bottom"/>
          </w:tcPr>
          <w:p>
            <w:pPr>
              <w:spacing w:after="0"/>
              <w:rPr>
                <w:sz w:val="11"/>
                <w:szCs w:val="11"/>
                <w:color w:val="auto"/>
              </w:rPr>
            </w:pPr>
          </w:p>
        </w:tc>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Total of five largest portfolio company investments</w:t>
            </w:r>
          </w:p>
        </w:tc>
        <w:tc>
          <w:tcPr>
            <w:tcW w:w="3000" w:type="dxa"/>
            <w:vAlign w:val="bottom"/>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rPr>
              <w:t>34,905</w:t>
            </w:r>
          </w:p>
        </w:tc>
        <w:tc>
          <w:tcPr>
            <w:tcW w:w="400" w:type="dxa"/>
            <w:vAlign w:val="bottom"/>
          </w:tcPr>
          <w:p>
            <w:pPr>
              <w:spacing w:after="0"/>
              <w:rPr>
                <w:sz w:val="11"/>
                <w:szCs w:val="11"/>
                <w:color w:val="auto"/>
              </w:rPr>
            </w:pPr>
          </w:p>
        </w:tc>
      </w:tr>
      <w:tr>
        <w:trPr>
          <w:trHeight w:val="284"/>
        </w:trPr>
        <w:tc>
          <w:tcPr>
            <w:tcW w:w="4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00" w:type="dxa"/>
            <w:vAlign w:val="bottom"/>
          </w:tcPr>
          <w:p>
            <w:pPr>
              <w:jc w:val="right"/>
              <w:ind w:right="2385"/>
              <w:spacing w:after="0"/>
              <w:rPr>
                <w:sz w:val="20"/>
                <w:szCs w:val="20"/>
                <w:color w:val="auto"/>
              </w:rPr>
            </w:pPr>
            <w:r>
              <w:rPr>
                <w:rFonts w:ascii="Times New Roman" w:cs="Times New Roman" w:eastAsia="Times New Roman" w:hAnsi="Times New Roman"/>
                <w:sz w:val="11"/>
                <w:szCs w:val="11"/>
                <w:color w:val="auto"/>
              </w:rPr>
              <w:t>73</w:t>
            </w: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73"/>
        </w:trPr>
        <w:tc>
          <w:tcPr>
            <w:tcW w:w="400" w:type="dxa"/>
            <w:vAlign w:val="bottom"/>
            <w:tcBorders>
              <w:bottom w:val="single" w:sz="8" w:color="EEEEEE"/>
            </w:tcBorders>
          </w:tcPr>
          <w:p>
            <w:pPr>
              <w:spacing w:after="0"/>
              <w:rPr>
                <w:sz w:val="24"/>
                <w:szCs w:val="24"/>
                <w:color w:val="auto"/>
              </w:rPr>
            </w:pPr>
          </w:p>
        </w:tc>
        <w:tc>
          <w:tcPr>
            <w:tcW w:w="3220" w:type="dxa"/>
            <w:vAlign w:val="bottom"/>
            <w:tcBorders>
              <w:bottom w:val="single" w:sz="8" w:color="EEEEEE"/>
            </w:tcBorders>
          </w:tcPr>
          <w:p>
            <w:pPr>
              <w:spacing w:after="0"/>
              <w:rPr>
                <w:sz w:val="24"/>
                <w:szCs w:val="24"/>
                <w:color w:val="auto"/>
              </w:rPr>
            </w:pPr>
          </w:p>
        </w:tc>
        <w:tc>
          <w:tcPr>
            <w:tcW w:w="300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-24765</wp:posOffset>
            </wp:positionV>
            <wp:extent cx="526605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5" w:right="1440" w:bottom="1440" w:gutter="0" w:footer="0" w:header="0"/>
        </w:sectPr>
      </w:pPr>
    </w:p>
    <w:bookmarkStart w:id="73" w:name="page74"/>
    <w:bookmarkEnd w:id="73"/>
    <w:p>
      <w:pPr>
        <w:ind w:left="1060"/>
        <w:spacing w:after="0"/>
        <w:rPr>
          <w:sz w:val="20"/>
          <w:szCs w:val="20"/>
          <w:color w:val="auto"/>
        </w:rPr>
      </w:pPr>
      <w:r>
        <w:rPr>
          <w:rFonts w:ascii="Times New Roman" w:cs="Times New Roman" w:eastAsia="Times New Roman" w:hAnsi="Times New Roman"/>
          <w:sz w:val="11"/>
          <w:szCs w:val="11"/>
          <w:color w:val="auto"/>
        </w:rPr>
        <w:t>Below is a listing of PSSL II’s individual investments as of December 31, 2025 (Par and $ in thousands):</w:t>
      </w:r>
    </w:p>
    <w:p>
      <w:pPr>
        <w:spacing w:after="0" w:line="165"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jc w:val="center"/>
              <w:ind w:left="100"/>
              <w:spacing w:after="0"/>
              <w:rPr>
                <w:sz w:val="20"/>
                <w:szCs w:val="20"/>
                <w:color w:val="auto"/>
              </w:rPr>
            </w:pPr>
            <w:r>
              <w:rPr>
                <w:rFonts w:ascii="Times New Roman" w:cs="Times New Roman" w:eastAsia="Times New Roman" w:hAnsi="Times New Roman"/>
                <w:sz w:val="8"/>
                <w:szCs w:val="8"/>
                <w:b w:val="1"/>
                <w:bCs w:val="1"/>
                <w:color w:val="auto"/>
                <w:w w:val="99"/>
              </w:rPr>
              <w:t>Basis Point</w:t>
            </w: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b w:val="1"/>
                <w:bCs w:val="1"/>
                <w:color w:val="auto"/>
                <w:w w:val="97"/>
              </w:rPr>
              <w:t>Spread</w:t>
            </w:r>
          </w:p>
        </w:tc>
        <w:tc>
          <w:tcPr>
            <w:tcW w:w="600" w:type="dxa"/>
            <w:vAlign w:val="bottom"/>
          </w:tcPr>
          <w:p>
            <w:pPr>
              <w:jc w:val="center"/>
              <w:ind w:right="60"/>
              <w:spacing w:after="0"/>
              <w:rPr>
                <w:sz w:val="20"/>
                <w:szCs w:val="20"/>
                <w:color w:val="auto"/>
              </w:rPr>
            </w:pPr>
            <w:r>
              <w:rPr>
                <w:rFonts w:ascii="Times New Roman" w:cs="Times New Roman" w:eastAsia="Times New Roman" w:hAnsi="Times New Roman"/>
                <w:sz w:val="8"/>
                <w:szCs w:val="8"/>
                <w:b w:val="1"/>
                <w:bCs w:val="1"/>
                <w:color w:val="auto"/>
                <w:w w:val="99"/>
              </w:rPr>
              <w:t>Par or</w:t>
            </w: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86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Issuer Name</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380" w:type="dxa"/>
            <w:vAlign w:val="bottom"/>
            <w:vMerge w:val="restart"/>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b w:val="1"/>
                <w:bCs w:val="1"/>
                <w:color w:val="auto"/>
                <w:w w:val="99"/>
              </w:rPr>
              <w:t>Current</w:t>
            </w:r>
          </w:p>
        </w:tc>
        <w:tc>
          <w:tcPr>
            <w:tcW w:w="680" w:type="dxa"/>
            <w:vAlign w:val="bottom"/>
          </w:tcPr>
          <w:p>
            <w:pPr>
              <w:jc w:val="center"/>
              <w:ind w:left="100"/>
              <w:spacing w:after="0"/>
              <w:rPr>
                <w:sz w:val="20"/>
                <w:szCs w:val="20"/>
                <w:color w:val="auto"/>
              </w:rPr>
            </w:pPr>
            <w:r>
              <w:rPr>
                <w:rFonts w:ascii="Times New Roman" w:cs="Times New Roman" w:eastAsia="Times New Roman" w:hAnsi="Times New Roman"/>
                <w:sz w:val="8"/>
                <w:szCs w:val="8"/>
                <w:b w:val="1"/>
                <w:bCs w:val="1"/>
                <w:color w:val="auto"/>
              </w:rPr>
              <w:t>Above</w:t>
            </w:r>
          </w:p>
        </w:tc>
        <w:tc>
          <w:tcPr>
            <w:tcW w:w="600" w:type="dxa"/>
            <w:vAlign w:val="bottom"/>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Number</w:t>
            </w:r>
          </w:p>
        </w:tc>
        <w:tc>
          <w:tcPr>
            <w:tcW w:w="500" w:type="dxa"/>
            <w:vAlign w:val="bottom"/>
            <w:vMerge w:val="restart"/>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Cost</w:t>
            </w:r>
          </w:p>
        </w:tc>
        <w:tc>
          <w:tcPr>
            <w:tcW w:w="560" w:type="dxa"/>
            <w:vAlign w:val="bottom"/>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Fair Value</w:t>
            </w:r>
          </w:p>
        </w:tc>
        <w:tc>
          <w:tcPr>
            <w:tcW w:w="0" w:type="dxa"/>
            <w:vAlign w:val="bottom"/>
          </w:tcPr>
          <w:p>
            <w:pPr>
              <w:spacing w:after="0"/>
              <w:rPr>
                <w:sz w:val="1"/>
                <w:szCs w:val="1"/>
                <w:color w:val="auto"/>
              </w:rPr>
            </w:pPr>
          </w:p>
        </w:tc>
      </w:tr>
      <w:tr>
        <w:trPr>
          <w:trHeight w:val="90"/>
        </w:trPr>
        <w:tc>
          <w:tcPr>
            <w:tcW w:w="18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660" w:type="dxa"/>
            <w:vAlign w:val="bottom"/>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w w:val="95"/>
              </w:rPr>
              <w:t>Coupon</w:t>
            </w:r>
          </w:p>
        </w:tc>
        <w:tc>
          <w:tcPr>
            <w:tcW w:w="680" w:type="dxa"/>
            <w:vAlign w:val="bottom"/>
          </w:tcPr>
          <w:p>
            <w:pPr>
              <w:jc w:val="center"/>
              <w:ind w:left="120"/>
              <w:spacing w:after="0" w:line="90" w:lineRule="exact"/>
              <w:rPr>
                <w:sz w:val="20"/>
                <w:szCs w:val="20"/>
                <w:color w:val="auto"/>
              </w:rPr>
            </w:pPr>
            <w:r>
              <w:rPr>
                <w:rFonts w:ascii="Times New Roman" w:cs="Times New Roman" w:eastAsia="Times New Roman" w:hAnsi="Times New Roman"/>
                <w:sz w:val="8"/>
                <w:szCs w:val="8"/>
                <w:b w:val="1"/>
                <w:bCs w:val="1"/>
                <w:color w:val="auto"/>
                <w:w w:val="95"/>
              </w:rPr>
              <w:t xml:space="preserve">Index </w:t>
            </w:r>
            <w:r>
              <w:rPr>
                <w:rFonts w:ascii="Times New Roman" w:cs="Times New Roman" w:eastAsia="Times New Roman" w:hAnsi="Times New Roman"/>
                <w:sz w:val="10"/>
                <w:szCs w:val="10"/>
                <w:b w:val="1"/>
                <w:bCs w:val="1"/>
                <w:color w:val="auto"/>
                <w:w w:val="95"/>
                <w:vertAlign w:val="superscript"/>
              </w:rPr>
              <w:t>(1)</w:t>
            </w:r>
          </w:p>
        </w:tc>
        <w:tc>
          <w:tcPr>
            <w:tcW w:w="600" w:type="dxa"/>
            <w:vAlign w:val="bottom"/>
          </w:tcPr>
          <w:p>
            <w:pPr>
              <w:jc w:val="center"/>
              <w:ind w:right="80"/>
              <w:spacing w:after="0" w:line="90" w:lineRule="exact"/>
              <w:rPr>
                <w:sz w:val="20"/>
                <w:szCs w:val="20"/>
                <w:color w:val="auto"/>
              </w:rPr>
            </w:pPr>
            <w:r>
              <w:rPr>
                <w:rFonts w:ascii="Times New Roman" w:cs="Times New Roman" w:eastAsia="Times New Roman" w:hAnsi="Times New Roman"/>
                <w:sz w:val="8"/>
                <w:szCs w:val="8"/>
                <w:b w:val="1"/>
                <w:bCs w:val="1"/>
                <w:color w:val="auto"/>
              </w:rPr>
              <w:t>of Shares</w:t>
            </w:r>
          </w:p>
        </w:tc>
        <w:tc>
          <w:tcPr>
            <w:tcW w:w="500" w:type="dxa"/>
            <w:vAlign w:val="bottom"/>
            <w:vMerge w:val="continue"/>
          </w:tcPr>
          <w:p>
            <w:pPr>
              <w:spacing w:after="0"/>
              <w:rPr>
                <w:sz w:val="7"/>
                <w:szCs w:val="7"/>
                <w:color w:val="auto"/>
              </w:rPr>
            </w:pPr>
          </w:p>
        </w:tc>
        <w:tc>
          <w:tcPr>
            <w:tcW w:w="560" w:type="dxa"/>
            <w:vAlign w:val="bottom"/>
          </w:tcPr>
          <w:p>
            <w:pPr>
              <w:jc w:val="right"/>
              <w:ind w:right="220"/>
              <w:spacing w:after="0"/>
              <w:rPr>
                <w:sz w:val="20"/>
                <w:szCs w:val="20"/>
                <w:color w:val="auto"/>
              </w:rPr>
            </w:pPr>
            <w:r>
              <w:rPr>
                <w:rFonts w:ascii="Times New Roman" w:cs="Times New Roman" w:eastAsia="Times New Roman" w:hAnsi="Times New Roman"/>
                <w:sz w:val="5"/>
                <w:szCs w:val="5"/>
                <w:b w:val="1"/>
                <w:bCs w:val="1"/>
                <w:color w:val="auto"/>
              </w:rPr>
              <w:t>(2)</w:t>
            </w:r>
          </w:p>
        </w:tc>
        <w:tc>
          <w:tcPr>
            <w:tcW w:w="0" w:type="dxa"/>
            <w:vAlign w:val="bottom"/>
          </w:tcPr>
          <w:p>
            <w:pPr>
              <w:spacing w:after="0"/>
              <w:rPr>
                <w:sz w:val="1"/>
                <w:szCs w:val="1"/>
                <w:color w:val="auto"/>
              </w:rPr>
            </w:pPr>
          </w:p>
        </w:tc>
      </w:tr>
      <w:tr>
        <w:trPr>
          <w:trHeight w:val="102"/>
        </w:trPr>
        <w:tc>
          <w:tcPr>
            <w:tcW w:w="18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First Lien Secured Debt - 859.4% of Net Assets</w:t>
            </w: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ACP Avenu Buyer,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11/19/2025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10/2/2029</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IT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8.74%</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SOFR+475</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7,000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6,943</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6,983</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ACP Falcon Buyer, Inc.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8/1/2029</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Internet Software and Services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9.49%</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SOFR+550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816</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824</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825</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APT OPCO,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9/30/2031</w:t>
            </w:r>
          </w:p>
        </w:tc>
        <w:tc>
          <w:tcPr>
            <w:tcW w:w="138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Healthcare Providers &amp;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8.67%</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4,988</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4,926</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4,925</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Archer Lewis,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8/28/2029</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9.75%</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SOFR+575</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1,130</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1,130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1,130</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Beacon Behavioral Support Services,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6/21/2029</w:t>
            </w:r>
          </w:p>
        </w:tc>
        <w:tc>
          <w:tcPr>
            <w:tcW w:w="138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Healthcare Providers &amp;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9.17%</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SOFR+550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5,079</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5,030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5,079</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Big Top Holdings,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3/1/2030</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9"/>
              </w:rPr>
              <w:t>Construction and Engineering</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8.92%</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SOFR+525</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6,982</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6,982</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6,982</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BLC Holding Company, Inc.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11/20/2030</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8.17%</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SOFR+450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3,791</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3,791</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3,791</w:t>
            </w:r>
          </w:p>
        </w:tc>
        <w:tc>
          <w:tcPr>
            <w:tcW w:w="0" w:type="dxa"/>
            <w:vAlign w:val="bottom"/>
          </w:tcPr>
          <w:p>
            <w:pPr>
              <w:spacing w:after="0"/>
              <w:rPr>
                <w:sz w:val="1"/>
                <w:szCs w:val="1"/>
                <w:color w:val="auto"/>
              </w:rPr>
            </w:pPr>
          </w:p>
        </w:tc>
      </w:tr>
      <w:tr>
        <w:trPr>
          <w:trHeight w:val="102"/>
        </w:trPr>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Independent Power and Renewable</w:t>
            </w: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Boss Industries,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12/27/2030</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Electricity Producers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8.71%</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5,853</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5,853</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5,853</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By Light Professional IT Services,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11/19/2025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7/15/2031</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9.22%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SOFR+550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7,000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6,947</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6,930</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Carisk Buyer, Inc.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11/21/2025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12/3/2029</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Healthcare Technology</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8.67%</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5,877</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5,877</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5,921</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Case Works,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10/1/2029</w:t>
            </w:r>
          </w:p>
        </w:tc>
        <w:tc>
          <w:tcPr>
            <w:tcW w:w="138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8.92%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SOFR+525</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4,480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4,379</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4,404</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Commercial Fire Protection Holdings,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9/23/2030</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8.17%</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SOFR+450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6,982</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6,982</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6,982</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Crane 1 Services, Inc.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11/18/2005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8/16/2027</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Commercial Services &amp; Supplies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9.08%</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SOFR+536</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2,517</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2,500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2,498</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EDS Buyer,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1/10/2029</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8.17%</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SOFR+450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1,975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1,980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1,980</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Emergency Care Partners,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11/20/2025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10/18/2027</w:t>
            </w:r>
          </w:p>
        </w:tc>
        <w:tc>
          <w:tcPr>
            <w:tcW w:w="138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Healthcare Providers &amp;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8.67%</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6,282</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6,282</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6,282</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ETE Intermediate II,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5/29/2029</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Auto Components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8.72%</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975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975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975</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GGG MIDCO,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9/27/2030</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8.67%</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6,982</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6,982</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6,982</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Harris &amp; Co,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8/9/2030</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8.72%</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6,982</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6,982</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6,930</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HEC Purchaser Corp.</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6/17/2029</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9"/>
              </w:rPr>
              <w:t>Health Care Equipment &amp; supplies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8.67%</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5,000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5,000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5,000</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Hills Distribution, Inc.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12/2/2025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11/8/2029</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Distributors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9.19%</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SOFR+550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1,501</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1,500</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1,486</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MBS Holdings, Inc.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11/19/2025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4/16/2027</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Internet Software and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8.92%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SOFR+510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5,132</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5,132</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5,132</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Medina Health,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10/20/2028</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Healthcare and Pharmaceuticals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9.92%</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SOFR+625</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3,314</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3,323</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3,314</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MES Intermediate, Inc.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11/19/2025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10/1/2027</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Distributors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8.42%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SOFR+475</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4,691</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4,691</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4,691</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North American Rail Solutions</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11/21/2025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8/29/2031</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Road and Rail</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8.42%</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SOFR+475</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7,000</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6,966</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6,965</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OSP Embedded Purchaser,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12/17/2029</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9.42%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SOFR+575</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6,982</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6,874</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6,619</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PCS MIDCO, Inc.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11/25/2025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3/1/2030</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9.42%</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SOFR+575</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2,615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2,628</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2,628</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PD Tri-State Holdco,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11/19/2025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10/14/2030</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9"/>
              </w:rPr>
              <w:t>Diversified Consumer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8.92%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SOFR+525</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2,970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2,944</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2,952</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Pacific Purchaser,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10/2/2028</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9.85%</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SOFR+625</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2,205</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2,182</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2,152</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PAR Excellence Holdings, Inc.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9/3/2030</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Healthcare Technology</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8.74%</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6,982</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6,915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6,860</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Project Granite Buyer, Inc.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12/31/2030</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9.42%</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SOFR+575</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3,944</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3,983</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3,983</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Puget Collision,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10/3/2031</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Automobiles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8.42%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SOFR+475</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7,000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6,957</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6,956</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Rancho Health MSO, Inc.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6/20/2029</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Healthcare Providers &amp; Services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8.99%</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SOFR+500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6,862</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6,862</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6,862</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Sath Industries,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12/17/2029</w:t>
            </w:r>
          </w:p>
        </w:tc>
        <w:tc>
          <w:tcPr>
            <w:tcW w:w="138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w w:val="99"/>
              </w:rPr>
              <w:t>Building Products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9.17%</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SOFR+550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3,346</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3,346</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3,346</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Sigma Defense Systems,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12/20/2027</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7"/>
              </w:rPr>
              <w:t>10.62%</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SOFR+690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6,969</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6,969</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6,899</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Smartronix,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12/3/2025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2/6/2032</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8.42%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SOFR+450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5,970</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5,947</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5,885</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Systems Planning And Analysis, Inc.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11/20/2025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8/16/2027</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Aerospace and Defense</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8.46%</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SOFR+475</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6,997</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6,945</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6,976</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TMII Enterprises,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12/22/2028</w:t>
            </w:r>
          </w:p>
        </w:tc>
        <w:tc>
          <w:tcPr>
            <w:tcW w:w="138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8.22%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SOFR+450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1,975</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1,975</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1,975</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The Bluebird Group,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7/28/2026</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8"/>
                <w:szCs w:val="8"/>
                <w:color w:val="auto"/>
              </w:rPr>
              <w:t>Professional Services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9.57%</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SOFR+590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5,042</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5,042</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5,042</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The Vertex Companies,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8/31/2028</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9"/>
              </w:rPr>
              <w:t>Construction and Engineering</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8.82%</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SOFR+510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6,982</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6,969</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6,941</w:t>
            </w:r>
          </w:p>
        </w:tc>
        <w:tc>
          <w:tcPr>
            <w:tcW w:w="0" w:type="dxa"/>
            <w:vAlign w:val="bottom"/>
          </w:tcPr>
          <w:p>
            <w:pPr>
              <w:spacing w:after="0"/>
              <w:rPr>
                <w:sz w:val="1"/>
                <w:szCs w:val="1"/>
                <w:color w:val="auto"/>
              </w:rPr>
            </w:pPr>
          </w:p>
        </w:tc>
      </w:tr>
      <w:tr>
        <w:trPr>
          <w:trHeight w:val="101"/>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Transgo, LLC</w:t>
            </w: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8"/>
                <w:szCs w:val="8"/>
                <w:color w:val="auto"/>
                <w:w w:val="98"/>
              </w:rPr>
              <w:t>11/18/2025</w:t>
            </w:r>
          </w:p>
        </w:tc>
        <w:tc>
          <w:tcPr>
            <w:tcW w:w="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12/29/2028</w:t>
            </w: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rPr>
              <w:t>Auto Components</w:t>
            </w: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8"/>
                <w:szCs w:val="8"/>
                <w:color w:val="auto"/>
                <w:w w:val="96"/>
              </w:rPr>
              <w:t>9.47%</w:t>
            </w:r>
          </w:p>
        </w:tc>
        <w:tc>
          <w:tcPr>
            <w:tcW w:w="680" w:type="dxa"/>
            <w:vAlign w:val="bottom"/>
          </w:tcPr>
          <w:p>
            <w:pPr>
              <w:jc w:val="center"/>
              <w:ind w:left="120"/>
              <w:spacing w:after="0"/>
              <w:rPr>
                <w:sz w:val="20"/>
                <w:szCs w:val="20"/>
                <w:color w:val="auto"/>
              </w:rPr>
            </w:pPr>
            <w:r>
              <w:rPr>
                <w:rFonts w:ascii="Times New Roman" w:cs="Times New Roman" w:eastAsia="Times New Roman" w:hAnsi="Times New Roman"/>
                <w:sz w:val="8"/>
                <w:szCs w:val="8"/>
                <w:color w:val="auto"/>
                <w:w w:val="98"/>
              </w:rPr>
              <w:t>SOFR+575</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rPr>
              <w:t>594</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597</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rPr>
              <w:t>594</w:t>
            </w:r>
          </w:p>
        </w:tc>
        <w:tc>
          <w:tcPr>
            <w:tcW w:w="0" w:type="dxa"/>
            <w:vAlign w:val="bottom"/>
          </w:tcPr>
          <w:p>
            <w:pPr>
              <w:spacing w:after="0"/>
              <w:rPr>
                <w:sz w:val="1"/>
                <w:szCs w:val="1"/>
                <w:color w:val="auto"/>
              </w:rPr>
            </w:pPr>
          </w:p>
        </w:tc>
      </w:tr>
      <w:tr>
        <w:trPr>
          <w:trHeight w:val="101"/>
        </w:trPr>
        <w:tc>
          <w:tcPr>
            <w:tcW w:w="186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Tyto Athene, LLC</w:t>
            </w:r>
          </w:p>
        </w:tc>
        <w:tc>
          <w:tcPr>
            <w:tcW w:w="70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8"/>
                <w:szCs w:val="8"/>
                <w:color w:val="auto"/>
                <w:w w:val="98"/>
              </w:rPr>
              <w:t>11/26/2025</w:t>
            </w:r>
          </w:p>
        </w:tc>
        <w:tc>
          <w:tcPr>
            <w:tcW w:w="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8"/>
                <w:szCs w:val="8"/>
                <w:color w:val="auto"/>
                <w:w w:val="98"/>
              </w:rPr>
              <w:t>4/3/2028</w:t>
            </w:r>
          </w:p>
        </w:tc>
        <w:tc>
          <w:tcPr>
            <w:tcW w:w="138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8"/>
              </w:rPr>
              <w:t>IT Services</w:t>
            </w:r>
          </w:p>
        </w:tc>
        <w:tc>
          <w:tcPr>
            <w:tcW w:w="660" w:type="dxa"/>
            <w:vAlign w:val="bottom"/>
            <w:shd w:val="clear" w:color="auto" w:fill="CCECFF"/>
          </w:tcPr>
          <w:p>
            <w:pPr>
              <w:jc w:val="center"/>
              <w:ind w:right="20"/>
              <w:spacing w:after="0"/>
              <w:rPr>
                <w:sz w:val="20"/>
                <w:szCs w:val="20"/>
                <w:color w:val="auto"/>
              </w:rPr>
            </w:pPr>
            <w:r>
              <w:rPr>
                <w:rFonts w:ascii="Times New Roman" w:cs="Times New Roman" w:eastAsia="Times New Roman" w:hAnsi="Times New Roman"/>
                <w:sz w:val="8"/>
                <w:szCs w:val="8"/>
                <w:color w:val="auto"/>
                <w:w w:val="96"/>
              </w:rPr>
              <w:t>8.88%</w:t>
            </w:r>
          </w:p>
        </w:tc>
        <w:tc>
          <w:tcPr>
            <w:tcW w:w="68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8"/>
                <w:szCs w:val="8"/>
                <w:color w:val="auto"/>
                <w:w w:val="98"/>
              </w:rPr>
              <w:t>SOFR+490</w:t>
            </w:r>
          </w:p>
        </w:tc>
        <w:tc>
          <w:tcPr>
            <w:tcW w:w="60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8"/>
                <w:szCs w:val="8"/>
                <w:color w:val="auto"/>
              </w:rPr>
              <w:t>4,626</w:t>
            </w:r>
          </w:p>
        </w:tc>
        <w:tc>
          <w:tcPr>
            <w:tcW w:w="50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4,520</w:t>
            </w:r>
          </w:p>
        </w:tc>
        <w:tc>
          <w:tcPr>
            <w:tcW w:w="560" w:type="dxa"/>
            <w:vAlign w:val="bottom"/>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4,441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01"/>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First Lien Secured Debt</w:t>
            </w:r>
          </w:p>
        </w:tc>
        <w:tc>
          <w:tcPr>
            <w:tcW w:w="2320" w:type="dxa"/>
            <w:vAlign w:val="bottom"/>
          </w:tcPr>
          <w:p>
            <w:pPr>
              <w:spacing w:after="0"/>
              <w:rPr>
                <w:sz w:val="8"/>
                <w:szCs w:val="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193,632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193,151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440" w:type="dxa"/>
            <w:vAlign w:val="bottom"/>
            <w:shd w:val="clear" w:color="auto" w:fill="CCECFF"/>
          </w:tcPr>
          <w:p>
            <w:pPr>
              <w:spacing w:after="0"/>
              <w:rPr>
                <w:sz w:val="8"/>
                <w:szCs w:val="8"/>
                <w:color w:val="auto"/>
              </w:rPr>
            </w:pPr>
          </w:p>
        </w:tc>
        <w:tc>
          <w:tcPr>
            <w:tcW w:w="232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440" w:type="dxa"/>
            <w:vAlign w:val="bottom"/>
          </w:tcPr>
          <w:p>
            <w:pPr>
              <w:spacing w:after="0" w:line="101" w:lineRule="exact"/>
              <w:rPr>
                <w:sz w:val="20"/>
                <w:szCs w:val="20"/>
                <w:color w:val="auto"/>
              </w:rPr>
            </w:pPr>
            <w:r>
              <w:rPr>
                <w:rFonts w:ascii="Times New Roman" w:cs="Times New Roman" w:eastAsia="Times New Roman" w:hAnsi="Times New Roman"/>
                <w:sz w:val="8"/>
                <w:szCs w:val="8"/>
                <w:b w:val="1"/>
                <w:bCs w:val="1"/>
                <w:color w:val="auto"/>
              </w:rPr>
              <w:t xml:space="preserve">Total Investments - 859.4% of Net Assets </w:t>
            </w:r>
            <w:r>
              <w:rPr>
                <w:rFonts w:ascii="Times New Roman" w:cs="Times New Roman" w:eastAsia="Times New Roman" w:hAnsi="Times New Roman"/>
                <w:sz w:val="10"/>
                <w:szCs w:val="10"/>
                <w:b w:val="1"/>
                <w:bCs w:val="1"/>
                <w:color w:val="auto"/>
                <w:vertAlign w:val="superscript"/>
              </w:rPr>
              <w:t>(3)(4)</w:t>
            </w:r>
          </w:p>
        </w:tc>
        <w:tc>
          <w:tcPr>
            <w:tcW w:w="2320" w:type="dxa"/>
            <w:vAlign w:val="bottom"/>
          </w:tcPr>
          <w:p>
            <w:pPr>
              <w:spacing w:after="0"/>
              <w:rPr>
                <w:sz w:val="8"/>
                <w:szCs w:val="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193,632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193,151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440" w:type="dxa"/>
            <w:vAlign w:val="bottom"/>
            <w:shd w:val="clear" w:color="auto" w:fill="CCECFF"/>
          </w:tcPr>
          <w:p>
            <w:pPr>
              <w:spacing w:after="0"/>
              <w:rPr>
                <w:sz w:val="8"/>
                <w:szCs w:val="8"/>
                <w:color w:val="auto"/>
              </w:rPr>
            </w:pPr>
          </w:p>
        </w:tc>
        <w:tc>
          <w:tcPr>
            <w:tcW w:w="232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Cash Equivalents - 0.1% of Net Assets</w:t>
            </w:r>
          </w:p>
        </w:tc>
        <w:tc>
          <w:tcPr>
            <w:tcW w:w="2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color w:val="auto"/>
              </w:rPr>
              <w:t>BlackRock Federal FD Instl 81</w:t>
            </w:r>
          </w:p>
        </w:tc>
        <w:tc>
          <w:tcPr>
            <w:tcW w:w="2320" w:type="dxa"/>
            <w:vAlign w:val="bottom"/>
            <w:shd w:val="clear" w:color="auto" w:fill="CCECFF"/>
          </w:tcPr>
          <w:p>
            <w:pPr>
              <w:jc w:val="right"/>
              <w:ind w:right="600"/>
              <w:spacing w:after="0"/>
              <w:rPr>
                <w:sz w:val="20"/>
                <w:szCs w:val="20"/>
                <w:color w:val="auto"/>
              </w:rPr>
            </w:pPr>
            <w:r>
              <w:rPr>
                <w:rFonts w:ascii="Times New Roman" w:cs="Times New Roman" w:eastAsia="Times New Roman" w:hAnsi="Times New Roman"/>
                <w:sz w:val="8"/>
                <w:szCs w:val="8"/>
                <w:color w:val="auto"/>
              </w:rPr>
              <w:t>3.69%</w:t>
            </w:r>
          </w:p>
        </w:tc>
        <w:tc>
          <w:tcPr>
            <w:tcW w:w="7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Cash Equivalents</w:t>
            </w:r>
          </w:p>
        </w:tc>
        <w:tc>
          <w:tcPr>
            <w:tcW w:w="2320" w:type="dxa"/>
            <w:vAlign w:val="bottom"/>
          </w:tcPr>
          <w:p>
            <w:pPr>
              <w:spacing w:after="0"/>
              <w:rPr>
                <w:sz w:val="8"/>
                <w:szCs w:val="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Cash - 30.2% of Net Assets</w:t>
            </w:r>
          </w:p>
        </w:tc>
        <w:tc>
          <w:tcPr>
            <w:tcW w:w="232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440" w:type="dxa"/>
            <w:vAlign w:val="bottom"/>
          </w:tcPr>
          <w:p>
            <w:pPr>
              <w:spacing w:after="0"/>
              <w:rPr>
                <w:sz w:val="20"/>
                <w:szCs w:val="20"/>
                <w:color w:val="auto"/>
              </w:rPr>
            </w:pPr>
            <w:r>
              <w:rPr>
                <w:rFonts w:ascii="Times New Roman" w:cs="Times New Roman" w:eastAsia="Times New Roman" w:hAnsi="Times New Roman"/>
                <w:sz w:val="8"/>
                <w:szCs w:val="8"/>
                <w:color w:val="auto"/>
              </w:rPr>
              <w:t>Cash</w:t>
            </w:r>
          </w:p>
        </w:tc>
        <w:tc>
          <w:tcPr>
            <w:tcW w:w="2320" w:type="dxa"/>
            <w:vAlign w:val="bottom"/>
          </w:tcPr>
          <w:p>
            <w:pPr>
              <w:spacing w:after="0"/>
              <w:rPr>
                <w:sz w:val="8"/>
                <w:szCs w:val="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6,775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6,775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Total Cash</w:t>
            </w:r>
          </w:p>
        </w:tc>
        <w:tc>
          <w:tcPr>
            <w:tcW w:w="2320" w:type="dxa"/>
            <w:vAlign w:val="bottom"/>
            <w:shd w:val="clear" w:color="auto" w:fill="CCECFF"/>
          </w:tcPr>
          <w:p>
            <w:pPr>
              <w:spacing w:after="0"/>
              <w:rPr>
                <w:sz w:val="8"/>
                <w:szCs w:val="8"/>
                <w:color w:val="auto"/>
              </w:rPr>
            </w:pPr>
          </w:p>
        </w:tc>
        <w:tc>
          <w:tcPr>
            <w:tcW w:w="7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6,775</w:t>
            </w:r>
          </w:p>
        </w:tc>
        <w:tc>
          <w:tcPr>
            <w:tcW w:w="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6,775</w:t>
            </w: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Investments, Cash Equivalents, and Cash —889.6%</w:t>
            </w:r>
          </w:p>
        </w:tc>
        <w:tc>
          <w:tcPr>
            <w:tcW w:w="2320" w:type="dxa"/>
            <w:vAlign w:val="bottom"/>
          </w:tcPr>
          <w:p>
            <w:pPr>
              <w:spacing w:after="0"/>
              <w:rPr>
                <w:sz w:val="8"/>
                <w:szCs w:val="8"/>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200,409</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199,928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3440" w:type="dxa"/>
            <w:vAlign w:val="bottom"/>
          </w:tcPr>
          <w:p>
            <w:pPr>
              <w:spacing w:after="0" w:line="62" w:lineRule="exact"/>
              <w:rPr>
                <w:sz w:val="20"/>
                <w:szCs w:val="20"/>
                <w:color w:val="auto"/>
              </w:rPr>
            </w:pPr>
            <w:r>
              <w:rPr>
                <w:rFonts w:ascii="Times New Roman" w:cs="Times New Roman" w:eastAsia="Times New Roman" w:hAnsi="Times New Roman"/>
                <w:sz w:val="7"/>
                <w:szCs w:val="7"/>
                <w:b w:val="1"/>
                <w:bCs w:val="1"/>
                <w:color w:val="auto"/>
              </w:rPr>
              <w:t>of Net Assets</w:t>
            </w:r>
          </w:p>
        </w:tc>
        <w:tc>
          <w:tcPr>
            <w:tcW w:w="2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3440" w:type="dxa"/>
            <w:vAlign w:val="bottom"/>
            <w:shd w:val="clear" w:color="auto" w:fill="CCECFF"/>
          </w:tcPr>
          <w:p>
            <w:pPr>
              <w:spacing w:after="0" w:line="70" w:lineRule="exact"/>
              <w:rPr>
                <w:sz w:val="20"/>
                <w:szCs w:val="20"/>
                <w:color w:val="auto"/>
              </w:rPr>
            </w:pPr>
            <w:r>
              <w:rPr>
                <w:rFonts w:ascii="Times New Roman" w:cs="Times New Roman" w:eastAsia="Times New Roman" w:hAnsi="Times New Roman"/>
                <w:sz w:val="8"/>
                <w:szCs w:val="8"/>
                <w:b w:val="1"/>
                <w:bCs w:val="1"/>
                <w:color w:val="auto"/>
              </w:rPr>
              <w:t>Liabilities in Excess of Other Assets — (789.6)% of Net</w:t>
            </w:r>
          </w:p>
        </w:tc>
        <w:tc>
          <w:tcPr>
            <w:tcW w:w="2320" w:type="dxa"/>
            <w:vAlign w:val="bottom"/>
            <w:shd w:val="clear" w:color="auto" w:fill="CCECFF"/>
          </w:tcPr>
          <w:p>
            <w:pPr>
              <w:spacing w:after="0"/>
              <w:rPr>
                <w:sz w:val="6"/>
                <w:szCs w:val="6"/>
                <w:color w:val="auto"/>
              </w:rPr>
            </w:pPr>
          </w:p>
        </w:tc>
        <w:tc>
          <w:tcPr>
            <w:tcW w:w="66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320" w:type="dxa"/>
            <w:vAlign w:val="bottom"/>
            <w:shd w:val="clear" w:color="auto" w:fill="CCECFF"/>
          </w:tcPr>
          <w:p>
            <w:pPr>
              <w:spacing w:after="0"/>
              <w:rPr>
                <w:sz w:val="6"/>
                <w:szCs w:val="6"/>
                <w:color w:val="auto"/>
              </w:rPr>
            </w:pPr>
          </w:p>
        </w:tc>
        <w:tc>
          <w:tcPr>
            <w:tcW w:w="14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34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440" w:type="dxa"/>
            <w:vAlign w:val="bottom"/>
            <w:shd w:val="clear" w:color="auto" w:fill="CCECFF"/>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232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8"/>
                <w:szCs w:val="8"/>
                <w:color w:val="auto"/>
              </w:rPr>
              <w:t>(177,453)</w:t>
            </w:r>
          </w:p>
        </w:tc>
        <w:tc>
          <w:tcPr>
            <w:tcW w:w="0" w:type="dxa"/>
            <w:vAlign w:val="bottom"/>
          </w:tcPr>
          <w:p>
            <w:pPr>
              <w:spacing w:after="0"/>
              <w:rPr>
                <w:sz w:val="1"/>
                <w:szCs w:val="1"/>
                <w:color w:val="auto"/>
              </w:rPr>
            </w:pPr>
          </w:p>
        </w:tc>
      </w:tr>
      <w:tr>
        <w:trPr>
          <w:trHeight w:val="101"/>
        </w:trPr>
        <w:tc>
          <w:tcPr>
            <w:tcW w:w="3440" w:type="dxa"/>
            <w:vAlign w:val="bottom"/>
          </w:tcPr>
          <w:p>
            <w:pPr>
              <w:spacing w:after="0" w:line="91" w:lineRule="exact"/>
              <w:rPr>
                <w:sz w:val="20"/>
                <w:szCs w:val="20"/>
                <w:color w:val="auto"/>
              </w:rPr>
            </w:pPr>
            <w:r>
              <w:rPr>
                <w:rFonts w:ascii="Times New Roman" w:cs="Times New Roman" w:eastAsia="Times New Roman" w:hAnsi="Times New Roman"/>
                <w:sz w:val="8"/>
                <w:szCs w:val="8"/>
                <w:b w:val="1"/>
                <w:bCs w:val="1"/>
                <w:color w:val="auto"/>
              </w:rPr>
              <w:t>Members' Equity—100.0%</w:t>
            </w:r>
          </w:p>
        </w:tc>
        <w:tc>
          <w:tcPr>
            <w:tcW w:w="2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22,475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8"/>
                <w:szCs w:val="8"/>
                <w:color w:val="auto"/>
              </w:rPr>
              <w:t>———————————————————</w:t>
            </w:r>
          </w:p>
        </w:tc>
        <w:tc>
          <w:tcPr>
            <w:tcW w:w="2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440" w:type="dxa"/>
            <w:vAlign w:val="bottom"/>
            <w:vMerge w:val="continue"/>
          </w:tcPr>
          <w:p>
            <w:pPr>
              <w:spacing w:after="0"/>
              <w:rPr>
                <w:sz w:val="6"/>
                <w:szCs w:val="6"/>
                <w:color w:val="auto"/>
              </w:rPr>
            </w:pPr>
          </w:p>
        </w:tc>
        <w:tc>
          <w:tcPr>
            <w:tcW w:w="2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80" w:right="960"/>
        <w:spacing w:after="0" w:line="236" w:lineRule="auto"/>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8"/>
          <w:szCs w:val="8"/>
          <w:color w:val="auto"/>
        </w:rPr>
        <w:t>Represents floating rate instruments that accrue interest at a predetermined spread relative to an index, typically the applicable Secured Overnight Financing Rate or "SOFR". The spread may change based on the type of rate used. The terms in the Consolidated Schedule of Investments disclose the actual interest rate in effect as of the reporting period. All securities are subject to a SOFR floor where a spread is provided, unless noted. The spread provided includes PIK interest and other fee rates, if any.</w:t>
      </w:r>
    </w:p>
    <w:p>
      <w:pPr>
        <w:ind w:left="780"/>
        <w:spacing w:after="0" w:line="218" w:lineRule="auto"/>
        <w:rPr>
          <w:sz w:val="20"/>
          <w:szCs w:val="20"/>
          <w:color w:val="auto"/>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8"/>
          <w:szCs w:val="8"/>
          <w:color w:val="auto"/>
        </w:rPr>
        <w:t>Valued based on PSSL II’s accounting policy.</w:t>
      </w:r>
    </w:p>
    <w:p>
      <w:pPr>
        <w:ind w:left="780"/>
        <w:spacing w:after="0" w:line="211" w:lineRule="auto"/>
        <w:rPr>
          <w:sz w:val="20"/>
          <w:szCs w:val="20"/>
          <w:color w:val="auto"/>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8"/>
          <w:szCs w:val="8"/>
          <w:color w:val="auto"/>
        </w:rPr>
        <w:t>As of December 31, 2025, all investments were in U.S companies, and total cost, fair value, percentage of Net Assets for the U.S companies were $193.6 million, $193.2 million and 859.4%.</w:t>
      </w:r>
    </w:p>
    <w:p>
      <w:pPr>
        <w:ind w:left="780"/>
        <w:spacing w:after="0"/>
        <w:rPr>
          <w:sz w:val="20"/>
          <w:szCs w:val="20"/>
          <w:color w:val="auto"/>
        </w:rPr>
      </w:pP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8"/>
          <w:szCs w:val="8"/>
          <w:color w:val="auto"/>
        </w:rPr>
        <w:t>All of our investments are not registered under the 1933 Act and have restrictions on resale.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5" w:right="1440" w:bottom="1440" w:gutter="0" w:footer="0" w:header="0"/>
        </w:sectPr>
      </w:pPr>
    </w:p>
    <w:bookmarkStart w:id="74" w:name="page75"/>
    <w:bookmarkEnd w:id="74"/>
    <w:tbl>
      <w:tblPr>
        <w:tblLayout w:type="fixed"/>
        <w:tblInd w:w="780" w:type="dxa"/>
        <w:tblCellMar>
          <w:top w:w="0" w:type="dxa"/>
          <w:left w:w="0" w:type="dxa"/>
          <w:bottom w:w="0" w:type="dxa"/>
          <w:right w:w="0" w:type="dxa"/>
        </w:tblCellMar>
      </w:tblPr>
      <w:tr>
        <w:trPr>
          <w:trHeight w:val="143"/>
        </w:trPr>
        <w:tc>
          <w:tcPr>
            <w:tcW w:w="6040" w:type="dxa"/>
            <w:vAlign w:val="bottom"/>
          </w:tcPr>
          <w:p>
            <w:pPr>
              <w:spacing w:after="0"/>
              <w:rPr>
                <w:sz w:val="20"/>
                <w:szCs w:val="20"/>
                <w:color w:val="auto"/>
              </w:rPr>
            </w:pPr>
            <w:r>
              <w:rPr>
                <w:rFonts w:ascii="Times New Roman" w:cs="Times New Roman" w:eastAsia="Times New Roman" w:hAnsi="Times New Roman"/>
                <w:sz w:val="11"/>
                <w:szCs w:val="11"/>
                <w:color w:val="auto"/>
              </w:rPr>
              <w:t>Below are the consolidated statements of assets and liabilities for PSSL II ($ in thousands):</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69"/>
        </w:trPr>
        <w:tc>
          <w:tcPr>
            <w:tcW w:w="6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43"/>
        </w:trPr>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31"/>
        </w:trPr>
        <w:tc>
          <w:tcPr>
            <w:tcW w:w="60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40" w:type="dxa"/>
            <w:vAlign w:val="bottom"/>
            <w:shd w:val="clear" w:color="auto" w:fill="CCECFF"/>
          </w:tcPr>
          <w:p>
            <w:pPr>
              <w:spacing w:after="0"/>
              <w:rPr>
                <w:sz w:val="11"/>
                <w:szCs w:val="11"/>
                <w:color w:val="auto"/>
              </w:rPr>
            </w:pPr>
          </w:p>
        </w:tc>
        <w:tc>
          <w:tcPr>
            <w:tcW w:w="11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r>
      <w:tr>
        <w:trPr>
          <w:trHeight w:val="131"/>
        </w:trPr>
        <w:tc>
          <w:tcPr>
            <w:tcW w:w="6040" w:type="dxa"/>
            <w:vAlign w:val="bottom"/>
          </w:tcPr>
          <w:p>
            <w:pPr>
              <w:spacing w:after="0"/>
              <w:rPr>
                <w:sz w:val="20"/>
                <w:szCs w:val="20"/>
                <w:color w:val="auto"/>
              </w:rPr>
            </w:pPr>
            <w:r>
              <w:rPr>
                <w:rFonts w:ascii="Times New Roman" w:cs="Times New Roman" w:eastAsia="Times New Roman" w:hAnsi="Times New Roman"/>
                <w:sz w:val="11"/>
                <w:szCs w:val="11"/>
                <w:color w:val="auto"/>
              </w:rPr>
              <w:t>Investments at fair value (amortized cost—$193,632)</w:t>
            </w:r>
          </w:p>
        </w:tc>
        <w:tc>
          <w:tcPr>
            <w:tcW w:w="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193,151</w:t>
            </w:r>
          </w:p>
        </w:tc>
        <w:tc>
          <w:tcPr>
            <w:tcW w:w="180" w:type="dxa"/>
            <w:vAlign w:val="bottom"/>
          </w:tcPr>
          <w:p>
            <w:pPr>
              <w:spacing w:after="0"/>
              <w:rPr>
                <w:sz w:val="11"/>
                <w:szCs w:val="11"/>
                <w:color w:val="auto"/>
              </w:rPr>
            </w:pPr>
          </w:p>
        </w:tc>
      </w:tr>
      <w:tr>
        <w:trPr>
          <w:trHeight w:val="131"/>
        </w:trPr>
        <w:tc>
          <w:tcPr>
            <w:tcW w:w="60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Cash equivalents (cost—$2)</w:t>
            </w:r>
          </w:p>
        </w:tc>
        <w:tc>
          <w:tcPr>
            <w:tcW w:w="140" w:type="dxa"/>
            <w:vAlign w:val="bottom"/>
            <w:shd w:val="clear" w:color="auto" w:fill="CCECFF"/>
          </w:tcPr>
          <w:p>
            <w:pPr>
              <w:spacing w:after="0"/>
              <w:rPr>
                <w:sz w:val="11"/>
                <w:szCs w:val="11"/>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shd w:val="clear" w:color="auto" w:fill="CCECFF"/>
          </w:tcPr>
          <w:p>
            <w:pPr>
              <w:spacing w:after="0"/>
              <w:rPr>
                <w:sz w:val="11"/>
                <w:szCs w:val="11"/>
                <w:color w:val="auto"/>
              </w:rPr>
            </w:pPr>
          </w:p>
        </w:tc>
      </w:tr>
      <w:tr>
        <w:trPr>
          <w:trHeight w:val="131"/>
        </w:trPr>
        <w:tc>
          <w:tcPr>
            <w:tcW w:w="6040" w:type="dxa"/>
            <w:vAlign w:val="bottom"/>
          </w:tcPr>
          <w:p>
            <w:pPr>
              <w:spacing w:after="0"/>
              <w:rPr>
                <w:sz w:val="20"/>
                <w:szCs w:val="20"/>
                <w:color w:val="auto"/>
              </w:rPr>
            </w:pPr>
            <w:r>
              <w:rPr>
                <w:rFonts w:ascii="Times New Roman" w:cs="Times New Roman" w:eastAsia="Times New Roman" w:hAnsi="Times New Roman"/>
                <w:sz w:val="11"/>
                <w:szCs w:val="11"/>
                <w:color w:val="auto"/>
              </w:rPr>
              <w:t>Cash (cost—$6,775)</w:t>
            </w: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6,775</w:t>
            </w:r>
          </w:p>
        </w:tc>
        <w:tc>
          <w:tcPr>
            <w:tcW w:w="180" w:type="dxa"/>
            <w:vAlign w:val="bottom"/>
          </w:tcPr>
          <w:p>
            <w:pPr>
              <w:spacing w:after="0"/>
              <w:rPr>
                <w:sz w:val="11"/>
                <w:szCs w:val="11"/>
                <w:color w:val="auto"/>
              </w:rPr>
            </w:pPr>
          </w:p>
        </w:tc>
      </w:tr>
      <w:tr>
        <w:trPr>
          <w:trHeight w:val="131"/>
        </w:trPr>
        <w:tc>
          <w:tcPr>
            <w:tcW w:w="60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Interest receivable</w:t>
            </w:r>
          </w:p>
        </w:tc>
        <w:tc>
          <w:tcPr>
            <w:tcW w:w="140" w:type="dxa"/>
            <w:vAlign w:val="bottom"/>
            <w:shd w:val="clear" w:color="auto" w:fill="CCECFF"/>
          </w:tcPr>
          <w:p>
            <w:pPr>
              <w:spacing w:after="0"/>
              <w:rPr>
                <w:sz w:val="11"/>
                <w:szCs w:val="11"/>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401</w:t>
            </w:r>
          </w:p>
        </w:tc>
        <w:tc>
          <w:tcPr>
            <w:tcW w:w="180" w:type="dxa"/>
            <w:vAlign w:val="bottom"/>
            <w:shd w:val="clear" w:color="auto" w:fill="CCECFF"/>
          </w:tcPr>
          <w:p>
            <w:pPr>
              <w:spacing w:after="0"/>
              <w:rPr>
                <w:sz w:val="11"/>
                <w:szCs w:val="11"/>
                <w:color w:val="auto"/>
              </w:rPr>
            </w:pPr>
          </w:p>
        </w:tc>
      </w:tr>
      <w:tr>
        <w:trPr>
          <w:trHeight w:val="131"/>
        </w:trPr>
        <w:tc>
          <w:tcPr>
            <w:tcW w:w="6040" w:type="dxa"/>
            <w:vAlign w:val="bottom"/>
          </w:tcPr>
          <w:p>
            <w:pPr>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1,347</w:t>
            </w:r>
          </w:p>
        </w:tc>
        <w:tc>
          <w:tcPr>
            <w:tcW w:w="180" w:type="dxa"/>
            <w:vAlign w:val="bottom"/>
          </w:tcPr>
          <w:p>
            <w:pPr>
              <w:spacing w:after="0"/>
              <w:rPr>
                <w:sz w:val="11"/>
                <w:szCs w:val="11"/>
                <w:color w:val="auto"/>
              </w:rPr>
            </w:pPr>
          </w:p>
        </w:tc>
      </w:tr>
      <w:tr>
        <w:trPr>
          <w:trHeight w:val="131"/>
        </w:trPr>
        <w:tc>
          <w:tcPr>
            <w:tcW w:w="604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40" w:type="dxa"/>
            <w:vAlign w:val="bottom"/>
            <w:shd w:val="clear" w:color="auto" w:fill="CCECFF"/>
          </w:tcPr>
          <w:p>
            <w:pPr>
              <w:spacing w:after="0"/>
              <w:rPr>
                <w:sz w:val="11"/>
                <w:szCs w:val="11"/>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201,676</w:t>
            </w:r>
          </w:p>
        </w:tc>
        <w:tc>
          <w:tcPr>
            <w:tcW w:w="180" w:type="dxa"/>
            <w:vAlign w:val="bottom"/>
            <w:shd w:val="clear" w:color="auto" w:fill="CCECFF"/>
          </w:tcPr>
          <w:p>
            <w:pPr>
              <w:spacing w:after="0"/>
              <w:rPr>
                <w:sz w:val="11"/>
                <w:szCs w:val="11"/>
                <w:color w:val="auto"/>
              </w:rPr>
            </w:pPr>
          </w:p>
        </w:tc>
      </w:tr>
      <w:tr>
        <w:trPr>
          <w:trHeight w:val="131"/>
        </w:trPr>
        <w:tc>
          <w:tcPr>
            <w:tcW w:w="6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1"/>
        </w:trPr>
        <w:tc>
          <w:tcPr>
            <w:tcW w:w="60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Credit facility payable</w:t>
            </w:r>
          </w:p>
        </w:tc>
        <w:tc>
          <w:tcPr>
            <w:tcW w:w="140" w:type="dxa"/>
            <w:vAlign w:val="bottom"/>
            <w:shd w:val="clear" w:color="auto" w:fill="CCECFF"/>
          </w:tcPr>
          <w:p>
            <w:pPr>
              <w:spacing w:after="0"/>
              <w:rPr>
                <w:sz w:val="11"/>
                <w:szCs w:val="11"/>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180" w:type="dxa"/>
            <w:vAlign w:val="bottom"/>
            <w:shd w:val="clear" w:color="auto" w:fill="CCECFF"/>
          </w:tcPr>
          <w:p>
            <w:pPr>
              <w:spacing w:after="0"/>
              <w:rPr>
                <w:sz w:val="11"/>
                <w:szCs w:val="11"/>
                <w:color w:val="auto"/>
              </w:rPr>
            </w:pPr>
          </w:p>
        </w:tc>
      </w:tr>
      <w:tr>
        <w:trPr>
          <w:trHeight w:val="131"/>
        </w:trPr>
        <w:tc>
          <w:tcPr>
            <w:tcW w:w="6040" w:type="dxa"/>
            <w:vAlign w:val="bottom"/>
          </w:tcPr>
          <w:p>
            <w:pPr>
              <w:spacing w:after="0"/>
              <w:rPr>
                <w:sz w:val="20"/>
                <w:szCs w:val="20"/>
                <w:color w:val="auto"/>
              </w:rPr>
            </w:pPr>
            <w:r>
              <w:rPr>
                <w:rFonts w:ascii="Times New Roman" w:cs="Times New Roman" w:eastAsia="Times New Roman" w:hAnsi="Times New Roman"/>
                <w:sz w:val="11"/>
                <w:szCs w:val="11"/>
                <w:color w:val="auto"/>
              </w:rPr>
              <w:t>Notes payable to members</w:t>
            </w:r>
          </w:p>
        </w:tc>
        <w:tc>
          <w:tcPr>
            <w:tcW w:w="140" w:type="dxa"/>
            <w:vAlign w:val="bottom"/>
          </w:tcPr>
          <w:p>
            <w:pPr>
              <w:spacing w:after="0"/>
              <w:rPr>
                <w:sz w:val="11"/>
                <w:szCs w:val="1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52,500</w:t>
            </w:r>
          </w:p>
        </w:tc>
      </w:tr>
      <w:tr>
        <w:trPr>
          <w:trHeight w:val="131"/>
        </w:trPr>
        <w:tc>
          <w:tcPr>
            <w:tcW w:w="60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Interest payable on credit facility</w:t>
            </w:r>
          </w:p>
        </w:tc>
        <w:tc>
          <w:tcPr>
            <w:tcW w:w="140" w:type="dxa"/>
            <w:vAlign w:val="bottom"/>
            <w:shd w:val="clear" w:color="auto" w:fill="CCECFF"/>
          </w:tcPr>
          <w:p>
            <w:pPr>
              <w:spacing w:after="0"/>
              <w:rPr>
                <w:sz w:val="11"/>
                <w:szCs w:val="11"/>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777</w:t>
            </w:r>
          </w:p>
        </w:tc>
        <w:tc>
          <w:tcPr>
            <w:tcW w:w="180" w:type="dxa"/>
            <w:vAlign w:val="bottom"/>
            <w:shd w:val="clear" w:color="auto" w:fill="CCECFF"/>
          </w:tcPr>
          <w:p>
            <w:pPr>
              <w:spacing w:after="0"/>
              <w:rPr>
                <w:sz w:val="11"/>
                <w:szCs w:val="11"/>
                <w:color w:val="auto"/>
              </w:rPr>
            </w:pPr>
          </w:p>
        </w:tc>
      </w:tr>
      <w:tr>
        <w:trPr>
          <w:trHeight w:val="131"/>
        </w:trPr>
        <w:tc>
          <w:tcPr>
            <w:tcW w:w="6040" w:type="dxa"/>
            <w:vAlign w:val="bottom"/>
          </w:tcPr>
          <w:p>
            <w:pPr>
              <w:spacing w:after="0"/>
              <w:rPr>
                <w:sz w:val="20"/>
                <w:szCs w:val="20"/>
                <w:color w:val="auto"/>
              </w:rPr>
            </w:pPr>
            <w:r>
              <w:rPr>
                <w:rFonts w:ascii="Times New Roman" w:cs="Times New Roman" w:eastAsia="Times New Roman" w:hAnsi="Times New Roman"/>
                <w:sz w:val="11"/>
                <w:szCs w:val="11"/>
                <w:color w:val="auto"/>
              </w:rPr>
              <w:t>Interest payable on notes to members</w:t>
            </w: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780</w:t>
            </w:r>
          </w:p>
        </w:tc>
        <w:tc>
          <w:tcPr>
            <w:tcW w:w="180" w:type="dxa"/>
            <w:vAlign w:val="bottom"/>
          </w:tcPr>
          <w:p>
            <w:pPr>
              <w:spacing w:after="0"/>
              <w:rPr>
                <w:sz w:val="11"/>
                <w:szCs w:val="11"/>
                <w:color w:val="auto"/>
              </w:rPr>
            </w:pPr>
          </w:p>
        </w:tc>
      </w:tr>
      <w:tr>
        <w:trPr>
          <w:trHeight w:val="131"/>
        </w:trPr>
        <w:tc>
          <w:tcPr>
            <w:tcW w:w="60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Accrued expenses</w:t>
            </w:r>
          </w:p>
        </w:tc>
        <w:tc>
          <w:tcPr>
            <w:tcW w:w="140" w:type="dxa"/>
            <w:vAlign w:val="bottom"/>
            <w:shd w:val="clear" w:color="auto" w:fill="CCECFF"/>
          </w:tcPr>
          <w:p>
            <w:pPr>
              <w:spacing w:after="0"/>
              <w:rPr>
                <w:sz w:val="11"/>
                <w:szCs w:val="11"/>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180" w:type="dxa"/>
            <w:vAlign w:val="bottom"/>
            <w:shd w:val="clear" w:color="auto" w:fill="CCECFF"/>
          </w:tcPr>
          <w:p>
            <w:pPr>
              <w:spacing w:after="0"/>
              <w:rPr>
                <w:sz w:val="11"/>
                <w:szCs w:val="11"/>
                <w:color w:val="auto"/>
              </w:rPr>
            </w:pPr>
          </w:p>
        </w:tc>
      </w:tr>
      <w:tr>
        <w:trPr>
          <w:trHeight w:val="131"/>
        </w:trPr>
        <w:tc>
          <w:tcPr>
            <w:tcW w:w="604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179,201</w:t>
            </w:r>
          </w:p>
        </w:tc>
        <w:tc>
          <w:tcPr>
            <w:tcW w:w="180" w:type="dxa"/>
            <w:vAlign w:val="bottom"/>
          </w:tcPr>
          <w:p>
            <w:pPr>
              <w:spacing w:after="0"/>
              <w:rPr>
                <w:sz w:val="11"/>
                <w:szCs w:val="11"/>
                <w:color w:val="auto"/>
              </w:rPr>
            </w:pPr>
          </w:p>
        </w:tc>
      </w:tr>
      <w:tr>
        <w:trPr>
          <w:trHeight w:val="131"/>
        </w:trPr>
        <w:tc>
          <w:tcPr>
            <w:tcW w:w="604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1"/>
                <w:szCs w:val="11"/>
                <w:b w:val="1"/>
                <w:bCs w:val="1"/>
                <w:color w:val="auto"/>
              </w:rPr>
              <w:t>Members' equity</w:t>
            </w:r>
          </w:p>
        </w:tc>
        <w:tc>
          <w:tcPr>
            <w:tcW w:w="140" w:type="dxa"/>
            <w:vAlign w:val="bottom"/>
            <w:shd w:val="clear" w:color="auto" w:fill="CCECFF"/>
          </w:tcPr>
          <w:p>
            <w:pPr>
              <w:spacing w:after="0"/>
              <w:rPr>
                <w:sz w:val="11"/>
                <w:szCs w:val="11"/>
                <w:color w:val="auto"/>
              </w:rPr>
            </w:pPr>
          </w:p>
        </w:tc>
        <w:tc>
          <w:tcPr>
            <w:tcW w:w="12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22,475</w:t>
            </w:r>
          </w:p>
        </w:tc>
      </w:tr>
      <w:tr>
        <w:trPr>
          <w:trHeight w:val="131"/>
        </w:trPr>
        <w:tc>
          <w:tcPr>
            <w:tcW w:w="604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Total liabilities and members' equity</w:t>
            </w:r>
          </w:p>
        </w:tc>
        <w:tc>
          <w:tcPr>
            <w:tcW w:w="1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201,676</w:t>
            </w:r>
          </w:p>
        </w:tc>
        <w:tc>
          <w:tcPr>
            <w:tcW w:w="180" w:type="dxa"/>
            <w:vAlign w:val="bottom"/>
          </w:tcPr>
          <w:p>
            <w:pPr>
              <w:spacing w:after="0"/>
              <w:rPr>
                <w:sz w:val="11"/>
                <w:szCs w:val="11"/>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8"/>
          <w:szCs w:val="8"/>
          <w:color w:val="auto"/>
        </w:rPr>
        <w:t>———————————————————</w:t>
      </w:r>
    </w:p>
    <w:p>
      <w:pPr>
        <w:spacing w:after="0" w:line="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8"/>
          <w:szCs w:val="8"/>
          <w:color w:val="auto"/>
        </w:rPr>
        <w:t>* As of December 31, 2025 PSSL II had unfunded commitments to fund investments of zero.</w:t>
      </w:r>
    </w:p>
    <w:p>
      <w:pPr>
        <w:spacing w:after="0" w:line="96" w:lineRule="exact"/>
        <w:rPr>
          <w:sz w:val="20"/>
          <w:szCs w:val="20"/>
          <w:color w:val="auto"/>
        </w:rPr>
      </w:pPr>
    </w:p>
    <w:tbl>
      <w:tblPr>
        <w:tblLayout w:type="fixed"/>
        <w:tblInd w:w="780" w:type="dxa"/>
        <w:tblCellMar>
          <w:top w:w="0" w:type="dxa"/>
          <w:left w:w="0" w:type="dxa"/>
          <w:bottom w:w="0" w:type="dxa"/>
          <w:right w:w="0" w:type="dxa"/>
        </w:tblCellMar>
      </w:tblPr>
      <w:tr>
        <w:trPr>
          <w:trHeight w:val="143"/>
        </w:trPr>
        <w:tc>
          <w:tcPr>
            <w:tcW w:w="5060" w:type="dxa"/>
            <w:vAlign w:val="bottom"/>
          </w:tcPr>
          <w:p>
            <w:pPr>
              <w:spacing w:after="0"/>
              <w:rPr>
                <w:sz w:val="20"/>
                <w:szCs w:val="20"/>
                <w:color w:val="auto"/>
              </w:rPr>
            </w:pPr>
            <w:r>
              <w:rPr>
                <w:rFonts w:ascii="Times New Roman" w:cs="Times New Roman" w:eastAsia="Times New Roman" w:hAnsi="Times New Roman"/>
                <w:sz w:val="11"/>
                <w:szCs w:val="11"/>
                <w:color w:val="auto"/>
              </w:rPr>
              <w:t>Below are the consolidated statements of operations for PSSL II ($ in thousands):</w:t>
            </w: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For the period November 18, 2025</w:t>
            </w:r>
          </w:p>
        </w:tc>
        <w:tc>
          <w:tcPr>
            <w:tcW w:w="0" w:type="dxa"/>
            <w:vAlign w:val="bottom"/>
          </w:tcPr>
          <w:p>
            <w:pPr>
              <w:spacing w:after="0"/>
              <w:rPr>
                <w:sz w:val="1"/>
                <w:szCs w:val="1"/>
                <w:color w:val="auto"/>
              </w:rPr>
            </w:pPr>
          </w:p>
        </w:tc>
      </w:tr>
      <w:tr>
        <w:trPr>
          <w:trHeight w:val="131"/>
        </w:trPr>
        <w:tc>
          <w:tcPr>
            <w:tcW w:w="5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(commencement of operations) through</w:t>
            </w:r>
          </w:p>
        </w:tc>
        <w:tc>
          <w:tcPr>
            <w:tcW w:w="0" w:type="dxa"/>
            <w:vAlign w:val="bottom"/>
          </w:tcPr>
          <w:p>
            <w:pPr>
              <w:spacing w:after="0"/>
              <w:rPr>
                <w:sz w:val="1"/>
                <w:szCs w:val="1"/>
                <w:color w:val="auto"/>
              </w:rPr>
            </w:pPr>
          </w:p>
        </w:tc>
      </w:tr>
      <w:tr>
        <w:trPr>
          <w:trHeight w:val="145"/>
        </w:trPr>
        <w:tc>
          <w:tcPr>
            <w:tcW w:w="50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Investment income:</w:t>
            </w:r>
          </w:p>
        </w:tc>
        <w:tc>
          <w:tcPr>
            <w:tcW w:w="140" w:type="dxa"/>
            <w:vAlign w:val="bottom"/>
          </w:tcPr>
          <w:p>
            <w:pPr>
              <w:spacing w:after="0"/>
              <w:rPr>
                <w:sz w:val="12"/>
                <w:szCs w:val="12"/>
                <w:color w:val="auto"/>
              </w:rPr>
            </w:pP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29"/>
        </w:trPr>
        <w:tc>
          <w:tcPr>
            <w:tcW w:w="50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Interest</w:t>
            </w:r>
          </w:p>
        </w:tc>
        <w:tc>
          <w:tcPr>
            <w:tcW w:w="140" w:type="dxa"/>
            <w:vAlign w:val="bottom"/>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2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2,201</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income</w:t>
            </w:r>
          </w:p>
        </w:tc>
        <w:tc>
          <w:tcPr>
            <w:tcW w:w="140" w:type="dxa"/>
            <w:vAlign w:val="bottom"/>
          </w:tcPr>
          <w:p>
            <w:pPr>
              <w:spacing w:after="0"/>
              <w:rPr>
                <w:sz w:val="11"/>
                <w:szCs w:val="1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investment income</w:t>
            </w:r>
          </w:p>
        </w:tc>
        <w:tc>
          <w:tcPr>
            <w:tcW w:w="140" w:type="dxa"/>
            <w:vAlign w:val="bottom"/>
            <w:shd w:val="clear" w:color="auto" w:fill="CCECFF"/>
          </w:tcPr>
          <w:p>
            <w:pPr>
              <w:spacing w:after="0"/>
              <w:rPr>
                <w:sz w:val="11"/>
                <w:szCs w:val="11"/>
                <w:color w:val="auto"/>
              </w:rPr>
            </w:pPr>
          </w:p>
        </w:tc>
        <w:tc>
          <w:tcPr>
            <w:tcW w:w="2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2,208</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tcPr>
          <w:p>
            <w:pPr>
              <w:spacing w:after="0" w:line="131" w:lineRule="exact"/>
              <w:rPr>
                <w:sz w:val="20"/>
                <w:szCs w:val="20"/>
                <w:color w:val="auto"/>
              </w:rPr>
            </w:pPr>
            <w:r>
              <w:rPr>
                <w:rFonts w:ascii="Times New Roman" w:cs="Times New Roman" w:eastAsia="Times New Roman" w:hAnsi="Times New Roman"/>
                <w:sz w:val="11"/>
                <w:szCs w:val="11"/>
                <w:b w:val="1"/>
                <w:bCs w:val="1"/>
                <w:color w:val="auto"/>
              </w:rPr>
              <w:t>Expenses:</w:t>
            </w:r>
            <w:r>
              <w:rPr>
                <w:rFonts w:ascii="Times New Roman" w:cs="Times New Roman" w:eastAsia="Times New Roman" w:hAnsi="Times New Roman"/>
                <w:sz w:val="14"/>
                <w:szCs w:val="14"/>
                <w:b w:val="1"/>
                <w:bCs w:val="1"/>
                <w:color w:val="auto"/>
                <w:vertAlign w:val="superscript"/>
              </w:rPr>
              <w:t>(1)</w:t>
            </w:r>
          </w:p>
        </w:tc>
        <w:tc>
          <w:tcPr>
            <w:tcW w:w="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Interest and expense on credit facility and asset-backed debt</w:t>
            </w:r>
          </w:p>
        </w:tc>
        <w:tc>
          <w:tcPr>
            <w:tcW w:w="140" w:type="dxa"/>
            <w:vAlign w:val="bottom"/>
            <w:shd w:val="clear" w:color="auto" w:fill="CCECFF"/>
          </w:tcPr>
          <w:p>
            <w:pPr>
              <w:spacing w:after="0"/>
              <w:rPr>
                <w:sz w:val="11"/>
                <w:szCs w:val="11"/>
                <w:color w:val="auto"/>
              </w:rPr>
            </w:pPr>
          </w:p>
        </w:tc>
        <w:tc>
          <w:tcPr>
            <w:tcW w:w="2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827</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expense on notes to members</w:t>
            </w:r>
          </w:p>
        </w:tc>
        <w:tc>
          <w:tcPr>
            <w:tcW w:w="140" w:type="dxa"/>
            <w:vAlign w:val="bottom"/>
          </w:tcPr>
          <w:p>
            <w:pPr>
              <w:spacing w:after="0"/>
              <w:rPr>
                <w:sz w:val="11"/>
                <w:szCs w:val="1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Administration fees</w:t>
            </w:r>
          </w:p>
        </w:tc>
        <w:tc>
          <w:tcPr>
            <w:tcW w:w="140" w:type="dxa"/>
            <w:vAlign w:val="bottom"/>
            <w:shd w:val="clear" w:color="auto" w:fill="CCECFF"/>
          </w:tcPr>
          <w:p>
            <w:pPr>
              <w:spacing w:after="0"/>
              <w:rPr>
                <w:sz w:val="11"/>
                <w:szCs w:val="11"/>
                <w:color w:val="auto"/>
              </w:rPr>
            </w:pPr>
          </w:p>
        </w:tc>
        <w:tc>
          <w:tcPr>
            <w:tcW w:w="2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General and administrative expenses</w:t>
            </w:r>
          </w:p>
        </w:tc>
        <w:tc>
          <w:tcPr>
            <w:tcW w:w="140" w:type="dxa"/>
            <w:vAlign w:val="bottom"/>
          </w:tcPr>
          <w:p>
            <w:pPr>
              <w:spacing w:after="0"/>
              <w:rPr>
                <w:sz w:val="11"/>
                <w:szCs w:val="1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expenses</w:t>
            </w:r>
          </w:p>
        </w:tc>
        <w:tc>
          <w:tcPr>
            <w:tcW w:w="140" w:type="dxa"/>
            <w:vAlign w:val="bottom"/>
            <w:shd w:val="clear" w:color="auto" w:fill="CCECFF"/>
          </w:tcPr>
          <w:p>
            <w:pPr>
              <w:spacing w:after="0"/>
              <w:rPr>
                <w:sz w:val="11"/>
                <w:szCs w:val="11"/>
                <w:color w:val="auto"/>
              </w:rPr>
            </w:pPr>
          </w:p>
        </w:tc>
        <w:tc>
          <w:tcPr>
            <w:tcW w:w="2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1,752</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Net investment income</w:t>
            </w:r>
          </w:p>
        </w:tc>
        <w:tc>
          <w:tcPr>
            <w:tcW w:w="140" w:type="dxa"/>
            <w:vAlign w:val="bottom"/>
          </w:tcPr>
          <w:p>
            <w:pPr>
              <w:spacing w:after="0"/>
              <w:rPr>
                <w:sz w:val="11"/>
                <w:szCs w:val="1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Realized and unrealized gain (loss) on investments:</w:t>
            </w:r>
          </w:p>
        </w:tc>
        <w:tc>
          <w:tcPr>
            <w:tcW w:w="1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realized gain (loss) on investments</w:t>
            </w:r>
          </w:p>
        </w:tc>
        <w:tc>
          <w:tcPr>
            <w:tcW w:w="140" w:type="dxa"/>
            <w:vAlign w:val="bottom"/>
          </w:tcPr>
          <w:p>
            <w:pPr>
              <w:spacing w:after="0"/>
              <w:rPr>
                <w:sz w:val="11"/>
                <w:szCs w:val="11"/>
                <w:color w:val="auto"/>
              </w:rPr>
            </w:pPr>
          </w:p>
        </w:tc>
        <w:tc>
          <w:tcPr>
            <w:tcW w:w="22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5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Net change in unrealized appreciation (depreciation) on investments</w:t>
            </w:r>
          </w:p>
        </w:tc>
        <w:tc>
          <w:tcPr>
            <w:tcW w:w="140" w:type="dxa"/>
            <w:vAlign w:val="bottom"/>
            <w:shd w:val="clear" w:color="auto" w:fill="CCECFF"/>
          </w:tcPr>
          <w:p>
            <w:pPr>
              <w:spacing w:after="0"/>
              <w:rPr>
                <w:sz w:val="11"/>
                <w:szCs w:val="11"/>
                <w:color w:val="auto"/>
              </w:rPr>
            </w:pPr>
          </w:p>
        </w:tc>
        <w:tc>
          <w:tcPr>
            <w:tcW w:w="22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(481)</w:t>
            </w:r>
          </w:p>
        </w:tc>
        <w:tc>
          <w:tcPr>
            <w:tcW w:w="0" w:type="dxa"/>
            <w:vAlign w:val="bottom"/>
          </w:tcPr>
          <w:p>
            <w:pPr>
              <w:spacing w:after="0"/>
              <w:rPr>
                <w:sz w:val="1"/>
                <w:szCs w:val="1"/>
                <w:color w:val="auto"/>
              </w:rPr>
            </w:pPr>
          </w:p>
        </w:tc>
      </w:tr>
      <w:tr>
        <w:trPr>
          <w:trHeight w:val="131"/>
        </w:trPr>
        <w:tc>
          <w:tcPr>
            <w:tcW w:w="50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Net realized and unrealized gain (loss) on investments</w:t>
            </w:r>
          </w:p>
        </w:tc>
        <w:tc>
          <w:tcPr>
            <w:tcW w:w="140" w:type="dxa"/>
            <w:vAlign w:val="bottom"/>
          </w:tcPr>
          <w:p>
            <w:pPr>
              <w:spacing w:after="0"/>
              <w:rPr>
                <w:sz w:val="11"/>
                <w:szCs w:val="11"/>
                <w:color w:val="auto"/>
              </w:rPr>
            </w:pP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(481)</w:t>
            </w:r>
          </w:p>
        </w:tc>
        <w:tc>
          <w:tcPr>
            <w:tcW w:w="0" w:type="dxa"/>
            <w:vAlign w:val="bottom"/>
          </w:tcPr>
          <w:p>
            <w:pPr>
              <w:spacing w:after="0"/>
              <w:rPr>
                <w:sz w:val="1"/>
                <w:szCs w:val="1"/>
                <w:color w:val="auto"/>
              </w:rPr>
            </w:pPr>
          </w:p>
        </w:tc>
      </w:tr>
      <w:tr>
        <w:trPr>
          <w:trHeight w:val="151"/>
        </w:trPr>
        <w:tc>
          <w:tcPr>
            <w:tcW w:w="5060" w:type="dxa"/>
            <w:vAlign w:val="bottom"/>
            <w:shd w:val="clear" w:color="auto" w:fill="CCECFF"/>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Net increase (decrease) in members' equity resulting from operations</w:t>
            </w:r>
          </w:p>
        </w:tc>
        <w:tc>
          <w:tcPr>
            <w:tcW w:w="140" w:type="dxa"/>
            <w:vAlign w:val="bottom"/>
            <w:shd w:val="clear" w:color="auto" w:fill="CCECFF"/>
          </w:tcPr>
          <w:p>
            <w:pPr>
              <w:jc w:val="right"/>
              <w:ind w:right="25"/>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2260" w:type="dxa"/>
            <w:vAlign w:val="bottom"/>
            <w:gridSpan w:val="2"/>
            <w:shd w:val="clear" w:color="auto" w:fill="CCECFF"/>
          </w:tcPr>
          <w:p>
            <w:pPr>
              <w:jc w:val="right"/>
              <w:ind w:right="40"/>
              <w:spacing w:after="0" w:line="111" w:lineRule="exact"/>
              <w:rPr>
                <w:sz w:val="20"/>
                <w:szCs w:val="20"/>
                <w:color w:val="auto"/>
              </w:rPr>
            </w:pPr>
            <w:r>
              <w:rPr>
                <w:rFonts w:ascii="Times New Roman" w:cs="Times New Roman" w:eastAsia="Times New Roman" w:hAnsi="Times New Roman"/>
                <w:sz w:val="8"/>
                <w:szCs w:val="8"/>
                <w:color w:val="auto"/>
              </w:rPr>
              <w:t>(25</w:t>
            </w:r>
            <w:r>
              <w:rPr>
                <w:rFonts w:ascii="Times New Roman" w:cs="Times New Roman" w:eastAsia="Times New Roman" w:hAnsi="Times New Roman"/>
                <w:sz w:val="12"/>
                <w:szCs w:val="12"/>
                <w:color w:val="auto"/>
                <w:vertAlign w:val="subscript"/>
              </w:rPr>
              <w:t>)</w:t>
            </w:r>
          </w:p>
        </w:tc>
        <w:tc>
          <w:tcPr>
            <w:tcW w:w="0" w:type="dxa"/>
            <w:vAlign w:val="bottom"/>
          </w:tcPr>
          <w:p>
            <w:pPr>
              <w:spacing w:after="0"/>
              <w:rPr>
                <w:sz w:val="1"/>
                <w:szCs w:val="1"/>
                <w:color w:val="auto"/>
              </w:rPr>
            </w:pPr>
          </w:p>
        </w:tc>
      </w:tr>
      <w:tr>
        <w:trPr>
          <w:trHeight w:val="20"/>
        </w:trPr>
        <w:tc>
          <w:tcPr>
            <w:tcW w:w="506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8"/>
          <w:szCs w:val="8"/>
          <w:color w:val="auto"/>
        </w:rPr>
        <w:t>———————————————————</w:t>
      </w:r>
    </w:p>
    <w:p>
      <w:pPr>
        <w:spacing w:after="0" w:line="29" w:lineRule="exact"/>
        <w:rPr>
          <w:sz w:val="20"/>
          <w:szCs w:val="20"/>
          <w:color w:val="auto"/>
        </w:rPr>
      </w:pPr>
    </w:p>
    <w:p>
      <w:pPr>
        <w:ind w:left="780" w:right="920" w:hanging="5"/>
        <w:spacing w:after="0" w:line="237" w:lineRule="auto"/>
        <w:tabs>
          <w:tab w:leader="none" w:pos="840" w:val="left"/>
        </w:tabs>
        <w:numPr>
          <w:ilvl w:val="0"/>
          <w:numId w:val="24"/>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8"/>
          <w:szCs w:val="8"/>
          <w:color w:val="auto"/>
        </w:rPr>
        <w:t>No management or incentive fees are payable by PSSL II. If any fees were to be charged, they would be separately disclosed in the Statements of Operations. PSSL II pays the Administrator an annual fee of 0.25% of the total assets under management on a quarterly basis.</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276" w:right="1440" w:bottom="1440" w:gutter="0" w:footer="0" w:header="0"/>
        </w:sectPr>
      </w:pPr>
    </w:p>
    <w:bookmarkStart w:id="75" w:name="page76"/>
    <w:bookmarkEnd w:id="75"/>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Off-Balance Sheet Arrangements</w:t>
      </w:r>
    </w:p>
    <w:p>
      <w:pPr>
        <w:spacing w:after="0" w:line="13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We currently engage in no off-balance sheet arrangements other than our funding requirements for the unfunded investments described above.</w:t>
      </w:r>
    </w:p>
    <w:p>
      <w:pPr>
        <w:spacing w:after="0" w:line="13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Distributions</w:t>
      </w:r>
    </w:p>
    <w:p>
      <w:pPr>
        <w:spacing w:after="0" w:line="138" w:lineRule="exact"/>
        <w:rPr>
          <w:sz w:val="20"/>
          <w:szCs w:val="20"/>
          <w:color w:val="auto"/>
        </w:rPr>
      </w:pPr>
    </w:p>
    <w:p>
      <w:pPr>
        <w:ind w:left="780" w:right="920" w:firstLine="282"/>
        <w:spacing w:after="0" w:line="264" w:lineRule="auto"/>
        <w:rPr>
          <w:sz w:val="20"/>
          <w:szCs w:val="20"/>
          <w:color w:val="auto"/>
        </w:rPr>
      </w:pPr>
      <w:r>
        <w:rPr>
          <w:rFonts w:ascii="Times New Roman" w:cs="Times New Roman" w:eastAsia="Times New Roman" w:hAnsi="Times New Roman"/>
          <w:sz w:val="11"/>
          <w:szCs w:val="11"/>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07" w:lineRule="exact"/>
        <w:rPr>
          <w:sz w:val="20"/>
          <w:szCs w:val="20"/>
          <w:color w:val="auto"/>
        </w:rPr>
      </w:pPr>
    </w:p>
    <w:p>
      <w:pPr>
        <w:ind w:left="780" w:right="920" w:firstLine="282"/>
        <w:spacing w:after="0" w:line="256" w:lineRule="auto"/>
        <w:rPr>
          <w:sz w:val="20"/>
          <w:szCs w:val="20"/>
          <w:color w:val="auto"/>
        </w:rPr>
      </w:pPr>
      <w:r>
        <w:rPr>
          <w:rFonts w:ascii="Times New Roman" w:cs="Times New Roman" w:eastAsia="Times New Roman" w:hAnsi="Times New Roman"/>
          <w:sz w:val="11"/>
          <w:szCs w:val="11"/>
          <w:color w:val="auto"/>
        </w:rPr>
        <w:t>Although not required for us to maintain our RIC tax status, in order to preclude the imposition of a 4% nondeductible federal excise tax imposed on RICs, we must distribute dividends for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2" w:lineRule="exact"/>
        <w:rPr>
          <w:sz w:val="20"/>
          <w:szCs w:val="20"/>
          <w:color w:val="auto"/>
        </w:rPr>
      </w:pPr>
    </w:p>
    <w:p>
      <w:pPr>
        <w:ind w:left="780" w:right="860" w:firstLine="282"/>
        <w:spacing w:after="0" w:line="256" w:lineRule="auto"/>
        <w:rPr>
          <w:sz w:val="20"/>
          <w:szCs w:val="20"/>
          <w:color w:val="auto"/>
        </w:rPr>
      </w:pPr>
      <w:r>
        <w:rPr>
          <w:rFonts w:ascii="Times New Roman" w:cs="Times New Roman" w:eastAsia="Times New Roman" w:hAnsi="Times New Roman"/>
          <w:sz w:val="11"/>
          <w:szCs w:val="11"/>
          <w:color w:val="auto"/>
        </w:rPr>
        <w:t>During the three months ended December 31, 2025, we declared distributions of $0.3075 per share for total distributions of $30.5 million. During the three months ended December 31, 2024, we declared distributions of $0.3075 per share for total distributions of $25.2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We intend to continue to make monthly distributions to our stockholders. Our monthly distributions, if any, are determined by our board of directors quarterly.</w:t>
      </w:r>
    </w:p>
    <w:p>
      <w:pPr>
        <w:spacing w:after="0" w:line="136" w:lineRule="exact"/>
        <w:rPr>
          <w:sz w:val="20"/>
          <w:szCs w:val="20"/>
          <w:color w:val="auto"/>
        </w:rPr>
      </w:pPr>
    </w:p>
    <w:p>
      <w:pPr>
        <w:ind w:left="780" w:right="900" w:firstLine="282"/>
        <w:spacing w:after="0" w:line="256" w:lineRule="auto"/>
        <w:rPr>
          <w:sz w:val="20"/>
          <w:szCs w:val="20"/>
          <w:color w:val="auto"/>
        </w:rPr>
      </w:pPr>
      <w:r>
        <w:rPr>
          <w:rFonts w:ascii="Times New Roman" w:cs="Times New Roman" w:eastAsia="Times New Roman" w:hAnsi="Times New Roman"/>
          <w:sz w:val="11"/>
          <w:szCs w:val="11"/>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i w:val="1"/>
          <w:iCs w:val="1"/>
          <w:color w:val="auto"/>
        </w:rPr>
        <w:t>Recent Accounting Pronouncements</w:t>
      </w:r>
    </w:p>
    <w:p>
      <w:pPr>
        <w:spacing w:after="0" w:line="138" w:lineRule="exact"/>
        <w:rPr>
          <w:sz w:val="20"/>
          <w:szCs w:val="20"/>
          <w:color w:val="auto"/>
        </w:rPr>
      </w:pPr>
    </w:p>
    <w:p>
      <w:pPr>
        <w:ind w:left="780" w:right="940" w:firstLine="282"/>
        <w:spacing w:after="0" w:line="255" w:lineRule="auto"/>
        <w:rPr>
          <w:sz w:val="20"/>
          <w:szCs w:val="20"/>
          <w:color w:val="auto"/>
        </w:rPr>
      </w:pPr>
      <w:r>
        <w:rPr>
          <w:rFonts w:ascii="Times New Roman" w:cs="Times New Roman" w:eastAsia="Times New Roman" w:hAnsi="Times New Roman"/>
          <w:sz w:val="11"/>
          <w:szCs w:val="11"/>
          <w:color w:val="auto"/>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FASB approved an (optional) two year extension to December 31, 2024, for transitioning away from LIBOR. The Company adopted ASU 2020-04, the effect of which was not material to the consolidated financial statements and the notes to the consolidated financial statements.</w:t>
      </w:r>
    </w:p>
    <w:p>
      <w:pPr>
        <w:spacing w:after="0" w:line="112" w:lineRule="exact"/>
        <w:rPr>
          <w:sz w:val="20"/>
          <w:szCs w:val="20"/>
          <w:color w:val="auto"/>
        </w:rPr>
      </w:pPr>
    </w:p>
    <w:p>
      <w:pPr>
        <w:ind w:left="780" w:right="780" w:firstLine="282"/>
        <w:spacing w:after="0" w:line="254" w:lineRule="auto"/>
        <w:rPr>
          <w:sz w:val="20"/>
          <w:szCs w:val="20"/>
          <w:color w:val="auto"/>
        </w:rPr>
      </w:pPr>
      <w:r>
        <w:rPr>
          <w:rFonts w:ascii="Times New Roman" w:cs="Times New Roman" w:eastAsia="Times New Roman" w:hAnsi="Times New Roman"/>
          <w:sz w:val="11"/>
          <w:szCs w:val="11"/>
          <w:color w:val="auto"/>
        </w:rPr>
        <w:t>In June 2022, the FASB issued Accounting Standards Update No. 2022-03,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has adopted the new accounting standard, the effect of which was not material to the consolidated financial statements and the notes thereto.</w:t>
      </w:r>
    </w:p>
    <w:p>
      <w:pPr>
        <w:spacing w:after="0" w:line="112" w:lineRule="exact"/>
        <w:rPr>
          <w:sz w:val="20"/>
          <w:szCs w:val="20"/>
          <w:color w:val="auto"/>
        </w:rPr>
      </w:pPr>
    </w:p>
    <w:p>
      <w:pPr>
        <w:ind w:left="780" w:right="900" w:firstLine="282"/>
        <w:spacing w:after="0" w:line="253" w:lineRule="auto"/>
        <w:rPr>
          <w:sz w:val="20"/>
          <w:szCs w:val="20"/>
          <w:color w:val="auto"/>
        </w:rPr>
      </w:pPr>
      <w:r>
        <w:rPr>
          <w:rFonts w:ascii="Times New Roman" w:cs="Times New Roman" w:eastAsia="Times New Roman" w:hAnsi="Times New Roman"/>
          <w:sz w:val="11"/>
          <w:szCs w:val="11"/>
          <w:color w:val="auto"/>
        </w:rPr>
        <w:t>In November 2023, FASB issued ASU 2023-07, Segment Reporting (Topic 280), Improvements to Reportable Segment Disclosures to improve reportable segment disclosure requirements through enhanced disclosures about significant segment expenses. ASU 2023-07 expands public entities' segment disclosure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 of a reportable segment's profit or loss and assets. All disclosure requirements of ASU 2023-07 are required for entities with a single reportable segment. ASU 2023-07 is effective for fiscal years beginning after December 15, 2023, and interim periods for fiscal years beginning December 15, 2024, and should be applied on a retrospective basis to all periods presented, noting early adoption is permitted. The Company has adopted ASU 2023-07 effective September 30, 2025 and concluded that the application of this guidance did not have a material impact on its consolidated financial statements.</w:t>
      </w:r>
    </w:p>
    <w:p>
      <w:pPr>
        <w:spacing w:after="0" w:line="114" w:lineRule="exact"/>
        <w:rPr>
          <w:sz w:val="20"/>
          <w:szCs w:val="20"/>
          <w:color w:val="auto"/>
        </w:rPr>
      </w:pPr>
    </w:p>
    <w:p>
      <w:pPr>
        <w:ind w:left="780" w:right="840" w:firstLine="282"/>
        <w:spacing w:after="0" w:line="264" w:lineRule="auto"/>
        <w:rPr>
          <w:sz w:val="20"/>
          <w:szCs w:val="20"/>
          <w:color w:val="auto"/>
        </w:rPr>
      </w:pPr>
      <w:r>
        <w:rPr>
          <w:rFonts w:ascii="Times New Roman" w:cs="Times New Roman" w:eastAsia="Times New Roman" w:hAnsi="Times New Roman"/>
          <w:sz w:val="11"/>
          <w:szCs w:val="11"/>
          <w:color w:val="auto"/>
        </w:rPr>
        <w:t>In December 2023, the FASB issued ASU 2023 - 09 "Improvements to Income Tax Disclosures" ("ASU 2023 - 09"). ASU 2023 - 09 intends to improve the transparency of income tax disclosures. ASU 2023 - 09 is effective for fiscal years beginning after December 15, 2024 and is to be adopted on a prospective basis with the option to apply retrospectively. We are currently assessing the impact of this guidance, however, we do not expect a material impact to our financial statements.</w:t>
      </w:r>
    </w:p>
    <w:p>
      <w:pPr>
        <w:spacing w:after="0" w:line="36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Item 3. Quantitative and Qualitative Disclosures About Market Risk</w:t>
      </w:r>
    </w:p>
    <w:p>
      <w:pPr>
        <w:spacing w:after="0" w:line="138" w:lineRule="exact"/>
        <w:rPr>
          <w:sz w:val="20"/>
          <w:szCs w:val="20"/>
          <w:color w:val="auto"/>
        </w:rPr>
      </w:pPr>
    </w:p>
    <w:p>
      <w:pPr>
        <w:ind w:left="780" w:right="840" w:firstLine="282"/>
        <w:spacing w:after="0" w:line="255" w:lineRule="auto"/>
        <w:rPr>
          <w:sz w:val="20"/>
          <w:szCs w:val="20"/>
          <w:color w:val="auto"/>
        </w:rPr>
      </w:pPr>
      <w:r>
        <w:rPr>
          <w:rFonts w:ascii="Times New Roman" w:cs="Times New Roman" w:eastAsia="Times New Roman" w:hAnsi="Times New Roman"/>
          <w:sz w:val="11"/>
          <w:szCs w:val="11"/>
          <w:color w:val="auto"/>
        </w:rPr>
        <w:t>We are subject to financial market risks, including changes in interest rates. As of December 31, 2025, our debt portfolio consisted of approximately 99% variable-rate investments. The variable-rate loans are usually based on a SOFR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3" w:right="1440" w:bottom="1440" w:gutter="0" w:footer="0" w:header="0"/>
        </w:sectPr>
      </w:pPr>
    </w:p>
    <w:bookmarkStart w:id="76" w:name="page77"/>
    <w:bookmarkEnd w:id="76"/>
    <w:p>
      <w:pPr>
        <w:ind w:left="780" w:right="900" w:firstLine="282"/>
        <w:spacing w:after="0" w:line="279" w:lineRule="auto"/>
        <w:rPr>
          <w:sz w:val="20"/>
          <w:szCs w:val="20"/>
          <w:color w:val="auto"/>
        </w:rPr>
      </w:pPr>
      <w:r>
        <w:rPr>
          <w:rFonts w:ascii="Times New Roman" w:cs="Times New Roman" w:eastAsia="Times New Roman" w:hAnsi="Times New Roman"/>
          <w:sz w:val="11"/>
          <w:szCs w:val="11"/>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18" w:lineRule="exact"/>
        <w:rPr>
          <w:sz w:val="20"/>
          <w:szCs w:val="20"/>
          <w:color w:val="auto"/>
        </w:rPr>
      </w:pPr>
    </w:p>
    <w:tbl>
      <w:tblPr>
        <w:tblLayout w:type="fixed"/>
        <w:tblInd w:w="780" w:type="dxa"/>
        <w:tblCellMar>
          <w:top w:w="0" w:type="dxa"/>
          <w:left w:w="0" w:type="dxa"/>
          <w:bottom w:w="0" w:type="dxa"/>
          <w:right w:w="0" w:type="dxa"/>
        </w:tblCellMar>
      </w:tblPr>
      <w:tr>
        <w:trPr>
          <w:trHeight w:val="131"/>
        </w:trPr>
        <w:tc>
          <w:tcPr>
            <w:tcW w:w="2140" w:type="dxa"/>
            <w:vAlign w:val="bottom"/>
          </w:tcPr>
          <w:p>
            <w:pPr>
              <w:spacing w:after="0"/>
              <w:rPr>
                <w:sz w:val="11"/>
                <w:szCs w:val="11"/>
                <w:color w:val="auto"/>
              </w:rPr>
            </w:pPr>
          </w:p>
        </w:tc>
        <w:tc>
          <w:tcPr>
            <w:tcW w:w="2260" w:type="dxa"/>
            <w:vAlign w:val="bottom"/>
          </w:tcPr>
          <w:p>
            <w:pPr>
              <w:jc w:val="center"/>
              <w:ind w:left="725"/>
              <w:spacing w:after="0"/>
              <w:rPr>
                <w:sz w:val="20"/>
                <w:szCs w:val="20"/>
                <w:color w:val="auto"/>
              </w:rPr>
            </w:pPr>
            <w:r>
              <w:rPr>
                <w:rFonts w:ascii="Times New Roman" w:cs="Times New Roman" w:eastAsia="Times New Roman" w:hAnsi="Times New Roman"/>
                <w:sz w:val="11"/>
                <w:szCs w:val="11"/>
                <w:b w:val="1"/>
                <w:bCs w:val="1"/>
                <w:color w:val="auto"/>
              </w:rPr>
              <w:t>Change in Interest Income,</w:t>
            </w: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20" w:type="dxa"/>
            <w:vAlign w:val="bottom"/>
          </w:tcPr>
          <w:p>
            <w:pPr>
              <w:jc w:val="center"/>
              <w:ind w:right="325"/>
              <w:spacing w:after="0"/>
              <w:rPr>
                <w:sz w:val="20"/>
                <w:szCs w:val="20"/>
                <w:color w:val="auto"/>
              </w:rPr>
            </w:pPr>
            <w:r>
              <w:rPr>
                <w:rFonts w:ascii="Times New Roman" w:cs="Times New Roman" w:eastAsia="Times New Roman" w:hAnsi="Times New Roman"/>
                <w:sz w:val="11"/>
                <w:szCs w:val="11"/>
                <w:b w:val="1"/>
                <w:bCs w:val="1"/>
                <w:color w:val="auto"/>
              </w:rPr>
              <w:t>Change in Interest Income,</w:t>
            </w:r>
          </w:p>
        </w:tc>
      </w:tr>
      <w:tr>
        <w:trPr>
          <w:trHeight w:val="131"/>
        </w:trPr>
        <w:tc>
          <w:tcPr>
            <w:tcW w:w="2140" w:type="dxa"/>
            <w:vAlign w:val="bottom"/>
          </w:tcPr>
          <w:p>
            <w:pPr>
              <w:spacing w:after="0"/>
              <w:rPr>
                <w:sz w:val="11"/>
                <w:szCs w:val="11"/>
                <w:color w:val="auto"/>
              </w:rPr>
            </w:pPr>
          </w:p>
        </w:tc>
        <w:tc>
          <w:tcPr>
            <w:tcW w:w="2260" w:type="dxa"/>
            <w:vAlign w:val="bottom"/>
          </w:tcPr>
          <w:p>
            <w:pPr>
              <w:jc w:val="center"/>
              <w:ind w:left="745"/>
              <w:spacing w:after="0"/>
              <w:rPr>
                <w:sz w:val="20"/>
                <w:szCs w:val="20"/>
                <w:color w:val="auto"/>
              </w:rPr>
            </w:pPr>
            <w:r>
              <w:rPr>
                <w:rFonts w:ascii="Times New Roman" w:cs="Times New Roman" w:eastAsia="Times New Roman" w:hAnsi="Times New Roman"/>
                <w:sz w:val="11"/>
                <w:szCs w:val="11"/>
                <w:b w:val="1"/>
                <w:bCs w:val="1"/>
                <w:color w:val="auto"/>
              </w:rPr>
              <w:t>Net of Interest Expense</w:t>
            </w: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20" w:type="dxa"/>
            <w:vAlign w:val="bottom"/>
          </w:tcPr>
          <w:p>
            <w:pPr>
              <w:jc w:val="center"/>
              <w:ind w:right="305"/>
              <w:spacing w:after="0"/>
              <w:rPr>
                <w:sz w:val="20"/>
                <w:szCs w:val="20"/>
                <w:color w:val="auto"/>
              </w:rPr>
            </w:pPr>
            <w:r>
              <w:rPr>
                <w:rFonts w:ascii="Times New Roman" w:cs="Times New Roman" w:eastAsia="Times New Roman" w:hAnsi="Times New Roman"/>
                <w:sz w:val="11"/>
                <w:szCs w:val="11"/>
                <w:b w:val="1"/>
                <w:bCs w:val="1"/>
                <w:color w:val="auto"/>
              </w:rPr>
              <w:t>Net of Interest</w:t>
            </w:r>
          </w:p>
        </w:tc>
      </w:tr>
      <w:tr>
        <w:trPr>
          <w:trHeight w:val="143"/>
        </w:trPr>
        <w:tc>
          <w:tcPr>
            <w:tcW w:w="21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9"/>
              </w:rPr>
              <w:t>Change in Interest Rates</w:t>
            </w:r>
          </w:p>
        </w:tc>
        <w:tc>
          <w:tcPr>
            <w:tcW w:w="2260" w:type="dxa"/>
            <w:vAlign w:val="bottom"/>
          </w:tcPr>
          <w:p>
            <w:pPr>
              <w:jc w:val="center"/>
              <w:ind w:left="765"/>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20" w:type="dxa"/>
            <w:vAlign w:val="bottom"/>
          </w:tcPr>
          <w:p>
            <w:pPr>
              <w:jc w:val="center"/>
              <w:ind w:right="325"/>
              <w:spacing w:after="0"/>
              <w:rPr>
                <w:sz w:val="20"/>
                <w:szCs w:val="20"/>
                <w:color w:val="auto"/>
              </w:rPr>
            </w:pPr>
            <w:r>
              <w:rPr>
                <w:rFonts w:ascii="Times New Roman" w:cs="Times New Roman" w:eastAsia="Times New Roman" w:hAnsi="Times New Roman"/>
                <w:sz w:val="11"/>
                <w:szCs w:val="11"/>
                <w:b w:val="1"/>
                <w:bCs w:val="1"/>
                <w:color w:val="auto"/>
              </w:rPr>
              <w:t>Expense Per Share</w:t>
            </w:r>
          </w:p>
        </w:tc>
      </w:tr>
      <w:tr>
        <w:trPr>
          <w:trHeight w:val="131"/>
        </w:trPr>
        <w:tc>
          <w:tcPr>
            <w:tcW w:w="2140" w:type="dxa"/>
            <w:vAlign w:val="bottom"/>
            <w:shd w:val="clear" w:color="auto" w:fill="CCECFF"/>
          </w:tcPr>
          <w:p>
            <w:pPr>
              <w:jc w:val="center"/>
              <w:ind w:left="165"/>
              <w:spacing w:after="0"/>
              <w:rPr>
                <w:sz w:val="20"/>
                <w:szCs w:val="20"/>
                <w:color w:val="auto"/>
              </w:rPr>
            </w:pPr>
            <w:r>
              <w:rPr>
                <w:rFonts w:ascii="Times New Roman" w:cs="Times New Roman" w:eastAsia="Times New Roman" w:hAnsi="Times New Roman"/>
                <w:sz w:val="11"/>
                <w:szCs w:val="11"/>
                <w:color w:val="auto"/>
                <w:w w:val="99"/>
              </w:rPr>
              <w:t>Down 3%</w:t>
            </w:r>
          </w:p>
        </w:tc>
        <w:tc>
          <w:tcPr>
            <w:tcW w:w="2260" w:type="dxa"/>
            <w:vAlign w:val="bottom"/>
            <w:shd w:val="clear" w:color="auto" w:fill="CCECFF"/>
          </w:tcPr>
          <w:p>
            <w:pPr>
              <w:jc w:val="right"/>
              <w:ind w:right="1765"/>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rPr>
              <w:t>(21,283)</w:t>
            </w:r>
          </w:p>
        </w:tc>
        <w:tc>
          <w:tcPr>
            <w:tcW w:w="380" w:type="dxa"/>
            <w:vAlign w:val="bottom"/>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rPr>
              <w:t>$</w:t>
            </w:r>
          </w:p>
        </w:tc>
        <w:tc>
          <w:tcPr>
            <w:tcW w:w="2120" w:type="dxa"/>
            <w:vAlign w:val="bottom"/>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(0.21)</w:t>
            </w:r>
          </w:p>
        </w:tc>
      </w:tr>
      <w:tr>
        <w:trPr>
          <w:trHeight w:val="131"/>
        </w:trPr>
        <w:tc>
          <w:tcPr>
            <w:tcW w:w="2140" w:type="dxa"/>
            <w:vAlign w:val="bottom"/>
          </w:tcPr>
          <w:p>
            <w:pPr>
              <w:jc w:val="center"/>
              <w:ind w:left="165"/>
              <w:spacing w:after="0"/>
              <w:rPr>
                <w:sz w:val="20"/>
                <w:szCs w:val="20"/>
                <w:color w:val="auto"/>
              </w:rPr>
            </w:pPr>
            <w:r>
              <w:rPr>
                <w:rFonts w:ascii="Times New Roman" w:cs="Times New Roman" w:eastAsia="Times New Roman" w:hAnsi="Times New Roman"/>
                <w:sz w:val="11"/>
                <w:szCs w:val="11"/>
                <w:color w:val="auto"/>
                <w:w w:val="99"/>
              </w:rPr>
              <w:t>Down 2%</w:t>
            </w:r>
          </w:p>
        </w:tc>
        <w:tc>
          <w:tcPr>
            <w:tcW w:w="2260" w:type="dxa"/>
            <w:vAlign w:val="bottom"/>
          </w:tcPr>
          <w:p>
            <w:pPr>
              <w:spacing w:after="0"/>
              <w:rPr>
                <w:sz w:val="11"/>
                <w:szCs w:val="11"/>
                <w:color w:val="auto"/>
              </w:rPr>
            </w:pPr>
          </w:p>
        </w:tc>
        <w:tc>
          <w:tcPr>
            <w:tcW w:w="5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(17,725)</w:t>
            </w:r>
          </w:p>
        </w:tc>
        <w:tc>
          <w:tcPr>
            <w:tcW w:w="380" w:type="dxa"/>
            <w:vAlign w:val="bottom"/>
          </w:tcPr>
          <w:p>
            <w:pPr>
              <w:spacing w:after="0"/>
              <w:rPr>
                <w:sz w:val="11"/>
                <w:szCs w:val="11"/>
                <w:color w:val="auto"/>
              </w:rPr>
            </w:pPr>
          </w:p>
        </w:tc>
        <w:tc>
          <w:tcPr>
            <w:tcW w:w="2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(0.18)</w:t>
            </w:r>
          </w:p>
        </w:tc>
      </w:tr>
      <w:tr>
        <w:trPr>
          <w:trHeight w:val="131"/>
        </w:trPr>
        <w:tc>
          <w:tcPr>
            <w:tcW w:w="2140" w:type="dxa"/>
            <w:vAlign w:val="bottom"/>
            <w:shd w:val="clear" w:color="auto" w:fill="CCECFF"/>
          </w:tcPr>
          <w:p>
            <w:pPr>
              <w:jc w:val="center"/>
              <w:ind w:left="165"/>
              <w:spacing w:after="0"/>
              <w:rPr>
                <w:sz w:val="20"/>
                <w:szCs w:val="20"/>
                <w:color w:val="auto"/>
              </w:rPr>
            </w:pPr>
            <w:r>
              <w:rPr>
                <w:rFonts w:ascii="Times New Roman" w:cs="Times New Roman" w:eastAsia="Times New Roman" w:hAnsi="Times New Roman"/>
                <w:sz w:val="11"/>
                <w:szCs w:val="11"/>
                <w:color w:val="auto"/>
                <w:w w:val="99"/>
              </w:rPr>
              <w:t>Down 1%</w:t>
            </w:r>
          </w:p>
        </w:tc>
        <w:tc>
          <w:tcPr>
            <w:tcW w:w="2260" w:type="dxa"/>
            <w:vAlign w:val="bottom"/>
            <w:shd w:val="clear" w:color="auto" w:fill="CCECFF"/>
          </w:tcPr>
          <w:p>
            <w:pPr>
              <w:spacing w:after="0"/>
              <w:rPr>
                <w:sz w:val="11"/>
                <w:szCs w:val="11"/>
                <w:color w:val="auto"/>
              </w:rPr>
            </w:pPr>
          </w:p>
        </w:tc>
        <w:tc>
          <w:tcPr>
            <w:tcW w:w="56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rPr>
              <w:t>(8,862)</w:t>
            </w:r>
          </w:p>
        </w:tc>
        <w:tc>
          <w:tcPr>
            <w:tcW w:w="380" w:type="dxa"/>
            <w:vAlign w:val="bottom"/>
            <w:shd w:val="clear" w:color="auto" w:fill="CCECFF"/>
          </w:tcPr>
          <w:p>
            <w:pPr>
              <w:spacing w:after="0"/>
              <w:rPr>
                <w:sz w:val="11"/>
                <w:szCs w:val="11"/>
                <w:color w:val="auto"/>
              </w:rPr>
            </w:pPr>
          </w:p>
        </w:tc>
        <w:tc>
          <w:tcPr>
            <w:tcW w:w="2120" w:type="dxa"/>
            <w:vAlign w:val="bottom"/>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rPr>
              <w:t>(0.09)</w:t>
            </w:r>
          </w:p>
        </w:tc>
      </w:tr>
      <w:tr>
        <w:trPr>
          <w:trHeight w:val="131"/>
        </w:trPr>
        <w:tc>
          <w:tcPr>
            <w:tcW w:w="2140" w:type="dxa"/>
            <w:vAlign w:val="bottom"/>
          </w:tcPr>
          <w:p>
            <w:pPr>
              <w:jc w:val="center"/>
              <w:ind w:left="165"/>
              <w:spacing w:after="0"/>
              <w:rPr>
                <w:sz w:val="20"/>
                <w:szCs w:val="20"/>
                <w:color w:val="auto"/>
              </w:rPr>
            </w:pPr>
            <w:r>
              <w:rPr>
                <w:rFonts w:ascii="Times New Roman" w:cs="Times New Roman" w:eastAsia="Times New Roman" w:hAnsi="Times New Roman"/>
                <w:sz w:val="11"/>
                <w:szCs w:val="11"/>
                <w:color w:val="auto"/>
              </w:rPr>
              <w:t>Up 1%</w:t>
            </w:r>
          </w:p>
        </w:tc>
        <w:tc>
          <w:tcPr>
            <w:tcW w:w="2260" w:type="dxa"/>
            <w:vAlign w:val="bottom"/>
          </w:tcPr>
          <w:p>
            <w:pPr>
              <w:spacing w:after="0"/>
              <w:rPr>
                <w:sz w:val="11"/>
                <w:szCs w:val="11"/>
                <w:color w:val="auto"/>
              </w:rPr>
            </w:pPr>
          </w:p>
        </w:tc>
        <w:tc>
          <w:tcPr>
            <w:tcW w:w="56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8,862</w:t>
            </w:r>
          </w:p>
        </w:tc>
        <w:tc>
          <w:tcPr>
            <w:tcW w:w="380" w:type="dxa"/>
            <w:vAlign w:val="bottom"/>
          </w:tcPr>
          <w:p>
            <w:pPr>
              <w:spacing w:after="0"/>
              <w:rPr>
                <w:sz w:val="11"/>
                <w:szCs w:val="11"/>
                <w:color w:val="auto"/>
              </w:rPr>
            </w:pPr>
          </w:p>
        </w:tc>
        <w:tc>
          <w:tcPr>
            <w:tcW w:w="21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0.09</w:t>
            </w:r>
          </w:p>
        </w:tc>
      </w:tr>
      <w:tr>
        <w:trPr>
          <w:trHeight w:val="131"/>
        </w:trPr>
        <w:tc>
          <w:tcPr>
            <w:tcW w:w="2140" w:type="dxa"/>
            <w:vAlign w:val="bottom"/>
            <w:shd w:val="clear" w:color="auto" w:fill="CCECFF"/>
          </w:tcPr>
          <w:p>
            <w:pPr>
              <w:jc w:val="center"/>
              <w:ind w:left="165"/>
              <w:spacing w:after="0"/>
              <w:rPr>
                <w:sz w:val="20"/>
                <w:szCs w:val="20"/>
                <w:color w:val="auto"/>
              </w:rPr>
            </w:pPr>
            <w:r>
              <w:rPr>
                <w:rFonts w:ascii="Times New Roman" w:cs="Times New Roman" w:eastAsia="Times New Roman" w:hAnsi="Times New Roman"/>
                <w:sz w:val="11"/>
                <w:szCs w:val="11"/>
                <w:color w:val="auto"/>
              </w:rPr>
              <w:t>Up 2%</w:t>
            </w:r>
          </w:p>
        </w:tc>
        <w:tc>
          <w:tcPr>
            <w:tcW w:w="2260" w:type="dxa"/>
            <w:vAlign w:val="bottom"/>
            <w:shd w:val="clear" w:color="auto" w:fill="CCECFF"/>
          </w:tcPr>
          <w:p>
            <w:pPr>
              <w:spacing w:after="0"/>
              <w:rPr>
                <w:sz w:val="11"/>
                <w:szCs w:val="11"/>
                <w:color w:val="auto"/>
              </w:rPr>
            </w:pPr>
          </w:p>
        </w:tc>
        <w:tc>
          <w:tcPr>
            <w:tcW w:w="560" w:type="dxa"/>
            <w:vAlign w:val="bottom"/>
            <w:shd w:val="clear" w:color="auto" w:fill="CCECFF"/>
          </w:tcPr>
          <w:p>
            <w:pPr>
              <w:jc w:val="right"/>
              <w:ind w:right="85"/>
              <w:spacing w:after="0"/>
              <w:rPr>
                <w:sz w:val="20"/>
                <w:szCs w:val="20"/>
                <w:color w:val="auto"/>
              </w:rPr>
            </w:pPr>
            <w:r>
              <w:rPr>
                <w:rFonts w:ascii="Times New Roman" w:cs="Times New Roman" w:eastAsia="Times New Roman" w:hAnsi="Times New Roman"/>
                <w:sz w:val="11"/>
                <w:szCs w:val="11"/>
                <w:color w:val="auto"/>
              </w:rPr>
              <w:t>17,725</w:t>
            </w:r>
          </w:p>
        </w:tc>
        <w:tc>
          <w:tcPr>
            <w:tcW w:w="380" w:type="dxa"/>
            <w:vAlign w:val="bottom"/>
            <w:shd w:val="clear" w:color="auto" w:fill="CCECFF"/>
          </w:tcPr>
          <w:p>
            <w:pPr>
              <w:spacing w:after="0"/>
              <w:rPr>
                <w:sz w:val="11"/>
                <w:szCs w:val="11"/>
                <w:color w:val="auto"/>
              </w:rPr>
            </w:pPr>
          </w:p>
        </w:tc>
        <w:tc>
          <w:tcPr>
            <w:tcW w:w="2120" w:type="dxa"/>
            <w:vAlign w:val="bottom"/>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rPr>
              <w:t>0.18</w:t>
            </w:r>
          </w:p>
        </w:tc>
      </w:tr>
      <w:tr>
        <w:trPr>
          <w:trHeight w:val="183"/>
        </w:trPr>
        <w:tc>
          <w:tcPr>
            <w:tcW w:w="2140" w:type="dxa"/>
            <w:vAlign w:val="bottom"/>
          </w:tcPr>
          <w:p>
            <w:pPr>
              <w:jc w:val="center"/>
              <w:ind w:left="165"/>
              <w:spacing w:after="0"/>
              <w:rPr>
                <w:sz w:val="20"/>
                <w:szCs w:val="20"/>
                <w:color w:val="auto"/>
              </w:rPr>
            </w:pPr>
            <w:r>
              <w:rPr>
                <w:rFonts w:ascii="Times New Roman" w:cs="Times New Roman" w:eastAsia="Times New Roman" w:hAnsi="Times New Roman"/>
                <w:sz w:val="11"/>
                <w:szCs w:val="11"/>
                <w:color w:val="auto"/>
              </w:rPr>
              <w:t>Up 3%</w:t>
            </w:r>
          </w:p>
        </w:tc>
        <w:tc>
          <w:tcPr>
            <w:tcW w:w="2260" w:type="dxa"/>
            <w:vAlign w:val="bottom"/>
          </w:tcPr>
          <w:p>
            <w:pPr>
              <w:spacing w:after="0"/>
              <w:rPr>
                <w:sz w:val="15"/>
                <w:szCs w:val="15"/>
                <w:color w:val="auto"/>
              </w:rPr>
            </w:pPr>
          </w:p>
        </w:tc>
        <w:tc>
          <w:tcPr>
            <w:tcW w:w="56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26,587</w:t>
            </w:r>
          </w:p>
        </w:tc>
        <w:tc>
          <w:tcPr>
            <w:tcW w:w="380" w:type="dxa"/>
            <w:vAlign w:val="bottom"/>
          </w:tcPr>
          <w:p>
            <w:pPr>
              <w:spacing w:after="0"/>
              <w:rPr>
                <w:sz w:val="15"/>
                <w:szCs w:val="15"/>
                <w:color w:val="auto"/>
              </w:rPr>
            </w:pPr>
          </w:p>
        </w:tc>
        <w:tc>
          <w:tcPr>
            <w:tcW w:w="21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0.27</w:t>
            </w:r>
          </w:p>
        </w:tc>
      </w:tr>
    </w:tbl>
    <w:p>
      <w:pPr>
        <w:spacing w:after="0" w:line="119" w:lineRule="exact"/>
        <w:rPr>
          <w:sz w:val="20"/>
          <w:szCs w:val="20"/>
          <w:color w:val="auto"/>
        </w:rPr>
      </w:pPr>
    </w:p>
    <w:p>
      <w:pPr>
        <w:ind w:left="780" w:right="800" w:firstLine="282"/>
        <w:spacing w:after="0" w:line="259" w:lineRule="auto"/>
        <w:rPr>
          <w:sz w:val="20"/>
          <w:szCs w:val="20"/>
          <w:color w:val="auto"/>
        </w:rPr>
      </w:pPr>
      <w:r>
        <w:rPr>
          <w:rFonts w:ascii="Times New Roman" w:cs="Times New Roman" w:eastAsia="Times New Roman" w:hAnsi="Times New Roman"/>
          <w:sz w:val="11"/>
          <w:szCs w:val="11"/>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0" w:lineRule="exact"/>
        <w:rPr>
          <w:sz w:val="20"/>
          <w:szCs w:val="20"/>
          <w:color w:val="auto"/>
        </w:rPr>
      </w:pPr>
    </w:p>
    <w:p>
      <w:pPr>
        <w:ind w:left="780" w:right="820" w:firstLine="282"/>
        <w:spacing w:after="0" w:line="264" w:lineRule="auto"/>
        <w:rPr>
          <w:sz w:val="20"/>
          <w:szCs w:val="20"/>
          <w:color w:val="auto"/>
        </w:rPr>
      </w:pPr>
      <w:r>
        <w:rPr>
          <w:rFonts w:ascii="Times New Roman" w:cs="Times New Roman" w:eastAsia="Times New Roman" w:hAnsi="Times New Roman"/>
          <w:sz w:val="11"/>
          <w:szCs w:val="11"/>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07" w:lineRule="exact"/>
        <w:rPr>
          <w:sz w:val="20"/>
          <w:szCs w:val="20"/>
          <w:color w:val="auto"/>
        </w:rPr>
      </w:pPr>
    </w:p>
    <w:p>
      <w:pPr>
        <w:ind w:left="780" w:right="800" w:firstLine="282"/>
        <w:spacing w:after="0" w:line="256" w:lineRule="auto"/>
        <w:rPr>
          <w:sz w:val="20"/>
          <w:szCs w:val="20"/>
          <w:color w:val="auto"/>
        </w:rPr>
      </w:pPr>
      <w:r>
        <w:rPr>
          <w:rFonts w:ascii="Times New Roman" w:cs="Times New Roman" w:eastAsia="Times New Roman" w:hAnsi="Times New Roman"/>
          <w:sz w:val="11"/>
          <w:szCs w:val="11"/>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Item 4. Controls and Procedures</w:t>
      </w:r>
    </w:p>
    <w:p>
      <w:pPr>
        <w:spacing w:after="0" w:line="138" w:lineRule="exact"/>
        <w:rPr>
          <w:sz w:val="20"/>
          <w:szCs w:val="20"/>
          <w:color w:val="auto"/>
        </w:rPr>
      </w:pPr>
    </w:p>
    <w:p>
      <w:pPr>
        <w:ind w:left="780" w:right="820" w:firstLine="282"/>
        <w:spacing w:after="0" w:line="254" w:lineRule="auto"/>
        <w:rPr>
          <w:sz w:val="20"/>
          <w:szCs w:val="20"/>
          <w:color w:val="auto"/>
        </w:rPr>
      </w:pPr>
      <w:r>
        <w:rPr>
          <w:rFonts w:ascii="Times New Roman" w:cs="Times New Roman" w:eastAsia="Times New Roman" w:hAnsi="Times New Roman"/>
          <w:sz w:val="11"/>
          <w:szCs w:val="11"/>
          <w:color w:val="auto"/>
        </w:rPr>
        <w:t>As of the quarter ended December 31, 2025, we including our Chief Executive Officer and Chief Financial Officer, evaluated the effectiveness of the design and operation of our disclosure controls and procedures (as defined in Rule 13-a-15(e) of the Exchange Act). As disclosed in our Annual Report on Form 10-K for the fiscal year ended September 30, 2025, a material weakness was previously identified in the operation of controls related to our quarterly review of equity investment valuations with respect to the allocation of value of the portfolio company to the Company’s holdings. We have taken steps to remediate this material weakness, which steps have included (i) enhancing existing review controls of equity investments related to the allocation of the portfolio company’s enterprise value to the Company’s holdings to ensure allocations are consistent with the relevant and respective source document and (ii) enhancing policies and procedures to demonstrate a commitment to improving our overall control environment.</w:t>
      </w:r>
    </w:p>
    <w:p>
      <w:pPr>
        <w:spacing w:after="0" w:line="82" w:lineRule="exact"/>
        <w:rPr>
          <w:sz w:val="20"/>
          <w:szCs w:val="20"/>
          <w:color w:val="auto"/>
        </w:rPr>
      </w:pPr>
    </w:p>
    <w:p>
      <w:pPr>
        <w:ind w:left="780" w:right="780" w:firstLine="282"/>
        <w:spacing w:after="0" w:line="254" w:lineRule="auto"/>
        <w:rPr>
          <w:sz w:val="20"/>
          <w:szCs w:val="20"/>
          <w:color w:val="auto"/>
        </w:rPr>
      </w:pPr>
      <w:r>
        <w:rPr>
          <w:rFonts w:ascii="Times New Roman" w:cs="Times New Roman" w:eastAsia="Times New Roman" w:hAnsi="Times New Roman"/>
          <w:sz w:val="11"/>
          <w:szCs w:val="11"/>
          <w:color w:val="auto"/>
        </w:rPr>
        <w:t>Taking the above efforts into consideration, our management, including the Chief Executive Officer and Chief Financial Officer, concluded that our disclosure controls and procedures for the quarter ended December 31, 2025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82" w:lineRule="exact"/>
        <w:rPr>
          <w:sz w:val="20"/>
          <w:szCs w:val="20"/>
          <w:color w:val="auto"/>
        </w:rPr>
      </w:pPr>
    </w:p>
    <w:p>
      <w:pPr>
        <w:ind w:left="780" w:right="840" w:firstLine="282"/>
        <w:spacing w:after="0" w:line="279" w:lineRule="auto"/>
        <w:rPr>
          <w:sz w:val="20"/>
          <w:szCs w:val="20"/>
          <w:color w:val="auto"/>
        </w:rPr>
      </w:pPr>
      <w:r>
        <w:rPr>
          <w:rFonts w:ascii="Times New Roman" w:cs="Times New Roman" w:eastAsia="Times New Roman" w:hAnsi="Times New Roman"/>
          <w:sz w:val="11"/>
          <w:szCs w:val="11"/>
          <w:color w:val="auto"/>
        </w:rPr>
        <w:t>Other than disclosed in this Item 4, there have been no changes in our internal controls over financial reporting that occurred during the quarter ended December 31, 2025 that have materially affected, or are reasonably likely to materially affect, our internal control over financial reporting.</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5" w:right="1440" w:bottom="1440" w:gutter="0" w:footer="0" w:header="0"/>
        </w:sectPr>
      </w:pPr>
    </w:p>
    <w:bookmarkStart w:id="77" w:name="page78"/>
    <w:bookmarkEnd w:id="77"/>
    <w:p>
      <w:pPr>
        <w:ind w:left="780"/>
        <w:spacing w:after="0"/>
        <w:rPr>
          <w:sz w:val="20"/>
          <w:szCs w:val="20"/>
          <w:color w:val="auto"/>
        </w:rPr>
      </w:pPr>
      <w:r>
        <w:rPr>
          <w:rFonts w:ascii="Times New Roman" w:cs="Times New Roman" w:eastAsia="Times New Roman" w:hAnsi="Times New Roman"/>
          <w:sz w:val="11"/>
          <w:szCs w:val="11"/>
          <w:b w:val="1"/>
          <w:bCs w:val="1"/>
          <w:color w:val="auto"/>
        </w:rPr>
        <w:t>PART II – OTHER INFORMATION</w:t>
      </w:r>
    </w:p>
    <w:p>
      <w:pPr>
        <w:spacing w:after="0" w:line="1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Item 1. Legal Proceedings</w:t>
      </w:r>
    </w:p>
    <w:p>
      <w:pPr>
        <w:spacing w:after="0" w:line="138" w:lineRule="exact"/>
        <w:rPr>
          <w:sz w:val="20"/>
          <w:szCs w:val="20"/>
          <w:color w:val="auto"/>
        </w:rPr>
      </w:pPr>
    </w:p>
    <w:p>
      <w:pPr>
        <w:ind w:left="780" w:right="840" w:firstLine="282"/>
        <w:spacing w:after="0" w:line="256" w:lineRule="auto"/>
        <w:rPr>
          <w:sz w:val="20"/>
          <w:szCs w:val="20"/>
          <w:color w:val="auto"/>
        </w:rPr>
      </w:pPr>
      <w:r>
        <w:rPr>
          <w:rFonts w:ascii="Times New Roman" w:cs="Times New Roman" w:eastAsia="Times New Roman" w:hAnsi="Times New Roman"/>
          <w:sz w:val="11"/>
          <w:szCs w:val="11"/>
          <w:color w:val="auto"/>
        </w:rPr>
        <w:t>Neither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8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Item 1A. Risk Factors</w:t>
      </w:r>
    </w:p>
    <w:p>
      <w:pPr>
        <w:spacing w:after="0" w:line="138" w:lineRule="exact"/>
        <w:rPr>
          <w:sz w:val="20"/>
          <w:szCs w:val="20"/>
          <w:color w:val="auto"/>
        </w:rPr>
      </w:pPr>
    </w:p>
    <w:p>
      <w:pPr>
        <w:ind w:left="780" w:right="780" w:firstLine="282"/>
        <w:spacing w:after="0" w:line="256" w:lineRule="auto"/>
        <w:rPr>
          <w:sz w:val="20"/>
          <w:szCs w:val="20"/>
          <w:color w:val="auto"/>
        </w:rPr>
      </w:pPr>
      <w:r>
        <w:rPr>
          <w:rFonts w:ascii="Times New Roman" w:cs="Times New Roman" w:eastAsia="Times New Roman" w:hAnsi="Times New Roman"/>
          <w:sz w:val="11"/>
          <w:szCs w:val="11"/>
          <w:color w:val="auto"/>
        </w:rPr>
        <w:t>In addition to the other information set forth in this Report, you should consider carefully the factors discussed below, as well as in Part I “Item 1A. Risk Factors” in our Annual Report on Form 10-K for the fiscal year ended September 30, 2025 filed on November 24, 2025, which could materially affect our business, financial condition and/or operating results. The risks described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Item 2. Unregistered Sales of Equity Securities and Use of Proceeds</w:t>
      </w:r>
    </w:p>
    <w:p>
      <w:pPr>
        <w:spacing w:after="0" w:line="13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None.</w:t>
      </w:r>
    </w:p>
    <w:p>
      <w:pPr>
        <w:spacing w:after="0" w:line="10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Item 3. Defaults Upon Senior Securities</w:t>
      </w:r>
    </w:p>
    <w:p>
      <w:pPr>
        <w:spacing w:after="0" w:line="13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None.</w:t>
      </w:r>
    </w:p>
    <w:p>
      <w:pPr>
        <w:spacing w:after="0" w:line="10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b w:val="1"/>
          <w:bCs w:val="1"/>
          <w:color w:val="auto"/>
        </w:rPr>
        <w:t>Item 4. Mine Safety Disclosures</w:t>
      </w:r>
    </w:p>
    <w:p>
      <w:pPr>
        <w:spacing w:after="0" w:line="138" w:lineRule="exact"/>
        <w:rPr>
          <w:sz w:val="20"/>
          <w:szCs w:val="20"/>
          <w:color w:val="auto"/>
        </w:rPr>
      </w:pPr>
    </w:p>
    <w:p>
      <w:pPr>
        <w:jc w:val="center"/>
        <w:ind w:right="6220"/>
        <w:spacing w:after="0"/>
        <w:rPr>
          <w:sz w:val="20"/>
          <w:szCs w:val="20"/>
          <w:color w:val="auto"/>
        </w:rPr>
      </w:pPr>
      <w:r>
        <w:rPr>
          <w:rFonts w:ascii="Times New Roman" w:cs="Times New Roman" w:eastAsia="Times New Roman" w:hAnsi="Times New Roman"/>
          <w:sz w:val="11"/>
          <w:szCs w:val="11"/>
          <w:color w:val="auto"/>
        </w:rPr>
        <w:t>Not applicable.</w:t>
      </w:r>
    </w:p>
    <w:p>
      <w:pPr>
        <w:spacing w:after="0" w:line="104" w:lineRule="exact"/>
        <w:rPr>
          <w:sz w:val="20"/>
          <w:szCs w:val="20"/>
          <w:color w:val="auto"/>
        </w:rPr>
      </w:pPr>
    </w:p>
    <w:p>
      <w:pPr>
        <w:jc w:val="center"/>
        <w:ind w:right="6220"/>
        <w:spacing w:after="0"/>
        <w:rPr>
          <w:sz w:val="20"/>
          <w:szCs w:val="20"/>
          <w:color w:val="auto"/>
        </w:rPr>
      </w:pPr>
      <w:r>
        <w:rPr>
          <w:rFonts w:ascii="Times New Roman" w:cs="Times New Roman" w:eastAsia="Times New Roman" w:hAnsi="Times New Roman"/>
          <w:sz w:val="10"/>
          <w:szCs w:val="10"/>
          <w:b w:val="1"/>
          <w:bCs w:val="1"/>
          <w:color w:val="auto"/>
        </w:rPr>
        <w:t>Item 5. Other Information</w:t>
      </w:r>
    </w:p>
    <w:p>
      <w:pPr>
        <w:spacing w:after="0" w:line="14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Not applicable.</w:t>
      </w:r>
    </w:p>
    <w:p>
      <w:pPr>
        <w:spacing w:after="0" w:line="15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b w:val="1"/>
          <w:bCs w:val="1"/>
          <w:color w:val="auto"/>
        </w:rPr>
        <w:t>10b5-1 Disclosure</w:t>
      </w:r>
    </w:p>
    <w:p>
      <w:pPr>
        <w:spacing w:after="0" w:line="13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None of the officers or directors of the Company have adopted or terminated any Rule 10b5-1 trading arrangements applicable to them (if any) or the Company.</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3" w:right="1440" w:bottom="1440" w:gutter="0" w:footer="0" w:header="0"/>
        </w:sectPr>
      </w:pPr>
    </w:p>
    <w:bookmarkStart w:id="78" w:name="page79"/>
    <w:bookmarkEnd w:id="78"/>
    <w:p>
      <w:pPr>
        <w:ind w:left="780"/>
        <w:spacing w:after="0"/>
        <w:rPr>
          <w:sz w:val="20"/>
          <w:szCs w:val="20"/>
          <w:color w:val="auto"/>
        </w:rPr>
      </w:pPr>
      <w:r>
        <w:rPr>
          <w:rFonts w:ascii="Times New Roman" w:cs="Times New Roman" w:eastAsia="Times New Roman" w:hAnsi="Times New Roman"/>
          <w:sz w:val="11"/>
          <w:szCs w:val="11"/>
          <w:b w:val="1"/>
          <w:bCs w:val="1"/>
          <w:color w:val="auto"/>
        </w:rPr>
        <w:t>Item 6. Exhibits</w:t>
      </w:r>
    </w:p>
    <w:p>
      <w:pPr>
        <w:spacing w:after="0" w:line="10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Unless specifically indicated otherwise, the following exhibits are incorporated by reference to exhibits previously filed with the SEC:</w:t>
      </w:r>
    </w:p>
    <w:p>
      <w:pPr>
        <w:spacing w:after="0" w:line="150" w:lineRule="exact"/>
        <w:rPr>
          <w:sz w:val="20"/>
          <w:szCs w:val="20"/>
          <w:color w:val="auto"/>
        </w:rPr>
      </w:pPr>
    </w:p>
    <w:tbl>
      <w:tblPr>
        <w:tblLayout w:type="fixed"/>
        <w:tblInd w:w="780" w:type="dxa"/>
        <w:tblCellMar>
          <w:top w:w="0" w:type="dxa"/>
          <w:left w:w="0" w:type="dxa"/>
          <w:bottom w:w="0" w:type="dxa"/>
          <w:right w:w="0" w:type="dxa"/>
        </w:tblCellMar>
      </w:tblPr>
      <w:tr>
        <w:trPr>
          <w:trHeight w:val="126"/>
        </w:trPr>
        <w:tc>
          <w:tcPr>
            <w:tcW w:w="520" w:type="dxa"/>
            <w:vAlign w:val="bottom"/>
          </w:tcPr>
          <w:p>
            <w:pPr>
              <w:jc w:val="right"/>
              <w:ind w:right="285"/>
              <w:spacing w:after="0"/>
              <w:rPr>
                <w:sz w:val="20"/>
                <w:szCs w:val="20"/>
                <w:color w:val="auto"/>
              </w:rPr>
            </w:pPr>
            <w:r>
              <w:rPr>
                <w:rFonts w:ascii="Times New Roman" w:cs="Times New Roman" w:eastAsia="Times New Roman" w:hAnsi="Times New Roman"/>
                <w:sz w:val="11"/>
                <w:szCs w:val="11"/>
                <w:color w:val="auto"/>
              </w:rPr>
              <w:t>3.1</w:t>
            </w:r>
          </w:p>
        </w:tc>
        <w:tc>
          <w:tcPr>
            <w:tcW w:w="6860" w:type="dxa"/>
            <w:vAlign w:val="bottom"/>
            <w:tcBorders>
              <w:bottom w:val="single" w:sz="8" w:color="0000EE"/>
            </w:tcBorders>
            <w:gridSpan w:val="17"/>
          </w:tcPr>
          <w:p>
            <w:pPr>
              <w:spacing w:after="0"/>
              <w:rPr>
                <w:rFonts w:ascii="Times New Roman" w:cs="Times New Roman" w:eastAsia="Times New Roman" w:hAnsi="Times New Roman"/>
                <w:sz w:val="11"/>
                <w:szCs w:val="11"/>
                <w:color w:val="0000FF"/>
              </w:rPr>
            </w:pPr>
            <w:hyperlink r:id="rId91">
              <w:r>
                <w:rPr>
                  <w:rFonts w:ascii="Times New Roman" w:cs="Times New Roman" w:eastAsia="Times New Roman" w:hAnsi="Times New Roman"/>
                  <w:sz w:val="11"/>
                  <w:szCs w:val="11"/>
                  <w:color w:val="0000FF"/>
                </w:rPr>
                <w:t>Articles of Amendment and Restatement of the Registrant (Incorporated by reference to Exhibit 99(A) to the Registrant's Pre-Effective Amendment No. 3</w:t>
              </w:r>
            </w:hyperlink>
          </w:p>
        </w:tc>
        <w:tc>
          <w:tcPr>
            <w:tcW w:w="80" w:type="dxa"/>
            <w:vAlign w:val="bottom"/>
            <w:gridSpan w:val="3"/>
          </w:tcPr>
          <w:p>
            <w:pPr>
              <w:spacing w:after="0"/>
              <w:rPr>
                <w:sz w:val="11"/>
                <w:szCs w:val="11"/>
                <w:color w:val="auto"/>
              </w:rPr>
            </w:pPr>
          </w:p>
        </w:tc>
      </w:tr>
      <w:tr>
        <w:trPr>
          <w:trHeight w:val="111"/>
        </w:trPr>
        <w:tc>
          <w:tcPr>
            <w:tcW w:w="520" w:type="dxa"/>
            <w:vAlign w:val="bottom"/>
          </w:tcPr>
          <w:p>
            <w:pPr>
              <w:spacing w:after="0"/>
              <w:rPr>
                <w:sz w:val="9"/>
                <w:szCs w:val="9"/>
                <w:color w:val="auto"/>
              </w:rPr>
            </w:pPr>
          </w:p>
        </w:tc>
        <w:tc>
          <w:tcPr>
            <w:tcW w:w="4120" w:type="dxa"/>
            <w:vAlign w:val="bottom"/>
            <w:tcBorders>
              <w:bottom w:val="single" w:sz="8" w:color="0000EE"/>
            </w:tcBorders>
            <w:gridSpan w:val="7"/>
          </w:tcPr>
          <w:p>
            <w:pPr>
              <w:spacing w:after="0" w:line="111" w:lineRule="exact"/>
              <w:rPr>
                <w:rFonts w:ascii="Times New Roman" w:cs="Times New Roman" w:eastAsia="Times New Roman" w:hAnsi="Times New Roman"/>
                <w:sz w:val="11"/>
                <w:szCs w:val="11"/>
                <w:color w:val="0000FF"/>
              </w:rPr>
            </w:pPr>
            <w:hyperlink r:id="rId91">
              <w:r>
                <w:rPr>
                  <w:rFonts w:ascii="Times New Roman" w:cs="Times New Roman" w:eastAsia="Times New Roman" w:hAnsi="Times New Roman"/>
                  <w:sz w:val="11"/>
                  <w:szCs w:val="11"/>
                  <w:color w:val="0000FF"/>
                </w:rPr>
                <w:t>to the Registration Statement on Form N-2 (File No. 333-170243), filed on March 29, 2011).</w:t>
              </w:r>
            </w:hyperlink>
          </w:p>
        </w:tc>
        <w:tc>
          <w:tcPr>
            <w:tcW w:w="2820" w:type="dxa"/>
            <w:vAlign w:val="bottom"/>
            <w:gridSpan w:val="13"/>
          </w:tcPr>
          <w:p>
            <w:pPr>
              <w:spacing w:after="0"/>
              <w:rPr>
                <w:sz w:val="9"/>
                <w:szCs w:val="9"/>
                <w:color w:val="auto"/>
              </w:rPr>
            </w:pPr>
          </w:p>
        </w:tc>
      </w:tr>
      <w:tr>
        <w:trPr>
          <w:trHeight w:val="212"/>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3.2</w:t>
            </w:r>
          </w:p>
        </w:tc>
        <w:tc>
          <w:tcPr>
            <w:tcW w:w="6940" w:type="dxa"/>
            <w:vAlign w:val="bottom"/>
            <w:tcBorders>
              <w:bottom w:val="single" w:sz="8" w:color="0000EE"/>
            </w:tcBorders>
            <w:gridSpan w:val="20"/>
          </w:tcPr>
          <w:p>
            <w:pPr>
              <w:spacing w:after="0"/>
              <w:rPr>
                <w:rFonts w:ascii="Times New Roman" w:cs="Times New Roman" w:eastAsia="Times New Roman" w:hAnsi="Times New Roman"/>
                <w:sz w:val="11"/>
                <w:szCs w:val="11"/>
                <w:color w:val="0000FF"/>
              </w:rPr>
            </w:pPr>
            <w:hyperlink r:id="rId92">
              <w:r>
                <w:rPr>
                  <w:rFonts w:ascii="Times New Roman" w:cs="Times New Roman" w:eastAsia="Times New Roman" w:hAnsi="Times New Roman"/>
                  <w:sz w:val="11"/>
                  <w:szCs w:val="11"/>
                  <w:color w:val="0000FF"/>
                </w:rPr>
                <w:t>Articles of Amendment to Articles of Amendment and Restatement of the Registrant (Incorporated by reference to Exhibit 3.2) to the Registrant's Quarterly</w:t>
              </w:r>
            </w:hyperlink>
          </w:p>
        </w:tc>
      </w:tr>
      <w:tr>
        <w:trPr>
          <w:trHeight w:val="111"/>
        </w:trPr>
        <w:tc>
          <w:tcPr>
            <w:tcW w:w="520" w:type="dxa"/>
            <w:vAlign w:val="bottom"/>
          </w:tcPr>
          <w:p>
            <w:pPr>
              <w:spacing w:after="0"/>
              <w:rPr>
                <w:sz w:val="9"/>
                <w:szCs w:val="9"/>
                <w:color w:val="auto"/>
              </w:rPr>
            </w:pPr>
          </w:p>
        </w:tc>
        <w:tc>
          <w:tcPr>
            <w:tcW w:w="3200" w:type="dxa"/>
            <w:vAlign w:val="bottom"/>
            <w:tcBorders>
              <w:bottom w:val="single" w:sz="8" w:color="0000EE"/>
            </w:tcBorders>
            <w:gridSpan w:val="5"/>
          </w:tcPr>
          <w:p>
            <w:pPr>
              <w:spacing w:after="0" w:line="111" w:lineRule="exact"/>
              <w:rPr>
                <w:rFonts w:ascii="Times New Roman" w:cs="Times New Roman" w:eastAsia="Times New Roman" w:hAnsi="Times New Roman"/>
                <w:sz w:val="11"/>
                <w:szCs w:val="11"/>
                <w:color w:val="0000FF"/>
              </w:rPr>
            </w:pPr>
            <w:hyperlink r:id="rId92">
              <w:r>
                <w:rPr>
                  <w:rFonts w:ascii="Times New Roman" w:cs="Times New Roman" w:eastAsia="Times New Roman" w:hAnsi="Times New Roman"/>
                  <w:sz w:val="11"/>
                  <w:szCs w:val="11"/>
                  <w:color w:val="0000FF"/>
                </w:rPr>
                <w:t>Report on Form 10-Q (File No. 814-00891), filed on August 07, 2024).</w:t>
              </w:r>
            </w:hyperlink>
          </w:p>
        </w:tc>
        <w:tc>
          <w:tcPr>
            <w:tcW w:w="3740" w:type="dxa"/>
            <w:vAlign w:val="bottom"/>
            <w:gridSpan w:val="15"/>
          </w:tcPr>
          <w:p>
            <w:pPr>
              <w:spacing w:after="0"/>
              <w:rPr>
                <w:sz w:val="9"/>
                <w:szCs w:val="9"/>
                <w:color w:val="auto"/>
              </w:rPr>
            </w:pPr>
          </w:p>
        </w:tc>
      </w:tr>
      <w:tr>
        <w:trPr>
          <w:trHeight w:val="212"/>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3.3</w:t>
            </w:r>
          </w:p>
        </w:tc>
        <w:tc>
          <w:tcPr>
            <w:tcW w:w="6900" w:type="dxa"/>
            <w:vAlign w:val="bottom"/>
            <w:tcBorders>
              <w:bottom w:val="single" w:sz="8" w:color="0000EE"/>
            </w:tcBorders>
            <w:gridSpan w:val="19"/>
          </w:tcPr>
          <w:p>
            <w:pPr>
              <w:spacing w:after="0"/>
              <w:rPr>
                <w:rFonts w:ascii="Times New Roman" w:cs="Times New Roman" w:eastAsia="Times New Roman" w:hAnsi="Times New Roman"/>
                <w:sz w:val="11"/>
                <w:szCs w:val="11"/>
                <w:color w:val="0000FF"/>
              </w:rPr>
            </w:pPr>
            <w:hyperlink r:id="rId93">
              <w:r>
                <w:rPr>
                  <w:rFonts w:ascii="Times New Roman" w:cs="Times New Roman" w:eastAsia="Times New Roman" w:hAnsi="Times New Roman"/>
                  <w:sz w:val="11"/>
                  <w:szCs w:val="11"/>
                  <w:color w:val="0000FF"/>
                </w:rPr>
                <w:t>Second Amended and Restated Bylaws of the Registrant (Incorporated by reference to Exhibit 3.2 to the Registrant's Quarterly Report on Form 10-Q (File</w:t>
              </w:r>
            </w:hyperlink>
          </w:p>
        </w:tc>
        <w:tc>
          <w:tcPr>
            <w:tcW w:w="40" w:type="dxa"/>
            <w:vAlign w:val="bottom"/>
          </w:tcPr>
          <w:p>
            <w:pPr>
              <w:spacing w:after="0"/>
              <w:rPr>
                <w:sz w:val="18"/>
                <w:szCs w:val="18"/>
                <w:color w:val="auto"/>
              </w:rPr>
            </w:pPr>
          </w:p>
        </w:tc>
      </w:tr>
      <w:tr>
        <w:trPr>
          <w:trHeight w:val="111"/>
        </w:trPr>
        <w:tc>
          <w:tcPr>
            <w:tcW w:w="520" w:type="dxa"/>
            <w:vAlign w:val="bottom"/>
          </w:tcPr>
          <w:p>
            <w:pPr>
              <w:spacing w:after="0"/>
              <w:rPr>
                <w:sz w:val="9"/>
                <w:szCs w:val="9"/>
                <w:color w:val="auto"/>
              </w:rPr>
            </w:pPr>
          </w:p>
        </w:tc>
        <w:tc>
          <w:tcPr>
            <w:tcW w:w="1880" w:type="dxa"/>
            <w:vAlign w:val="bottom"/>
            <w:tcBorders>
              <w:bottom w:val="single" w:sz="8" w:color="0000EE"/>
            </w:tcBorders>
            <w:gridSpan w:val="2"/>
          </w:tcPr>
          <w:p>
            <w:pPr>
              <w:spacing w:after="0" w:line="111" w:lineRule="exact"/>
              <w:rPr>
                <w:rFonts w:ascii="Times New Roman" w:cs="Times New Roman" w:eastAsia="Times New Roman" w:hAnsi="Times New Roman"/>
                <w:sz w:val="11"/>
                <w:szCs w:val="11"/>
                <w:color w:val="0000FF"/>
              </w:rPr>
            </w:pPr>
            <w:hyperlink r:id="rId93">
              <w:r>
                <w:rPr>
                  <w:rFonts w:ascii="Times New Roman" w:cs="Times New Roman" w:eastAsia="Times New Roman" w:hAnsi="Times New Roman"/>
                  <w:sz w:val="11"/>
                  <w:szCs w:val="11"/>
                  <w:color w:val="0000FF"/>
                </w:rPr>
                <w:t>No. 814-00891), filed on May 11, 2020).</w:t>
              </w:r>
            </w:hyperlink>
          </w:p>
        </w:tc>
        <w:tc>
          <w:tcPr>
            <w:tcW w:w="5060" w:type="dxa"/>
            <w:vAlign w:val="bottom"/>
            <w:gridSpan w:val="18"/>
          </w:tcPr>
          <w:p>
            <w:pPr>
              <w:spacing w:after="0"/>
              <w:rPr>
                <w:sz w:val="9"/>
                <w:szCs w:val="9"/>
                <w:color w:val="auto"/>
              </w:rPr>
            </w:pPr>
          </w:p>
        </w:tc>
      </w:tr>
      <w:tr>
        <w:trPr>
          <w:trHeight w:val="212"/>
        </w:trPr>
        <w:tc>
          <w:tcPr>
            <w:tcW w:w="520" w:type="dxa"/>
            <w:vAlign w:val="bottom"/>
          </w:tcPr>
          <w:p>
            <w:pPr>
              <w:ind w:left="20"/>
              <w:spacing w:after="0"/>
              <w:rPr>
                <w:sz w:val="20"/>
                <w:szCs w:val="20"/>
                <w:color w:val="auto"/>
              </w:rPr>
            </w:pPr>
            <w:r>
              <w:rPr>
                <w:rFonts w:ascii="Times New Roman" w:cs="Times New Roman" w:eastAsia="Times New Roman" w:hAnsi="Times New Roman"/>
                <w:sz w:val="9"/>
                <w:szCs w:val="9"/>
                <w:color w:val="auto"/>
              </w:rPr>
              <w:t>4.1</w:t>
            </w:r>
          </w:p>
        </w:tc>
        <w:tc>
          <w:tcPr>
            <w:tcW w:w="6880" w:type="dxa"/>
            <w:vAlign w:val="bottom"/>
            <w:tcBorders>
              <w:bottom w:val="single" w:sz="8" w:color="0000EE"/>
            </w:tcBorders>
            <w:gridSpan w:val="18"/>
          </w:tcPr>
          <w:p>
            <w:pPr>
              <w:spacing w:after="0"/>
              <w:rPr>
                <w:rFonts w:ascii="Times New Roman" w:cs="Times New Roman" w:eastAsia="Times New Roman" w:hAnsi="Times New Roman"/>
                <w:sz w:val="11"/>
                <w:szCs w:val="11"/>
                <w:color w:val="0000FF"/>
              </w:rPr>
            </w:pPr>
            <w:hyperlink r:id="rId94">
              <w:r>
                <w:rPr>
                  <w:rFonts w:ascii="Times New Roman" w:cs="Times New Roman" w:eastAsia="Times New Roman" w:hAnsi="Times New Roman"/>
                  <w:sz w:val="11"/>
                  <w:szCs w:val="11"/>
                  <w:color w:val="0000FF"/>
                </w:rPr>
                <w:t>Form of Share Certificate (Incorporated by reference to Exhibit 99(D) to the Registrant's Pre-Effective Amendment No. 5 to the Registration Statement on</w:t>
              </w:r>
            </w:hyperlink>
          </w:p>
        </w:tc>
        <w:tc>
          <w:tcPr>
            <w:tcW w:w="60" w:type="dxa"/>
            <w:vAlign w:val="bottom"/>
            <w:gridSpan w:val="2"/>
          </w:tcPr>
          <w:p>
            <w:pPr>
              <w:spacing w:after="0"/>
              <w:rPr>
                <w:sz w:val="18"/>
                <w:szCs w:val="18"/>
                <w:color w:val="auto"/>
              </w:rPr>
            </w:pPr>
          </w:p>
        </w:tc>
      </w:tr>
      <w:tr>
        <w:trPr>
          <w:trHeight w:val="111"/>
        </w:trPr>
        <w:tc>
          <w:tcPr>
            <w:tcW w:w="520" w:type="dxa"/>
            <w:vAlign w:val="bottom"/>
          </w:tcPr>
          <w:p>
            <w:pPr>
              <w:spacing w:after="0"/>
              <w:rPr>
                <w:sz w:val="9"/>
                <w:szCs w:val="9"/>
                <w:color w:val="auto"/>
              </w:rPr>
            </w:pPr>
          </w:p>
        </w:tc>
        <w:tc>
          <w:tcPr>
            <w:tcW w:w="2580" w:type="dxa"/>
            <w:vAlign w:val="bottom"/>
            <w:tcBorders>
              <w:bottom w:val="single" w:sz="8" w:color="0000EE"/>
            </w:tcBorders>
            <w:gridSpan w:val="3"/>
          </w:tcPr>
          <w:p>
            <w:pPr>
              <w:spacing w:after="0" w:line="111" w:lineRule="exact"/>
              <w:rPr>
                <w:rFonts w:ascii="Times New Roman" w:cs="Times New Roman" w:eastAsia="Times New Roman" w:hAnsi="Times New Roman"/>
                <w:sz w:val="11"/>
                <w:szCs w:val="11"/>
                <w:color w:val="0000FF"/>
              </w:rPr>
            </w:pPr>
            <w:hyperlink r:id="rId94">
              <w:r>
                <w:rPr>
                  <w:rFonts w:ascii="Times New Roman" w:cs="Times New Roman" w:eastAsia="Times New Roman" w:hAnsi="Times New Roman"/>
                  <w:sz w:val="11"/>
                  <w:szCs w:val="11"/>
                  <w:color w:val="0000FF"/>
                </w:rPr>
                <w:t>Form N-2 (File No. 333-170243), filed on April 5, 2011).</w:t>
              </w:r>
            </w:hyperlink>
          </w:p>
        </w:tc>
        <w:tc>
          <w:tcPr>
            <w:tcW w:w="4360" w:type="dxa"/>
            <w:vAlign w:val="bottom"/>
            <w:gridSpan w:val="17"/>
          </w:tcPr>
          <w:p>
            <w:pPr>
              <w:spacing w:after="0"/>
              <w:rPr>
                <w:sz w:val="9"/>
                <w:szCs w:val="9"/>
                <w:color w:val="auto"/>
              </w:rPr>
            </w:pPr>
          </w:p>
        </w:tc>
      </w:tr>
      <w:tr>
        <w:trPr>
          <w:trHeight w:val="474"/>
        </w:trPr>
        <w:tc>
          <w:tcPr>
            <w:tcW w:w="520" w:type="dxa"/>
            <w:vAlign w:val="bottom"/>
          </w:tcPr>
          <w:p>
            <w:pPr>
              <w:jc w:val="right"/>
              <w:ind w:right="285"/>
              <w:spacing w:after="0"/>
              <w:rPr>
                <w:sz w:val="20"/>
                <w:szCs w:val="20"/>
                <w:color w:val="auto"/>
              </w:rPr>
            </w:pPr>
            <w:r>
              <w:rPr>
                <w:rFonts w:ascii="Times New Roman" w:cs="Times New Roman" w:eastAsia="Times New Roman" w:hAnsi="Times New Roman"/>
                <w:sz w:val="11"/>
                <w:szCs w:val="11"/>
                <w:color w:val="auto"/>
                <w:w w:val="82"/>
              </w:rPr>
              <w:t>10.1</w:t>
            </w:r>
          </w:p>
        </w:tc>
        <w:tc>
          <w:tcPr>
            <w:tcW w:w="6640" w:type="dxa"/>
            <w:vAlign w:val="bottom"/>
            <w:tcBorders>
              <w:bottom w:val="single" w:sz="8" w:color="0000EE"/>
            </w:tcBorders>
            <w:gridSpan w:val="12"/>
          </w:tcPr>
          <w:p>
            <w:pPr>
              <w:spacing w:after="0"/>
              <w:rPr>
                <w:rFonts w:ascii="Times New Roman" w:cs="Times New Roman" w:eastAsia="Times New Roman" w:hAnsi="Times New Roman"/>
                <w:sz w:val="11"/>
                <w:szCs w:val="11"/>
                <w:color w:val="0000FF"/>
              </w:rPr>
            </w:pPr>
            <w:hyperlink r:id="rId95">
              <w:r>
                <w:rPr>
                  <w:rFonts w:ascii="Times New Roman" w:cs="Times New Roman" w:eastAsia="Times New Roman" w:hAnsi="Times New Roman"/>
                  <w:sz w:val="11"/>
                  <w:szCs w:val="11"/>
                  <w:color w:val="0000FF"/>
                </w:rPr>
                <w:t>Fourth Amendment to Revolving Credit and Security Agreement, dated April 16, 2025, by and among PennantPark Floating Rate Funding I, LLC as</w:t>
              </w:r>
            </w:hyperlink>
          </w:p>
        </w:tc>
        <w:tc>
          <w:tcPr>
            <w:tcW w:w="300" w:type="dxa"/>
            <w:vAlign w:val="bottom"/>
            <w:gridSpan w:val="8"/>
          </w:tcPr>
          <w:p>
            <w:pPr>
              <w:spacing w:after="0"/>
              <w:rPr>
                <w:sz w:val="24"/>
                <w:szCs w:val="24"/>
                <w:color w:val="auto"/>
              </w:rPr>
            </w:pPr>
          </w:p>
        </w:tc>
      </w:tr>
      <w:tr>
        <w:trPr>
          <w:trHeight w:val="111"/>
        </w:trPr>
        <w:tc>
          <w:tcPr>
            <w:tcW w:w="520" w:type="dxa"/>
            <w:vAlign w:val="bottom"/>
          </w:tcPr>
          <w:p>
            <w:pPr>
              <w:spacing w:after="0"/>
              <w:rPr>
                <w:sz w:val="9"/>
                <w:szCs w:val="9"/>
                <w:color w:val="auto"/>
              </w:rPr>
            </w:pPr>
          </w:p>
        </w:tc>
        <w:tc>
          <w:tcPr>
            <w:tcW w:w="6820" w:type="dxa"/>
            <w:vAlign w:val="bottom"/>
            <w:tcBorders>
              <w:bottom w:val="single" w:sz="8" w:color="0000EE"/>
            </w:tcBorders>
            <w:gridSpan w:val="15"/>
          </w:tcPr>
          <w:p>
            <w:pPr>
              <w:spacing w:after="0" w:line="111" w:lineRule="exact"/>
              <w:rPr>
                <w:rFonts w:ascii="Times New Roman" w:cs="Times New Roman" w:eastAsia="Times New Roman" w:hAnsi="Times New Roman"/>
                <w:sz w:val="11"/>
                <w:szCs w:val="11"/>
                <w:color w:val="0000FF"/>
              </w:rPr>
            </w:pPr>
            <w:hyperlink r:id="rId95">
              <w:r>
                <w:rPr>
                  <w:rFonts w:ascii="Times New Roman" w:cs="Times New Roman" w:eastAsia="Times New Roman" w:hAnsi="Times New Roman"/>
                  <w:sz w:val="11"/>
                  <w:szCs w:val="11"/>
                  <w:color w:val="0000FF"/>
                </w:rPr>
                <w:t>borrower, PennantPark Investment Advisers, LLC as collateral manager, the lenders from time to time party thereto, Truist Bank, as administrative agent</w:t>
              </w:r>
            </w:hyperlink>
          </w:p>
        </w:tc>
        <w:tc>
          <w:tcPr>
            <w:tcW w:w="120" w:type="dxa"/>
            <w:vAlign w:val="bottom"/>
            <w:gridSpan w:val="5"/>
          </w:tcPr>
          <w:p>
            <w:pPr>
              <w:spacing w:after="0"/>
              <w:rPr>
                <w:sz w:val="9"/>
                <w:szCs w:val="9"/>
                <w:color w:val="auto"/>
              </w:rPr>
            </w:pPr>
          </w:p>
        </w:tc>
      </w:tr>
      <w:tr>
        <w:trPr>
          <w:trHeight w:val="111"/>
        </w:trPr>
        <w:tc>
          <w:tcPr>
            <w:tcW w:w="520" w:type="dxa"/>
            <w:vAlign w:val="bottom"/>
          </w:tcPr>
          <w:p>
            <w:pPr>
              <w:spacing w:after="0"/>
              <w:rPr>
                <w:sz w:val="9"/>
                <w:szCs w:val="9"/>
                <w:color w:val="auto"/>
              </w:rPr>
            </w:pPr>
          </w:p>
        </w:tc>
        <w:tc>
          <w:tcPr>
            <w:tcW w:w="6680" w:type="dxa"/>
            <w:vAlign w:val="bottom"/>
            <w:tcBorders>
              <w:bottom w:val="single" w:sz="8" w:color="0000EE"/>
            </w:tcBorders>
            <w:gridSpan w:val="13"/>
          </w:tcPr>
          <w:p>
            <w:pPr>
              <w:spacing w:after="0" w:line="111" w:lineRule="exact"/>
              <w:rPr>
                <w:rFonts w:ascii="Times New Roman" w:cs="Times New Roman" w:eastAsia="Times New Roman" w:hAnsi="Times New Roman"/>
                <w:sz w:val="11"/>
                <w:szCs w:val="11"/>
                <w:color w:val="0000FF"/>
              </w:rPr>
            </w:pPr>
            <w:hyperlink r:id="rId95">
              <w:r>
                <w:rPr>
                  <w:rFonts w:ascii="Times New Roman" w:cs="Times New Roman" w:eastAsia="Times New Roman" w:hAnsi="Times New Roman"/>
                  <w:sz w:val="11"/>
                  <w:szCs w:val="11"/>
                  <w:color w:val="0000FF"/>
                </w:rPr>
                <w:t>for the secured parties and swingline lender, Fifth Third Bank, National Association as Documentation Agent and U.S Bank Trust Company, National</w:t>
              </w:r>
            </w:hyperlink>
          </w:p>
        </w:tc>
        <w:tc>
          <w:tcPr>
            <w:tcW w:w="260" w:type="dxa"/>
            <w:vAlign w:val="bottom"/>
            <w:gridSpan w:val="7"/>
          </w:tcPr>
          <w:p>
            <w:pPr>
              <w:spacing w:after="0"/>
              <w:rPr>
                <w:sz w:val="9"/>
                <w:szCs w:val="9"/>
                <w:color w:val="auto"/>
              </w:rPr>
            </w:pPr>
          </w:p>
        </w:tc>
      </w:tr>
      <w:tr>
        <w:trPr>
          <w:trHeight w:val="111"/>
        </w:trPr>
        <w:tc>
          <w:tcPr>
            <w:tcW w:w="520" w:type="dxa"/>
            <w:vAlign w:val="bottom"/>
          </w:tcPr>
          <w:p>
            <w:pPr>
              <w:spacing w:after="0"/>
              <w:rPr>
                <w:sz w:val="9"/>
                <w:szCs w:val="9"/>
                <w:color w:val="auto"/>
              </w:rPr>
            </w:pPr>
          </w:p>
        </w:tc>
        <w:tc>
          <w:tcPr>
            <w:tcW w:w="6840" w:type="dxa"/>
            <w:vAlign w:val="bottom"/>
            <w:tcBorders>
              <w:bottom w:val="single" w:sz="8" w:color="0000EE"/>
            </w:tcBorders>
            <w:gridSpan w:val="16"/>
          </w:tcPr>
          <w:p>
            <w:pPr>
              <w:spacing w:after="0" w:line="111" w:lineRule="exact"/>
              <w:rPr>
                <w:rFonts w:ascii="Times New Roman" w:cs="Times New Roman" w:eastAsia="Times New Roman" w:hAnsi="Times New Roman"/>
                <w:sz w:val="11"/>
                <w:szCs w:val="11"/>
                <w:color w:val="0000FF"/>
              </w:rPr>
            </w:pPr>
            <w:hyperlink r:id="rId95">
              <w:r>
                <w:rPr>
                  <w:rFonts w:ascii="Times New Roman" w:cs="Times New Roman" w:eastAsia="Times New Roman" w:hAnsi="Times New Roman"/>
                  <w:sz w:val="11"/>
                  <w:szCs w:val="11"/>
                  <w:color w:val="0000FF"/>
                </w:rPr>
                <w:t>Association, as collateral agent, collateral administrator and back-up collateral administrator (Incorporated by reference to Exhibit 10.1 to the Registrant's</w:t>
              </w:r>
            </w:hyperlink>
          </w:p>
        </w:tc>
        <w:tc>
          <w:tcPr>
            <w:tcW w:w="100" w:type="dxa"/>
            <w:vAlign w:val="bottom"/>
            <w:gridSpan w:val="4"/>
          </w:tcPr>
          <w:p>
            <w:pPr>
              <w:spacing w:after="0"/>
              <w:rPr>
                <w:sz w:val="9"/>
                <w:szCs w:val="9"/>
                <w:color w:val="auto"/>
              </w:rPr>
            </w:pPr>
          </w:p>
        </w:tc>
      </w:tr>
      <w:tr>
        <w:trPr>
          <w:trHeight w:val="111"/>
        </w:trPr>
        <w:tc>
          <w:tcPr>
            <w:tcW w:w="520" w:type="dxa"/>
            <w:vAlign w:val="bottom"/>
          </w:tcPr>
          <w:p>
            <w:pPr>
              <w:spacing w:after="0"/>
              <w:rPr>
                <w:sz w:val="9"/>
                <w:szCs w:val="9"/>
                <w:color w:val="auto"/>
              </w:rPr>
            </w:pPr>
          </w:p>
        </w:tc>
        <w:tc>
          <w:tcPr>
            <w:tcW w:w="6940" w:type="dxa"/>
            <w:vAlign w:val="bottom"/>
            <w:gridSpan w:val="20"/>
          </w:tcPr>
          <w:p>
            <w:pPr>
              <w:spacing w:after="0" w:line="111" w:lineRule="exact"/>
              <w:rPr>
                <w:rFonts w:ascii="Times New Roman" w:cs="Times New Roman" w:eastAsia="Times New Roman" w:hAnsi="Times New Roman"/>
                <w:sz w:val="11"/>
                <w:szCs w:val="11"/>
                <w:color w:val="0000FF"/>
              </w:rPr>
            </w:pPr>
            <w:hyperlink r:id="rId95">
              <w:r>
                <w:rPr>
                  <w:rFonts w:ascii="Times New Roman" w:cs="Times New Roman" w:eastAsia="Times New Roman" w:hAnsi="Times New Roman"/>
                  <w:sz w:val="11"/>
                  <w:szCs w:val="11"/>
                  <w:color w:val="0000FF"/>
                </w:rPr>
                <w:t>Current Report on Form 8-K (File No. 814-00891). filed on April 22, 2025).</w:t>
              </w:r>
            </w:hyperlink>
          </w:p>
        </w:tc>
      </w:tr>
      <w:tr>
        <w:trPr>
          <w:trHeight w:val="20"/>
        </w:trPr>
        <w:tc>
          <w:tcPr>
            <w:tcW w:w="5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2"/>
        </w:trPr>
        <w:tc>
          <w:tcPr>
            <w:tcW w:w="520" w:type="dxa"/>
            <w:vAlign w:val="bottom"/>
          </w:tcPr>
          <w:p>
            <w:pPr>
              <w:jc w:val="right"/>
              <w:ind w:right="285"/>
              <w:spacing w:after="0"/>
              <w:rPr>
                <w:sz w:val="20"/>
                <w:szCs w:val="20"/>
                <w:color w:val="auto"/>
              </w:rPr>
            </w:pPr>
            <w:r>
              <w:rPr>
                <w:rFonts w:ascii="Times New Roman" w:cs="Times New Roman" w:eastAsia="Times New Roman" w:hAnsi="Times New Roman"/>
                <w:sz w:val="11"/>
                <w:szCs w:val="11"/>
                <w:color w:val="auto"/>
                <w:w w:val="82"/>
              </w:rPr>
              <w:t>10.2</w:t>
            </w:r>
          </w:p>
        </w:tc>
        <w:tc>
          <w:tcPr>
            <w:tcW w:w="6640" w:type="dxa"/>
            <w:vAlign w:val="bottom"/>
            <w:tcBorders>
              <w:bottom w:val="single" w:sz="8" w:color="0000EE"/>
            </w:tcBorders>
            <w:gridSpan w:val="12"/>
          </w:tcPr>
          <w:p>
            <w:pPr>
              <w:spacing w:after="0"/>
              <w:rPr>
                <w:rFonts w:ascii="Times New Roman" w:cs="Times New Roman" w:eastAsia="Times New Roman" w:hAnsi="Times New Roman"/>
                <w:sz w:val="11"/>
                <w:szCs w:val="11"/>
                <w:color w:val="0000FF"/>
              </w:rPr>
            </w:pPr>
            <w:hyperlink r:id="rId96">
              <w:r>
                <w:rPr>
                  <w:rFonts w:ascii="Times New Roman" w:cs="Times New Roman" w:eastAsia="Times New Roman" w:hAnsi="Times New Roman"/>
                  <w:sz w:val="11"/>
                  <w:szCs w:val="11"/>
                  <w:color w:val="0000FF"/>
                </w:rPr>
                <w:t>Fifth Amendment to Revolving Credit and Security Agreement, dated August 04, 2025, by and among PennantPark Floating Rate Funding I, LLC as</w:t>
              </w:r>
            </w:hyperlink>
          </w:p>
        </w:tc>
        <w:tc>
          <w:tcPr>
            <w:tcW w:w="300" w:type="dxa"/>
            <w:vAlign w:val="bottom"/>
            <w:gridSpan w:val="8"/>
          </w:tcPr>
          <w:p>
            <w:pPr>
              <w:spacing w:after="0"/>
              <w:rPr>
                <w:sz w:val="21"/>
                <w:szCs w:val="21"/>
                <w:color w:val="auto"/>
              </w:rPr>
            </w:pPr>
          </w:p>
        </w:tc>
      </w:tr>
      <w:tr>
        <w:trPr>
          <w:trHeight w:val="111"/>
        </w:trPr>
        <w:tc>
          <w:tcPr>
            <w:tcW w:w="520" w:type="dxa"/>
            <w:vAlign w:val="bottom"/>
          </w:tcPr>
          <w:p>
            <w:pPr>
              <w:spacing w:after="0"/>
              <w:rPr>
                <w:sz w:val="9"/>
                <w:szCs w:val="9"/>
                <w:color w:val="auto"/>
              </w:rPr>
            </w:pPr>
          </w:p>
        </w:tc>
        <w:tc>
          <w:tcPr>
            <w:tcW w:w="6820" w:type="dxa"/>
            <w:vAlign w:val="bottom"/>
            <w:tcBorders>
              <w:bottom w:val="single" w:sz="8" w:color="0000EE"/>
            </w:tcBorders>
            <w:gridSpan w:val="15"/>
          </w:tcPr>
          <w:p>
            <w:pPr>
              <w:spacing w:after="0" w:line="111" w:lineRule="exact"/>
              <w:rPr>
                <w:rFonts w:ascii="Times New Roman" w:cs="Times New Roman" w:eastAsia="Times New Roman" w:hAnsi="Times New Roman"/>
                <w:sz w:val="11"/>
                <w:szCs w:val="11"/>
                <w:color w:val="0000FF"/>
              </w:rPr>
            </w:pPr>
            <w:hyperlink r:id="rId96">
              <w:r>
                <w:rPr>
                  <w:rFonts w:ascii="Times New Roman" w:cs="Times New Roman" w:eastAsia="Times New Roman" w:hAnsi="Times New Roman"/>
                  <w:sz w:val="11"/>
                  <w:szCs w:val="11"/>
                  <w:color w:val="0000FF"/>
                </w:rPr>
                <w:t>borrower, PennantPark Investment Advisers, LLC as collateral manager, the lenders from time to time party thereto, Truist Bank, as administrative agent</w:t>
              </w:r>
            </w:hyperlink>
          </w:p>
        </w:tc>
        <w:tc>
          <w:tcPr>
            <w:tcW w:w="120" w:type="dxa"/>
            <w:vAlign w:val="bottom"/>
            <w:gridSpan w:val="5"/>
          </w:tcPr>
          <w:p>
            <w:pPr>
              <w:spacing w:after="0"/>
              <w:rPr>
                <w:sz w:val="9"/>
                <w:szCs w:val="9"/>
                <w:color w:val="auto"/>
              </w:rPr>
            </w:pPr>
          </w:p>
        </w:tc>
      </w:tr>
      <w:tr>
        <w:trPr>
          <w:trHeight w:val="111"/>
        </w:trPr>
        <w:tc>
          <w:tcPr>
            <w:tcW w:w="520" w:type="dxa"/>
            <w:vAlign w:val="bottom"/>
          </w:tcPr>
          <w:p>
            <w:pPr>
              <w:spacing w:after="0"/>
              <w:rPr>
                <w:sz w:val="9"/>
                <w:szCs w:val="9"/>
                <w:color w:val="auto"/>
              </w:rPr>
            </w:pPr>
          </w:p>
        </w:tc>
        <w:tc>
          <w:tcPr>
            <w:tcW w:w="6680" w:type="dxa"/>
            <w:vAlign w:val="bottom"/>
            <w:tcBorders>
              <w:bottom w:val="single" w:sz="8" w:color="0000EE"/>
            </w:tcBorders>
            <w:gridSpan w:val="13"/>
          </w:tcPr>
          <w:p>
            <w:pPr>
              <w:spacing w:after="0" w:line="111" w:lineRule="exact"/>
              <w:rPr>
                <w:rFonts w:ascii="Times New Roman" w:cs="Times New Roman" w:eastAsia="Times New Roman" w:hAnsi="Times New Roman"/>
                <w:sz w:val="11"/>
                <w:szCs w:val="11"/>
                <w:color w:val="0000FF"/>
              </w:rPr>
            </w:pPr>
            <w:hyperlink r:id="rId96">
              <w:r>
                <w:rPr>
                  <w:rFonts w:ascii="Times New Roman" w:cs="Times New Roman" w:eastAsia="Times New Roman" w:hAnsi="Times New Roman"/>
                  <w:sz w:val="11"/>
                  <w:szCs w:val="11"/>
                  <w:color w:val="0000FF"/>
                </w:rPr>
                <w:t>for the secured parties and swingline lender, Fifth Third Bank, National Association as Documentation Agent and U.S Bank Trust Company, National</w:t>
              </w:r>
            </w:hyperlink>
          </w:p>
        </w:tc>
        <w:tc>
          <w:tcPr>
            <w:tcW w:w="260" w:type="dxa"/>
            <w:vAlign w:val="bottom"/>
            <w:gridSpan w:val="7"/>
          </w:tcPr>
          <w:p>
            <w:pPr>
              <w:spacing w:after="0"/>
              <w:rPr>
                <w:sz w:val="9"/>
                <w:szCs w:val="9"/>
                <w:color w:val="auto"/>
              </w:rPr>
            </w:pPr>
          </w:p>
        </w:tc>
      </w:tr>
      <w:tr>
        <w:trPr>
          <w:trHeight w:val="111"/>
        </w:trPr>
        <w:tc>
          <w:tcPr>
            <w:tcW w:w="520" w:type="dxa"/>
            <w:vAlign w:val="bottom"/>
          </w:tcPr>
          <w:p>
            <w:pPr>
              <w:spacing w:after="0"/>
              <w:rPr>
                <w:sz w:val="9"/>
                <w:szCs w:val="9"/>
                <w:color w:val="auto"/>
              </w:rPr>
            </w:pPr>
          </w:p>
        </w:tc>
        <w:tc>
          <w:tcPr>
            <w:tcW w:w="6940" w:type="dxa"/>
            <w:vAlign w:val="bottom"/>
            <w:gridSpan w:val="20"/>
          </w:tcPr>
          <w:p>
            <w:pPr>
              <w:spacing w:after="0" w:line="111" w:lineRule="exact"/>
              <w:rPr>
                <w:rFonts w:ascii="Times New Roman" w:cs="Times New Roman" w:eastAsia="Times New Roman" w:hAnsi="Times New Roman"/>
                <w:sz w:val="11"/>
                <w:szCs w:val="11"/>
                <w:color w:val="0000FF"/>
              </w:rPr>
            </w:pPr>
            <w:hyperlink r:id="rId96">
              <w:r>
                <w:rPr>
                  <w:rFonts w:ascii="Times New Roman" w:cs="Times New Roman" w:eastAsia="Times New Roman" w:hAnsi="Times New Roman"/>
                  <w:sz w:val="11"/>
                  <w:szCs w:val="11"/>
                  <w:color w:val="0000FF"/>
                </w:rPr>
                <w:t>Association, as collateral agent, collateral administrator and back-up collateral administrator.</w:t>
              </w:r>
            </w:hyperlink>
          </w:p>
        </w:tc>
      </w:tr>
      <w:tr>
        <w:trPr>
          <w:trHeight w:val="20"/>
        </w:trPr>
        <w:tc>
          <w:tcPr>
            <w:tcW w:w="5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3"/>
        </w:trPr>
        <w:tc>
          <w:tcPr>
            <w:tcW w:w="52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88"/>
              </w:rPr>
              <w:t>10.3*</w:t>
            </w:r>
          </w:p>
        </w:tc>
        <w:tc>
          <w:tcPr>
            <w:tcW w:w="6800" w:type="dxa"/>
            <w:vAlign w:val="bottom"/>
            <w:tcBorders>
              <w:bottom w:val="single" w:sz="8" w:color="0000EE"/>
            </w:tcBorders>
            <w:gridSpan w:val="14"/>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Sixth Amendment to Revolving Credit and Security Agreement, dated November 13, 2025, by and among PennantPark Floating Rate Funding I, LLC as</w:t>
              </w:r>
            </w:hyperlink>
          </w:p>
        </w:tc>
        <w:tc>
          <w:tcPr>
            <w:tcW w:w="140" w:type="dxa"/>
            <w:vAlign w:val="bottom"/>
            <w:gridSpan w:val="6"/>
          </w:tcPr>
          <w:p>
            <w:pPr>
              <w:spacing w:after="0"/>
              <w:rPr>
                <w:sz w:val="24"/>
                <w:szCs w:val="24"/>
                <w:color w:val="auto"/>
              </w:rPr>
            </w:pPr>
          </w:p>
        </w:tc>
      </w:tr>
      <w:tr>
        <w:trPr>
          <w:trHeight w:val="111"/>
        </w:trPr>
        <w:tc>
          <w:tcPr>
            <w:tcW w:w="520" w:type="dxa"/>
            <w:vAlign w:val="bottom"/>
          </w:tcPr>
          <w:p>
            <w:pPr>
              <w:spacing w:after="0"/>
              <w:rPr>
                <w:sz w:val="9"/>
                <w:szCs w:val="9"/>
                <w:color w:val="auto"/>
              </w:rPr>
            </w:pPr>
          </w:p>
        </w:tc>
        <w:tc>
          <w:tcPr>
            <w:tcW w:w="6820" w:type="dxa"/>
            <w:vAlign w:val="bottom"/>
            <w:tcBorders>
              <w:bottom w:val="single" w:sz="8" w:color="0000EE"/>
            </w:tcBorders>
            <w:gridSpan w:val="15"/>
          </w:tcPr>
          <w:p>
            <w:pPr>
              <w:spacing w:after="0" w:line="111" w:lineRule="exact"/>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borrower, PennantPark Investment Advisers, LLC as collateral manager, the lenders from time to time party thereto, Truist Bank, as administrative agent</w:t>
              </w:r>
            </w:hyperlink>
          </w:p>
        </w:tc>
        <w:tc>
          <w:tcPr>
            <w:tcW w:w="120" w:type="dxa"/>
            <w:vAlign w:val="bottom"/>
            <w:gridSpan w:val="5"/>
          </w:tcPr>
          <w:p>
            <w:pPr>
              <w:spacing w:after="0"/>
              <w:rPr>
                <w:sz w:val="9"/>
                <w:szCs w:val="9"/>
                <w:color w:val="auto"/>
              </w:rPr>
            </w:pPr>
          </w:p>
        </w:tc>
      </w:tr>
      <w:tr>
        <w:trPr>
          <w:trHeight w:val="111"/>
        </w:trPr>
        <w:tc>
          <w:tcPr>
            <w:tcW w:w="520" w:type="dxa"/>
            <w:vAlign w:val="bottom"/>
          </w:tcPr>
          <w:p>
            <w:pPr>
              <w:spacing w:after="0"/>
              <w:rPr>
                <w:sz w:val="9"/>
                <w:szCs w:val="9"/>
                <w:color w:val="auto"/>
              </w:rPr>
            </w:pPr>
          </w:p>
        </w:tc>
        <w:tc>
          <w:tcPr>
            <w:tcW w:w="6680" w:type="dxa"/>
            <w:vAlign w:val="bottom"/>
            <w:tcBorders>
              <w:bottom w:val="single" w:sz="8" w:color="0000EE"/>
            </w:tcBorders>
            <w:gridSpan w:val="13"/>
          </w:tcPr>
          <w:p>
            <w:pPr>
              <w:spacing w:after="0" w:line="111" w:lineRule="exact"/>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for the secured parties and swingline lender, Fifth Third Bank, National Association as Documentation Agent and U.S Bank Trust Company, National</w:t>
              </w:r>
            </w:hyperlink>
          </w:p>
        </w:tc>
        <w:tc>
          <w:tcPr>
            <w:tcW w:w="260" w:type="dxa"/>
            <w:vAlign w:val="bottom"/>
            <w:gridSpan w:val="7"/>
          </w:tcPr>
          <w:p>
            <w:pPr>
              <w:spacing w:after="0"/>
              <w:rPr>
                <w:sz w:val="9"/>
                <w:szCs w:val="9"/>
                <w:color w:val="auto"/>
              </w:rPr>
            </w:pPr>
          </w:p>
        </w:tc>
      </w:tr>
      <w:tr>
        <w:trPr>
          <w:trHeight w:val="111"/>
        </w:trPr>
        <w:tc>
          <w:tcPr>
            <w:tcW w:w="520" w:type="dxa"/>
            <w:vAlign w:val="bottom"/>
          </w:tcPr>
          <w:p>
            <w:pPr>
              <w:spacing w:after="0"/>
              <w:rPr>
                <w:sz w:val="9"/>
                <w:szCs w:val="9"/>
                <w:color w:val="auto"/>
              </w:rPr>
            </w:pPr>
          </w:p>
        </w:tc>
        <w:tc>
          <w:tcPr>
            <w:tcW w:w="6940" w:type="dxa"/>
            <w:vAlign w:val="bottom"/>
            <w:gridSpan w:val="20"/>
          </w:tcPr>
          <w:p>
            <w:pPr>
              <w:spacing w:after="0" w:line="111" w:lineRule="exact"/>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Association, as collateral agent, collateral administrator and back-up collateral administrator.</w:t>
              </w:r>
            </w:hyperlink>
          </w:p>
        </w:tc>
      </w:tr>
      <w:tr>
        <w:trPr>
          <w:trHeight w:val="20"/>
        </w:trPr>
        <w:tc>
          <w:tcPr>
            <w:tcW w:w="5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2"/>
        </w:trPr>
        <w:tc>
          <w:tcPr>
            <w:tcW w:w="520" w:type="dxa"/>
            <w:vAlign w:val="bottom"/>
          </w:tcPr>
          <w:p>
            <w:pPr>
              <w:jc w:val="right"/>
              <w:ind w:right="285"/>
              <w:spacing w:after="0"/>
              <w:rPr>
                <w:sz w:val="20"/>
                <w:szCs w:val="20"/>
                <w:color w:val="auto"/>
              </w:rPr>
            </w:pPr>
            <w:r>
              <w:rPr>
                <w:rFonts w:ascii="Times New Roman" w:cs="Times New Roman" w:eastAsia="Times New Roman" w:hAnsi="Times New Roman"/>
                <w:sz w:val="11"/>
                <w:szCs w:val="11"/>
                <w:color w:val="auto"/>
                <w:w w:val="82"/>
              </w:rPr>
              <w:t>10.4</w:t>
            </w:r>
          </w:p>
        </w:tc>
        <w:tc>
          <w:tcPr>
            <w:tcW w:w="6900" w:type="dxa"/>
            <w:vAlign w:val="bottom"/>
            <w:tcBorders>
              <w:bottom w:val="single" w:sz="8" w:color="0000EE"/>
            </w:tcBorders>
            <w:gridSpan w:val="19"/>
          </w:tcPr>
          <w:p>
            <w:pPr>
              <w:spacing w:after="0"/>
              <w:rPr>
                <w:rFonts w:ascii="Times New Roman" w:cs="Times New Roman" w:eastAsia="Times New Roman" w:hAnsi="Times New Roman"/>
                <w:sz w:val="11"/>
                <w:szCs w:val="11"/>
                <w:color w:val="0000FF"/>
              </w:rPr>
            </w:pPr>
            <w:hyperlink r:id="rId97">
              <w:r>
                <w:rPr>
                  <w:rFonts w:ascii="Times New Roman" w:cs="Times New Roman" w:eastAsia="Times New Roman" w:hAnsi="Times New Roman"/>
                  <w:sz w:val="11"/>
                  <w:szCs w:val="11"/>
                  <w:color w:val="0000FF"/>
                </w:rPr>
                <w:t>Non-Recourse Carveout Guaranty Agreement, dated as of November 20, 2025, by and among PennantPark Floating Rate Capital Ltd., PennantPark Senior</w:t>
              </w:r>
            </w:hyperlink>
          </w:p>
        </w:tc>
        <w:tc>
          <w:tcPr>
            <w:tcW w:w="40" w:type="dxa"/>
            <w:vAlign w:val="bottom"/>
          </w:tcPr>
          <w:p>
            <w:pPr>
              <w:spacing w:after="0"/>
              <w:rPr>
                <w:sz w:val="21"/>
                <w:szCs w:val="21"/>
                <w:color w:val="auto"/>
              </w:rPr>
            </w:pPr>
          </w:p>
        </w:tc>
      </w:tr>
      <w:tr>
        <w:trPr>
          <w:trHeight w:val="111"/>
        </w:trPr>
        <w:tc>
          <w:tcPr>
            <w:tcW w:w="520" w:type="dxa"/>
            <w:vAlign w:val="bottom"/>
          </w:tcPr>
          <w:p>
            <w:pPr>
              <w:spacing w:after="0"/>
              <w:rPr>
                <w:sz w:val="9"/>
                <w:szCs w:val="9"/>
                <w:color w:val="auto"/>
              </w:rPr>
            </w:pPr>
          </w:p>
        </w:tc>
        <w:tc>
          <w:tcPr>
            <w:tcW w:w="6940" w:type="dxa"/>
            <w:vAlign w:val="bottom"/>
            <w:gridSpan w:val="20"/>
          </w:tcPr>
          <w:p>
            <w:pPr>
              <w:spacing w:after="0" w:line="111" w:lineRule="exact"/>
              <w:rPr>
                <w:rFonts w:ascii="Times New Roman" w:cs="Times New Roman" w:eastAsia="Times New Roman" w:hAnsi="Times New Roman"/>
                <w:sz w:val="11"/>
                <w:szCs w:val="11"/>
                <w:color w:val="0000FF"/>
              </w:rPr>
            </w:pPr>
            <w:hyperlink r:id="rId97">
              <w:r>
                <w:rPr>
                  <w:rFonts w:ascii="Times New Roman" w:cs="Times New Roman" w:eastAsia="Times New Roman" w:hAnsi="Times New Roman"/>
                  <w:sz w:val="11"/>
                  <w:szCs w:val="11"/>
                  <w:color w:val="0000FF"/>
                </w:rPr>
                <w:t>Secured Loan Fund II LLC and Goldman Sachs Bank USA.</w:t>
              </w:r>
            </w:hyperlink>
          </w:p>
        </w:tc>
      </w:tr>
      <w:tr>
        <w:trPr>
          <w:trHeight w:val="20"/>
        </w:trPr>
        <w:tc>
          <w:tcPr>
            <w:tcW w:w="5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r>
      <w:tr>
        <w:trPr>
          <w:trHeight w:val="242"/>
        </w:trPr>
        <w:tc>
          <w:tcPr>
            <w:tcW w:w="52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88"/>
              </w:rPr>
              <w:t>31.1*</w:t>
            </w:r>
          </w:p>
        </w:tc>
        <w:tc>
          <w:tcPr>
            <w:tcW w:w="6940" w:type="dxa"/>
            <w:vAlign w:val="bottom"/>
            <w:gridSpan w:val="20"/>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Certification of Chief Executive Officer pursuant to Rule 13a-14 of the Securities Exchange Act of 1934, as amended.</w:t>
              </w:r>
            </w:hyperlink>
          </w:p>
        </w:tc>
      </w:tr>
      <w:tr>
        <w:trPr>
          <w:trHeight w:val="212"/>
        </w:trPr>
        <w:tc>
          <w:tcPr>
            <w:tcW w:w="52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88"/>
              </w:rPr>
              <w:t>31.2*</w:t>
            </w:r>
          </w:p>
        </w:tc>
        <w:tc>
          <w:tcPr>
            <w:tcW w:w="522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Certification of Chief Financial Officer pursuant to Rule 13a-14 of the Securities Exchange Act of 1934, as amended.</w:t>
              </w:r>
            </w:hyperlink>
          </w:p>
        </w:tc>
        <w:tc>
          <w:tcPr>
            <w:tcW w:w="20" w:type="dxa"/>
            <w:vAlign w:val="bottom"/>
            <w:tcBorders>
              <w:top w:val="single" w:sz="8" w:color="0000EE"/>
            </w:tcBorders>
          </w:tcPr>
          <w:p>
            <w:pPr>
              <w:spacing w:after="0"/>
              <w:rPr>
                <w:sz w:val="18"/>
                <w:szCs w:val="18"/>
                <w:color w:val="auto"/>
              </w:rPr>
            </w:pPr>
          </w:p>
        </w:tc>
        <w:tc>
          <w:tcPr>
            <w:tcW w:w="1700" w:type="dxa"/>
            <w:vAlign w:val="bottom"/>
            <w:gridSpan w:val="9"/>
          </w:tcPr>
          <w:p>
            <w:pPr>
              <w:spacing w:after="0"/>
              <w:rPr>
                <w:sz w:val="18"/>
                <w:szCs w:val="18"/>
                <w:color w:val="auto"/>
              </w:rPr>
            </w:pPr>
          </w:p>
        </w:tc>
      </w:tr>
      <w:tr>
        <w:trPr>
          <w:trHeight w:val="212"/>
        </w:trPr>
        <w:tc>
          <w:tcPr>
            <w:tcW w:w="52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88"/>
              </w:rPr>
              <w:t>32.1*</w:t>
            </w:r>
          </w:p>
        </w:tc>
        <w:tc>
          <w:tcPr>
            <w:tcW w:w="6940" w:type="dxa"/>
            <w:vAlign w:val="bottom"/>
            <w:gridSpan w:val="20"/>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Certification of Chief Executive Officer pursuant to section 906 of The Sarbanes-Oxley Act of 2002.</w:t>
              </w:r>
            </w:hyperlink>
          </w:p>
        </w:tc>
      </w:tr>
      <w:tr>
        <w:trPr>
          <w:trHeight w:val="212"/>
        </w:trPr>
        <w:tc>
          <w:tcPr>
            <w:tcW w:w="52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88"/>
              </w:rPr>
              <w:t>32.2*</w:t>
            </w:r>
          </w:p>
        </w:tc>
        <w:tc>
          <w:tcPr>
            <w:tcW w:w="4460" w:type="dxa"/>
            <w:vAlign w:val="bottom"/>
            <w:tcBorders>
              <w:top w:val="single" w:sz="8" w:color="0000EE"/>
            </w:tcBorders>
            <w:gridSpan w:val="9"/>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Certification of Chief Financial Officer pursuant to section 906 of The Sarbanes-Oxley Act of 2002.</w:t>
              </w:r>
            </w:hyperlink>
          </w:p>
        </w:tc>
        <w:tc>
          <w:tcPr>
            <w:tcW w:w="2480" w:type="dxa"/>
            <w:vAlign w:val="bottom"/>
            <w:gridSpan w:val="11"/>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500" w:type="dxa"/>
            <w:vAlign w:val="bottom"/>
            <w:gridSpan w:val="7"/>
            <w:shd w:val="clear" w:color="auto" w:fill="0000EE"/>
          </w:tcPr>
          <w:p>
            <w:pPr>
              <w:spacing w:after="0" w:line="20" w:lineRule="exact"/>
              <w:rPr>
                <w:sz w:val="1"/>
                <w:szCs w:val="1"/>
                <w:color w:val="auto"/>
              </w:rPr>
            </w:pPr>
          </w:p>
        </w:tc>
        <w:tc>
          <w:tcPr>
            <w:tcW w:w="2500" w:type="dxa"/>
            <w:vAlign w:val="bottom"/>
            <w:gridSpan w:val="12"/>
          </w:tcPr>
          <w:p>
            <w:pPr>
              <w:spacing w:after="0" w:line="20" w:lineRule="exact"/>
              <w:rPr>
                <w:sz w:val="1"/>
                <w:szCs w:val="1"/>
                <w:color w:val="auto"/>
              </w:rPr>
            </w:pPr>
          </w:p>
        </w:tc>
      </w:tr>
      <w:tr>
        <w:trPr>
          <w:trHeight w:val="212"/>
        </w:trPr>
        <w:tc>
          <w:tcPr>
            <w:tcW w:w="520" w:type="dxa"/>
            <w:vAlign w:val="bottom"/>
          </w:tcPr>
          <w:p>
            <w:pPr>
              <w:jc w:val="right"/>
              <w:ind w:right="285"/>
              <w:spacing w:after="0"/>
              <w:rPr>
                <w:sz w:val="20"/>
                <w:szCs w:val="20"/>
                <w:color w:val="auto"/>
              </w:rPr>
            </w:pPr>
            <w:r>
              <w:rPr>
                <w:rFonts w:ascii="Times New Roman" w:cs="Times New Roman" w:eastAsia="Times New Roman" w:hAnsi="Times New Roman"/>
                <w:sz w:val="11"/>
                <w:szCs w:val="11"/>
                <w:color w:val="auto"/>
                <w:w w:val="82"/>
              </w:rPr>
              <w:t>99.1</w:t>
            </w:r>
          </w:p>
        </w:tc>
        <w:tc>
          <w:tcPr>
            <w:tcW w:w="6900" w:type="dxa"/>
            <w:vAlign w:val="bottom"/>
            <w:tcBorders>
              <w:bottom w:val="single" w:sz="8" w:color="0000EE"/>
            </w:tcBorders>
            <w:gridSpan w:val="19"/>
          </w:tcPr>
          <w:p>
            <w:pPr>
              <w:spacing w:after="0"/>
              <w:rPr>
                <w:rFonts w:ascii="Times New Roman" w:cs="Times New Roman" w:eastAsia="Times New Roman" w:hAnsi="Times New Roman"/>
                <w:sz w:val="11"/>
                <w:szCs w:val="11"/>
                <w:color w:val="0000FF"/>
              </w:rPr>
            </w:pPr>
            <w:hyperlink r:id="rId98">
              <w:r>
                <w:rPr>
                  <w:rFonts w:ascii="Times New Roman" w:cs="Times New Roman" w:eastAsia="Times New Roman" w:hAnsi="Times New Roman"/>
                  <w:sz w:val="11"/>
                  <w:szCs w:val="11"/>
                  <w:color w:val="0000FF"/>
                </w:rPr>
                <w:t>Privacy Policy of the Registrant (Incorporated by reference to Exhibit 99.1 to the Registrant’s Annual Report on Form 10-K (File No. 814-00891), filed on</w:t>
              </w:r>
            </w:hyperlink>
          </w:p>
        </w:tc>
        <w:tc>
          <w:tcPr>
            <w:tcW w:w="40" w:type="dxa"/>
            <w:vAlign w:val="bottom"/>
          </w:tcPr>
          <w:p>
            <w:pPr>
              <w:spacing w:after="0"/>
              <w:rPr>
                <w:sz w:val="18"/>
                <w:szCs w:val="18"/>
                <w:color w:val="auto"/>
              </w:rPr>
            </w:pPr>
          </w:p>
        </w:tc>
      </w:tr>
      <w:tr>
        <w:trPr>
          <w:trHeight w:val="111"/>
        </w:trPr>
        <w:tc>
          <w:tcPr>
            <w:tcW w:w="520" w:type="dxa"/>
            <w:vAlign w:val="bottom"/>
          </w:tcPr>
          <w:p>
            <w:pPr>
              <w:spacing w:after="0"/>
              <w:rPr>
                <w:sz w:val="9"/>
                <w:szCs w:val="9"/>
                <w:color w:val="auto"/>
              </w:rPr>
            </w:pPr>
          </w:p>
        </w:tc>
        <w:tc>
          <w:tcPr>
            <w:tcW w:w="6940" w:type="dxa"/>
            <w:vAlign w:val="bottom"/>
            <w:gridSpan w:val="20"/>
          </w:tcPr>
          <w:p>
            <w:pPr>
              <w:spacing w:after="0" w:line="111" w:lineRule="exact"/>
              <w:rPr>
                <w:rFonts w:ascii="Times New Roman" w:cs="Times New Roman" w:eastAsia="Times New Roman" w:hAnsi="Times New Roman"/>
                <w:sz w:val="11"/>
                <w:szCs w:val="11"/>
                <w:color w:val="0000FF"/>
              </w:rPr>
            </w:pPr>
            <w:hyperlink r:id="rId98">
              <w:r>
                <w:rPr>
                  <w:rFonts w:ascii="Times New Roman" w:cs="Times New Roman" w:eastAsia="Times New Roman" w:hAnsi="Times New Roman"/>
                  <w:sz w:val="11"/>
                  <w:szCs w:val="11"/>
                  <w:color w:val="0000FF"/>
                </w:rPr>
                <w:t>November 17, 2011).</w:t>
              </w:r>
            </w:hyperlink>
          </w:p>
        </w:tc>
      </w:tr>
      <w:tr>
        <w:trPr>
          <w:trHeight w:val="20"/>
        </w:trPr>
        <w:tc>
          <w:tcPr>
            <w:tcW w:w="5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-3202940</wp:posOffset>
            </wp:positionV>
            <wp:extent cx="635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81" w:lineRule="exact"/>
        <w:rPr>
          <w:sz w:val="20"/>
          <w:szCs w:val="20"/>
          <w:color w:val="auto"/>
        </w:rPr>
      </w:pPr>
    </w:p>
    <w:p>
      <w:pPr>
        <w:jc w:val="both"/>
        <w:ind w:left="1300" w:right="780" w:hanging="524"/>
        <w:spacing w:after="0" w:line="279" w:lineRule="auto"/>
        <w:tabs>
          <w:tab w:leader="none" w:pos="1280" w:val="left"/>
        </w:tabs>
        <w:rPr>
          <w:sz w:val="20"/>
          <w:szCs w:val="20"/>
          <w:color w:val="auto"/>
        </w:rPr>
      </w:pPr>
      <w:r>
        <w:rPr>
          <w:rFonts w:ascii="Times New Roman" w:cs="Times New Roman" w:eastAsia="Times New Roman" w:hAnsi="Times New Roman"/>
          <w:sz w:val="11"/>
          <w:szCs w:val="11"/>
          <w:color w:val="auto"/>
        </w:rPr>
        <w:t>101.INS*</w:t>
        <w:tab/>
        <w:t>Inline XBRL Instance Document-the instance document does not appear in the Interactive Data File as its XBRL tags are embedded within the Inline XBRL document</w:t>
      </w:r>
    </w:p>
    <w:p>
      <w:pPr>
        <w:spacing w:after="0" w:line="6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101.SCH* Inline XBRL Taxonomy Extension Schema With Embedded Linkbase Documents</w:t>
      </w:r>
    </w:p>
    <w:p>
      <w:pPr>
        <w:spacing w:after="0" w:line="1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101.CAL* Inline XBRL Taxonomy Extension Calculation Linkbase Document</w:t>
      </w:r>
    </w:p>
    <w:p>
      <w:pPr>
        <w:spacing w:after="0" w:line="1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101.DEF* Inline XBRL Taxonomy Extension Definition Linkbase Document</w:t>
      </w:r>
    </w:p>
    <w:p>
      <w:pPr>
        <w:spacing w:after="0" w:line="1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101.LAB* Inline XBRL Taxonomy Extension Label Linkbase Document</w:t>
      </w:r>
    </w:p>
    <w:p>
      <w:pPr>
        <w:spacing w:after="0" w:line="1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101.PRE*  Inline XBRL Taxonomy Extension Presentation Linkbase Document</w:t>
      </w:r>
    </w:p>
    <w:p>
      <w:pPr>
        <w:spacing w:after="0" w:line="106" w:lineRule="exact"/>
        <w:rPr>
          <w:sz w:val="20"/>
          <w:szCs w:val="20"/>
          <w:color w:val="auto"/>
        </w:rPr>
      </w:pPr>
    </w:p>
    <w:p>
      <w:pPr>
        <w:ind w:left="780" w:right="4700" w:hanging="5"/>
        <w:spacing w:after="0" w:line="516" w:lineRule="auto"/>
        <w:tabs>
          <w:tab w:leader="none" w:pos="1305"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Cover Page formatted as Inline XBRL and contained in Exhibit 101 * Filed herewith.</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355600</wp:posOffset>
            </wp:positionV>
            <wp:extent cx="526605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173" w:right="1440" w:bottom="1440" w:gutter="0" w:footer="0" w:header="0"/>
        </w:sectPr>
      </w:pPr>
    </w:p>
    <w:bookmarkStart w:id="79" w:name="page80"/>
    <w:bookmarkEnd w:id="79"/>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SIGNATURES</w:t>
      </w:r>
    </w:p>
    <w:p>
      <w:pPr>
        <w:spacing w:after="0" w:line="219" w:lineRule="exact"/>
        <w:rPr>
          <w:sz w:val="20"/>
          <w:szCs w:val="20"/>
          <w:color w:val="auto"/>
        </w:rPr>
      </w:pPr>
    </w:p>
    <w:p>
      <w:pPr>
        <w:ind w:left="780" w:right="940" w:firstLine="282"/>
        <w:spacing w:after="0" w:line="279" w:lineRule="auto"/>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on Form 10-Q to be signed on its behalf by the undersigned, thereunto duly authorized.</w:t>
      </w:r>
    </w:p>
    <w:p>
      <w:pPr>
        <w:sectPr>
          <w:pgSz w:w="11900" w:h="16840" w:orient="portrait"/>
          <w:cols w:equalWidth="0" w:num="1">
            <w:col w:w="9020"/>
          </w:cols>
          <w:pgMar w:left="1440" w:top="1173"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0"/>
          <w:szCs w:val="10"/>
          <w:color w:val="auto"/>
        </w:rPr>
        <w:t>Date: February 9, 2026</w:t>
      </w:r>
    </w:p>
    <w:p>
      <w:pPr>
        <w:spacing w:after="0" w:line="200" w:lineRule="exact"/>
        <w:rPr>
          <w:sz w:val="20"/>
          <w:szCs w:val="20"/>
          <w:color w:val="auto"/>
        </w:rPr>
      </w:pPr>
    </w:p>
    <w:p>
      <w:pPr>
        <w:spacing w:after="0" w:line="38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0"/>
          <w:szCs w:val="10"/>
          <w:color w:val="auto"/>
        </w:rPr>
        <w:t>Date: February 9,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By:</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By: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355600</wp:posOffset>
            </wp:positionV>
            <wp:extent cx="526605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PENNANTPARK FLOATING RATE CAPITAL LTD.</w:t>
      </w:r>
    </w:p>
    <w:p>
      <w:pPr>
        <w:spacing w:after="0" w:line="16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1"/>
          <w:szCs w:val="11"/>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9525</wp:posOffset>
            </wp:positionV>
            <wp:extent cx="21463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2146300" cy="635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1"/>
          <w:szCs w:val="11"/>
          <w:b w:val="1"/>
          <w:bCs w:val="1"/>
          <w:color w:val="auto"/>
        </w:rPr>
        <w:t>Arthur H. Penn</w:t>
      </w:r>
    </w:p>
    <w:p>
      <w:pPr>
        <w:spacing w:after="0" w:line="1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1"/>
          <w:szCs w:val="11"/>
          <w:b w:val="1"/>
          <w:bCs w:val="1"/>
          <w:color w:val="auto"/>
        </w:rPr>
        <w:t>Chief Executive Officer and Chairman of the Board of Directors</w:t>
      </w:r>
    </w:p>
    <w:p>
      <w:pPr>
        <w:spacing w:after="0" w:line="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pacing w:after="0" w:line="15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9525</wp:posOffset>
            </wp:positionV>
            <wp:extent cx="21463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2146300" cy="635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1"/>
          <w:szCs w:val="11"/>
          <w:b w:val="1"/>
          <w:bCs w:val="1"/>
          <w:color w:val="auto"/>
        </w:rPr>
        <w:t>Richard T. Allorto, Jr.</w:t>
      </w:r>
    </w:p>
    <w:p>
      <w:pPr>
        <w:spacing w:after="0" w:line="1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1"/>
          <w:szCs w:val="11"/>
          <w:b w:val="1"/>
          <w:bCs w:val="1"/>
          <w:color w:val="auto"/>
        </w:rPr>
        <w:t>Chief Financial Officer and Treasurer</w:t>
      </w:r>
    </w:p>
    <w:p>
      <w:pPr>
        <w:spacing w:after="0" w:line="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1"/>
          <w:szCs w:val="11"/>
          <w:b w:val="1"/>
          <w:bCs w:val="1"/>
          <w:color w:val="auto"/>
        </w:rPr>
        <w:t>(Principal Financial and Accounting Officer)</w:t>
      </w:r>
    </w:p>
    <w:p>
      <w:pPr>
        <w:sectPr>
          <w:pgSz w:w="11900" w:h="16840" w:orient="portrait"/>
          <w:cols w:equalWidth="0" w:num="3">
            <w:col w:w="3720" w:space="720"/>
            <w:col w:w="340" w:space="240"/>
            <w:col w:w="4000"/>
          </w:cols>
          <w:pgMar w:left="1440" w:top="1173" w:right="1440" w:bottom="1440" w:gutter="0" w:footer="0" w:header="0"/>
          <w:type w:val="continuous"/>
        </w:sectPr>
      </w:pPr>
    </w:p>
    <w:bookmarkStart w:id="80" w:name="page81"/>
    <w:bookmarkEnd w:id="80"/>
    <w:p>
      <w:pPr>
        <w:ind w:left="6980"/>
        <w:spacing w:after="0"/>
        <w:rPr>
          <w:sz w:val="20"/>
          <w:szCs w:val="20"/>
          <w:color w:val="auto"/>
        </w:rPr>
      </w:pPr>
      <w:r>
        <w:rPr>
          <w:rFonts w:ascii="Times New Roman" w:cs="Times New Roman" w:eastAsia="Times New Roman" w:hAnsi="Times New Roman"/>
          <w:sz w:val="13"/>
          <w:szCs w:val="13"/>
          <w:b w:val="1"/>
          <w:bCs w:val="1"/>
          <w:color w:val="auto"/>
        </w:rPr>
        <w:t>Exhibit 10.3</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1"/>
          <w:szCs w:val="11"/>
          <w:b w:val="1"/>
          <w:bCs w:val="1"/>
          <w:color w:val="auto"/>
        </w:rPr>
        <w:t>IXTH</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1"/>
          <w:szCs w:val="11"/>
          <w:b w:val="1"/>
          <w:bCs w:val="1"/>
          <w:color w:val="auto"/>
        </w:rPr>
        <w:t>MENDMENT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11"/>
          <w:szCs w:val="11"/>
          <w:b w:val="1"/>
          <w:bCs w:val="1"/>
          <w:color w:val="auto"/>
        </w:rPr>
        <w:t>EVOLVING</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1"/>
          <w:szCs w:val="11"/>
          <w:b w:val="1"/>
          <w:bCs w:val="1"/>
          <w:color w:val="auto"/>
        </w:rPr>
        <w:t>REDIT AND</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1"/>
          <w:szCs w:val="11"/>
          <w:b w:val="1"/>
          <w:bCs w:val="1"/>
          <w:color w:val="auto"/>
        </w:rPr>
        <w:t>ECURITY</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171" w:lineRule="exact"/>
        <w:rPr>
          <w:sz w:val="20"/>
          <w:szCs w:val="20"/>
          <w:color w:val="auto"/>
        </w:rPr>
      </w:pPr>
    </w:p>
    <w:p>
      <w:pPr>
        <w:ind w:left="1360" w:right="1440" w:firstLine="484"/>
        <w:spacing w:after="0" w:line="251" w:lineRule="auto"/>
        <w:rPr>
          <w:sz w:val="20"/>
          <w:szCs w:val="20"/>
          <w:color w:val="auto"/>
        </w:rPr>
      </w:pPr>
      <w:r>
        <w:rPr>
          <w:rFonts w:ascii="Times New Roman" w:cs="Times New Roman" w:eastAsia="Times New Roman" w:hAnsi="Times New Roman"/>
          <w:sz w:val="16"/>
          <w:szCs w:val="16"/>
          <w:color w:val="auto"/>
        </w:rPr>
        <w:t xml:space="preserve">This Sixth Amendment to Revolving Credit and Security Agreement, dated as of November 13, 2025 (the </w:t>
      </w:r>
      <w:r>
        <w:rPr>
          <w:rFonts w:ascii="Times New Roman" w:cs="Times New Roman" w:eastAsia="Times New Roman" w:hAnsi="Times New Roman"/>
          <w:sz w:val="16"/>
          <w:szCs w:val="16"/>
          <w:i w:val="1"/>
          <w:iCs w:val="1"/>
          <w:color w:val="auto"/>
        </w:rPr>
        <w:t>“Amendment”</w:t>
      </w:r>
      <w:r>
        <w:rPr>
          <w:rFonts w:ascii="Times New Roman" w:cs="Times New Roman" w:eastAsia="Times New Roman" w:hAnsi="Times New Roman"/>
          <w:sz w:val="16"/>
          <w:szCs w:val="16"/>
          <w:color w:val="auto"/>
        </w:rPr>
        <w:t xml:space="preserve">), is made pursuant to that certain Revolving Credit and Security Agreement dated as of August 12, 2021 (as renewed, amended or restated from time to time, the </w:t>
      </w:r>
      <w:r>
        <w:rPr>
          <w:rFonts w:ascii="Times New Roman" w:cs="Times New Roman" w:eastAsia="Times New Roman" w:hAnsi="Times New Roman"/>
          <w:sz w:val="16"/>
          <w:szCs w:val="16"/>
          <w:i w:val="1"/>
          <w:iCs w:val="1"/>
          <w:color w:val="auto"/>
        </w:rPr>
        <w:t>“Credit Agreement”</w:t>
      </w:r>
      <w:r>
        <w:rPr>
          <w:rFonts w:ascii="Times New Roman" w:cs="Times New Roman" w:eastAsia="Times New Roman" w:hAnsi="Times New Roman"/>
          <w:sz w:val="16"/>
          <w:szCs w:val="16"/>
          <w:color w:val="auto"/>
        </w:rPr>
        <w:t xml:space="preserve">), among PennantPark Floating Rate Funding I, LLC, a Delaware limited liability company, as borrower (together with its permitted successors and assigns, the </w:t>
      </w:r>
      <w:r>
        <w:rPr>
          <w:rFonts w:ascii="Times New Roman" w:cs="Times New Roman" w:eastAsia="Times New Roman" w:hAnsi="Times New Roman"/>
          <w:sz w:val="16"/>
          <w:szCs w:val="16"/>
          <w:i w:val="1"/>
          <w:iCs w:val="1"/>
          <w:color w:val="auto"/>
        </w:rPr>
        <w:t>“Borrower”</w:t>
      </w:r>
      <w:r>
        <w:rPr>
          <w:rFonts w:ascii="Times New Roman" w:cs="Times New Roman" w:eastAsia="Times New Roman" w:hAnsi="Times New Roman"/>
          <w:sz w:val="16"/>
          <w:szCs w:val="16"/>
          <w:color w:val="auto"/>
        </w:rPr>
        <w:t>); PennantPark Investment Advisers, LLC, a Delaware limited liability company,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collateral manager (together with its permitted successors and assigns, the </w:t>
      </w:r>
      <w:r>
        <w:rPr>
          <w:rFonts w:ascii="Times New Roman" w:cs="Times New Roman" w:eastAsia="Times New Roman" w:hAnsi="Times New Roman"/>
          <w:sz w:val="16"/>
          <w:szCs w:val="16"/>
          <w:i w:val="1"/>
          <w:iCs w:val="1"/>
          <w:color w:val="auto"/>
        </w:rPr>
        <w:t>“Collateral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Manager”</w:t>
      </w:r>
      <w:r>
        <w:rPr>
          <w:rFonts w:ascii="Times New Roman" w:cs="Times New Roman" w:eastAsia="Times New Roman" w:hAnsi="Times New Roman"/>
          <w:sz w:val="16"/>
          <w:szCs w:val="16"/>
          <w:color w:val="auto"/>
        </w:rPr>
        <w:t>), the Lenders from time to time party hereto; Truist Bank, as administrative agent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Secured Parties (as hereinafter defined) (in such capacity, together with its successors and assigns, the </w:t>
      </w:r>
      <w:r>
        <w:rPr>
          <w:rFonts w:ascii="Times New Roman" w:cs="Times New Roman" w:eastAsia="Times New Roman" w:hAnsi="Times New Roman"/>
          <w:sz w:val="16"/>
          <w:szCs w:val="16"/>
          <w:i w:val="1"/>
          <w:iCs w:val="1"/>
          <w:color w:val="auto"/>
        </w:rPr>
        <w:t>“Administrative Agent”</w:t>
      </w:r>
      <w:r>
        <w:rPr>
          <w:rFonts w:ascii="Times New Roman" w:cs="Times New Roman" w:eastAsia="Times New Roman" w:hAnsi="Times New Roman"/>
          <w:sz w:val="16"/>
          <w:szCs w:val="16"/>
          <w:color w:val="auto"/>
        </w:rPr>
        <w:t>), Truist Bank, as the swingline lender (the “</w:t>
      </w:r>
      <w:r>
        <w:rPr>
          <w:rFonts w:ascii="Times New Roman" w:cs="Times New Roman" w:eastAsia="Times New Roman" w:hAnsi="Times New Roman"/>
          <w:sz w:val="16"/>
          <w:szCs w:val="16"/>
          <w:i w:val="1"/>
          <w:iCs w:val="1"/>
          <w:color w:val="auto"/>
        </w:rPr>
        <w:t>Swingline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Lender</w:t>
      </w:r>
      <w:r>
        <w:rPr>
          <w:rFonts w:ascii="Times New Roman" w:cs="Times New Roman" w:eastAsia="Times New Roman" w:hAnsi="Times New Roman"/>
          <w:sz w:val="16"/>
          <w:szCs w:val="16"/>
          <w:color w:val="auto"/>
        </w:rPr>
        <w:t>”), U.S. Bank Trust Company, National Association, as successor in interest to U.S. Bank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National Association, as collateral agent for the Secured Parties (as hereinafter defined) (in such capacity, together with its successors and assigns, the </w:t>
      </w:r>
      <w:r>
        <w:rPr>
          <w:rFonts w:ascii="Times New Roman" w:cs="Times New Roman" w:eastAsia="Times New Roman" w:hAnsi="Times New Roman"/>
          <w:sz w:val="16"/>
          <w:szCs w:val="16"/>
          <w:i w:val="1"/>
          <w:iCs w:val="1"/>
          <w:color w:val="auto"/>
        </w:rPr>
        <w:t>“Collateral Agent”</w:t>
      </w:r>
      <w:r>
        <w:rPr>
          <w:rFonts w:ascii="Times New Roman" w:cs="Times New Roman" w:eastAsia="Times New Roman" w:hAnsi="Times New Roman"/>
          <w:sz w:val="16"/>
          <w:szCs w:val="16"/>
          <w:color w:val="auto"/>
        </w:rPr>
        <w:t xml:space="preserve">); U.S. Bank National Association, as custodian (in such capacity, together with its successors and assigns, the </w:t>
      </w:r>
      <w:r>
        <w:rPr>
          <w:rFonts w:ascii="Times New Roman" w:cs="Times New Roman" w:eastAsia="Times New Roman" w:hAnsi="Times New Roman"/>
          <w:sz w:val="16"/>
          <w:szCs w:val="16"/>
          <w:i w:val="1"/>
          <w:iCs w:val="1"/>
          <w:color w:val="auto"/>
        </w:rPr>
        <w:t>“Custodian”</w:t>
      </w:r>
      <w:r>
        <w:rPr>
          <w:rFonts w:ascii="Times New Roman" w:cs="Times New Roman" w:eastAsia="Times New Roman" w:hAnsi="Times New Roman"/>
          <w:sz w:val="16"/>
          <w:szCs w:val="16"/>
          <w:color w:val="auto"/>
        </w:rPr>
        <w:t>); U.S. Bank Trust Company, National Association, as successor in interest to 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Bank National Association, as collateral administrator (in such capacity, together with its successors and assigns, the </w:t>
      </w:r>
      <w:r>
        <w:rPr>
          <w:rFonts w:ascii="Times New Roman" w:cs="Times New Roman" w:eastAsia="Times New Roman" w:hAnsi="Times New Roman"/>
          <w:sz w:val="16"/>
          <w:szCs w:val="16"/>
          <w:i w:val="1"/>
          <w:iCs w:val="1"/>
          <w:color w:val="auto"/>
        </w:rPr>
        <w:t>“Collateral Administrator”</w:t>
      </w:r>
      <w:r>
        <w:rPr>
          <w:rFonts w:ascii="Times New Roman" w:cs="Times New Roman" w:eastAsia="Times New Roman" w:hAnsi="Times New Roman"/>
          <w:sz w:val="16"/>
          <w:szCs w:val="16"/>
          <w:color w:val="auto"/>
        </w:rPr>
        <w:t xml:space="preserve">); and U.S. Bank Trust Company, National Association, as successor in interest to U.S. Bank National Association, as backup collateral manager (in such capacity, together with its successors and assigns, the </w:t>
      </w:r>
      <w:r>
        <w:rPr>
          <w:rFonts w:ascii="Times New Roman" w:cs="Times New Roman" w:eastAsia="Times New Roman" w:hAnsi="Times New Roman"/>
          <w:sz w:val="16"/>
          <w:szCs w:val="16"/>
          <w:i w:val="1"/>
          <w:iCs w:val="1"/>
          <w:color w:val="auto"/>
        </w:rPr>
        <w:t>“Backup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Collateral Manager”</w:t>
      </w:r>
      <w:r>
        <w:rPr>
          <w:rFonts w:ascii="Times New Roman" w:cs="Times New Roman" w:eastAsia="Times New Roman" w:hAnsi="Times New Roman"/>
          <w:sz w:val="16"/>
          <w:szCs w:val="16"/>
          <w:color w:val="auto"/>
        </w:rPr>
        <w: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W </w:t>
      </w:r>
      <w:r>
        <w:rPr>
          <w:rFonts w:ascii="Times New Roman" w:cs="Times New Roman" w:eastAsia="Times New Roman" w:hAnsi="Times New Roman"/>
          <w:sz w:val="11"/>
          <w:szCs w:val="11"/>
          <w:b w:val="1"/>
          <w:bCs w:val="1"/>
          <w:color w:val="auto"/>
        </w:rPr>
        <w:t>I T N E S S E T H</w:t>
      </w:r>
      <w:r>
        <w:rPr>
          <w:rFonts w:ascii="Times New Roman" w:cs="Times New Roman" w:eastAsia="Times New Roman" w:hAnsi="Times New Roman"/>
          <w:sz w:val="16"/>
          <w:szCs w:val="16"/>
          <w:b w:val="1"/>
          <w:bCs w:val="1"/>
          <w:color w:val="auto"/>
        </w:rPr>
        <w:t>:</w:t>
      </w:r>
    </w:p>
    <w:p>
      <w:pPr>
        <w:spacing w:after="0" w:line="191" w:lineRule="exact"/>
        <w:rPr>
          <w:sz w:val="20"/>
          <w:szCs w:val="20"/>
          <w:color w:val="auto"/>
        </w:rPr>
      </w:pPr>
    </w:p>
    <w:p>
      <w:pPr>
        <w:ind w:left="1360" w:right="1420" w:firstLine="484"/>
        <w:spacing w:after="0" w:line="266" w:lineRule="auto"/>
        <w:rPr>
          <w:sz w:val="20"/>
          <w:szCs w:val="20"/>
          <w:color w:val="auto"/>
        </w:rPr>
      </w:pPr>
      <w:r>
        <w:rPr>
          <w:rFonts w:ascii="Times New Roman" w:cs="Times New Roman" w:eastAsia="Times New Roman" w:hAnsi="Times New Roman"/>
          <w:sz w:val="16"/>
          <w:szCs w:val="16"/>
          <w:color w:val="auto"/>
        </w:rPr>
        <w:t>Whereas, the Borrower, the Collateral Manager, the Lenders, the Administrative Agent, the Collateral Agent, the Custodian, and the Backup Collateral Manager have previously entered into and are currently party the Credit Agreement; and;</w:t>
      </w:r>
    </w:p>
    <w:p>
      <w:pPr>
        <w:spacing w:after="0" w:line="145" w:lineRule="exact"/>
        <w:rPr>
          <w:sz w:val="20"/>
          <w:szCs w:val="20"/>
          <w:color w:val="auto"/>
        </w:rPr>
      </w:pPr>
    </w:p>
    <w:p>
      <w:pPr>
        <w:ind w:left="1360" w:right="1500" w:firstLine="484"/>
        <w:spacing w:after="0" w:line="283" w:lineRule="auto"/>
        <w:rPr>
          <w:sz w:val="20"/>
          <w:szCs w:val="20"/>
          <w:color w:val="auto"/>
        </w:rPr>
      </w:pPr>
      <w:r>
        <w:rPr>
          <w:rFonts w:ascii="Times New Roman" w:cs="Times New Roman" w:eastAsia="Times New Roman" w:hAnsi="Times New Roman"/>
          <w:sz w:val="16"/>
          <w:szCs w:val="16"/>
          <w:color w:val="auto"/>
        </w:rPr>
        <w:t>Whereas, the parties hereto desire to make certain amendments to the Credit Agreement pursuant to the terms and conditions set forth herein.</w:t>
      </w:r>
    </w:p>
    <w:p>
      <w:pPr>
        <w:spacing w:after="0" w:line="131" w:lineRule="exact"/>
        <w:rPr>
          <w:sz w:val="20"/>
          <w:szCs w:val="20"/>
          <w:color w:val="auto"/>
        </w:rPr>
      </w:pPr>
    </w:p>
    <w:p>
      <w:pPr>
        <w:ind w:left="1360" w:right="1360" w:firstLine="484"/>
        <w:spacing w:after="0" w:line="266" w:lineRule="auto"/>
        <w:rPr>
          <w:sz w:val="20"/>
          <w:szCs w:val="20"/>
          <w:color w:val="auto"/>
        </w:rPr>
      </w:pPr>
      <w:r>
        <w:rPr>
          <w:rFonts w:ascii="Times New Roman" w:cs="Times New Roman" w:eastAsia="Times New Roman" w:hAnsi="Times New Roman"/>
          <w:sz w:val="16"/>
          <w:szCs w:val="16"/>
          <w:color w:val="auto"/>
        </w:rPr>
        <w:t>Now, Therefore, for good and valuable consideration, the receipt and sufficiency of which are hereby acknowledged, and subject to the terms hereof, the Credit Agreement is hereby amended as follows:</w:t>
      </w:r>
    </w:p>
    <w:p>
      <w:pPr>
        <w:spacing w:after="0" w:line="143" w:lineRule="exact"/>
        <w:rPr>
          <w:sz w:val="20"/>
          <w:szCs w:val="20"/>
          <w:color w:val="auto"/>
        </w:rPr>
      </w:pPr>
    </w:p>
    <w:p>
      <w:pPr>
        <w:ind w:left="1360" w:right="1580" w:firstLine="40"/>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Section 1. Defined Terms. </w:t>
      </w:r>
      <w:r>
        <w:rPr>
          <w:rFonts w:ascii="Times New Roman" w:cs="Times New Roman" w:eastAsia="Times New Roman" w:hAnsi="Times New Roman"/>
          <w:sz w:val="16"/>
          <w:szCs w:val="16"/>
          <w:color w:val="auto"/>
        </w:rPr>
        <w:t>Unless otherwise amended by the terms of this Amendment, terms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used in this Amendment shall have the meanings assigned in the Credit Agreement.</w:t>
      </w:r>
    </w:p>
    <w:p>
      <w:pPr>
        <w:spacing w:after="0" w:line="126" w:lineRule="exact"/>
        <w:rPr>
          <w:sz w:val="20"/>
          <w:szCs w:val="20"/>
          <w:color w:val="auto"/>
        </w:rPr>
      </w:pPr>
    </w:p>
    <w:p>
      <w:pPr>
        <w:ind w:left="1360" w:right="1400" w:firstLine="40"/>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Section 2. </w:t>
      </w:r>
      <w:r>
        <w:rPr>
          <w:rFonts w:ascii="Times New Roman" w:cs="Times New Roman" w:eastAsia="Times New Roman" w:hAnsi="Times New Roman"/>
          <w:sz w:val="16"/>
          <w:szCs w:val="16"/>
          <w:color w:val="auto"/>
        </w:rPr>
        <w:t>Subject to the satisfaction of the conditions precedent set forth in Section 3 below,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Credit Agreement shall be amended with text marked in underline (e.g., </w:t>
      </w:r>
      <w:r>
        <w:rPr>
          <w:rFonts w:ascii="Times New Roman" w:cs="Times New Roman" w:eastAsia="Times New Roman" w:hAnsi="Times New Roman"/>
          <w:sz w:val="16"/>
          <w:szCs w:val="16"/>
          <w:color w:val="2F5496"/>
        </w:rPr>
        <w:t>addition</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color w:val="70AD47"/>
        </w:rPr>
        <w:t>addition</w:t>
      </w:r>
      <w:r>
        <w:rPr>
          <w:rFonts w:ascii="Times New Roman" w:cs="Times New Roman" w:eastAsia="Times New Roman" w:hAnsi="Times New Roman"/>
          <w:sz w:val="16"/>
          <w:szCs w:val="16"/>
          <w:color w:val="auto"/>
        </w:rPr>
        <w:t>) indicating additions to the Credit Agreement and with text marked in strikethrough (e.g.,</w:t>
      </w:r>
    </w:p>
    <w:p>
      <w:pPr>
        <w:spacing w:after="0" w:line="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FILENAME 4927-3700-6964 v2.docx</w:t>
      </w:r>
    </w:p>
    <w:p>
      <w:pPr>
        <w:spacing w:after="0" w:line="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2"/>
          <w:szCs w:val="12"/>
          <w:color w:val="auto"/>
        </w:rPr>
        <w:t>4359360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480695</wp:posOffset>
            </wp:positionV>
            <wp:extent cx="526605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81" w:name="page82"/>
    <w:bookmarkEnd w:id="81"/>
    <w:p>
      <w:pPr>
        <w:spacing w:after="0" w:line="260" w:lineRule="exact"/>
        <w:rPr>
          <w:sz w:val="20"/>
          <w:szCs w:val="20"/>
          <w:color w:val="auto"/>
        </w:rPr>
      </w:pPr>
    </w:p>
    <w:p>
      <w:pPr>
        <w:ind w:left="1360" w:right="1840"/>
        <w:spacing w:after="0" w:line="283" w:lineRule="auto"/>
        <w:rPr>
          <w:sz w:val="20"/>
          <w:szCs w:val="20"/>
          <w:color w:val="auto"/>
        </w:rPr>
      </w:pPr>
      <w:r>
        <w:rPr>
          <w:rFonts w:ascii="Times New Roman" w:cs="Times New Roman" w:eastAsia="Times New Roman" w:hAnsi="Times New Roman"/>
          <w:sz w:val="16"/>
          <w:szCs w:val="16"/>
          <w:color w:val="FF0000"/>
          <w:strike w:val="1"/>
        </w:rPr>
        <w:t>deletion</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000000"/>
        </w:rPr>
        <w:t>or</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70AD47"/>
          <w:strike w:val="1"/>
        </w:rPr>
        <w:t>deletion</w:t>
      </w:r>
      <w:r>
        <w:rPr>
          <w:rFonts w:ascii="Times New Roman" w:cs="Times New Roman" w:eastAsia="Times New Roman" w:hAnsi="Times New Roman"/>
          <w:sz w:val="16"/>
          <w:szCs w:val="16"/>
          <w:color w:val="000000"/>
        </w:rPr>
        <w:t>) indicating deletions to the Credit Agreement as set forth in Exhibit A</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000000"/>
        </w:rPr>
        <w:t>attached hereto.</w:t>
      </w:r>
    </w:p>
    <w:p>
      <w:pPr>
        <w:spacing w:after="0" w:line="129" w:lineRule="exact"/>
        <w:rPr>
          <w:sz w:val="20"/>
          <w:szCs w:val="20"/>
          <w:color w:val="auto"/>
        </w:rPr>
      </w:pPr>
    </w:p>
    <w:p>
      <w:pPr>
        <w:ind w:left="1360" w:right="1540" w:firstLine="40"/>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Section 3 Conditions Precedent. </w:t>
      </w:r>
      <w:r>
        <w:rPr>
          <w:rFonts w:ascii="Times New Roman" w:cs="Times New Roman" w:eastAsia="Times New Roman" w:hAnsi="Times New Roman"/>
          <w:sz w:val="16"/>
          <w:szCs w:val="16"/>
          <w:color w:val="auto"/>
        </w:rPr>
        <w:t>This Amendment shall become effective upon satisfaction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following:</w:t>
      </w:r>
    </w:p>
    <w:p>
      <w:pPr>
        <w:spacing w:after="0" w:line="128" w:lineRule="exact"/>
        <w:rPr>
          <w:sz w:val="20"/>
          <w:szCs w:val="20"/>
          <w:color w:val="auto"/>
        </w:rPr>
      </w:pPr>
    </w:p>
    <w:p>
      <w:pPr>
        <w:ind w:left="1840" w:right="1680" w:firstLine="40"/>
        <w:spacing w:after="0" w:line="283" w:lineRule="auto"/>
        <w:rPr>
          <w:sz w:val="20"/>
          <w:szCs w:val="20"/>
          <w:color w:val="auto"/>
        </w:rPr>
      </w:pPr>
      <w:r>
        <w:rPr>
          <w:rFonts w:ascii="Times New Roman" w:cs="Times New Roman" w:eastAsia="Times New Roman" w:hAnsi="Times New Roman"/>
          <w:sz w:val="16"/>
          <w:szCs w:val="16"/>
          <w:color w:val="auto"/>
        </w:rPr>
        <w:t>3.1 the Borrower, the Collateral Manager, the Lenders and the Administrative Agent shall have executed and delivered this Amendment.</w:t>
      </w:r>
    </w:p>
    <w:p>
      <w:pPr>
        <w:spacing w:after="0" w:line="131" w:lineRule="exact"/>
        <w:rPr>
          <w:sz w:val="20"/>
          <w:szCs w:val="20"/>
          <w:color w:val="auto"/>
        </w:rPr>
      </w:pPr>
    </w:p>
    <w:p>
      <w:pPr>
        <w:ind w:left="1840" w:right="1400" w:firstLine="40"/>
        <w:spacing w:after="0" w:line="283" w:lineRule="auto"/>
        <w:rPr>
          <w:sz w:val="20"/>
          <w:szCs w:val="20"/>
          <w:color w:val="auto"/>
        </w:rPr>
      </w:pPr>
      <w:r>
        <w:rPr>
          <w:rFonts w:ascii="Times New Roman" w:cs="Times New Roman" w:eastAsia="Times New Roman" w:hAnsi="Times New Roman"/>
          <w:sz w:val="16"/>
          <w:szCs w:val="16"/>
          <w:color w:val="auto"/>
        </w:rPr>
        <w:t>3.2. the Borrower, the Administrative Agent and New Lender (defined below) shall have executed and delivered that certain Facility Increase Fee Letter.</w:t>
      </w:r>
    </w:p>
    <w:p>
      <w:pPr>
        <w:spacing w:after="0" w:line="131" w:lineRule="exact"/>
        <w:rPr>
          <w:sz w:val="20"/>
          <w:szCs w:val="20"/>
          <w:color w:val="auto"/>
        </w:rPr>
      </w:pPr>
    </w:p>
    <w:p>
      <w:pPr>
        <w:ind w:left="1840" w:right="1380" w:firstLine="40"/>
        <w:spacing w:after="0" w:line="261" w:lineRule="auto"/>
        <w:rPr>
          <w:sz w:val="20"/>
          <w:szCs w:val="20"/>
          <w:color w:val="auto"/>
        </w:rPr>
      </w:pPr>
      <w:r>
        <w:rPr>
          <w:rFonts w:ascii="Times New Roman" w:cs="Times New Roman" w:eastAsia="Times New Roman" w:hAnsi="Times New Roman"/>
          <w:sz w:val="16"/>
          <w:szCs w:val="16"/>
          <w:color w:val="auto"/>
        </w:rPr>
        <w:t>3.3. the Administrative Agent shall have received updated legal opinions (addressed to each of the Secured Parties) of Proskauer LLP, New York counsel to the Borrower and the Collateral Manager covering such matters as the Administrative Agent and its counsel shall reasonably request</w:t>
      </w:r>
      <w:r>
        <w:rPr>
          <w:rFonts w:ascii="Times New Roman" w:cs="Times New Roman" w:eastAsia="Times New Roman" w:hAnsi="Times New Roman"/>
          <w:sz w:val="16"/>
          <w:szCs w:val="16"/>
          <w:i w:val="1"/>
          <w:iCs w:val="1"/>
          <w:color w:val="auto"/>
        </w:rPr>
        <w:t>.</w:t>
      </w:r>
    </w:p>
    <w:p>
      <w:pPr>
        <w:spacing w:after="0" w:line="14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6"/>
          <w:szCs w:val="16"/>
          <w:i w:val="1"/>
          <w:iCs w:val="1"/>
          <w:color w:val="auto"/>
        </w:rPr>
        <w:t>Section 4. Representations.</w:t>
      </w:r>
    </w:p>
    <w:p>
      <w:pPr>
        <w:spacing w:after="0" w:line="191" w:lineRule="exact"/>
        <w:rPr>
          <w:sz w:val="20"/>
          <w:szCs w:val="20"/>
          <w:color w:val="auto"/>
        </w:rPr>
      </w:pPr>
    </w:p>
    <w:p>
      <w:pPr>
        <w:ind w:left="1360" w:right="1380" w:firstLine="40"/>
        <w:spacing w:after="0" w:line="252" w:lineRule="auto"/>
        <w:rPr>
          <w:sz w:val="20"/>
          <w:szCs w:val="20"/>
          <w:color w:val="auto"/>
        </w:rPr>
      </w:pPr>
      <w:r>
        <w:rPr>
          <w:rFonts w:ascii="Times New Roman" w:cs="Times New Roman" w:eastAsia="Times New Roman" w:hAnsi="Times New Roman"/>
          <w:sz w:val="16"/>
          <w:szCs w:val="16"/>
          <w:color w:val="auto"/>
        </w:rPr>
        <w:t>4.1 In order to induce the Administrative Agent and the Lenders to execute and deliver this Amendment, each of the Borrower and the Collateral Manager hereby represents to the Administrative Agent and the Lenders that as of the date hereof the representations and warranties of the Borrowers contained in Credit Agreement (as amended by this Amendment) and in the other Facility Documents are true and correct in all material respects (except for representations and warranties already qualified by materiality or Material Adverse Effect, which shall be true and correct) as though made on and as of the date hereof (except to the extent such representations and warranties relate to an earlier date, in which case they were true and correct as of such date) and that no Default or Event of Default has occurred and is continuing under the Credit Agreement or shall result after giving effect to this Amendment. The execution, delivery, and performance by the Borrower and the Collateral Manager in connection with this Amendment has been duly authorized by all requisite action by or on behalf of the Borrower and the Collateral Manager, and this Amendment has been duly executed and delivered on behalf of the Borrower and the Collateral Manager. This Amendment is enforceable against each of the Borrower and the Collateral Manager in accordance with its terms, except as enforceability may be limited by applicable debtor relief laws and general principles of equity.</w:t>
      </w:r>
    </w:p>
    <w:p>
      <w:pPr>
        <w:spacing w:after="0" w:line="156" w:lineRule="exact"/>
        <w:rPr>
          <w:sz w:val="20"/>
          <w:szCs w:val="20"/>
          <w:color w:val="auto"/>
        </w:rPr>
      </w:pPr>
    </w:p>
    <w:p>
      <w:pPr>
        <w:ind w:left="1360" w:right="1380" w:firstLine="40"/>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Section 5. Agreement in Full Force and Effect. </w:t>
      </w:r>
      <w:r>
        <w:rPr>
          <w:rFonts w:ascii="Times New Roman" w:cs="Times New Roman" w:eastAsia="Times New Roman" w:hAnsi="Times New Roman"/>
          <w:sz w:val="16"/>
          <w:szCs w:val="16"/>
          <w:color w:val="auto"/>
        </w:rPr>
        <w:t>Except as specifically amended herein,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Credit Agreement shall continue in full force and effect in accordance with its original terms, and the Liens created and provided for by the Facility Documents remain in full force and effect and continue to secure, among other things, the performance of all of the Borrower’s Obligations under the Facility Documents and the Credit Agreement as amended hereby. Reference to this specific Amendment need not be made in the Credit Agreement or any other instrument or document executed in connection therewith, or in any certificate, letter or communication issued or made pursuant to or with respect to the Credit Agreement, any reference in any of such items to the Credit Agreement being sufficient to refer to the Credit Agreement as amended hereby.</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538480</wp:posOffset>
            </wp:positionV>
            <wp:extent cx="526605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82" w:name="page83"/>
    <w:bookmarkEnd w:id="82"/>
    <w:p>
      <w:pPr>
        <w:spacing w:after="0" w:line="258" w:lineRule="exact"/>
        <w:rPr>
          <w:sz w:val="20"/>
          <w:szCs w:val="20"/>
          <w:color w:val="auto"/>
        </w:rPr>
      </w:pPr>
    </w:p>
    <w:p>
      <w:pPr>
        <w:ind w:left="1360" w:right="1580" w:firstLine="40"/>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Section 6. Addition of Standard Chartered Bank. </w:t>
      </w:r>
      <w:r>
        <w:rPr>
          <w:rFonts w:ascii="Times New Roman" w:cs="Times New Roman" w:eastAsia="Times New Roman" w:hAnsi="Times New Roman"/>
          <w:sz w:val="16"/>
          <w:szCs w:val="16"/>
          <w:color w:val="auto"/>
        </w:rPr>
        <w:t>Upon the effectiveness of this Amendment,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Standard Chartered Bank (the </w:t>
      </w:r>
      <w:r>
        <w:rPr>
          <w:rFonts w:ascii="Times New Roman" w:cs="Times New Roman" w:eastAsia="Times New Roman" w:hAnsi="Times New Roman"/>
          <w:sz w:val="16"/>
          <w:szCs w:val="16"/>
          <w:i w:val="1"/>
          <w:iCs w:val="1"/>
          <w:color w:val="auto"/>
        </w:rPr>
        <w:t>“New Lender”</w:t>
      </w:r>
      <w:r>
        <w:rPr>
          <w:rFonts w:ascii="Times New Roman" w:cs="Times New Roman" w:eastAsia="Times New Roman" w:hAnsi="Times New Roman"/>
          <w:sz w:val="16"/>
          <w:szCs w:val="16"/>
          <w:color w:val="auto"/>
        </w:rPr>
        <w:t>) shall become a Lender under the terms of the Credit Agreement.</w:t>
      </w:r>
    </w:p>
    <w:p>
      <w:pPr>
        <w:spacing w:after="0" w:line="142" w:lineRule="exact"/>
        <w:rPr>
          <w:sz w:val="20"/>
          <w:szCs w:val="20"/>
          <w:color w:val="auto"/>
        </w:rPr>
      </w:pPr>
    </w:p>
    <w:p>
      <w:pPr>
        <w:ind w:left="1360" w:right="1380" w:firstLine="484"/>
        <w:spacing w:after="0" w:line="253" w:lineRule="auto"/>
        <w:rPr>
          <w:sz w:val="20"/>
          <w:szCs w:val="20"/>
          <w:color w:val="auto"/>
        </w:rPr>
      </w:pPr>
      <w:r>
        <w:rPr>
          <w:rFonts w:ascii="Times New Roman" w:cs="Times New Roman" w:eastAsia="Times New Roman" w:hAnsi="Times New Roman"/>
          <w:sz w:val="16"/>
          <w:szCs w:val="16"/>
          <w:color w:val="auto"/>
        </w:rPr>
        <w:t>The New Lender hereby confirms that it has received a copy of the Facility Documents and the exhibits related thereto, together with copies of the documents which were required to be delivered under the Credit Agreement as a condition to the making of the Advances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Facility Document or with respect to the legality, validity, sufficiency or enforceability of the Credit Agreement or any other Facility Document or the value of any security therefor.</w:t>
      </w:r>
    </w:p>
    <w:p>
      <w:pPr>
        <w:spacing w:after="0" w:line="155" w:lineRule="exact"/>
        <w:rPr>
          <w:sz w:val="20"/>
          <w:szCs w:val="20"/>
          <w:color w:val="auto"/>
        </w:rPr>
      </w:pPr>
    </w:p>
    <w:p>
      <w:pPr>
        <w:ind w:left="1360" w:right="1420" w:firstLine="484"/>
        <w:spacing w:after="0" w:line="255" w:lineRule="auto"/>
        <w:rPr>
          <w:sz w:val="20"/>
          <w:szCs w:val="20"/>
          <w:color w:val="auto"/>
        </w:rPr>
      </w:pPr>
      <w:r>
        <w:rPr>
          <w:rFonts w:ascii="Times New Roman" w:cs="Times New Roman" w:eastAsia="Times New Roman" w:hAnsi="Times New Roman"/>
          <w:sz w:val="16"/>
          <w:szCs w:val="16"/>
          <w:color w:val="auto"/>
        </w:rPr>
        <w:t>Except as otherwise provided in the Credit Agreement, effective as of the date of acceptance hereof by the Administrative Agent, the New Lender (i) shall be deemed automatically to have become a party to the Credit Agreement and the Lender Fee Letter and have all the rights and obligations of a “Lender” under the Credit Agreement and the Lender Fee Letter as if it were an original signatory thereto and (ii) agrees to be bound by the terms and conditions set forth in the Credit Agreement and the Lender Fee Letter as if it were an original signatory thereto.</w:t>
      </w:r>
    </w:p>
    <w:p>
      <w:pPr>
        <w:spacing w:after="0" w:line="155" w:lineRule="exact"/>
        <w:rPr>
          <w:sz w:val="20"/>
          <w:szCs w:val="20"/>
          <w:color w:val="auto"/>
        </w:rPr>
      </w:pPr>
    </w:p>
    <w:p>
      <w:pPr>
        <w:ind w:left="1360" w:right="1640" w:firstLine="484"/>
        <w:spacing w:after="0" w:line="266" w:lineRule="auto"/>
        <w:rPr>
          <w:sz w:val="20"/>
          <w:szCs w:val="20"/>
          <w:color w:val="auto"/>
        </w:rPr>
      </w:pPr>
      <w:r>
        <w:rPr>
          <w:rFonts w:ascii="Times New Roman" w:cs="Times New Roman" w:eastAsia="Times New Roman" w:hAnsi="Times New Roman"/>
          <w:sz w:val="16"/>
          <w:szCs w:val="16"/>
          <w:color w:val="auto"/>
        </w:rPr>
        <w:t>The New Lender shall deliver to the Administrative Agent such information and shall complete such forms as are reasonably requested of the New Lender by the Administrative Agent.</w:t>
      </w:r>
    </w:p>
    <w:p>
      <w:pPr>
        <w:spacing w:after="0" w:line="143" w:lineRule="exact"/>
        <w:rPr>
          <w:sz w:val="20"/>
          <w:szCs w:val="20"/>
          <w:color w:val="auto"/>
        </w:rPr>
      </w:pPr>
    </w:p>
    <w:p>
      <w:pPr>
        <w:ind w:left="1360" w:right="1360" w:firstLine="484"/>
        <w:spacing w:after="0" w:line="194" w:lineRule="exact"/>
        <w:rPr>
          <w:sz w:val="20"/>
          <w:szCs w:val="20"/>
          <w:color w:val="auto"/>
        </w:rPr>
      </w:pPr>
      <w:r>
        <w:rPr>
          <w:rFonts w:ascii="Times New Roman" w:cs="Times New Roman" w:eastAsia="Times New Roman" w:hAnsi="Times New Roman"/>
          <w:sz w:val="16"/>
          <w:szCs w:val="16"/>
          <w:i w:val="1"/>
          <w:iCs w:val="1"/>
          <w:color w:val="auto"/>
        </w:rPr>
        <w:t xml:space="preserve">Section 7. Execution in Counterparts. </w:t>
      </w:r>
      <w:r>
        <w:rPr>
          <w:rFonts w:ascii="Times New Roman" w:cs="Times New Roman" w:eastAsia="Times New Roman" w:hAnsi="Times New Roman"/>
          <w:sz w:val="16"/>
          <w:szCs w:val="16"/>
          <w:color w:val="auto"/>
        </w:rPr>
        <w:t>Delivery of an executed counterpart hereof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facsimile transmission or by 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mail transmission of an electronic signature (including, without limitation, any .pdf file, .jpeg file, or any other electronic or image file, or any “electronic signature” as defined under the U.S. Electronic Signatures in Global and National Commerce Act or the New York Electronic Signatures and Records Act, which includes any electronic signature provided using Orbit, Adobe Sign, or DocuSign) shall be effective as delivery of a manually executed counterpart hereof.</w:t>
      </w:r>
    </w:p>
    <w:p>
      <w:pPr>
        <w:spacing w:after="0" w:line="166" w:lineRule="exact"/>
        <w:rPr>
          <w:sz w:val="20"/>
          <w:szCs w:val="20"/>
          <w:color w:val="auto"/>
        </w:rPr>
      </w:pPr>
    </w:p>
    <w:p>
      <w:pPr>
        <w:ind w:left="1360" w:right="1400" w:firstLine="40"/>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Section 8. Equalization of Advances Outstanding and Commitments. </w:t>
      </w:r>
      <w:r>
        <w:rPr>
          <w:rFonts w:ascii="Times New Roman" w:cs="Times New Roman" w:eastAsia="Times New Roman" w:hAnsi="Times New Roman"/>
          <w:sz w:val="16"/>
          <w:szCs w:val="16"/>
          <w:color w:val="auto"/>
        </w:rPr>
        <w:t>All Advances Outstanding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under the Credit Agreement on the date hereof (and which has not been satisfied on the date hereof) shall continue to remain outstanding under the Credit Agreement and, in connection therewith, each of the Lenders hereto each agree to advance such Advances of the other Lenders as the Administrative Agent shall determine may be necessary in order for each Lender to hold such Advances in accordance with its percentage after giving effect to this Amendment. Such purchases and sales shall be arranged through the Administrative Agent, and each Lender hereby agrees to execute such further instruments and documents, if any, as the Administrative Agent may reasonably request in connection therewith. The Borrower hereby consents to such transfers. The parties hereto agree that such transfers shall be deemed to be, and satisfy the conditions to, assignments under Section 15.06 of the Credit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538480</wp:posOffset>
            </wp:positionV>
            <wp:extent cx="526605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360" w:right="1460" w:firstLine="40"/>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Section 9. Governing Law. </w:t>
      </w:r>
      <w:r>
        <w:rPr>
          <w:rFonts w:ascii="Times New Roman" w:cs="Times New Roman" w:eastAsia="Times New Roman" w:hAnsi="Times New Roman"/>
          <w:sz w:val="16"/>
          <w:szCs w:val="16"/>
          <w:color w:val="auto"/>
        </w:rPr>
        <w:t>This Amendment and the rights and obligations of the parties under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this Amendment and any claim, controversy, dispute or cause of action (whether in contract or tort or otherwise) based upon, arising out of or relating to this Amendment or any other facility document (except, as to any other facility document, as expressly set forth therein) and the transactions contemplated hereby and thereby shall be governed by and construed in accordance with the law of the State of New York, except the conflict of law principles thereof which would have the effect of applying the law of any other jurisdiction.</w:t>
      </w: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549910</wp:posOffset>
            </wp:positionV>
            <wp:extent cx="526605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84" w:name="page85"/>
    <w:bookmarkEnd w:id="84"/>
    <w:p>
      <w:pPr>
        <w:spacing w:after="0" w:line="88" w:lineRule="exact"/>
        <w:rPr>
          <w:sz w:val="20"/>
          <w:szCs w:val="20"/>
          <w:color w:val="auto"/>
        </w:rPr>
      </w:pPr>
    </w:p>
    <w:p>
      <w:pPr>
        <w:ind w:left="1360" w:right="1600" w:firstLine="484"/>
        <w:spacing w:after="0" w:line="266" w:lineRule="auto"/>
        <w:rPr>
          <w:sz w:val="20"/>
          <w:szCs w:val="20"/>
          <w:color w:val="auto"/>
        </w:rPr>
      </w:pPr>
      <w:r>
        <w:rPr>
          <w:rFonts w:ascii="Times New Roman" w:cs="Times New Roman" w:eastAsia="Times New Roman" w:hAnsi="Times New Roman"/>
          <w:sz w:val="16"/>
          <w:szCs w:val="16"/>
          <w:color w:val="auto"/>
        </w:rPr>
        <w:t>In Witness Whereof, the Administrative Agent has caused this Sixth Amendment to Revolving Credit and Security Agreement to be executed and delivered by its duly authorized officers as of the date set forth above.</w:t>
      </w:r>
    </w:p>
    <w:p>
      <w:pPr>
        <w:spacing w:after="0" w:line="14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color w:val="auto"/>
        </w:rPr>
        <w:t>PennantPark Floating Rate Funding I, LLC, as</w:t>
      </w:r>
    </w:p>
    <w:p>
      <w:pPr>
        <w:spacing w:after="0" w:line="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Borrower</w:t>
      </w:r>
    </w:p>
    <w:p>
      <w:pPr>
        <w:spacing w:after="0" w:line="171"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6"/>
          <w:szCs w:val="16"/>
          <w:color w:val="auto"/>
        </w:rPr>
        <w:t>By: PennantPark Floating Rate Capital Ltd., as</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Designated Manager</w:t>
      </w:r>
    </w:p>
    <w:p>
      <w:pPr>
        <w:spacing w:after="0" w:line="36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color w:val="auto"/>
        </w:rPr>
        <w:t>By: /s/ Jeffrey S. Sion</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 Jeffrey S. Sion</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17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color w:val="auto"/>
        </w:rPr>
        <w:t>PennantPark Investment Advisers, LLC, as</w:t>
      </w:r>
    </w:p>
    <w:p>
      <w:pPr>
        <w:spacing w:after="0" w:line="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Collateral Manager</w:t>
      </w:r>
    </w:p>
    <w:p>
      <w:pPr>
        <w:spacing w:after="0" w:line="36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color w:val="auto"/>
        </w:rPr>
        <w:t>By: /s/ Jeffrey S. Sion</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 Jeffrey S. Sion</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Sixth Amendment to Revolving Credit and Security Agreement (PennantPark)]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563880</wp:posOffset>
            </wp:positionV>
            <wp:extent cx="526605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85" w:name="page86"/>
    <w:bookmarkEnd w:id="85"/>
    <w:p>
      <w:pPr>
        <w:spacing w:after="0" w:line="2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Truist Bank, as Administrative Agent</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/s/ Richard T. Zull</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 Richard T. Zull</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 Director</w:t>
      </w:r>
    </w:p>
    <w:p>
      <w:pPr>
        <w:spacing w:after="0" w:line="171"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6"/>
          <w:szCs w:val="16"/>
          <w:color w:val="auto"/>
        </w:rPr>
        <w:t>Truist Bank, as Lender and Swingline Lender</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/s/ Richard T. Zull</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 Richard T. Zull</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 Director</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Sixth Amendment to Revolving Credit and Security Agreement (PennantPark)]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572770</wp:posOffset>
            </wp:positionV>
            <wp:extent cx="526605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86" w:name="page87"/>
    <w:bookmarkEnd w:id="86"/>
    <w:p>
      <w:pPr>
        <w:spacing w:after="0" w:line="2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Western Alliance Bank, as a Lender</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/s/ Tyler Peterson</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 Tyler Peterson</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 Director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Sixth Amendment to Revolving Credit and Security Agreement (PennantPark)]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572770</wp:posOffset>
            </wp:positionV>
            <wp:extent cx="526605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87" w:name="page88"/>
    <w:bookmarkEnd w:id="87"/>
    <w:p>
      <w:pPr>
        <w:spacing w:after="0" w:line="270"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6"/>
          <w:szCs w:val="16"/>
          <w:color w:val="auto"/>
        </w:rPr>
        <w:t>Capital One, National Association, as a Lender</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/s/ Peter Sweeney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 Peter Sweeney</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Sixth Amendment to Revolving Credit and Security Agreement (PennantPark)]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572770</wp:posOffset>
            </wp:positionV>
            <wp:extent cx="526605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88" w:name="page89"/>
    <w:bookmarkEnd w:id="88"/>
    <w:p>
      <w:pPr>
        <w:spacing w:after="0" w:line="350" w:lineRule="exact"/>
        <w:rPr>
          <w:sz w:val="20"/>
          <w:szCs w:val="20"/>
          <w:color w:val="auto"/>
        </w:rPr>
      </w:pPr>
    </w:p>
    <w:p>
      <w:pPr>
        <w:jc w:val="right"/>
        <w:ind w:right="1960"/>
        <w:spacing w:after="0"/>
        <w:rPr>
          <w:sz w:val="20"/>
          <w:szCs w:val="20"/>
          <w:color w:val="auto"/>
        </w:rPr>
      </w:pPr>
      <w:r>
        <w:rPr>
          <w:rFonts w:ascii="Times New Roman" w:cs="Times New Roman" w:eastAsia="Times New Roman" w:hAnsi="Times New Roman"/>
          <w:sz w:val="16"/>
          <w:szCs w:val="16"/>
          <w:color w:val="auto"/>
        </w:rPr>
        <w:t>Fifth Third Bank, National Association,</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Documentation Agent and as a Lender</w:t>
      </w:r>
    </w:p>
    <w:p>
      <w:pPr>
        <w:spacing w:after="0" w:line="3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/s/ Joseph Sandy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 Joseph Sandy</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 Officer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Sixth Amendment to Revolving Credit and Security Agreement (PennantPark)]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572770</wp:posOffset>
            </wp:positionV>
            <wp:extent cx="526605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89" w:name="page90"/>
    <w:bookmarkEnd w:id="89"/>
    <w:p>
      <w:pPr>
        <w:spacing w:after="0" w:line="3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City National Bank, as a Lender</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/s/ Jeffrey Feinberg</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 Jeffrey Feinberg</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 Senior Vice President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Sixth Amendment to Revolving Credit and Security Agreement (PennantPark)]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572770</wp:posOffset>
            </wp:positionV>
            <wp:extent cx="526605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0" w:name="page91"/>
    <w:bookmarkEnd w:id="90"/>
    <w:p>
      <w:pPr>
        <w:spacing w:after="0" w:line="3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Stifel Bank &amp; Trust, as a Lender</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/s/ Matthew L. Diehl</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 Matthew L. Diehl</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 Senior Vice President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Sixth Amendment to Revolving Credit and Security Agreement (PennantPark)]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572770</wp:posOffset>
            </wp:positionV>
            <wp:extent cx="526605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1" w:name="page92"/>
    <w:bookmarkEnd w:id="91"/>
    <w:p>
      <w:pPr>
        <w:spacing w:after="0" w:line="3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Raymond James Bank, as a Lender</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/s/ Camilo Rincon</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 Camilo Rincon</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 Vice President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Sixth Amendment to Revolving Credit and Security Agreement (PennantPark)]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572770</wp:posOffset>
            </wp:positionV>
            <wp:extent cx="526605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2" w:name="page93"/>
    <w:bookmarkEnd w:id="92"/>
    <w:p>
      <w:pPr>
        <w:spacing w:after="0" w:line="350"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6"/>
          <w:szCs w:val="16"/>
          <w:color w:val="auto"/>
        </w:rPr>
        <w:t>Sumitomo Mitsui Trust Bank, Limited, New</w:t>
      </w:r>
    </w:p>
    <w:p>
      <w:pPr>
        <w:spacing w:after="0" w:line="2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color w:val="auto"/>
        </w:rPr>
        <w:t>York Branch, as a Lender</w:t>
      </w:r>
    </w:p>
    <w:p>
      <w:pPr>
        <w:spacing w:after="0" w:line="3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/s/ Tim Ng</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 Tim Ng</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 Senior Director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Sixth Amendment to Revolving Credit and Security Agreement (PennantPark)]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572770</wp:posOffset>
            </wp:positionV>
            <wp:extent cx="526605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3" w:name="page94"/>
    <w:bookmarkEnd w:id="93"/>
    <w:p>
      <w:pPr>
        <w:spacing w:after="0" w:line="3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CIBC Bank USA, as a Lender</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/s/ Nick Koziak</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 Nick Koziak</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Sixth Amendment to Revolving Credit and Security Agreement (PennantPark)]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572770</wp:posOffset>
            </wp:positionV>
            <wp:extent cx="526605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4" w:name="page95"/>
    <w:bookmarkEnd w:id="94"/>
    <w:p>
      <w:pPr>
        <w:spacing w:after="0" w:line="350"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6"/>
          <w:szCs w:val="16"/>
          <w:color w:val="auto"/>
        </w:rPr>
        <w:t>Standard Chartered Bank, as the New Lender</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/s/ Roy Kuruvilla</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 Roy Kuruvilla</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Sixth Amendment to Revolving Credit and Security Agreement (PennantPark)]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563880</wp:posOffset>
            </wp:positionV>
            <wp:extent cx="526605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5" w:name="page96"/>
    <w:bookmarkEnd w:id="95"/>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1"/>
          <w:szCs w:val="11"/>
          <w:b w:val="1"/>
          <w:bCs w:val="1"/>
          <w:color w:val="auto"/>
        </w:rPr>
        <w:t>XHIBIT</w:t>
      </w:r>
      <w:r>
        <w:rPr>
          <w:rFonts w:ascii="Times New Roman" w:cs="Times New Roman" w:eastAsia="Times New Roman" w:hAnsi="Times New Roman"/>
          <w:sz w:val="16"/>
          <w:szCs w:val="16"/>
          <w:b w:val="1"/>
          <w:bCs w:val="1"/>
          <w:color w:val="auto"/>
        </w:rPr>
        <w:t xml:space="preserve"> A</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666115</wp:posOffset>
            </wp:positionV>
            <wp:extent cx="526605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6" w:name="page97"/>
    <w:bookmarkEnd w:id="96"/>
    <w:p>
      <w:pPr>
        <w:ind w:left="2200"/>
        <w:spacing w:after="0"/>
        <w:rPr>
          <w:sz w:val="20"/>
          <w:szCs w:val="20"/>
          <w:color w:val="auto"/>
        </w:rPr>
      </w:pPr>
      <w:r>
        <w:rPr>
          <w:rFonts w:ascii="Times New Roman" w:cs="Times New Roman" w:eastAsia="Times New Roman" w:hAnsi="Times New Roman"/>
          <w:sz w:val="16"/>
          <w:szCs w:val="16"/>
          <w:color w:val="auto"/>
        </w:rPr>
        <w:t xml:space="preserve">Conformed through </w:t>
      </w:r>
      <w:r>
        <w:rPr>
          <w:rFonts w:ascii="Times New Roman" w:cs="Times New Roman" w:eastAsia="Times New Roman" w:hAnsi="Times New Roman"/>
          <w:sz w:val="16"/>
          <w:szCs w:val="16"/>
          <w:color w:val="FF0000"/>
          <w:strike w:val="1"/>
        </w:rPr>
        <w:t>Fifth</w:t>
      </w:r>
      <w:r>
        <w:rPr>
          <w:rFonts w:ascii="Times New Roman" w:cs="Times New Roman" w:eastAsia="Times New Roman" w:hAnsi="Times New Roman"/>
          <w:sz w:val="16"/>
          <w:szCs w:val="16"/>
          <w:color w:val="0000FF"/>
        </w:rPr>
        <w:t>Sixth</w:t>
      </w:r>
      <w:r>
        <w:rPr>
          <w:rFonts w:ascii="Times New Roman" w:cs="Times New Roman" w:eastAsia="Times New Roman" w:hAnsi="Times New Roman"/>
          <w:sz w:val="16"/>
          <w:szCs w:val="16"/>
          <w:color w:val="auto"/>
        </w:rPr>
        <w:t xml:space="preserve"> Amendment Dated as of </w:t>
      </w:r>
      <w:r>
        <w:rPr>
          <w:rFonts w:ascii="Times New Roman" w:cs="Times New Roman" w:eastAsia="Times New Roman" w:hAnsi="Times New Roman"/>
          <w:sz w:val="16"/>
          <w:szCs w:val="16"/>
          <w:color w:val="FF0000"/>
          <w:strike w:val="1"/>
        </w:rPr>
        <w:t>August</w:t>
      </w:r>
      <w:r>
        <w:rPr>
          <w:rFonts w:ascii="Times New Roman" w:cs="Times New Roman" w:eastAsia="Times New Roman" w:hAnsi="Times New Roman"/>
          <w:sz w:val="16"/>
          <w:szCs w:val="16"/>
          <w:color w:val="0000FF"/>
        </w:rPr>
        <w:t>November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FF0000"/>
          <w:strike w:val="1"/>
        </w:rPr>
        <w:t>4</w:t>
      </w:r>
      <w:r>
        <w:rPr>
          <w:rFonts w:ascii="Times New Roman" w:cs="Times New Roman" w:eastAsia="Times New Roman" w:hAnsi="Times New Roman"/>
          <w:sz w:val="16"/>
          <w:szCs w:val="16"/>
          <w:color w:val="0000FF"/>
        </w:rPr>
        <w:t>13</w:t>
      </w:r>
      <w:r>
        <w:rPr>
          <w:rFonts w:ascii="Times New Roman" w:cs="Times New Roman" w:eastAsia="Times New Roman" w:hAnsi="Times New Roman"/>
          <w:sz w:val="16"/>
          <w:szCs w:val="16"/>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318770</wp:posOffset>
            </wp:positionV>
            <wp:extent cx="399796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3997960" cy="6350"/>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332105</wp:posOffset>
            </wp:positionV>
            <wp:extent cx="399796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39979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Revolving Credit and Security Agreement</w:t>
      </w: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among</w:t>
      </w: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PennantPark Floating Rate Funding I, LLC,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as Borrower,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PennantPark Investment Advisers, LLC,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as Collateral Manager,</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Lenders from time to time parties hereto,</w:t>
      </w: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Truist Bank,</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Administrative Agent,</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Truist Securities,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as Lead Arranger,</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Fifth Third Bank, National Association,</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as Documentation Agent,</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U.S. Bank Trust Company, National Association,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Collateral Agent,</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U.S. Bank Trust Company, National Association,</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as Collateral Administrator,</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U.S. Bank Trust Company, National Association,</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as Backup Collateral Manager</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and</w:t>
      </w: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U.S. Bank National Association,</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as Custodian</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Dated as of August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133350</wp:posOffset>
            </wp:positionV>
            <wp:extent cx="399796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3997960" cy="6350"/>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146050</wp:posOffset>
            </wp:positionV>
            <wp:extent cx="399796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3997960" cy="6350"/>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Sixth Amendment to Revolving Credit and Security Agreement (PennantPark)]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572770</wp:posOffset>
            </wp:positionV>
            <wp:extent cx="526605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3" w:right="1440" w:bottom="1440" w:gutter="0" w:footer="0" w:header="0"/>
        </w:sectPr>
      </w:pPr>
    </w:p>
    <w:bookmarkStart w:id="97" w:name="page98"/>
    <w:bookmarkEnd w:id="97"/>
    <w:p>
      <w:pPr>
        <w:spacing w:after="0" w:line="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18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Section Heading Page</w:t>
      </w:r>
    </w:p>
    <w:p>
      <w:pPr>
        <w:spacing w:after="0" w:line="18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Article I Definitions; Rules of Construction; Computations 1</w:t>
      </w:r>
    </w:p>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1.01. Definitions 1</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1.02. Rules of Construction 61</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1.03. Computation of Time Periods 62</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1.04. Collateral Value Calculation Procedures 62</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1.05. Classification of Loans and Borrowings 64</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1.06. Currencies Generally 64</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1.07. Calculation of Borrowing Base 65</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1.08. Rates 65</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Article II Advances 65</w:t>
      </w:r>
    </w:p>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2.01. Revolving Credit Facility 65</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2.02. Making of the Advances 66</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2.03. Evidence of Indebtedness 68</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2.04. Payment of Principal and Interest 69</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2.05. Prepayment of Advances 70</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2.06. Changes of Commitments 72</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2.07. Maximum Lawful Rate 72</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2.08. Several Obligations 72</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2.09. Increased Costs 72</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2.10. Compensation; Breakage Payments 74</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2.11. Inability to Determine Rates 74</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2.12. Rescission or Return of Payment 82</w:t>
      </w:r>
    </w:p>
    <w:p>
      <w:pPr>
        <w:spacing w:after="0" w:line="2" w:lineRule="exact"/>
        <w:rPr>
          <w:sz w:val="20"/>
          <w:szCs w:val="20"/>
          <w:color w:val="auto"/>
        </w:rPr>
      </w:pPr>
    </w:p>
    <w:p>
      <w:pPr>
        <w:ind w:left="1720"/>
        <w:spacing w:after="0" w:line="184" w:lineRule="exact"/>
        <w:rPr>
          <w:sz w:val="20"/>
          <w:szCs w:val="20"/>
          <w:color w:val="auto"/>
        </w:rPr>
      </w:pPr>
      <w:r>
        <w:rPr>
          <w:rFonts w:ascii="Times New Roman" w:cs="Times New Roman" w:eastAsia="Times New Roman" w:hAnsi="Times New Roman"/>
          <w:sz w:val="16"/>
          <w:szCs w:val="16"/>
          <w:color w:val="auto"/>
        </w:rPr>
        <w:t>Section 2.13.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Default Interest 82</w:t>
      </w:r>
    </w:p>
    <w:p>
      <w:pPr>
        <w:spacing w:after="0" w:line="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2.14. Payments Generally 82</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2.15. Increase in Facility Amount 83</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2.16. Defaulting Lenders 84</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Article III Conditions Precedent 86</w:t>
      </w:r>
    </w:p>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3.01. Conditions Precedent to Initial Borrowing 86</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3.02. Conditions Precedent to Each Borrowing 88</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Article IV Representations and Warranties 89</w:t>
      </w:r>
    </w:p>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4.01. Representations and Warranties of the Borrower 89</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4.02. Representations and Warranties of the Collateral Manager 93</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Article V Covenants 96</w:t>
      </w:r>
    </w:p>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5.01. Affirmative Covenants of the Borrower 96</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5.02. Negative Covenants of the Borrower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653415</wp:posOffset>
            </wp:positionV>
            <wp:extent cx="526605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8" w:name="page99"/>
    <w:bookmarkEnd w:id="98"/>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5.03. Affirmative Covenants of the Collateral Manager 105</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5.04. Negative Covenants of the Collateral Manager 107</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5.05. Certain Undertakings Relating to Separateness 107</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Article VI Events of Default 109</w:t>
      </w:r>
    </w:p>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6.01. Events of Default 109</w:t>
      </w:r>
    </w:p>
    <w:p>
      <w:pPr>
        <w:spacing w:after="0" w:line="26" w:lineRule="exact"/>
        <w:rPr>
          <w:sz w:val="20"/>
          <w:szCs w:val="20"/>
          <w:color w:val="auto"/>
        </w:rPr>
      </w:pPr>
    </w:p>
    <w:p>
      <w:pPr>
        <w:jc w:val="center"/>
        <w:ind w:right="1980"/>
        <w:spacing w:after="0"/>
        <w:rPr>
          <w:sz w:val="20"/>
          <w:szCs w:val="20"/>
          <w:color w:val="auto"/>
        </w:rPr>
      </w:pPr>
      <w:r>
        <w:rPr>
          <w:rFonts w:ascii="Times New Roman" w:cs="Times New Roman" w:eastAsia="Times New Roman" w:hAnsi="Times New Roman"/>
          <w:sz w:val="16"/>
          <w:szCs w:val="16"/>
          <w:color w:val="auto"/>
        </w:rPr>
        <w:t>Section 6.02. Collateral Manager Events of Default 112</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Article VII Pledge of Collateral; Rights of the Collateral Agent 114</w:t>
      </w:r>
    </w:p>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7.01. Grant of Security 114</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7.02. Release of Security Interest 115</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7.03. Rights and Remedies 115</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7.04. Remedies Cumulative 116</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7.05. Related Documents 116</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7.06. Borrower Remains Liable 117</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7.07. Protection of Collateral 117</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Article VIII Accounts, Accountings and Releases 118</w:t>
      </w:r>
    </w:p>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8.01. Collection of Money 118</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8.02. Collection Account 118</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8.03. Transaction Accounts 119</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8.04. The Revolving Reserve Account; Fundings 120</w:t>
      </w:r>
    </w:p>
    <w:p>
      <w:pPr>
        <w:spacing w:after="0" w:line="8" w:lineRule="exact"/>
        <w:rPr>
          <w:sz w:val="20"/>
          <w:szCs w:val="20"/>
          <w:color w:val="auto"/>
        </w:rPr>
      </w:pPr>
    </w:p>
    <w:p>
      <w:pPr>
        <w:ind w:left="3060" w:right="2720" w:hanging="1331"/>
        <w:spacing w:after="0" w:line="250" w:lineRule="auto"/>
        <w:rPr>
          <w:sz w:val="20"/>
          <w:szCs w:val="20"/>
          <w:color w:val="auto"/>
        </w:rPr>
      </w:pPr>
      <w:r>
        <w:rPr>
          <w:rFonts w:ascii="Times New Roman" w:cs="Times New Roman" w:eastAsia="Times New Roman" w:hAnsi="Times New Roman"/>
          <w:sz w:val="16"/>
          <w:szCs w:val="16"/>
          <w:color w:val="auto"/>
        </w:rPr>
        <w:t>Section 8.05. Reinvestment of Funds in Covered Accounts; Reports by Collateral Agent 121</w:t>
      </w:r>
    </w:p>
    <w:p>
      <w:pPr>
        <w:ind w:left="1720"/>
        <w:spacing w:after="0"/>
        <w:rPr>
          <w:sz w:val="20"/>
          <w:szCs w:val="20"/>
          <w:color w:val="auto"/>
        </w:rPr>
      </w:pPr>
      <w:r>
        <w:rPr>
          <w:rFonts w:ascii="Times New Roman" w:cs="Times New Roman" w:eastAsia="Times New Roman" w:hAnsi="Times New Roman"/>
          <w:sz w:val="16"/>
          <w:szCs w:val="16"/>
          <w:color w:val="auto"/>
        </w:rPr>
        <w:t>Section 8.06. Accountings 122</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8.07. Release of Securities 124</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8.08. Reports by Independent Accountants 125</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8.09. Covered Account Details 125</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Article IX Application of Monies 126</w:t>
      </w:r>
    </w:p>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9.01. Disbursements of Monies from Payment Account 126</w:t>
      </w:r>
    </w:p>
    <w:p>
      <w:pPr>
        <w:spacing w:after="0" w:line="18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Article X Sale of Collateral Loans; Purchase of Additional Collateral Loans 129</w:t>
      </w:r>
    </w:p>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10.01. Sales of Collateral Loans 129</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10.02. Purchase of Additional Collateral Loans 130</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10.03. Substitution and Transfer of Loans 131</w:t>
      </w:r>
    </w:p>
    <w:p>
      <w:pPr>
        <w:spacing w:after="0" w:line="8" w:lineRule="exact"/>
        <w:rPr>
          <w:sz w:val="20"/>
          <w:szCs w:val="20"/>
          <w:color w:val="auto"/>
        </w:rPr>
      </w:pPr>
    </w:p>
    <w:p>
      <w:pPr>
        <w:ind w:left="3060" w:right="2380" w:hanging="1331"/>
        <w:spacing w:after="0" w:line="250" w:lineRule="auto"/>
        <w:rPr>
          <w:sz w:val="20"/>
          <w:szCs w:val="20"/>
          <w:color w:val="auto"/>
        </w:rPr>
      </w:pPr>
      <w:r>
        <w:rPr>
          <w:rFonts w:ascii="Times New Roman" w:cs="Times New Roman" w:eastAsia="Times New Roman" w:hAnsi="Times New Roman"/>
          <w:sz w:val="16"/>
          <w:szCs w:val="16"/>
          <w:color w:val="auto"/>
        </w:rPr>
        <w:t>Section 10.04. Conditions Applicable to All Sale and Purchase Transactions 132</w:t>
      </w:r>
    </w:p>
    <w:p>
      <w:pPr>
        <w:ind w:left="1720"/>
        <w:spacing w:after="0"/>
        <w:rPr>
          <w:sz w:val="20"/>
          <w:szCs w:val="20"/>
          <w:color w:val="auto"/>
        </w:rPr>
      </w:pPr>
      <w:r>
        <w:rPr>
          <w:rFonts w:ascii="Times New Roman" w:cs="Times New Roman" w:eastAsia="Times New Roman" w:hAnsi="Times New Roman"/>
          <w:sz w:val="16"/>
          <w:szCs w:val="16"/>
          <w:color w:val="auto"/>
        </w:rPr>
        <w:t>Section 10.05. Additional Equity Contributions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653415</wp:posOffset>
            </wp:positionV>
            <wp:extent cx="526605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9" w:name="page100"/>
    <w:bookmarkEnd w:id="99"/>
    <w:p>
      <w:pPr>
        <w:spacing w:after="0" w:line="2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Article XI Administration and Servicing of Contracts 133</w:t>
      </w:r>
    </w:p>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11.01. Designation of the Collateral Manager 133</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11.02. Duties of the Collateral Manager 133</w:t>
      </w:r>
    </w:p>
    <w:p>
      <w:pPr>
        <w:spacing w:after="0" w:line="8"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6"/>
          <w:szCs w:val="16"/>
          <w:color w:val="auto"/>
        </w:rPr>
        <w:t>Section 11.03. Liability of the Collateral Manager; Indemnification of the</w:t>
      </w:r>
    </w:p>
    <w:p>
      <w:pPr>
        <w:spacing w:after="0" w:line="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Collateral Manager Persons 136</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11.04. Authorization of the Collateral Manager 136</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11.05. Realization Upon Defaulted Collateral Loans 137</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11.06. Collateral Management Compensation 137</w:t>
      </w:r>
    </w:p>
    <w:p>
      <w:pPr>
        <w:spacing w:after="0" w:line="8" w:lineRule="exact"/>
        <w:rPr>
          <w:sz w:val="20"/>
          <w:szCs w:val="20"/>
          <w:color w:val="auto"/>
        </w:rPr>
      </w:pPr>
    </w:p>
    <w:p>
      <w:pPr>
        <w:jc w:val="both"/>
        <w:ind w:left="1720" w:right="2660"/>
        <w:spacing w:after="0" w:line="255" w:lineRule="auto"/>
        <w:rPr>
          <w:sz w:val="20"/>
          <w:szCs w:val="20"/>
          <w:color w:val="auto"/>
        </w:rPr>
      </w:pPr>
      <w:r>
        <w:rPr>
          <w:rFonts w:ascii="Times New Roman" w:cs="Times New Roman" w:eastAsia="Times New Roman" w:hAnsi="Times New Roman"/>
          <w:sz w:val="16"/>
          <w:szCs w:val="16"/>
          <w:color w:val="auto"/>
        </w:rPr>
        <w:t>Section 11.07. Payment of Certain Expenses by Collateral Manager 138 Section 11.08. The Collateral Manager Not to Resign; Assignment 138 Section 11.09. Appointment of Successor Collateral Manager 138</w:t>
      </w:r>
    </w:p>
    <w:p>
      <w:pPr>
        <w:spacing w:after="0" w:line="1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Article XII The Agents 141</w:t>
      </w:r>
    </w:p>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12.01. Authorization and Action 141</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12.02. Delegation of Duties 143</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12.03. Agent’s Reliance, Etc. 143</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12.04. Indemnification 145</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12.05. Successor Agents 146</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12.06. Administrative Agent’s Capacity as a Lender 146</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12.07. Erroneous Payments 146</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Article XIII The Backup Collateral Manager 149</w:t>
      </w:r>
    </w:p>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13.01. Duties of the Backup Collateral Manager 149</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13.02. Fees of Backup Collateral Manager 150</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13.03. Assumption of Servicing Duties 150</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13.04. Indemnity 150</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13.05. Additional Provisions Applicable to Backup Collateral</w:t>
      </w:r>
    </w:p>
    <w:p>
      <w:pPr>
        <w:spacing w:after="0" w:line="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Manager 151</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13.06. Resignation of the Backup Collateral Manager 152</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Article XIV The Custodian 152</w:t>
      </w:r>
    </w:p>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14.01. Designation of Custodian 152</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14.02. Duties of Custodian 153</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14.03. Merger or Consolidation 155</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14.04. Custodian Compensation 155</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14.05. Custodian Removal 155</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14.06. Limitation on Liability 156</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14.07. Resignation of the Custodian 157</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14.08. Release of Related Documents 157</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14.09. Return of Related Documents 158</w:t>
      </w:r>
    </w:p>
    <w:p>
      <w:pPr>
        <w:spacing w:after="0" w:line="8" w:lineRule="exact"/>
        <w:rPr>
          <w:sz w:val="20"/>
          <w:szCs w:val="20"/>
          <w:color w:val="auto"/>
        </w:rPr>
      </w:pPr>
    </w:p>
    <w:p>
      <w:pPr>
        <w:ind w:left="3060" w:right="2360" w:hanging="1331"/>
        <w:spacing w:after="0" w:line="260" w:lineRule="auto"/>
        <w:rPr>
          <w:sz w:val="20"/>
          <w:szCs w:val="20"/>
          <w:color w:val="auto"/>
        </w:rPr>
      </w:pPr>
      <w:r>
        <w:rPr>
          <w:rFonts w:ascii="Times New Roman" w:cs="Times New Roman" w:eastAsia="Times New Roman" w:hAnsi="Times New Roman"/>
          <w:sz w:val="16"/>
          <w:szCs w:val="16"/>
          <w:color w:val="auto"/>
        </w:rPr>
        <w:t>Section 14.10. Access to Certain Documentation and Information Regarding the Collateral; Audits 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639445</wp:posOffset>
            </wp:positionV>
            <wp:extent cx="526605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0" w:name="page101"/>
    <w:bookmarkEnd w:id="100"/>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14.11. Representations and Warranties of the Custodian 159</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14.12. Covenants of the Custodian 160</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Article XV Miscellaneous 160</w:t>
      </w:r>
    </w:p>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15.01. No Waiver; Modifications in Writing 160</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15.02. Notices, Etc. 161</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15.03. Taxes 161</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15.04. Costs and Expenses; Indemnification 165</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15.05. Execution in Counterparts 167</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15.06. Assignability 167</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15.07. Governing Law 169</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15.08. Severability of Provisions 169</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15.09. Confidentiality 170</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15.10. Merger 171</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15.11. Survival 171</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15.12. Submission to Jurisdiction; Waivers; Etc. 171</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15.13. Waiver of Jury Trial 171</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15.14. Service of Process 172</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15.15. Waiver of Setoff 172</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15.16. PATRIOT Act Notice 172</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15.17. Legal Holidays 173</w:t>
      </w:r>
    </w:p>
    <w:p>
      <w:pPr>
        <w:spacing w:after="0" w:line="8" w:lineRule="exact"/>
        <w:rPr>
          <w:sz w:val="20"/>
          <w:szCs w:val="20"/>
          <w:color w:val="auto"/>
        </w:rPr>
      </w:pPr>
    </w:p>
    <w:p>
      <w:pPr>
        <w:ind w:left="1720"/>
        <w:spacing w:after="0" w:line="184" w:lineRule="exact"/>
        <w:rPr>
          <w:sz w:val="20"/>
          <w:szCs w:val="20"/>
          <w:color w:val="auto"/>
        </w:rPr>
      </w:pPr>
      <w:r>
        <w:rPr>
          <w:rFonts w:ascii="Times New Roman" w:cs="Times New Roman" w:eastAsia="Times New Roman" w:hAnsi="Times New Roman"/>
          <w:sz w:val="16"/>
          <w:szCs w:val="16"/>
          <w:color w:val="auto"/>
        </w:rPr>
        <w:t>Section 15.18.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Petition 173</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15.19. CP Conduit Provisions 173</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15.20. Third Party Beneficiary 174</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15.21. Reserved 174</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15.22. No Fiduciary Duty 174</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15.23. Sharing of Payments by Lenders 175</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Section 15.24. Judgment Currency 176</w:t>
      </w:r>
    </w:p>
    <w:p>
      <w:pPr>
        <w:spacing w:after="0" w:line="8" w:lineRule="exact"/>
        <w:rPr>
          <w:sz w:val="20"/>
          <w:szCs w:val="20"/>
          <w:color w:val="auto"/>
        </w:rPr>
      </w:pPr>
    </w:p>
    <w:p>
      <w:pPr>
        <w:ind w:left="3060" w:right="2440" w:hanging="1331"/>
        <w:spacing w:after="0" w:line="260" w:lineRule="auto"/>
        <w:rPr>
          <w:sz w:val="20"/>
          <w:szCs w:val="20"/>
          <w:color w:val="auto"/>
        </w:rPr>
      </w:pPr>
      <w:r>
        <w:rPr>
          <w:rFonts w:ascii="Times New Roman" w:cs="Times New Roman" w:eastAsia="Times New Roman" w:hAnsi="Times New Roman"/>
          <w:sz w:val="16"/>
          <w:szCs w:val="16"/>
          <w:color w:val="auto"/>
        </w:rPr>
        <w:t>Section 15.25. Acknowledgement and Consent to Bail-In of EEA Financial Institutions 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639445</wp:posOffset>
            </wp:positionV>
            <wp:extent cx="526605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1" w:name="page102"/>
    <w:bookmarkEnd w:id="101"/>
    <w:p>
      <w:pPr>
        <w:spacing w:after="0" w:line="33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Schedules</w:t>
      </w:r>
    </w:p>
    <w:p>
      <w:pPr>
        <w:spacing w:after="0" w:line="18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Schedule 1 Initial Commitments and Percentages</w:t>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Schedule 2 Forms of Monthly Report and Payment Date Report</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Schedule 3 Initial Collateral Loans</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Schedule 4 S&amp;P Industry Classifications</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Schedule 5 Fifth Amendment Participation Pool</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Schedule 6 Notice Information</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Schedule 7 Covered Account Details</w:t>
      </w:r>
    </w:p>
    <w:p>
      <w:pPr>
        <w:spacing w:after="0" w:line="23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Exhibits</w:t>
      </w:r>
    </w:p>
    <w:p>
      <w:pPr>
        <w:spacing w:after="0" w:line="18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Exhibit A Form of Excess Interest Proceeds Estimate</w:t>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Exhibit B Form of Notice of Borrowing (with attached form of Borrowing Base Calculation)</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Exhibit C Form of Notice of Prepayment</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Exhibit D Form of Assignment and Acceptance</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Exhibit E Form of Account Control Agreement</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Exhibit F Form of Facility Amount Increase Request</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Exhibit G Form of Release of Related Documents</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Exhibit H Closing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749935</wp:posOffset>
            </wp:positionV>
            <wp:extent cx="526605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2" w:name="page103"/>
    <w:bookmarkEnd w:id="102"/>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Revolving Credit And Security Agreement</w:t>
      </w:r>
    </w:p>
    <w:p>
      <w:pPr>
        <w:spacing w:after="0" w:line="189" w:lineRule="exact"/>
        <w:rPr>
          <w:sz w:val="20"/>
          <w:szCs w:val="20"/>
          <w:color w:val="auto"/>
        </w:rPr>
      </w:pPr>
    </w:p>
    <w:p>
      <w:pPr>
        <w:ind w:left="1360" w:right="1360" w:firstLine="484"/>
        <w:spacing w:after="0" w:line="252" w:lineRule="auto"/>
        <w:rPr>
          <w:sz w:val="20"/>
          <w:szCs w:val="20"/>
          <w:color w:val="auto"/>
        </w:rPr>
      </w:pPr>
      <w:r>
        <w:rPr>
          <w:rFonts w:ascii="Times New Roman" w:cs="Times New Roman" w:eastAsia="Times New Roman" w:hAnsi="Times New Roman"/>
          <w:sz w:val="16"/>
          <w:szCs w:val="16"/>
          <w:color w:val="auto"/>
        </w:rPr>
        <w:t xml:space="preserve">Revolving Credit and Security Agreement dated as of August 12, 2021 among PennantPark Floating Rate Funding I, LLC, a Delaware limited liability company, as borrower (together with its permitted successors and assigns, the </w:t>
      </w:r>
      <w:r>
        <w:rPr>
          <w:rFonts w:ascii="Times New Roman" w:cs="Times New Roman" w:eastAsia="Times New Roman" w:hAnsi="Times New Roman"/>
          <w:sz w:val="16"/>
          <w:szCs w:val="16"/>
          <w:i w:val="1"/>
          <w:iCs w:val="1"/>
          <w:color w:val="auto"/>
        </w:rPr>
        <w:t>“Borrower”</w:t>
      </w:r>
      <w:r>
        <w:rPr>
          <w:rFonts w:ascii="Times New Roman" w:cs="Times New Roman" w:eastAsia="Times New Roman" w:hAnsi="Times New Roman"/>
          <w:sz w:val="16"/>
          <w:szCs w:val="16"/>
          <w:color w:val="auto"/>
        </w:rPr>
        <w:t xml:space="preserve">); PennantPark Investment Advisers, LLC, a Delaware limited liability company, as the collateral manager (together with its permitted successors and assigns, the </w:t>
      </w:r>
      <w:r>
        <w:rPr>
          <w:rFonts w:ascii="Times New Roman" w:cs="Times New Roman" w:eastAsia="Times New Roman" w:hAnsi="Times New Roman"/>
          <w:sz w:val="16"/>
          <w:szCs w:val="16"/>
          <w:i w:val="1"/>
          <w:iCs w:val="1"/>
          <w:color w:val="auto"/>
        </w:rPr>
        <w:t>“Collateral Manager”</w:t>
      </w:r>
      <w:r>
        <w:rPr>
          <w:rFonts w:ascii="Times New Roman" w:cs="Times New Roman" w:eastAsia="Times New Roman" w:hAnsi="Times New Roman"/>
          <w:sz w:val="16"/>
          <w:szCs w:val="16"/>
          <w:color w:val="auto"/>
        </w:rPr>
        <w:t xml:space="preserve">), the Lenders from time to time party hereto; Truist Bank, as administrative agent for the Secured Parties (as hereinafter defined) (in such capacity, together with its successors and assigns, the </w:t>
      </w:r>
      <w:r>
        <w:rPr>
          <w:rFonts w:ascii="Times New Roman" w:cs="Times New Roman" w:eastAsia="Times New Roman" w:hAnsi="Times New Roman"/>
          <w:sz w:val="16"/>
          <w:szCs w:val="16"/>
          <w:i w:val="1"/>
          <w:iCs w:val="1"/>
          <w:color w:val="auto"/>
        </w:rPr>
        <w:t>“Administrative Agent”</w:t>
      </w:r>
      <w:r>
        <w:rPr>
          <w:rFonts w:ascii="Times New Roman" w:cs="Times New Roman" w:eastAsia="Times New Roman" w:hAnsi="Times New Roman"/>
          <w:sz w:val="16"/>
          <w:szCs w:val="16"/>
          <w:color w:val="auto"/>
        </w:rPr>
        <w:t>), Truist Bank, as the swingline lender (the “</w:t>
      </w:r>
      <w:r>
        <w:rPr>
          <w:rFonts w:ascii="Times New Roman" w:cs="Times New Roman" w:eastAsia="Times New Roman" w:hAnsi="Times New Roman"/>
          <w:sz w:val="16"/>
          <w:szCs w:val="16"/>
          <w:i w:val="1"/>
          <w:iCs w:val="1"/>
          <w:color w:val="auto"/>
        </w:rPr>
        <w:t>Swingline Lender</w:t>
      </w:r>
      <w:r>
        <w:rPr>
          <w:rFonts w:ascii="Times New Roman" w:cs="Times New Roman" w:eastAsia="Times New Roman" w:hAnsi="Times New Roman"/>
          <w:sz w:val="16"/>
          <w:szCs w:val="16"/>
          <w:color w:val="auto"/>
        </w:rPr>
        <w:t xml:space="preserve">”), U.S. Bank Trust Company, National Association, as successor in interest to U.S. Bank National Association, as collateral agent for the Secured Parties (as hereinafter defined) (in such capacity, together with its successors and assigns, the </w:t>
      </w:r>
      <w:r>
        <w:rPr>
          <w:rFonts w:ascii="Times New Roman" w:cs="Times New Roman" w:eastAsia="Times New Roman" w:hAnsi="Times New Roman"/>
          <w:sz w:val="16"/>
          <w:szCs w:val="16"/>
          <w:i w:val="1"/>
          <w:iCs w:val="1"/>
          <w:color w:val="auto"/>
        </w:rPr>
        <w:t>“Collateral Agent”</w:t>
      </w:r>
      <w:r>
        <w:rPr>
          <w:rFonts w:ascii="Times New Roman" w:cs="Times New Roman" w:eastAsia="Times New Roman" w:hAnsi="Times New Roman"/>
          <w:sz w:val="16"/>
          <w:szCs w:val="16"/>
          <w:color w:val="auto"/>
        </w:rPr>
        <w:t xml:space="preserve"> ); U.S. Bank National Association, as custodian (in such capacity, together with its successors and assigns, the </w:t>
      </w:r>
      <w:r>
        <w:rPr>
          <w:rFonts w:ascii="Times New Roman" w:cs="Times New Roman" w:eastAsia="Times New Roman" w:hAnsi="Times New Roman"/>
          <w:sz w:val="16"/>
          <w:szCs w:val="16"/>
          <w:i w:val="1"/>
          <w:iCs w:val="1"/>
          <w:color w:val="auto"/>
        </w:rPr>
        <w:t>“Custodian”</w:t>
      </w:r>
      <w:r>
        <w:rPr>
          <w:rFonts w:ascii="Times New Roman" w:cs="Times New Roman" w:eastAsia="Times New Roman" w:hAnsi="Times New Roman"/>
          <w:sz w:val="16"/>
          <w:szCs w:val="16"/>
          <w:color w:val="auto"/>
        </w:rPr>
        <w:t xml:space="preserve">); U.S. Bank Trust Company, National Association, as successor in interest to U.S. Bank National Association, as collateral administrator (in such capacity, together with its successors and assigns, the </w:t>
      </w:r>
      <w:r>
        <w:rPr>
          <w:rFonts w:ascii="Times New Roman" w:cs="Times New Roman" w:eastAsia="Times New Roman" w:hAnsi="Times New Roman"/>
          <w:sz w:val="16"/>
          <w:szCs w:val="16"/>
          <w:i w:val="1"/>
          <w:iCs w:val="1"/>
          <w:color w:val="auto"/>
        </w:rPr>
        <w:t>“Collateral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Administrator”</w:t>
      </w:r>
      <w:r>
        <w:rPr>
          <w:rFonts w:ascii="Times New Roman" w:cs="Times New Roman" w:eastAsia="Times New Roman" w:hAnsi="Times New Roman"/>
          <w:sz w:val="16"/>
          <w:szCs w:val="16"/>
          <w:color w:val="auto"/>
        </w:rPr>
        <w:t>); and U.S. Bank Trust Company, National Association, as successor in interest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U.S. Bank National Association, as backup collateral manager (in such capacity, together with its successors and assigns, the </w:t>
      </w:r>
      <w:r>
        <w:rPr>
          <w:rFonts w:ascii="Times New Roman" w:cs="Times New Roman" w:eastAsia="Times New Roman" w:hAnsi="Times New Roman"/>
          <w:sz w:val="16"/>
          <w:szCs w:val="16"/>
          <w:i w:val="1"/>
          <w:iCs w:val="1"/>
          <w:color w:val="auto"/>
        </w:rPr>
        <w:t>“Backup Collateral Manager”</w:t>
      </w:r>
      <w:r>
        <w:rPr>
          <w:rFonts w:ascii="Times New Roman" w:cs="Times New Roman" w:eastAsia="Times New Roman" w:hAnsi="Times New Roman"/>
          <w:sz w:val="16"/>
          <w:szCs w:val="16"/>
          <w:color w:val="auto"/>
        </w:rPr>
        <w:t>).</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 i t n e s s e t h:</w:t>
      </w:r>
    </w:p>
    <w:p>
      <w:pPr>
        <w:spacing w:after="0" w:line="189" w:lineRule="exact"/>
        <w:rPr>
          <w:sz w:val="20"/>
          <w:szCs w:val="20"/>
          <w:color w:val="auto"/>
        </w:rPr>
      </w:pPr>
    </w:p>
    <w:p>
      <w:pPr>
        <w:ind w:left="1360" w:right="1580" w:firstLine="484"/>
        <w:spacing w:after="0" w:line="283" w:lineRule="auto"/>
        <w:rPr>
          <w:sz w:val="20"/>
          <w:szCs w:val="20"/>
          <w:color w:val="auto"/>
        </w:rPr>
      </w:pPr>
      <w:r>
        <w:rPr>
          <w:rFonts w:ascii="Times New Roman" w:cs="Times New Roman" w:eastAsia="Times New Roman" w:hAnsi="Times New Roman"/>
          <w:sz w:val="16"/>
          <w:szCs w:val="16"/>
          <w:color w:val="auto"/>
        </w:rPr>
        <w:t>Whereas, the Borrower desires that the Lenders make advances on a revolving basis to the Borrower on the terms and subject to the conditions set forth in this Agreement; and</w:t>
      </w:r>
    </w:p>
    <w:p>
      <w:pPr>
        <w:spacing w:after="0" w:line="131" w:lineRule="exact"/>
        <w:rPr>
          <w:sz w:val="20"/>
          <w:szCs w:val="20"/>
          <w:color w:val="auto"/>
        </w:rPr>
      </w:pPr>
    </w:p>
    <w:p>
      <w:pPr>
        <w:ind w:left="1360" w:right="1400" w:firstLine="484"/>
        <w:spacing w:after="0" w:line="283" w:lineRule="auto"/>
        <w:rPr>
          <w:sz w:val="20"/>
          <w:szCs w:val="20"/>
          <w:color w:val="auto"/>
        </w:rPr>
      </w:pPr>
      <w:r>
        <w:rPr>
          <w:rFonts w:ascii="Times New Roman" w:cs="Times New Roman" w:eastAsia="Times New Roman" w:hAnsi="Times New Roman"/>
          <w:sz w:val="16"/>
          <w:szCs w:val="16"/>
          <w:color w:val="auto"/>
        </w:rPr>
        <w:t>Whereas, each Lender is willing to make such advances to the Borrower on the terms and subject to the conditions set forth in this Agreement.</w:t>
      </w:r>
    </w:p>
    <w:p>
      <w:pPr>
        <w:spacing w:after="0" w:line="131" w:lineRule="exact"/>
        <w:rPr>
          <w:sz w:val="20"/>
          <w:szCs w:val="20"/>
          <w:color w:val="auto"/>
        </w:rPr>
      </w:pPr>
    </w:p>
    <w:p>
      <w:pPr>
        <w:ind w:left="1360" w:right="1720" w:firstLine="484"/>
        <w:spacing w:after="0" w:line="283" w:lineRule="auto"/>
        <w:rPr>
          <w:sz w:val="20"/>
          <w:szCs w:val="20"/>
          <w:color w:val="auto"/>
        </w:rPr>
      </w:pPr>
      <w:r>
        <w:rPr>
          <w:rFonts w:ascii="Times New Roman" w:cs="Times New Roman" w:eastAsia="Times New Roman" w:hAnsi="Times New Roman"/>
          <w:sz w:val="16"/>
          <w:szCs w:val="16"/>
          <w:color w:val="auto"/>
        </w:rPr>
        <w:t>Now, Therefore, in consideration of the premises and of the mutual covenants herein contained, the parties hereto agree as follows: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I</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Definitions; Rules of Construction; Computations</w:t>
      </w:r>
    </w:p>
    <w:p>
      <w:pPr>
        <w:spacing w:after="0" w:line="187" w:lineRule="exact"/>
        <w:rPr>
          <w:sz w:val="20"/>
          <w:szCs w:val="20"/>
          <w:color w:val="auto"/>
        </w:rPr>
      </w:pPr>
    </w:p>
    <w:p>
      <w:pPr>
        <w:ind w:left="1360" w:right="1920" w:firstLine="40"/>
        <w:spacing w:after="0" w:line="286" w:lineRule="auto"/>
        <w:rPr>
          <w:sz w:val="20"/>
          <w:szCs w:val="20"/>
          <w:color w:val="auto"/>
        </w:rPr>
      </w:pPr>
      <w:r>
        <w:rPr>
          <w:rFonts w:ascii="Times New Roman" w:cs="Times New Roman" w:eastAsia="Times New Roman" w:hAnsi="Times New Roman"/>
          <w:sz w:val="16"/>
          <w:szCs w:val="16"/>
          <w:i w:val="1"/>
          <w:iCs w:val="1"/>
          <w:color w:val="auto"/>
        </w:rPr>
        <w:t>Section 1.01. Definitions</w:t>
      </w:r>
      <w:r>
        <w:rPr>
          <w:rFonts w:ascii="Times New Roman" w:cs="Times New Roman" w:eastAsia="Times New Roman" w:hAnsi="Times New Roman"/>
          <w:sz w:val="16"/>
          <w:szCs w:val="16"/>
          <w:color w:val="auto"/>
        </w:rPr>
        <w:t>. As used in this Agreement, the following terms shall have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meanings indicated:</w:t>
      </w:r>
    </w:p>
    <w:p>
      <w:pPr>
        <w:spacing w:after="0" w:line="126" w:lineRule="exact"/>
        <w:rPr>
          <w:sz w:val="20"/>
          <w:szCs w:val="20"/>
          <w:color w:val="auto"/>
        </w:rPr>
      </w:pPr>
    </w:p>
    <w:p>
      <w:pPr>
        <w:ind w:left="1360" w:right="1680" w:firstLine="4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“ABL Facility” </w:t>
      </w:r>
      <w:r>
        <w:rPr>
          <w:rFonts w:ascii="Times New Roman" w:cs="Times New Roman" w:eastAsia="Times New Roman" w:hAnsi="Times New Roman"/>
          <w:sz w:val="16"/>
          <w:szCs w:val="16"/>
          <w:color w:val="auto"/>
        </w:rPr>
        <w:t>means a lending facility pursuant to which the loans thereunder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secured by a perfected, first priority security interest in accounts receivable, inventory, machinery, equipment, or periodic revenues, where such collateral security consists of assets generated or acquired by the related Obligor in its business.</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“Account Control Agreement” </w:t>
      </w:r>
      <w:r>
        <w:rPr>
          <w:rFonts w:ascii="Times New Roman" w:cs="Times New Roman" w:eastAsia="Times New Roman" w:hAnsi="Times New Roman"/>
          <w:sz w:val="16"/>
          <w:szCs w:val="16"/>
          <w:color w:val="auto"/>
        </w:rPr>
        <w:t>means an agreement in substantially the form of Exhibit E</w:t>
      </w:r>
    </w:p>
    <w:p>
      <w:pPr>
        <w:spacing w:after="0" w:line="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653415</wp:posOffset>
            </wp:positionV>
            <wp:extent cx="526605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3" w:name="page104"/>
    <w:bookmarkEnd w:id="103"/>
    <w:p>
      <w:pPr>
        <w:spacing w:after="0" w:line="268" w:lineRule="exact"/>
        <w:rPr>
          <w:sz w:val="20"/>
          <w:szCs w:val="20"/>
          <w:color w:val="auto"/>
        </w:rPr>
      </w:pPr>
    </w:p>
    <w:p>
      <w:pPr>
        <w:ind w:left="1360" w:right="1420" w:firstLine="48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Adjusted Term Benchmark Rate</w:t>
      </w:r>
      <w:r>
        <w:rPr>
          <w:rFonts w:ascii="Times New Roman" w:cs="Times New Roman" w:eastAsia="Times New Roman" w:hAnsi="Times New Roman"/>
          <w:sz w:val="16"/>
          <w:szCs w:val="16"/>
          <w:color w:val="auto"/>
        </w:rPr>
        <w:t xml:space="preserve">” means (a) for the Interest Accrual Period for any Term Benchmark Borrowing denominated in Dollars, an interest rate per annum (rounded upwards, if necessary, to the next 1/100 of 1%) equal to the greater of (A) zero percent (0%) and (B) the Term Benchmark Rate for such Interest Accrual Period for Dollars, (b) for the Interest Accrual Period for any Term Benchmark Borrowing denominated in Canadian Dollars, the rate per annum equal to the greater of (A) zero percent (0%), and (B) the sum of (i) Term Benchmark Rate for such Interest Accrual Period for Canadian Dollars,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(ii) the Term CORRA Adjustment, and (c) for the Interest Accrual Period for any Term Benchmark Borrowing denominated in a Currency (other than Dollars or Canadian Dollars) an interest rate per annum (rounded upwards, if necessary, to the next 1/100 of 1%) equal to the greater of (A) zero percent (0%) and (B) the Term Benchmark Rate for such Interest Accrual Period for such Currency.</w:t>
      </w:r>
    </w:p>
    <w:p>
      <w:pPr>
        <w:spacing w:after="0" w:line="157" w:lineRule="exact"/>
        <w:rPr>
          <w:sz w:val="20"/>
          <w:szCs w:val="20"/>
          <w:color w:val="auto"/>
        </w:rPr>
      </w:pPr>
    </w:p>
    <w:p>
      <w:pPr>
        <w:ind w:left="1360" w:right="144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“Administrative Agent” </w:t>
      </w:r>
      <w:r>
        <w:rPr>
          <w:rFonts w:ascii="Times New Roman" w:cs="Times New Roman" w:eastAsia="Times New Roman" w:hAnsi="Times New Roman"/>
          <w:sz w:val="16"/>
          <w:szCs w:val="16"/>
          <w:color w:val="auto"/>
        </w:rPr>
        <w:t>has the meaning assigned to such term in the introduction to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w:t>
      </w:r>
    </w:p>
    <w:p>
      <w:pPr>
        <w:spacing w:after="0" w:line="113" w:lineRule="exact"/>
        <w:rPr>
          <w:sz w:val="20"/>
          <w:szCs w:val="20"/>
          <w:color w:val="auto"/>
        </w:rPr>
      </w:pPr>
    </w:p>
    <w:p>
      <w:pPr>
        <w:ind w:left="1360" w:right="1420" w:firstLine="484"/>
        <w:spacing w:after="0" w:line="209" w:lineRule="exact"/>
        <w:rPr>
          <w:sz w:val="20"/>
          <w:szCs w:val="20"/>
          <w:color w:val="auto"/>
        </w:rPr>
      </w:pPr>
      <w:r>
        <w:rPr>
          <w:rFonts w:ascii="Times New Roman" w:cs="Times New Roman" w:eastAsia="Times New Roman" w:hAnsi="Times New Roman"/>
          <w:sz w:val="16"/>
          <w:szCs w:val="16"/>
          <w:i w:val="1"/>
          <w:iCs w:val="1"/>
          <w:color w:val="auto"/>
        </w:rPr>
        <w:t xml:space="preserve">“Administrative Expense Cap” </w:t>
      </w:r>
      <w:r>
        <w:rPr>
          <w:rFonts w:ascii="Times New Roman" w:cs="Times New Roman" w:eastAsia="Times New Roman" w:hAnsi="Times New Roman"/>
          <w:sz w:val="16"/>
          <w:szCs w:val="16"/>
          <w:color w:val="auto"/>
        </w:rPr>
        <w:t>means, for any rolling 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month period, an amount equal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$300,000.</w:t>
      </w:r>
    </w:p>
    <w:p>
      <w:pPr>
        <w:spacing w:after="0" w:line="162" w:lineRule="exact"/>
        <w:rPr>
          <w:sz w:val="20"/>
          <w:szCs w:val="20"/>
          <w:color w:val="auto"/>
        </w:rPr>
      </w:pPr>
    </w:p>
    <w:p>
      <w:pPr>
        <w:ind w:left="1360" w:right="148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“Administrative Expenses” </w:t>
      </w:r>
      <w:r>
        <w:rPr>
          <w:rFonts w:ascii="Times New Roman" w:cs="Times New Roman" w:eastAsia="Times New Roman" w:hAnsi="Times New Roman"/>
          <w:sz w:val="16"/>
          <w:szCs w:val="16"/>
          <w:color w:val="auto"/>
        </w:rPr>
        <w:t>means the fees and expenses (including indemnities)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amounts of the Borrower due or accrued with respect to any Payment Date and payable in the following order:</w:t>
      </w:r>
    </w:p>
    <w:p>
      <w:pPr>
        <w:spacing w:after="0" w:line="140" w:lineRule="exact"/>
        <w:rPr>
          <w:sz w:val="20"/>
          <w:szCs w:val="20"/>
          <w:color w:val="auto"/>
        </w:rPr>
      </w:pPr>
    </w:p>
    <w:p>
      <w:pPr>
        <w:ind w:left="1840" w:right="1400" w:firstLine="44"/>
        <w:spacing w:after="0" w:line="259" w:lineRule="auto"/>
        <w:tabs>
          <w:tab w:leader="none" w:pos="210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first</w:t>
      </w:r>
      <w:r>
        <w:rPr>
          <w:rFonts w:ascii="Times New Roman" w:cs="Times New Roman" w:eastAsia="Times New Roman" w:hAnsi="Times New Roman"/>
          <w:sz w:val="16"/>
          <w:szCs w:val="16"/>
          <w:color w:val="auto"/>
        </w:rPr>
        <w:t>, to the Collateral Agent, the Collateral Administrator, the Backup Collateral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Manager, Securities Intermediary and the Custodian, any amounts payable pursuant to the Collateral Agent Fee Letter, the Backup Collateral Manager Fee Letter, the Custodian Fee Letter, the Collateral Administration Agreement, this Agreement and the other Facility Documents;</w:t>
      </w:r>
    </w:p>
    <w:p>
      <w:pPr>
        <w:spacing w:after="0" w:line="147" w:lineRule="exact"/>
        <w:rPr>
          <w:rFonts w:ascii="Times New Roman" w:cs="Times New Roman" w:eastAsia="Times New Roman" w:hAnsi="Times New Roman"/>
          <w:sz w:val="16"/>
          <w:szCs w:val="16"/>
          <w:color w:val="auto"/>
        </w:rPr>
      </w:pPr>
    </w:p>
    <w:p>
      <w:pPr>
        <w:ind w:left="2120" w:hanging="236"/>
        <w:spacing w:after="0"/>
        <w:tabs>
          <w:tab w:leader="none" w:pos="21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second</w:t>
      </w:r>
      <w:r>
        <w:rPr>
          <w:rFonts w:ascii="Times New Roman" w:cs="Times New Roman" w:eastAsia="Times New Roman" w:hAnsi="Times New Roman"/>
          <w:sz w:val="16"/>
          <w:szCs w:val="16"/>
          <w:color w:val="auto"/>
        </w:rPr>
        <w:t>, to the Administrative Agent for fees and accrued expenses;</w:t>
      </w:r>
    </w:p>
    <w:p>
      <w:pPr>
        <w:spacing w:after="0" w:line="189" w:lineRule="exact"/>
        <w:rPr>
          <w:rFonts w:ascii="Times New Roman" w:cs="Times New Roman" w:eastAsia="Times New Roman" w:hAnsi="Times New Roman"/>
          <w:sz w:val="16"/>
          <w:szCs w:val="16"/>
          <w:color w:val="auto"/>
        </w:rPr>
      </w:pPr>
    </w:p>
    <w:p>
      <w:pPr>
        <w:ind w:left="1840" w:right="1380" w:firstLine="44"/>
        <w:spacing w:after="0" w:line="268" w:lineRule="auto"/>
        <w:tabs>
          <w:tab w:leader="none" w:pos="210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third</w:t>
      </w:r>
      <w:r>
        <w:rPr>
          <w:rFonts w:ascii="Times New Roman" w:cs="Times New Roman" w:eastAsia="Times New Roman" w:hAnsi="Times New Roman"/>
          <w:sz w:val="16"/>
          <w:szCs w:val="16"/>
          <w:color w:val="auto"/>
        </w:rPr>
        <w:t>, to the Collateral Manager for expenses (including indemnities) incurred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Collateral Manager in connection with the services provided under this Agreement and as further described in Sections 11.03, 11.07 and 11.09; and</w:t>
      </w:r>
    </w:p>
    <w:p>
      <w:pPr>
        <w:spacing w:after="0" w:line="140" w:lineRule="exact"/>
        <w:rPr>
          <w:rFonts w:ascii="Times New Roman" w:cs="Times New Roman" w:eastAsia="Times New Roman" w:hAnsi="Times New Roman"/>
          <w:sz w:val="16"/>
          <w:szCs w:val="16"/>
          <w:color w:val="auto"/>
        </w:rPr>
      </w:pPr>
    </w:p>
    <w:p>
      <w:pPr>
        <w:ind w:left="2120" w:hanging="236"/>
        <w:spacing w:after="0"/>
        <w:tabs>
          <w:tab w:leader="none" w:pos="21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fourth</w:t>
      </w:r>
      <w:r>
        <w:rPr>
          <w:rFonts w:ascii="Times New Roman" w:cs="Times New Roman" w:eastAsia="Times New Roman" w:hAnsi="Times New Roman"/>
          <w:sz w:val="16"/>
          <w:szCs w:val="16"/>
          <w:color w:val="auto"/>
        </w:rPr>
        <w:t>, on a</w:t>
      </w:r>
      <w:r>
        <w:rPr>
          <w:rFonts w:ascii="Times New Roman" w:cs="Times New Roman" w:eastAsia="Times New Roman" w:hAnsi="Times New Roman"/>
          <w:sz w:val="16"/>
          <w:szCs w:val="16"/>
          <w:i w:val="1"/>
          <w:iCs w:val="1"/>
          <w:color w:val="auto"/>
        </w:rPr>
        <w:t xml:space="preserve"> pro rata </w:t>
      </w:r>
      <w:r>
        <w:rPr>
          <w:rFonts w:ascii="Times New Roman" w:cs="Times New Roman" w:eastAsia="Times New Roman" w:hAnsi="Times New Roman"/>
          <w:sz w:val="16"/>
          <w:szCs w:val="16"/>
          <w:color w:val="auto"/>
        </w:rPr>
        <w:t>basis, to:</w:t>
      </w:r>
    </w:p>
    <w:p>
      <w:pPr>
        <w:spacing w:after="0" w:line="191" w:lineRule="exact"/>
        <w:rPr>
          <w:rFonts w:ascii="Times New Roman" w:cs="Times New Roman" w:eastAsia="Times New Roman" w:hAnsi="Times New Roman"/>
          <w:sz w:val="16"/>
          <w:szCs w:val="16"/>
          <w:color w:val="auto"/>
        </w:rPr>
      </w:pPr>
    </w:p>
    <w:p>
      <w:pPr>
        <w:ind w:left="2320" w:right="1480" w:firstLine="49"/>
        <w:spacing w:after="0" w:line="266" w:lineRule="auto"/>
        <w:tabs>
          <w:tab w:leader="none" w:pos="2553"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Independent Accountants, agents (other than the Collateral Manager) and counsel of the Borrower for fees and expenses related to the Collateral and the Facility Documents;</w:t>
      </w:r>
    </w:p>
    <w:p>
      <w:pPr>
        <w:spacing w:after="0" w:line="144" w:lineRule="exact"/>
        <w:rPr>
          <w:rFonts w:ascii="Times New Roman" w:cs="Times New Roman" w:eastAsia="Times New Roman" w:hAnsi="Times New Roman"/>
          <w:sz w:val="16"/>
          <w:szCs w:val="16"/>
          <w:color w:val="auto"/>
        </w:rPr>
      </w:pPr>
    </w:p>
    <w:p>
      <w:pPr>
        <w:ind w:left="2320" w:right="1380" w:firstLine="49"/>
        <w:spacing w:after="0" w:line="283" w:lineRule="auto"/>
        <w:tabs>
          <w:tab w:leader="none" w:pos="2598"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Rating Agencies for fees and expenses in connection with the rating of (or provision of credit estimates in respect of) any Collateral Loans;</w:t>
      </w:r>
    </w:p>
    <w:p>
      <w:pPr>
        <w:spacing w:after="0" w:line="131" w:lineRule="exact"/>
        <w:rPr>
          <w:rFonts w:ascii="Times New Roman" w:cs="Times New Roman" w:eastAsia="Times New Roman" w:hAnsi="Times New Roman"/>
          <w:sz w:val="16"/>
          <w:szCs w:val="16"/>
          <w:color w:val="auto"/>
        </w:rPr>
      </w:pPr>
    </w:p>
    <w:p>
      <w:pPr>
        <w:ind w:left="2320" w:right="1460" w:firstLine="49"/>
        <w:spacing w:after="0" w:line="283" w:lineRule="auto"/>
        <w:tabs>
          <w:tab w:leader="none" w:pos="2643"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Person in respect of any other fees or expenses permitted under or incurred pursuant to or in connection with the Facility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628015</wp:posOffset>
            </wp:positionV>
            <wp:extent cx="526605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4" w:name="page105"/>
    <w:bookmarkEnd w:id="104"/>
    <w:p>
      <w:pPr>
        <w:spacing w:after="0" w:line="270" w:lineRule="exact"/>
        <w:rPr>
          <w:sz w:val="20"/>
          <w:szCs w:val="20"/>
          <w:color w:val="auto"/>
        </w:rPr>
      </w:pPr>
    </w:p>
    <w:p>
      <w:pPr>
        <w:jc w:val="both"/>
        <w:ind w:left="2320" w:right="2000" w:firstLine="49"/>
        <w:spacing w:after="0" w:line="266" w:lineRule="auto"/>
        <w:tabs>
          <w:tab w:leader="none" w:pos="2634"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Lenders and the Agents (or related indemnified parties) for fees, expenses and other amounts payable by the Borrower under any Facility Document;</w:t>
      </w:r>
    </w:p>
    <w:p>
      <w:pPr>
        <w:spacing w:after="0" w:line="143" w:lineRule="exact"/>
        <w:rPr>
          <w:sz w:val="20"/>
          <w:szCs w:val="20"/>
          <w:color w:val="auto"/>
        </w:rPr>
      </w:pPr>
    </w:p>
    <w:p>
      <w:pPr>
        <w:ind w:left="1360" w:right="1380"/>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for the avoidance of doubt, amounts that are expressly payable to any Person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under the Priority of Payments in respect of an amount that is stated to be payable as an amount other than as Administrative Expenses (including, without limitation, interest and principal, other amounts owing in respect of the Advances and the Commitments, the Senior Collateral Management Fees and the Subordinated Collateral Management Fees) shall not constitute Administrative Expenses.</w:t>
      </w:r>
    </w:p>
    <w:p>
      <w:pPr>
        <w:spacing w:after="0" w:line="150" w:lineRule="exact"/>
        <w:rPr>
          <w:sz w:val="20"/>
          <w:szCs w:val="20"/>
          <w:color w:val="auto"/>
        </w:rPr>
      </w:pPr>
    </w:p>
    <w:p>
      <w:pPr>
        <w:ind w:left="1360" w:right="136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Advance Rate</w:t>
      </w:r>
      <w:r>
        <w:rPr>
          <w:rFonts w:ascii="Times New Roman" w:cs="Times New Roman" w:eastAsia="Times New Roman" w:hAnsi="Times New Roman"/>
          <w:sz w:val="16"/>
          <w:szCs w:val="16"/>
          <w:color w:val="auto"/>
        </w:rPr>
        <w:t>” means, with respect to any Collateral Loan, the corresponding percentage for the loan type set forth below:</w:t>
      </w:r>
    </w:p>
    <w:p>
      <w:pPr>
        <w:spacing w:after="0" w:line="12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Loan Type  Advance Rate</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First Lien Loan 72.5%</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Split First Lien Loan 72.5%</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Tier 1 Split Lien Loan 53.0%</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Tier 2 Split Lien Loan 44.0%</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Second Lien Loan 35.0%</w:t>
      </w:r>
    </w:p>
    <w:p>
      <w:pPr>
        <w:spacing w:after="0" w:line="18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“Advances” </w:t>
      </w:r>
      <w:r>
        <w:rPr>
          <w:rFonts w:ascii="Times New Roman" w:cs="Times New Roman" w:eastAsia="Times New Roman" w:hAnsi="Times New Roman"/>
          <w:sz w:val="16"/>
          <w:szCs w:val="16"/>
          <w:color w:val="auto"/>
        </w:rPr>
        <w:t>has the meaning assigned to such term in Section 2.01.</w:t>
      </w:r>
    </w:p>
    <w:p>
      <w:pPr>
        <w:spacing w:after="0" w:line="189" w:lineRule="exact"/>
        <w:rPr>
          <w:sz w:val="20"/>
          <w:szCs w:val="20"/>
          <w:color w:val="auto"/>
        </w:rPr>
      </w:pPr>
    </w:p>
    <w:p>
      <w:pPr>
        <w:ind w:left="1360" w:right="1500" w:firstLine="484"/>
        <w:spacing w:after="0" w:line="286" w:lineRule="auto"/>
        <w:rPr>
          <w:sz w:val="20"/>
          <w:szCs w:val="20"/>
          <w:color w:val="auto"/>
        </w:rPr>
      </w:pPr>
      <w:r>
        <w:rPr>
          <w:rFonts w:ascii="Times New Roman" w:cs="Times New Roman" w:eastAsia="Times New Roman" w:hAnsi="Times New Roman"/>
          <w:sz w:val="16"/>
          <w:szCs w:val="16"/>
          <w:i w:val="1"/>
          <w:iCs w:val="1"/>
          <w:color w:val="0000FF"/>
        </w:rPr>
        <w:t xml:space="preserve">“Affected Financial Institution” </w:t>
      </w:r>
      <w:r>
        <w:rPr>
          <w:rFonts w:ascii="Times New Roman" w:cs="Times New Roman" w:eastAsia="Times New Roman" w:hAnsi="Times New Roman"/>
          <w:sz w:val="16"/>
          <w:szCs w:val="16"/>
          <w:color w:val="0000FF"/>
        </w:rPr>
        <w:t>means (a) any EEA Financial Institution or (b) any UK</w:t>
      </w:r>
      <w:r>
        <w:rPr>
          <w:rFonts w:ascii="Times New Roman" w:cs="Times New Roman" w:eastAsia="Times New Roman" w:hAnsi="Times New Roman"/>
          <w:sz w:val="16"/>
          <w:szCs w:val="16"/>
          <w:i w:val="1"/>
          <w:iCs w:val="1"/>
          <w:color w:val="0000FF"/>
        </w:rPr>
        <w:t xml:space="preserve"> </w:t>
      </w:r>
      <w:r>
        <w:rPr>
          <w:rFonts w:ascii="Times New Roman" w:cs="Times New Roman" w:eastAsia="Times New Roman" w:hAnsi="Times New Roman"/>
          <w:sz w:val="16"/>
          <w:szCs w:val="16"/>
          <w:color w:val="0000FF"/>
        </w:rPr>
        <w:t>Financial Institution.</w:t>
      </w:r>
    </w:p>
    <w:p>
      <w:pPr>
        <w:spacing w:after="0" w:line="126" w:lineRule="exact"/>
        <w:rPr>
          <w:sz w:val="20"/>
          <w:szCs w:val="20"/>
          <w:color w:val="auto"/>
        </w:rPr>
      </w:pPr>
    </w:p>
    <w:p>
      <w:pPr>
        <w:ind w:left="1360" w:right="168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“Affected Person” </w:t>
      </w:r>
      <w:r>
        <w:rPr>
          <w:rFonts w:ascii="Times New Roman" w:cs="Times New Roman" w:eastAsia="Times New Roman" w:hAnsi="Times New Roman"/>
          <w:sz w:val="16"/>
          <w:szCs w:val="16"/>
          <w:color w:val="auto"/>
        </w:rPr>
        <w:t>means (i) each Lender and each of its Affiliates, (ii) any Liquidity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Bank and (iii) any assignee or participant of any Lender.</w:t>
      </w:r>
    </w:p>
    <w:p>
      <w:pPr>
        <w:spacing w:after="0" w:line="126" w:lineRule="exact"/>
        <w:rPr>
          <w:sz w:val="20"/>
          <w:szCs w:val="20"/>
          <w:color w:val="auto"/>
        </w:rPr>
      </w:pPr>
    </w:p>
    <w:p>
      <w:pPr>
        <w:ind w:left="1360" w:right="1460" w:firstLine="484"/>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“Affiliate” </w:t>
      </w:r>
      <w:r>
        <w:rPr>
          <w:rFonts w:ascii="Times New Roman" w:cs="Times New Roman" w:eastAsia="Times New Roman" w:hAnsi="Times New Roman"/>
          <w:sz w:val="16"/>
          <w:szCs w:val="16"/>
          <w:color w:val="auto"/>
        </w:rPr>
        <w:t>means, in respect of a referenced Person, another Person Controlling,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Controlled by or under common Control with such referenced Person;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Person shall not be deemed to be an “</w:t>
      </w:r>
      <w:r>
        <w:rPr>
          <w:rFonts w:ascii="Times New Roman" w:cs="Times New Roman" w:eastAsia="Times New Roman" w:hAnsi="Times New Roman"/>
          <w:sz w:val="16"/>
          <w:szCs w:val="16"/>
          <w:i w:val="1"/>
          <w:iCs w:val="1"/>
          <w:color w:val="auto"/>
        </w:rPr>
        <w:t>Affiliate</w:t>
      </w:r>
      <w:r>
        <w:rPr>
          <w:rFonts w:ascii="Times New Roman" w:cs="Times New Roman" w:eastAsia="Times New Roman" w:hAnsi="Times New Roman"/>
          <w:sz w:val="16"/>
          <w:szCs w:val="16"/>
          <w:color w:val="auto"/>
        </w:rPr>
        <w:t>” of an Obligor solely because it is under the common ownership or control of the same financial sponsor or affiliate thereof as such Obligor (except if any such Person or Obligor provides collateral under, guarantees or otherwise supports the obligations of the other such Person or Obligor).</w:t>
      </w:r>
    </w:p>
    <w:p>
      <w:pPr>
        <w:spacing w:after="0" w:line="1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“Agents” </w:t>
      </w:r>
      <w:r>
        <w:rPr>
          <w:rFonts w:ascii="Times New Roman" w:cs="Times New Roman" w:eastAsia="Times New Roman" w:hAnsi="Times New Roman"/>
          <w:sz w:val="16"/>
          <w:szCs w:val="16"/>
          <w:color w:val="auto"/>
        </w:rPr>
        <w:t>means, collectively, the Administrative Agent and the Collateral Agent.</w:t>
      </w:r>
    </w:p>
    <w:p>
      <w:pPr>
        <w:spacing w:after="0" w:line="189" w:lineRule="exact"/>
        <w:rPr>
          <w:sz w:val="20"/>
          <w:szCs w:val="20"/>
          <w:color w:val="auto"/>
        </w:rPr>
      </w:pPr>
    </w:p>
    <w:p>
      <w:pPr>
        <w:jc w:val="both"/>
        <w:ind w:left="1360" w:right="1760" w:firstLine="484"/>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“Agent’s Account” </w:t>
      </w:r>
      <w:r>
        <w:rPr>
          <w:rFonts w:ascii="Times New Roman" w:cs="Times New Roman" w:eastAsia="Times New Roman" w:hAnsi="Times New Roman"/>
          <w:sz w:val="16"/>
          <w:szCs w:val="16"/>
          <w:color w:val="auto"/>
        </w:rPr>
        <w:t>means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5"/>
          <w:szCs w:val="15"/>
          <w:color w:val="auto"/>
        </w:rPr>
        <w:t>Truist Bank, Atlanta, GA, ABA # 053101121, Account to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5"/>
          <w:szCs w:val="15"/>
          <w:color w:val="auto"/>
        </w:rPr>
        <w:t>credited: Agency Services Operating Account, Account number: 1000022220783, Attn: Karen Weich, Ref: PennantPark Floating Rate Funding I, LLC</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638810</wp:posOffset>
            </wp:positionV>
            <wp:extent cx="526605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5" w:name="page106"/>
    <w:bookmarkEnd w:id="105"/>
    <w:p>
      <w:pPr>
        <w:spacing w:after="0" w:line="26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“Aggregate Collateral Balance” </w:t>
      </w:r>
      <w:r>
        <w:rPr>
          <w:rFonts w:ascii="Times New Roman" w:cs="Times New Roman" w:eastAsia="Times New Roman" w:hAnsi="Times New Roman"/>
          <w:sz w:val="16"/>
          <w:szCs w:val="16"/>
          <w:color w:val="auto"/>
        </w:rPr>
        <w:t>means, at any time, the sum of:</w:t>
      </w:r>
    </w:p>
    <w:p>
      <w:pPr>
        <w:spacing w:after="0" w:line="191" w:lineRule="exact"/>
        <w:rPr>
          <w:sz w:val="20"/>
          <w:szCs w:val="20"/>
          <w:color w:val="auto"/>
        </w:rPr>
      </w:pPr>
    </w:p>
    <w:p>
      <w:pPr>
        <w:ind w:left="1840" w:right="1600" w:firstLine="488"/>
        <w:spacing w:after="0" w:line="266" w:lineRule="auto"/>
        <w:tabs>
          <w:tab w:leader="none" w:pos="2544"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Aggregate Principal Balance of all Eligible Collateral Loans (other than Defaulted Collateral Loans, Credit Improved Loans, Haircut Collateral Loans and Discount Collateral Loans), </w:t>
      </w:r>
      <w:r>
        <w:rPr>
          <w:rFonts w:ascii="Times New Roman" w:cs="Times New Roman" w:eastAsia="Times New Roman" w:hAnsi="Times New Roman"/>
          <w:sz w:val="16"/>
          <w:szCs w:val="16"/>
          <w:i w:val="1"/>
          <w:iCs w:val="1"/>
          <w:color w:val="auto"/>
        </w:rPr>
        <w:t>plus</w:t>
      </w:r>
    </w:p>
    <w:p>
      <w:pPr>
        <w:spacing w:after="0" w:line="142" w:lineRule="exact"/>
        <w:rPr>
          <w:rFonts w:ascii="Times New Roman" w:cs="Times New Roman" w:eastAsia="Times New Roman" w:hAnsi="Times New Roman"/>
          <w:sz w:val="16"/>
          <w:szCs w:val="16"/>
          <w:color w:val="auto"/>
        </w:rPr>
      </w:pPr>
    </w:p>
    <w:p>
      <w:pPr>
        <w:ind w:left="2560" w:hanging="232"/>
        <w:spacing w:after="0"/>
        <w:tabs>
          <w:tab w:leader="none" w:pos="2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Defaulted Collateral Loan Balance, </w:t>
      </w:r>
      <w:r>
        <w:rPr>
          <w:rFonts w:ascii="Times New Roman" w:cs="Times New Roman" w:eastAsia="Times New Roman" w:hAnsi="Times New Roman"/>
          <w:sz w:val="16"/>
          <w:szCs w:val="16"/>
          <w:i w:val="1"/>
          <w:iCs w:val="1"/>
          <w:color w:val="auto"/>
        </w:rPr>
        <w:t>plus</w:t>
      </w:r>
    </w:p>
    <w:p>
      <w:pPr>
        <w:spacing w:after="0" w:line="191" w:lineRule="exact"/>
        <w:rPr>
          <w:rFonts w:ascii="Times New Roman" w:cs="Times New Roman" w:eastAsia="Times New Roman" w:hAnsi="Times New Roman"/>
          <w:sz w:val="16"/>
          <w:szCs w:val="16"/>
          <w:color w:val="auto"/>
        </w:rPr>
      </w:pPr>
    </w:p>
    <w:p>
      <w:pPr>
        <w:ind w:left="1840" w:right="1580" w:firstLine="488"/>
        <w:spacing w:after="0" w:line="266" w:lineRule="auto"/>
        <w:tabs>
          <w:tab w:leader="none" w:pos="2544"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Dollar Equivalent of the aggregate purchase price of all Discount Collateral Loans that are Eligible Collateral Loans and not Defaulted Collateral Loans, Haircut Collateral Loans or Credit Improved Loans, </w:t>
      </w:r>
      <w:r>
        <w:rPr>
          <w:rFonts w:ascii="Times New Roman" w:cs="Times New Roman" w:eastAsia="Times New Roman" w:hAnsi="Times New Roman"/>
          <w:sz w:val="16"/>
          <w:szCs w:val="16"/>
          <w:i w:val="1"/>
          <w:iCs w:val="1"/>
          <w:color w:val="auto"/>
        </w:rPr>
        <w:t>plus</w:t>
      </w:r>
    </w:p>
    <w:p>
      <w:pPr>
        <w:spacing w:after="0" w:line="144" w:lineRule="exact"/>
        <w:rPr>
          <w:rFonts w:ascii="Times New Roman" w:cs="Times New Roman" w:eastAsia="Times New Roman" w:hAnsi="Times New Roman"/>
          <w:sz w:val="16"/>
          <w:szCs w:val="16"/>
          <w:color w:val="auto"/>
        </w:rPr>
      </w:pPr>
    </w:p>
    <w:p>
      <w:pPr>
        <w:ind w:left="1840" w:right="1420" w:firstLine="488"/>
        <w:spacing w:after="0" w:line="283" w:lineRule="auto"/>
        <w:tabs>
          <w:tab w:leader="none" w:pos="255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Revolving Exposure in respect of all Delayed Drawdown Collateral Loans and Revolving Collateral Loans that are Eligible Collateral Loans, </w:t>
      </w:r>
      <w:r>
        <w:rPr>
          <w:rFonts w:ascii="Times New Roman" w:cs="Times New Roman" w:eastAsia="Times New Roman" w:hAnsi="Times New Roman"/>
          <w:sz w:val="16"/>
          <w:szCs w:val="16"/>
          <w:i w:val="1"/>
          <w:iCs w:val="1"/>
          <w:color w:val="auto"/>
        </w:rPr>
        <w:t>plus</w:t>
      </w:r>
    </w:p>
    <w:p>
      <w:pPr>
        <w:spacing w:after="0" w:line="131" w:lineRule="exact"/>
        <w:rPr>
          <w:rFonts w:ascii="Times New Roman" w:cs="Times New Roman" w:eastAsia="Times New Roman" w:hAnsi="Times New Roman"/>
          <w:sz w:val="16"/>
          <w:szCs w:val="16"/>
          <w:color w:val="auto"/>
        </w:rPr>
      </w:pPr>
    </w:p>
    <w:p>
      <w:pPr>
        <w:ind w:left="1840" w:right="1940" w:firstLine="488"/>
        <w:spacing w:after="0" w:line="283" w:lineRule="auto"/>
        <w:tabs>
          <w:tab w:leader="none" w:pos="2544"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each Credit Improved Loan, an amount equal to the lower of (i) its Principal Balance and (ii) its Market Value, </w:t>
      </w:r>
      <w:r>
        <w:rPr>
          <w:rFonts w:ascii="Times New Roman" w:cs="Times New Roman" w:eastAsia="Times New Roman" w:hAnsi="Times New Roman"/>
          <w:sz w:val="16"/>
          <w:szCs w:val="16"/>
          <w:i w:val="1"/>
          <w:iCs w:val="1"/>
          <w:color w:val="auto"/>
        </w:rPr>
        <w:t>plus</w:t>
      </w:r>
    </w:p>
    <w:p>
      <w:pPr>
        <w:spacing w:after="0" w:line="131" w:lineRule="exact"/>
        <w:rPr>
          <w:rFonts w:ascii="Times New Roman" w:cs="Times New Roman" w:eastAsia="Times New Roman" w:hAnsi="Times New Roman"/>
          <w:sz w:val="16"/>
          <w:szCs w:val="16"/>
          <w:color w:val="auto"/>
        </w:rPr>
      </w:pPr>
    </w:p>
    <w:p>
      <w:pPr>
        <w:ind w:left="2520" w:hanging="192"/>
        <w:spacing w:after="0"/>
        <w:tabs>
          <w:tab w:leader="none" w:pos="25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Haircut Collateral Loan Balance;</w:t>
      </w:r>
    </w:p>
    <w:p>
      <w:pPr>
        <w:spacing w:after="0" w:line="187" w:lineRule="exact"/>
        <w:rPr>
          <w:sz w:val="20"/>
          <w:szCs w:val="20"/>
          <w:color w:val="auto"/>
        </w:rPr>
      </w:pPr>
    </w:p>
    <w:p>
      <w:pPr>
        <w:ind w:left="1360" w:right="1540"/>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in calculating the Aggregate Collateral Balance, no Collateral Loans shall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included at a value in excess of the value of such Collateral Loan as reflected on the books and records of the Collateral Manager on such date of determination.</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“Aggregate Funded Spread” </w:t>
      </w:r>
      <w:r>
        <w:rPr>
          <w:rFonts w:ascii="Times New Roman" w:cs="Times New Roman" w:eastAsia="Times New Roman" w:hAnsi="Times New Roman"/>
          <w:sz w:val="16"/>
          <w:szCs w:val="16"/>
          <w:color w:val="auto"/>
        </w:rPr>
        <w:t>means, as of any date, the sum of:</w:t>
      </w:r>
    </w:p>
    <w:p>
      <w:pPr>
        <w:spacing w:after="0" w:line="191" w:lineRule="exact"/>
        <w:rPr>
          <w:sz w:val="20"/>
          <w:szCs w:val="20"/>
          <w:color w:val="auto"/>
        </w:rPr>
      </w:pPr>
    </w:p>
    <w:p>
      <w:pPr>
        <w:ind w:left="1840" w:right="1420" w:firstLine="44"/>
        <w:spacing w:after="0" w:line="258" w:lineRule="auto"/>
        <w:tabs>
          <w:tab w:leader="none" w:pos="21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each Floating Rate Obligation (excluding any Floor Obligation) that bears interest at a spread over an index (including any London interbank offered rate based index), (i) the excess of the sum of such spread and such index </w:t>
      </w:r>
      <w:r>
        <w:rPr>
          <w:rFonts w:ascii="Times New Roman" w:cs="Times New Roman" w:eastAsia="Times New Roman" w:hAnsi="Times New Roman"/>
          <w:sz w:val="16"/>
          <w:szCs w:val="16"/>
          <w:i w:val="1"/>
          <w:iCs w:val="1"/>
          <w:color w:val="auto"/>
        </w:rPr>
        <w:t>over</w:t>
      </w:r>
      <w:r>
        <w:rPr>
          <w:rFonts w:ascii="Times New Roman" w:cs="Times New Roman" w:eastAsia="Times New Roman" w:hAnsi="Times New Roman"/>
          <w:sz w:val="16"/>
          <w:szCs w:val="16"/>
          <w:color w:val="auto"/>
        </w:rPr>
        <w:t xml:space="preserve"> Specified Rate as then in effect (which spread or excess may be expressed as a negative percentage) </w:t>
      </w:r>
      <w:r>
        <w:rPr>
          <w:rFonts w:ascii="Times New Roman" w:cs="Times New Roman" w:eastAsia="Times New Roman" w:hAnsi="Times New Roman"/>
          <w:sz w:val="16"/>
          <w:szCs w:val="16"/>
          <w:i w:val="1"/>
          <w:iCs w:val="1"/>
          <w:color w:val="auto"/>
        </w:rPr>
        <w:t xml:space="preserve">multiplied by </w:t>
      </w:r>
      <w:r>
        <w:rPr>
          <w:rFonts w:ascii="Times New Roman" w:cs="Times New Roman" w:eastAsia="Times New Roman" w:hAnsi="Times New Roman"/>
          <w:sz w:val="16"/>
          <w:szCs w:val="16"/>
          <w:color w:val="auto"/>
        </w:rPr>
        <w:t>(ii) the Principal Balance of such Collateral Loan; and</w:t>
      </w:r>
    </w:p>
    <w:p>
      <w:pPr>
        <w:spacing w:after="0" w:line="151" w:lineRule="exact"/>
        <w:rPr>
          <w:rFonts w:ascii="Times New Roman" w:cs="Times New Roman" w:eastAsia="Times New Roman" w:hAnsi="Times New Roman"/>
          <w:sz w:val="16"/>
          <w:szCs w:val="16"/>
          <w:color w:val="auto"/>
        </w:rPr>
      </w:pPr>
    </w:p>
    <w:p>
      <w:pPr>
        <w:ind w:left="1840" w:right="1400" w:firstLine="44"/>
        <w:spacing w:after="0" w:line="261" w:lineRule="auto"/>
        <w:tabs>
          <w:tab w:leader="none" w:pos="210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each Floor Obligation, (i) the excess of the interest rate on such Floor Obligation (including any interest rate spread) as of such date </w:t>
      </w:r>
      <w:r>
        <w:rPr>
          <w:rFonts w:ascii="Times New Roman" w:cs="Times New Roman" w:eastAsia="Times New Roman" w:hAnsi="Times New Roman"/>
          <w:sz w:val="16"/>
          <w:szCs w:val="16"/>
          <w:i w:val="1"/>
          <w:iCs w:val="1"/>
          <w:color w:val="auto"/>
        </w:rPr>
        <w:t>over</w:t>
      </w:r>
      <w:r>
        <w:rPr>
          <w:rFonts w:ascii="Times New Roman" w:cs="Times New Roman" w:eastAsia="Times New Roman" w:hAnsi="Times New Roman"/>
          <w:sz w:val="16"/>
          <w:szCs w:val="16"/>
          <w:color w:val="auto"/>
        </w:rPr>
        <w:t xml:space="preserve"> Specified Rate as then in effect (which spread or excess may be expressed as a negative percentage) </w:t>
      </w:r>
      <w:r>
        <w:rPr>
          <w:rFonts w:ascii="Times New Roman" w:cs="Times New Roman" w:eastAsia="Times New Roman" w:hAnsi="Times New Roman"/>
          <w:sz w:val="16"/>
          <w:szCs w:val="16"/>
          <w:i w:val="1"/>
          <w:iCs w:val="1"/>
          <w:color w:val="auto"/>
        </w:rPr>
        <w:t>multiplied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by </w:t>
      </w:r>
      <w:r>
        <w:rPr>
          <w:rFonts w:ascii="Times New Roman" w:cs="Times New Roman" w:eastAsia="Times New Roman" w:hAnsi="Times New Roman"/>
          <w:sz w:val="16"/>
          <w:szCs w:val="16"/>
          <w:color w:val="auto"/>
        </w:rPr>
        <w:t>(ii) the Principal Balance of each such Collateral Loan.</w:t>
      </w:r>
    </w:p>
    <w:p>
      <w:pPr>
        <w:spacing w:after="0" w:line="146" w:lineRule="exact"/>
        <w:rPr>
          <w:sz w:val="20"/>
          <w:szCs w:val="20"/>
          <w:color w:val="auto"/>
        </w:rPr>
      </w:pPr>
    </w:p>
    <w:p>
      <w:pPr>
        <w:ind w:left="1360" w:right="150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“Aggregate Principal Balance” </w:t>
      </w:r>
      <w:r>
        <w:rPr>
          <w:rFonts w:ascii="Times New Roman" w:cs="Times New Roman" w:eastAsia="Times New Roman" w:hAnsi="Times New Roman"/>
          <w:sz w:val="16"/>
          <w:szCs w:val="16"/>
          <w:color w:val="auto"/>
        </w:rPr>
        <w:t>means, when used with respect to all or a portion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Collateral Loans, the sum of the Principal Balances of all or of such portion of such Collateral Loans.</w:t>
      </w:r>
    </w:p>
    <w:p>
      <w:pPr>
        <w:spacing w:after="0" w:line="140" w:lineRule="exact"/>
        <w:rPr>
          <w:sz w:val="20"/>
          <w:szCs w:val="20"/>
          <w:color w:val="auto"/>
        </w:rPr>
      </w:pPr>
    </w:p>
    <w:p>
      <w:pPr>
        <w:ind w:left="1360" w:right="1400" w:firstLine="484"/>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“Aggregate Unfunded Spread” </w:t>
      </w:r>
      <w:r>
        <w:rPr>
          <w:rFonts w:ascii="Times New Roman" w:cs="Times New Roman" w:eastAsia="Times New Roman" w:hAnsi="Times New Roman"/>
          <w:sz w:val="16"/>
          <w:szCs w:val="16"/>
          <w:color w:val="auto"/>
        </w:rPr>
        <w:t>means, as of any date, the sum of the products obtained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multiplying (a) for each Delayed Drawdown Collateral Loan and Revolving Collateral Loan, the related commitment fee or other analogous fees (expressed at a per annum rate) then in effect as of such date and (b) the undrawn commitments of each such Delayed Drawdown Collateral Loan and Revolving Collateral Loan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639445</wp:posOffset>
            </wp:positionV>
            <wp:extent cx="526605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6" w:name="page107"/>
    <w:bookmarkEnd w:id="106"/>
    <w:p>
      <w:pPr>
        <w:spacing w:after="0" w:line="268" w:lineRule="exact"/>
        <w:rPr>
          <w:sz w:val="20"/>
          <w:szCs w:val="20"/>
          <w:color w:val="auto"/>
        </w:rPr>
      </w:pPr>
    </w:p>
    <w:p>
      <w:pPr>
        <w:ind w:left="1360" w:right="186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“Agreed Foreign Currency” </w:t>
      </w:r>
      <w:r>
        <w:rPr>
          <w:rFonts w:ascii="Times New Roman" w:cs="Times New Roman" w:eastAsia="Times New Roman" w:hAnsi="Times New Roman"/>
          <w:sz w:val="16"/>
          <w:szCs w:val="16"/>
          <w:color w:val="auto"/>
        </w:rPr>
        <w:t>means, at any time, any of Canadian Dollars, Pounds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Sterling, Euros, and Australian Dollars.</w:t>
      </w:r>
    </w:p>
    <w:p>
      <w:pPr>
        <w:spacing w:after="0" w:line="126" w:lineRule="exact"/>
        <w:rPr>
          <w:sz w:val="20"/>
          <w:szCs w:val="20"/>
          <w:color w:val="auto"/>
        </w:rPr>
      </w:pPr>
    </w:p>
    <w:p>
      <w:pPr>
        <w:ind w:left="1360" w:right="194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“Agreement” </w:t>
      </w:r>
      <w:r>
        <w:rPr>
          <w:rFonts w:ascii="Times New Roman" w:cs="Times New Roman" w:eastAsia="Times New Roman" w:hAnsi="Times New Roman"/>
          <w:sz w:val="16"/>
          <w:szCs w:val="16"/>
          <w:color w:val="auto"/>
        </w:rPr>
        <w:t>means this Revolving Credit and Security Agreement, as amended,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restated, supplemented or otherwise modified from time to time.</w:t>
      </w:r>
    </w:p>
    <w:p>
      <w:pPr>
        <w:spacing w:after="0" w:line="126" w:lineRule="exact"/>
        <w:rPr>
          <w:sz w:val="20"/>
          <w:szCs w:val="20"/>
          <w:color w:val="auto"/>
        </w:rPr>
      </w:pPr>
    </w:p>
    <w:p>
      <w:pPr>
        <w:ind w:left="1360" w:right="1480" w:firstLine="4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Anti-Corruption Laws</w:t>
      </w:r>
      <w:r>
        <w:rPr>
          <w:rFonts w:ascii="Times New Roman" w:cs="Times New Roman" w:eastAsia="Times New Roman" w:hAnsi="Times New Roman"/>
          <w:sz w:val="16"/>
          <w:szCs w:val="16"/>
          <w:color w:val="auto"/>
        </w:rPr>
        <w:t>” means any laws, rules and regulations of any jurisdiction applicable from time to time to the Borrower concerning bribery or corruption, including the United States Foreign Corrupt Practices Act of 1977, (15 U.S.C. § 78dd-1, et seq.) and the U.K. Bribery Act 2010.</w:t>
      </w:r>
    </w:p>
    <w:p>
      <w:pPr>
        <w:spacing w:after="0" w:line="145" w:lineRule="exact"/>
        <w:rPr>
          <w:sz w:val="20"/>
          <w:szCs w:val="20"/>
          <w:color w:val="auto"/>
        </w:rPr>
      </w:pPr>
    </w:p>
    <w:p>
      <w:pPr>
        <w:jc w:val="both"/>
        <w:ind w:left="1360" w:right="142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“Applicable Law” </w:t>
      </w:r>
      <w:r>
        <w:rPr>
          <w:rFonts w:ascii="Times New Roman" w:cs="Times New Roman" w:eastAsia="Times New Roman" w:hAnsi="Times New Roman"/>
          <w:sz w:val="16"/>
          <w:szCs w:val="16"/>
          <w:color w:val="auto"/>
        </w:rPr>
        <w:t>means any Law of any Governmental Authority, including all Federal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state banking or securities laws, to which the Person in question is subject or by which it or any of its assets or properties are bound.</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“Applicable Margin” </w:t>
      </w:r>
      <w:r>
        <w:rPr>
          <w:rFonts w:ascii="Times New Roman" w:cs="Times New Roman" w:eastAsia="Times New Roman" w:hAnsi="Times New Roman"/>
          <w:sz w:val="16"/>
          <w:szCs w:val="16"/>
          <w:color w:val="auto"/>
        </w:rPr>
        <w:t>has the meaning assigned to such term in the Lender Fee Letter.</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“Appraisal” </w:t>
      </w:r>
      <w:r>
        <w:rPr>
          <w:rFonts w:ascii="Times New Roman" w:cs="Times New Roman" w:eastAsia="Times New Roman" w:hAnsi="Times New Roman"/>
          <w:sz w:val="16"/>
          <w:szCs w:val="16"/>
          <w:color w:val="auto"/>
        </w:rPr>
        <w:t>means:</w:t>
      </w:r>
    </w:p>
    <w:p>
      <w:pPr>
        <w:spacing w:after="0" w:line="191" w:lineRule="exact"/>
        <w:rPr>
          <w:sz w:val="20"/>
          <w:szCs w:val="20"/>
          <w:color w:val="auto"/>
        </w:rPr>
      </w:pPr>
    </w:p>
    <w:p>
      <w:pPr>
        <w:ind w:left="1840" w:right="1360" w:firstLine="44"/>
        <w:spacing w:after="0" w:line="194" w:lineRule="exact"/>
        <w:tabs>
          <w:tab w:leader="none" w:pos="21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Defaulted Collateral Loan, an appraisal of the assets securing such Defaulted Collateral Loan that is conducted by an Approved Appraisal Firm on the basis of the fair market value of such assets (that is, the price that would be paid by a willing buyer to a willing seller of such assets in an expedited sale on an arm’s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length basis), which may be in the form of an update or reaffirmation by an Approved Appraisal Firm of an Appraisal of such Defaulted Collateral Loan previously performed by an Approved Appraisal Firm; and</w:t>
      </w:r>
    </w:p>
    <w:p>
      <w:pPr>
        <w:spacing w:after="0" w:line="165" w:lineRule="exact"/>
        <w:rPr>
          <w:rFonts w:ascii="Times New Roman" w:cs="Times New Roman" w:eastAsia="Times New Roman" w:hAnsi="Times New Roman"/>
          <w:sz w:val="16"/>
          <w:szCs w:val="16"/>
          <w:color w:val="auto"/>
        </w:rPr>
      </w:pPr>
    </w:p>
    <w:p>
      <w:pPr>
        <w:ind w:left="1840" w:right="1440" w:firstLine="44"/>
        <w:spacing w:after="0" w:line="258" w:lineRule="auto"/>
        <w:tabs>
          <w:tab w:leader="none" w:pos="210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Collateral Loan (other than a Defaulted Collateral Loan), an appraisal of such Collateral Loan that is conducted by an Approved Appraisal Firm, which may be in the form of an update or reaffirmation by an Approved Appraisal Firm of an Appraisal of such Collateral Loan previously performed by an Approved Appraisal Firm.</w:t>
      </w:r>
    </w:p>
    <w:p>
      <w:pPr>
        <w:spacing w:after="0" w:line="149" w:lineRule="exact"/>
        <w:rPr>
          <w:sz w:val="20"/>
          <w:szCs w:val="20"/>
          <w:color w:val="auto"/>
        </w:rPr>
      </w:pPr>
    </w:p>
    <w:p>
      <w:pPr>
        <w:ind w:left="1360" w:right="1380" w:firstLine="4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“Approved Appraisal Firm” </w:t>
      </w:r>
      <w:r>
        <w:rPr>
          <w:rFonts w:ascii="Times New Roman" w:cs="Times New Roman" w:eastAsia="Times New Roman" w:hAnsi="Times New Roman"/>
          <w:sz w:val="16"/>
          <w:szCs w:val="16"/>
          <w:color w:val="auto"/>
        </w:rPr>
        <w:t>means (a) an independent appraisal firm recognized as being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experienced in conducting valuations of secured loans or (b) an independent financial adviser of recognized standing retained by the Borrower, the Collateral Manager or the agent or lenders under any Collateral Loan, in each case as consented to by the Administrative Agent.</w:t>
      </w:r>
    </w:p>
    <w:p>
      <w:pPr>
        <w:spacing w:after="0" w:line="145" w:lineRule="exact"/>
        <w:rPr>
          <w:sz w:val="20"/>
          <w:szCs w:val="20"/>
          <w:color w:val="auto"/>
        </w:rPr>
      </w:pPr>
    </w:p>
    <w:p>
      <w:pPr>
        <w:jc w:val="both"/>
        <w:ind w:left="1360" w:right="140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“Assignment and Acceptance” </w:t>
      </w:r>
      <w:r>
        <w:rPr>
          <w:rFonts w:ascii="Times New Roman" w:cs="Times New Roman" w:eastAsia="Times New Roman" w:hAnsi="Times New Roman"/>
          <w:sz w:val="16"/>
          <w:szCs w:val="16"/>
          <w:color w:val="auto"/>
        </w:rPr>
        <w:t>means an Assignment and Acceptance in substantially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form of Exhibit D hereto, entered into by a Lender, an assignee, the Administrative Agent and, if applicable, the Borrower.</w:t>
      </w:r>
    </w:p>
    <w:p>
      <w:pPr>
        <w:spacing w:after="0" w:line="140" w:lineRule="exact"/>
        <w:rPr>
          <w:sz w:val="20"/>
          <w:szCs w:val="20"/>
          <w:color w:val="auto"/>
        </w:rPr>
      </w:pPr>
    </w:p>
    <w:p>
      <w:pPr>
        <w:ind w:left="1360" w:right="148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“AUS”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“AUS$”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i w:val="1"/>
          <w:iCs w:val="1"/>
          <w:color w:val="auto"/>
        </w:rPr>
        <w:t xml:space="preserve"> “Australian Dollar” </w:t>
      </w:r>
      <w:r>
        <w:rPr>
          <w:rFonts w:ascii="Times New Roman" w:cs="Times New Roman" w:eastAsia="Times New Roman" w:hAnsi="Times New Roman"/>
          <w:sz w:val="16"/>
          <w:szCs w:val="16"/>
          <w:color w:val="auto"/>
        </w:rPr>
        <w:t>means lawful money of the Commonwealth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7" w:name="page108"/>
    <w:bookmarkEnd w:id="107"/>
    <w:p>
      <w:pPr>
        <w:spacing w:after="0" w:line="268" w:lineRule="exact"/>
        <w:rPr>
          <w:sz w:val="20"/>
          <w:szCs w:val="20"/>
          <w:color w:val="auto"/>
        </w:rPr>
      </w:pPr>
    </w:p>
    <w:p>
      <w:pPr>
        <w:ind w:left="1360" w:right="138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“Backup Collateral Manager” </w:t>
      </w:r>
      <w:r>
        <w:rPr>
          <w:rFonts w:ascii="Times New Roman" w:cs="Times New Roman" w:eastAsia="Times New Roman" w:hAnsi="Times New Roman"/>
          <w:sz w:val="16"/>
          <w:szCs w:val="16"/>
          <w:color w:val="auto"/>
        </w:rPr>
        <w:t>means U.S. Bank Trust Company, National Association,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national banking association, and any successor thereto appointed under this Agreement.</w:t>
      </w:r>
    </w:p>
    <w:p>
      <w:pPr>
        <w:spacing w:after="0" w:line="126" w:lineRule="exact"/>
        <w:rPr>
          <w:sz w:val="20"/>
          <w:szCs w:val="20"/>
          <w:color w:val="auto"/>
        </w:rPr>
      </w:pPr>
    </w:p>
    <w:p>
      <w:pPr>
        <w:ind w:left="1360" w:right="1460" w:firstLine="4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“Backup Collateral Manager Fee Letter” </w:t>
      </w:r>
      <w:r>
        <w:rPr>
          <w:rFonts w:ascii="Times New Roman" w:cs="Times New Roman" w:eastAsia="Times New Roman" w:hAnsi="Times New Roman"/>
          <w:sz w:val="16"/>
          <w:szCs w:val="16"/>
          <w:color w:val="auto"/>
        </w:rPr>
        <w:t>means the Collateral Agent Fee Letter, setting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forth the fees payable by the Borrower, among other parties, to the Backup Collateral Manager in connection with the transactions contemplated by this Agreement, as the same may be amended or amended and restated from time to time.</w:t>
      </w:r>
    </w:p>
    <w:p>
      <w:pPr>
        <w:spacing w:after="0" w:line="145" w:lineRule="exact"/>
        <w:rPr>
          <w:sz w:val="20"/>
          <w:szCs w:val="20"/>
          <w:color w:val="auto"/>
        </w:rPr>
      </w:pPr>
    </w:p>
    <w:p>
      <w:pPr>
        <w:ind w:left="1360" w:right="144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Backup Collateral Manager Indemnified Amounts</w:t>
      </w:r>
      <w:r>
        <w:rPr>
          <w:rFonts w:ascii="Times New Roman" w:cs="Times New Roman" w:eastAsia="Times New Roman" w:hAnsi="Times New Roman"/>
          <w:sz w:val="16"/>
          <w:szCs w:val="16"/>
          <w:color w:val="auto"/>
        </w:rPr>
        <w:t>” has the meaning set forth in Section 13.04 hereof.</w:t>
      </w:r>
    </w:p>
    <w:p>
      <w:pPr>
        <w:spacing w:after="0" w:line="126" w:lineRule="exact"/>
        <w:rPr>
          <w:sz w:val="20"/>
          <w:szCs w:val="20"/>
          <w:color w:val="auto"/>
        </w:rPr>
      </w:pPr>
    </w:p>
    <w:p>
      <w:pPr>
        <w:ind w:left="1360" w:right="1540" w:firstLine="484"/>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Bail-In Action</w:t>
      </w:r>
      <w:r>
        <w:rPr>
          <w:rFonts w:ascii="Times New Roman" w:cs="Times New Roman" w:eastAsia="Times New Roman" w:hAnsi="Times New Roman"/>
          <w:sz w:val="16"/>
          <w:szCs w:val="16"/>
          <w:color w:val="auto"/>
        </w:rPr>
        <w:t xml:space="preserve">” means the exercise of any Write-Down and Conversion Powers by the applicable </w:t>
      </w:r>
      <w:r>
        <w:rPr>
          <w:rFonts w:ascii="Times New Roman" w:cs="Times New Roman" w:eastAsia="Times New Roman" w:hAnsi="Times New Roman"/>
          <w:sz w:val="16"/>
          <w:szCs w:val="16"/>
          <w:color w:val="FF0000"/>
          <w:strike w:val="1"/>
        </w:rPr>
        <w:t>EEA</w:t>
      </w:r>
      <w:r>
        <w:rPr>
          <w:rFonts w:ascii="Times New Roman" w:cs="Times New Roman" w:eastAsia="Times New Roman" w:hAnsi="Times New Roman"/>
          <w:sz w:val="16"/>
          <w:szCs w:val="16"/>
          <w:color w:val="auto"/>
        </w:rPr>
        <w:t xml:space="preserve"> Resolution Authority in respect of any liability of an </w:t>
      </w:r>
      <w:r>
        <w:rPr>
          <w:rFonts w:ascii="Times New Roman" w:cs="Times New Roman" w:eastAsia="Times New Roman" w:hAnsi="Times New Roman"/>
          <w:sz w:val="16"/>
          <w:szCs w:val="16"/>
          <w:color w:val="FF0000"/>
          <w:strike w:val="1"/>
        </w:rPr>
        <w:t>EEA</w:t>
      </w:r>
      <w:r>
        <w:rPr>
          <w:rFonts w:ascii="Times New Roman" w:cs="Times New Roman" w:eastAsia="Times New Roman" w:hAnsi="Times New Roman"/>
          <w:sz w:val="16"/>
          <w:szCs w:val="16"/>
          <w:color w:val="0000FF"/>
        </w:rPr>
        <w:t>Affected</w:t>
      </w:r>
      <w:r>
        <w:rPr>
          <w:rFonts w:ascii="Times New Roman" w:cs="Times New Roman" w:eastAsia="Times New Roman" w:hAnsi="Times New Roman"/>
          <w:sz w:val="16"/>
          <w:szCs w:val="16"/>
          <w:color w:val="auto"/>
        </w:rPr>
        <w:t xml:space="preserve"> Financial Institution.</w:t>
      </w:r>
    </w:p>
    <w:p>
      <w:pPr>
        <w:spacing w:after="0" w:line="140" w:lineRule="exact"/>
        <w:rPr>
          <w:sz w:val="20"/>
          <w:szCs w:val="20"/>
          <w:color w:val="auto"/>
        </w:rPr>
      </w:pPr>
    </w:p>
    <w:p>
      <w:pPr>
        <w:ind w:left="1360" w:right="1380" w:firstLine="484"/>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Bail-In Legislation</w:t>
      </w:r>
      <w:r>
        <w:rPr>
          <w:rFonts w:ascii="Times New Roman" w:cs="Times New Roman" w:eastAsia="Times New Roman" w:hAnsi="Times New Roman"/>
          <w:sz w:val="16"/>
          <w:szCs w:val="16"/>
          <w:color w:val="auto"/>
        </w:rPr>
        <w:t xml:space="preserve">” means </w:t>
      </w:r>
      <w:r>
        <w:rPr>
          <w:rFonts w:ascii="Times New Roman" w:cs="Times New Roman" w:eastAsia="Times New Roman" w:hAnsi="Times New Roman"/>
          <w:sz w:val="16"/>
          <w:szCs w:val="16"/>
          <w:color w:val="FF0000"/>
          <w:strike w:val="1"/>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(a)</w:t>
      </w:r>
      <w:r>
        <w:rPr>
          <w:rFonts w:ascii="Times New Roman" w:cs="Times New Roman" w:eastAsia="Times New Roman" w:hAnsi="Times New Roman"/>
          <w:sz w:val="16"/>
          <w:szCs w:val="16"/>
          <w:color w:val="auto"/>
        </w:rPr>
        <w:t xml:space="preserve"> with respect to any EEA Member Country implementing Article 55 of Directive 2014/59/EU of the European Parliament and of the Council of the European Union, the implementing law </w:t>
      </w:r>
      <w:r>
        <w:rPr>
          <w:rFonts w:ascii="Times New Roman" w:cs="Times New Roman" w:eastAsia="Times New Roman" w:hAnsi="Times New Roman"/>
          <w:sz w:val="16"/>
          <w:szCs w:val="16"/>
          <w:color w:val="0000FF"/>
        </w:rPr>
        <w:t>, regulation, rule or requirement</w:t>
      </w:r>
      <w:r>
        <w:rPr>
          <w:rFonts w:ascii="Times New Roman" w:cs="Times New Roman" w:eastAsia="Times New Roman" w:hAnsi="Times New Roman"/>
          <w:sz w:val="16"/>
          <w:szCs w:val="16"/>
          <w:color w:val="auto"/>
        </w:rPr>
        <w:t xml:space="preserve"> for such EEA Member Country from time to time </w:t>
      </w:r>
      <w:r>
        <w:rPr>
          <w:rFonts w:ascii="Times New Roman" w:cs="Times New Roman" w:eastAsia="Times New Roman" w:hAnsi="Times New Roman"/>
          <w:sz w:val="16"/>
          <w:szCs w:val="16"/>
          <w:color w:val="FF0000"/>
          <w:strike w:val="1"/>
        </w:rPr>
        <w:t>which</w:t>
      </w:r>
      <w:r>
        <w:rPr>
          <w:rFonts w:ascii="Times New Roman" w:cs="Times New Roman" w:eastAsia="Times New Roman" w:hAnsi="Times New Roman"/>
          <w:sz w:val="16"/>
          <w:szCs w:val="16"/>
          <w:color w:val="0000FF"/>
        </w:rPr>
        <w:t>that</w:t>
      </w:r>
      <w:r>
        <w:rPr>
          <w:rFonts w:ascii="Times New Roman" w:cs="Times New Roman" w:eastAsia="Times New Roman" w:hAnsi="Times New Roman"/>
          <w:sz w:val="16"/>
          <w:szCs w:val="16"/>
          <w:color w:val="auto"/>
        </w:rPr>
        <w:t xml:space="preserve"> is described in the EU Bail-In Legislation Schedule </w:t>
      </w:r>
      <w:r>
        <w:rPr>
          <w:rFonts w:ascii="Times New Roman" w:cs="Times New Roman" w:eastAsia="Times New Roman" w:hAnsi="Times New Roman"/>
          <w:sz w:val="16"/>
          <w:szCs w:val="16"/>
          <w:color w:val="0000FF"/>
        </w:rPr>
        <w:t>and (b)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 (other than through liquidation, administration or other insolvency proceedings)</w:t>
      </w:r>
      <w:r>
        <w:rPr>
          <w:rFonts w:ascii="Times New Roman" w:cs="Times New Roman" w:eastAsia="Times New Roman" w:hAnsi="Times New Roman"/>
          <w:sz w:val="16"/>
          <w:szCs w:val="16"/>
          <w:color w:val="000000"/>
        </w:rPr>
        <w:t>.</w:t>
      </w:r>
    </w:p>
    <w:p>
      <w:pPr>
        <w:spacing w:after="0" w:line="15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“Bankruptcy Code” </w:t>
      </w:r>
      <w:r>
        <w:rPr>
          <w:rFonts w:ascii="Times New Roman" w:cs="Times New Roman" w:eastAsia="Times New Roman" w:hAnsi="Times New Roman"/>
          <w:sz w:val="16"/>
          <w:szCs w:val="16"/>
          <w:color w:val="auto"/>
        </w:rPr>
        <w:t>means the United States Bankruptcy Code, as amended.</w:t>
      </w:r>
    </w:p>
    <w:p>
      <w:pPr>
        <w:spacing w:after="0" w:line="189" w:lineRule="exact"/>
        <w:rPr>
          <w:sz w:val="20"/>
          <w:szCs w:val="20"/>
          <w:color w:val="auto"/>
        </w:rPr>
      </w:pPr>
    </w:p>
    <w:p>
      <w:pPr>
        <w:ind w:left="1360" w:right="1400" w:firstLine="484"/>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“Base Rate” </w:t>
      </w:r>
      <w:r>
        <w:rPr>
          <w:rFonts w:ascii="Times New Roman" w:cs="Times New Roman" w:eastAsia="Times New Roman" w:hAnsi="Times New Roman"/>
          <w:sz w:val="16"/>
          <w:szCs w:val="16"/>
          <w:color w:val="auto"/>
        </w:rPr>
        <w:t>means, on any date, a fluctuating interest rate</w:t>
      </w:r>
      <w:r>
        <w:rPr>
          <w:rFonts w:ascii="Times New Roman" w:cs="Times New Roman" w:eastAsia="Times New Roman" w:hAnsi="Times New Roman"/>
          <w:sz w:val="16"/>
          <w:szCs w:val="16"/>
          <w:i w:val="1"/>
          <w:iCs w:val="1"/>
          <w:color w:val="auto"/>
        </w:rPr>
        <w:t xml:space="preserve"> per annum </w:t>
      </w:r>
      <w:r>
        <w:rPr>
          <w:rFonts w:ascii="Times New Roman" w:cs="Times New Roman" w:eastAsia="Times New Roman" w:hAnsi="Times New Roman"/>
          <w:sz w:val="16"/>
          <w:szCs w:val="16"/>
          <w:color w:val="auto"/>
        </w:rPr>
        <w:t>equal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highest of (a) the Prime Rate, (b) the Federal Funds Rate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0.50%, and (c) the sum of (i) the greater of (1) the Term SOFR Reference Rate for a tenor of one month on the day (such day, the “</w:t>
      </w:r>
      <w:r>
        <w:rPr>
          <w:rFonts w:ascii="Times New Roman" w:cs="Times New Roman" w:eastAsia="Times New Roman" w:hAnsi="Times New Roman"/>
          <w:sz w:val="16"/>
          <w:szCs w:val="16"/>
          <w:i w:val="1"/>
          <w:iCs w:val="1"/>
          <w:color w:val="auto"/>
        </w:rPr>
        <w:t>Base Rate Term SOFR Determination Day</w:t>
      </w:r>
      <w:r>
        <w:rPr>
          <w:rFonts w:ascii="Times New Roman" w:cs="Times New Roman" w:eastAsia="Times New Roman" w:hAnsi="Times New Roman"/>
          <w:sz w:val="16"/>
          <w:szCs w:val="16"/>
          <w:color w:val="auto"/>
        </w:rPr>
        <w:t xml:space="preserve">”) that is two (2) Term Benchmark Banking Days for Dollars prior to such day, as such rate is published by the Term SOFR Administrator; provided that if as of 5:00 p.m. on any Base Rate Term SOFR Determination Day the Term SOFR Reference Rate for the applicable tenor has not been published by the Term SOFR Administrator and a Benchmark Replacement Date with respect to the Term SOFR Reference Rate has not occurred, then the rate under this clause (1) will be the Term SOFR Reference Rate for such tenor as published by the Term SOFR Administrator on the first preceding Term Benchmark Banking Day for Dollars for which such Term SOFR Reference Rate for such tenor was published by the Term SOFR Administrator so long as such first preceding Term Benchmark Banking Day for Dollars is not more than three (3) Term Benchmark Banking Days for Dollars prior to such Base Rate Term SOFR Determination Day; and (2) the Floor;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(ii) solely to the extent that an Event of Default has occurred and is continuing, 1.00%. The Base Rate is a reference rate and does not necessarily represent the lowest or best rate actually charged to any customer of any Agent or any Lender. Interest calculated pursuant to clause (a) above will be determined based on a year of 365 days or 366 days, as applicable, and actual days elapsed. Interest calculated pursuant to clauses (b) and (c) above will be determined based on a year of 360 days and actual days elapsed. Any change in the Base Rate due to a change in the Prime Rate, the Federal Funds Rate or the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652145</wp:posOffset>
            </wp:positionV>
            <wp:extent cx="526605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8" w:name="page109"/>
    <w:bookmarkEnd w:id="108"/>
    <w:p>
      <w:pPr>
        <w:spacing w:after="0" w:line="270" w:lineRule="exact"/>
        <w:rPr>
          <w:sz w:val="20"/>
          <w:szCs w:val="20"/>
          <w:color w:val="auto"/>
        </w:rPr>
      </w:pPr>
    </w:p>
    <w:p>
      <w:pPr>
        <w:ind w:left="1360" w:right="1420"/>
        <w:spacing w:after="0" w:line="266" w:lineRule="auto"/>
        <w:rPr>
          <w:sz w:val="20"/>
          <w:szCs w:val="20"/>
          <w:color w:val="auto"/>
        </w:rPr>
      </w:pPr>
      <w:r>
        <w:rPr>
          <w:rFonts w:ascii="Times New Roman" w:cs="Times New Roman" w:eastAsia="Times New Roman" w:hAnsi="Times New Roman"/>
          <w:sz w:val="16"/>
          <w:szCs w:val="16"/>
          <w:color w:val="auto"/>
        </w:rPr>
        <w:t>Reference Rate as set forth above shall be effective from and including the effective date of such change in the Prime Rate, the Federal Funds Rate or the Term SOFR Reference Rate, respectively.</w:t>
      </w:r>
    </w:p>
    <w:p>
      <w:pPr>
        <w:spacing w:after="0" w:line="14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“BDC” </w:t>
      </w:r>
      <w:r>
        <w:rPr>
          <w:rFonts w:ascii="Times New Roman" w:cs="Times New Roman" w:eastAsia="Times New Roman" w:hAnsi="Times New Roman"/>
          <w:sz w:val="16"/>
          <w:szCs w:val="16"/>
          <w:color w:val="auto"/>
        </w:rPr>
        <w:t>means PennantPark Floating Rate Capital Ltd., a Maryland corporation.</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“Borrower” </w:t>
      </w:r>
      <w:r>
        <w:rPr>
          <w:rFonts w:ascii="Times New Roman" w:cs="Times New Roman" w:eastAsia="Times New Roman" w:hAnsi="Times New Roman"/>
          <w:sz w:val="16"/>
          <w:szCs w:val="16"/>
          <w:color w:val="auto"/>
        </w:rPr>
        <w:t>has the meaning assigned to such term in the introduction to this Agreement.</w:t>
      </w:r>
    </w:p>
    <w:p>
      <w:pPr>
        <w:spacing w:after="0" w:line="189" w:lineRule="exact"/>
        <w:rPr>
          <w:sz w:val="20"/>
          <w:szCs w:val="20"/>
          <w:color w:val="auto"/>
        </w:rPr>
      </w:pPr>
    </w:p>
    <w:p>
      <w:pPr>
        <w:ind w:left="1360" w:right="21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“Borrower LLC Agreement” </w:t>
      </w:r>
      <w:r>
        <w:rPr>
          <w:rFonts w:ascii="Times New Roman" w:cs="Times New Roman" w:eastAsia="Times New Roman" w:hAnsi="Times New Roman"/>
          <w:sz w:val="16"/>
          <w:szCs w:val="16"/>
          <w:color w:val="auto"/>
        </w:rPr>
        <w:t>means the Limited Liability Company Operating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of the Borrower, dated as of June 23, 2011.</w:t>
      </w:r>
    </w:p>
    <w:p>
      <w:pPr>
        <w:spacing w:after="0" w:line="1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“Borrowing” </w:t>
      </w:r>
      <w:r>
        <w:rPr>
          <w:rFonts w:ascii="Times New Roman" w:cs="Times New Roman" w:eastAsia="Times New Roman" w:hAnsi="Times New Roman"/>
          <w:sz w:val="16"/>
          <w:szCs w:val="16"/>
          <w:color w:val="auto"/>
        </w:rPr>
        <w:t>has the meaning assigned to such term in Section 2.01.</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“Borrowing Base” </w:t>
      </w:r>
      <w:r>
        <w:rPr>
          <w:rFonts w:ascii="Times New Roman" w:cs="Times New Roman" w:eastAsia="Times New Roman" w:hAnsi="Times New Roman"/>
          <w:sz w:val="16"/>
          <w:szCs w:val="16"/>
          <w:color w:val="auto"/>
        </w:rPr>
        <w:t>means, at any time, an amount equal to:</w:t>
      </w:r>
    </w:p>
    <w:p>
      <w:pPr>
        <w:spacing w:after="0" w:line="191" w:lineRule="exact"/>
        <w:rPr>
          <w:sz w:val="20"/>
          <w:szCs w:val="20"/>
          <w:color w:val="auto"/>
        </w:rPr>
      </w:pPr>
    </w:p>
    <w:p>
      <w:pPr>
        <w:ind w:left="1840" w:right="1400" w:firstLine="488"/>
        <w:spacing w:after="0" w:line="283" w:lineRule="auto"/>
        <w:tabs>
          <w:tab w:leader="none" w:pos="254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Aggregate Collateral Balance (excluding the Revolving Exposure pursuant to clause (d) of such definition), </w:t>
      </w:r>
      <w:r>
        <w:rPr>
          <w:rFonts w:ascii="Times New Roman" w:cs="Times New Roman" w:eastAsia="Times New Roman" w:hAnsi="Times New Roman"/>
          <w:sz w:val="16"/>
          <w:szCs w:val="16"/>
          <w:i w:val="1"/>
          <w:iCs w:val="1"/>
          <w:color w:val="auto"/>
        </w:rPr>
        <w:t>minus</w:t>
      </w:r>
    </w:p>
    <w:p>
      <w:pPr>
        <w:spacing w:after="0" w:line="131" w:lineRule="exact"/>
        <w:rPr>
          <w:rFonts w:ascii="Times New Roman" w:cs="Times New Roman" w:eastAsia="Times New Roman" w:hAnsi="Times New Roman"/>
          <w:sz w:val="16"/>
          <w:szCs w:val="16"/>
          <w:color w:val="auto"/>
        </w:rPr>
      </w:pPr>
    </w:p>
    <w:p>
      <w:pPr>
        <w:jc w:val="both"/>
        <w:ind w:left="1840" w:right="1420" w:firstLine="488"/>
        <w:spacing w:after="0" w:line="266" w:lineRule="auto"/>
        <w:tabs>
          <w:tab w:leader="none" w:pos="255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during the Reinvestment Period, the Excess Concentration Amount and (ii) after the Reinvestment Period, the Excess Concentration Amount calculated as of the last day of the Reinvestment Period.</w:t>
      </w:r>
    </w:p>
    <w:p>
      <w:pPr>
        <w:spacing w:after="0" w:line="143" w:lineRule="exact"/>
        <w:rPr>
          <w:sz w:val="20"/>
          <w:szCs w:val="20"/>
          <w:color w:val="auto"/>
        </w:rPr>
      </w:pPr>
    </w:p>
    <w:p>
      <w:pPr>
        <w:ind w:left="1360" w:right="1440" w:firstLine="484"/>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“Borrowing Base Calculation Statement” </w:t>
      </w:r>
      <w:r>
        <w:rPr>
          <w:rFonts w:ascii="Times New Roman" w:cs="Times New Roman" w:eastAsia="Times New Roman" w:hAnsi="Times New Roman"/>
          <w:sz w:val="16"/>
          <w:szCs w:val="16"/>
          <w:color w:val="auto"/>
        </w:rPr>
        <w:t>means a statement in substantially the form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attached to the form of Notice of Borrowing attached hereto as Exhibit B, as such form of Borrowing Base Calculation Statement may be modified by the Administrative Agent from time to time to the extent such form does not, in the good faith opinion of the Administrative Agent, accurately reflect the calculation of the Borrowing Base required hereunder.</w:t>
      </w:r>
    </w:p>
    <w:p>
      <w:pPr>
        <w:spacing w:after="0" w:line="14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“Borrowing Date” </w:t>
      </w:r>
      <w:r>
        <w:rPr>
          <w:rFonts w:ascii="Times New Roman" w:cs="Times New Roman" w:eastAsia="Times New Roman" w:hAnsi="Times New Roman"/>
          <w:sz w:val="16"/>
          <w:szCs w:val="16"/>
          <w:color w:val="auto"/>
        </w:rPr>
        <w:t>means the date of a Borrowing.</w:t>
      </w:r>
    </w:p>
    <w:p>
      <w:pPr>
        <w:spacing w:after="0" w:line="189" w:lineRule="exact"/>
        <w:rPr>
          <w:sz w:val="20"/>
          <w:szCs w:val="20"/>
          <w:color w:val="auto"/>
        </w:rPr>
      </w:pPr>
    </w:p>
    <w:p>
      <w:pPr>
        <w:ind w:left="1360" w:right="1500" w:firstLine="484"/>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“Business Day” </w:t>
      </w:r>
      <w:r>
        <w:rPr>
          <w:rFonts w:ascii="Times New Roman" w:cs="Times New Roman" w:eastAsia="Times New Roman" w:hAnsi="Times New Roman"/>
          <w:sz w:val="16"/>
          <w:szCs w:val="16"/>
          <w:color w:val="auto"/>
        </w:rPr>
        <w:t>means any day other than a Saturday or Sunday,</w:t>
      </w:r>
      <w:r>
        <w:rPr>
          <w:rFonts w:ascii="Times New Roman" w:cs="Times New Roman" w:eastAsia="Times New Roman" w:hAnsi="Times New Roman"/>
          <w:sz w:val="16"/>
          <w:szCs w:val="16"/>
          <w:i w:val="1"/>
          <w:iCs w:val="1"/>
          <w:color w:val="auto"/>
        </w:rPr>
        <w:t xml:space="preserve"> provided </w:t>
      </w:r>
      <w:r>
        <w:rPr>
          <w:rFonts w:ascii="Times New Roman" w:cs="Times New Roman" w:eastAsia="Times New Roman" w:hAnsi="Times New Roman"/>
          <w:sz w:val="16"/>
          <w:szCs w:val="16"/>
          <w:color w:val="auto"/>
        </w:rPr>
        <w:t>that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following shall not constitute Business Days (i) days on which banks are authorized or required to close in New York, New York, Minneapolis, Minnesota, Florence, South Carolina, or Charlotte, North Carolina, (ii) days on which the Depository Trust Company or commercial paper markets in the United States are closed, and (iii) if the applicable Business Day relates to the advance or continuation of, or conversion into, or payment of an Advance denominated in any Agreed Foreign Currency, days on which commercial banks and the London foreign exchange market settle payments in the Principal Financial Center are closed.</w:t>
      </w:r>
    </w:p>
    <w:p>
      <w:pPr>
        <w:spacing w:after="0" w:line="15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“Canadian Dollars”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“Cdn $” </w:t>
      </w:r>
      <w:r>
        <w:rPr>
          <w:rFonts w:ascii="Times New Roman" w:cs="Times New Roman" w:eastAsia="Times New Roman" w:hAnsi="Times New Roman"/>
          <w:sz w:val="16"/>
          <w:szCs w:val="16"/>
          <w:color w:val="auto"/>
        </w:rPr>
        <w:t>each means the lawful currency of Canada.</w:t>
      </w:r>
    </w:p>
    <w:p>
      <w:pPr>
        <w:spacing w:after="0" w:line="189" w:lineRule="exact"/>
        <w:rPr>
          <w:sz w:val="20"/>
          <w:szCs w:val="20"/>
          <w:color w:val="auto"/>
        </w:rPr>
      </w:pPr>
    </w:p>
    <w:p>
      <w:pPr>
        <w:ind w:left="1360" w:right="148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“Cash” </w:t>
      </w:r>
      <w:r>
        <w:rPr>
          <w:rFonts w:ascii="Times New Roman" w:cs="Times New Roman" w:eastAsia="Times New Roman" w:hAnsi="Times New Roman"/>
          <w:sz w:val="16"/>
          <w:szCs w:val="16"/>
          <w:color w:val="auto"/>
        </w:rPr>
        <w:t>means any immediately available funds in Dollars or in any currency other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Dollars (measured in terms of the Dollar Equivalent thereof) which is a freely convertible currency.</w:t>
      </w:r>
    </w:p>
    <w:p>
      <w:pPr>
        <w:spacing w:after="0" w:line="140" w:lineRule="exact"/>
        <w:rPr>
          <w:sz w:val="20"/>
          <w:szCs w:val="20"/>
          <w:color w:val="auto"/>
        </w:rPr>
      </w:pPr>
    </w:p>
    <w:p>
      <w:pPr>
        <w:ind w:left="1360" w:right="1700" w:firstLine="4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“Cause” </w:t>
      </w:r>
      <w:r>
        <w:rPr>
          <w:rFonts w:ascii="Times New Roman" w:cs="Times New Roman" w:eastAsia="Times New Roman" w:hAnsi="Times New Roman"/>
          <w:sz w:val="16"/>
          <w:szCs w:val="16"/>
          <w:color w:val="auto"/>
        </w:rPr>
        <w:t>means the indictment for or conviction of any crime of dishonesty or moral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turpitude or any act or omission that would constitute gross negligence, bad faith or willful</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color w:val="auto"/>
        </w:rPr>
        <w:t>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655320</wp:posOffset>
            </wp:positionV>
            <wp:extent cx="526605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9" w:name="page110"/>
    <w:bookmarkEnd w:id="109"/>
    <w:p>
      <w:pPr>
        <w:spacing w:after="0" w:line="254" w:lineRule="exact"/>
        <w:rPr>
          <w:sz w:val="20"/>
          <w:szCs w:val="20"/>
          <w:color w:val="auto"/>
        </w:rPr>
      </w:pPr>
    </w:p>
    <w:p>
      <w:pPr>
        <w:ind w:left="1840"/>
        <w:spacing w:after="0" w:line="184" w:lineRule="exact"/>
        <w:rPr>
          <w:sz w:val="20"/>
          <w:szCs w:val="20"/>
          <w:color w:val="auto"/>
        </w:rPr>
      </w:pPr>
      <w:r>
        <w:rPr>
          <w:rFonts w:ascii="Times New Roman" w:cs="Times New Roman" w:eastAsia="Times New Roman" w:hAnsi="Times New Roman"/>
          <w:sz w:val="16"/>
          <w:szCs w:val="16"/>
          <w:i w:val="1"/>
          <w:iCs w:val="1"/>
          <w:color w:val="auto"/>
        </w:rPr>
        <w:t xml:space="preserve">“Certificated Security” </w:t>
      </w:r>
      <w:r>
        <w:rPr>
          <w:rFonts w:ascii="Times New Roman" w:cs="Times New Roman" w:eastAsia="Times New Roman" w:hAnsi="Times New Roman"/>
          <w:sz w:val="16"/>
          <w:szCs w:val="16"/>
          <w:color w:val="auto"/>
        </w:rPr>
        <w:t>has the meaning specified in Section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102(a)(4) of the UCC.</w:t>
      </w:r>
    </w:p>
    <w:p>
      <w:pPr>
        <w:spacing w:after="0" w:line="20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“Change of Control” </w:t>
      </w:r>
      <w:r>
        <w:rPr>
          <w:rFonts w:ascii="Times New Roman" w:cs="Times New Roman" w:eastAsia="Times New Roman" w:hAnsi="Times New Roman"/>
          <w:sz w:val="16"/>
          <w:szCs w:val="16"/>
          <w:color w:val="auto"/>
        </w:rPr>
        <w:t>means, at any time, the occurrence of one of the following events:</w:t>
      </w:r>
    </w:p>
    <w:p>
      <w:pPr>
        <w:spacing w:after="0" w:line="28" w:lineRule="exact"/>
        <w:rPr>
          <w:sz w:val="20"/>
          <w:szCs w:val="20"/>
          <w:color w:val="auto"/>
        </w:rPr>
      </w:pPr>
    </w:p>
    <w:p>
      <w:pPr>
        <w:ind w:left="1360" w:right="1840"/>
        <w:spacing w:after="0" w:line="260" w:lineRule="auto"/>
        <w:tabs>
          <w:tab w:leader="none" w:pos="158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BDC fails to own 100% of the equity interests of the Borrower; or (2) PennantPark Investment Advisers, LLC is no longer the investment adviser of the BDC.</w:t>
      </w:r>
    </w:p>
    <w:p>
      <w:pPr>
        <w:spacing w:after="0" w:line="146" w:lineRule="exact"/>
        <w:rPr>
          <w:sz w:val="20"/>
          <w:szCs w:val="20"/>
          <w:color w:val="auto"/>
        </w:rPr>
      </w:pPr>
    </w:p>
    <w:p>
      <w:pPr>
        <w:ind w:left="1360" w:right="160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“Class”</w:t>
      </w:r>
      <w:r>
        <w:rPr>
          <w:rFonts w:ascii="Times New Roman" w:cs="Times New Roman" w:eastAsia="Times New Roman" w:hAnsi="Times New Roman"/>
          <w:sz w:val="16"/>
          <w:szCs w:val="16"/>
          <w:color w:val="auto"/>
        </w:rPr>
        <w:t>, when used in reference to any Advance or Borrowing, refers to whether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Advance, or the Advances constituting such Borrowing, are Syndicated Dollar Advances, Syndicated Multicurrency Advances or Swingline Advances.</w:t>
      </w:r>
    </w:p>
    <w:p>
      <w:pPr>
        <w:spacing w:after="0" w:line="140" w:lineRule="exact"/>
        <w:rPr>
          <w:sz w:val="20"/>
          <w:szCs w:val="20"/>
          <w:color w:val="auto"/>
        </w:rPr>
      </w:pPr>
    </w:p>
    <w:p>
      <w:pPr>
        <w:ind w:left="1360" w:right="148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“Clearing Agency” </w:t>
      </w:r>
      <w:r>
        <w:rPr>
          <w:rFonts w:ascii="Times New Roman" w:cs="Times New Roman" w:eastAsia="Times New Roman" w:hAnsi="Times New Roman"/>
          <w:sz w:val="16"/>
          <w:szCs w:val="16"/>
          <w:color w:val="auto"/>
        </w:rPr>
        <w:t>means an organization registered as a “clearing agency” pursuant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Section 17A of the Exchange Act.</w:t>
      </w:r>
    </w:p>
    <w:p>
      <w:pPr>
        <w:spacing w:after="0" w:line="126" w:lineRule="exact"/>
        <w:rPr>
          <w:sz w:val="20"/>
          <w:szCs w:val="20"/>
          <w:color w:val="auto"/>
        </w:rPr>
      </w:pPr>
    </w:p>
    <w:p>
      <w:pPr>
        <w:ind w:left="1360" w:right="1680" w:firstLine="484"/>
        <w:spacing w:after="0" w:line="205" w:lineRule="exact"/>
        <w:rPr>
          <w:sz w:val="20"/>
          <w:szCs w:val="20"/>
          <w:color w:val="auto"/>
        </w:rPr>
      </w:pPr>
      <w:r>
        <w:rPr>
          <w:rFonts w:ascii="Times New Roman" w:cs="Times New Roman" w:eastAsia="Times New Roman" w:hAnsi="Times New Roman"/>
          <w:sz w:val="16"/>
          <w:szCs w:val="16"/>
          <w:i w:val="1"/>
          <w:iCs w:val="1"/>
          <w:color w:val="auto"/>
        </w:rPr>
        <w:t xml:space="preserve">“Clearing Corporation” </w:t>
      </w:r>
      <w:r>
        <w:rPr>
          <w:rFonts w:ascii="Times New Roman" w:cs="Times New Roman" w:eastAsia="Times New Roman" w:hAnsi="Times New Roman"/>
          <w:sz w:val="16"/>
          <w:szCs w:val="16"/>
          <w:color w:val="auto"/>
        </w:rPr>
        <w:t>means each entity included within the meaning of “clearing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corporation” under Section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102(a)(5) of the UCC.</w:t>
      </w:r>
    </w:p>
    <w:p>
      <w:pPr>
        <w:spacing w:after="0" w:line="156" w:lineRule="exact"/>
        <w:rPr>
          <w:sz w:val="20"/>
          <w:szCs w:val="20"/>
          <w:color w:val="auto"/>
        </w:rPr>
      </w:pPr>
    </w:p>
    <w:p>
      <w:pPr>
        <w:ind w:left="1360" w:right="1800" w:firstLine="4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“Clearing Corporation Security” </w:t>
      </w:r>
      <w:r>
        <w:rPr>
          <w:rFonts w:ascii="Times New Roman" w:cs="Times New Roman" w:eastAsia="Times New Roman" w:hAnsi="Times New Roman"/>
          <w:sz w:val="16"/>
          <w:szCs w:val="16"/>
          <w:color w:val="auto"/>
        </w:rPr>
        <w:t>means securities which are in the custody of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maintained on the books of a Clearing Corporation or a nominee subject to the control of a Clearing Corporation and, if they are Certificated Securities in registered form, properly endorsed to or registered in the name of the Clearing Corporation or such nominee.</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“Closing Date” </w:t>
      </w:r>
      <w:r>
        <w:rPr>
          <w:rFonts w:ascii="Times New Roman" w:cs="Times New Roman" w:eastAsia="Times New Roman" w:hAnsi="Times New Roman"/>
          <w:sz w:val="16"/>
          <w:szCs w:val="16"/>
          <w:color w:val="auto"/>
        </w:rPr>
        <w:t>means August 12, 2021.</w:t>
      </w:r>
    </w:p>
    <w:p>
      <w:pPr>
        <w:spacing w:after="0" w:line="189" w:lineRule="exact"/>
        <w:rPr>
          <w:sz w:val="20"/>
          <w:szCs w:val="20"/>
          <w:color w:val="auto"/>
        </w:rPr>
      </w:pPr>
    </w:p>
    <w:p>
      <w:pPr>
        <w:ind w:left="1360" w:right="140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“Code” </w:t>
      </w:r>
      <w:r>
        <w:rPr>
          <w:rFonts w:ascii="Times New Roman" w:cs="Times New Roman" w:eastAsia="Times New Roman" w:hAnsi="Times New Roman"/>
          <w:sz w:val="16"/>
          <w:szCs w:val="16"/>
          <w:color w:val="auto"/>
        </w:rPr>
        <w:t>means the Internal Revenue Code of 1986, as amended from time to time, or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successor statute.</w:t>
      </w:r>
    </w:p>
    <w:p>
      <w:pPr>
        <w:spacing w:after="0" w:line="1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“Collateral” </w:t>
      </w:r>
      <w:r>
        <w:rPr>
          <w:rFonts w:ascii="Times New Roman" w:cs="Times New Roman" w:eastAsia="Times New Roman" w:hAnsi="Times New Roman"/>
          <w:sz w:val="16"/>
          <w:szCs w:val="16"/>
          <w:color w:val="auto"/>
        </w:rPr>
        <w:t>has the meaning assigned to such term in Section 7.01(a).</w:t>
      </w:r>
    </w:p>
    <w:p>
      <w:pPr>
        <w:spacing w:after="0" w:line="189" w:lineRule="exact"/>
        <w:rPr>
          <w:sz w:val="20"/>
          <w:szCs w:val="20"/>
          <w:color w:val="auto"/>
        </w:rPr>
      </w:pPr>
    </w:p>
    <w:p>
      <w:pPr>
        <w:ind w:left="1360" w:right="168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“Collateral Administration Agreement” </w:t>
      </w:r>
      <w:r>
        <w:rPr>
          <w:rFonts w:ascii="Times New Roman" w:cs="Times New Roman" w:eastAsia="Times New Roman" w:hAnsi="Times New Roman"/>
          <w:sz w:val="16"/>
          <w:szCs w:val="16"/>
          <w:color w:val="auto"/>
        </w:rPr>
        <w:t>means that certain Collateral Administration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dated as of August 12, 2021 by and among the Collateral Administrator, the Collateral Manager and the Borrower, as amended from time to time.</w:t>
      </w:r>
    </w:p>
    <w:p>
      <w:pPr>
        <w:spacing w:after="0" w:line="140" w:lineRule="exact"/>
        <w:rPr>
          <w:sz w:val="20"/>
          <w:szCs w:val="20"/>
          <w:color w:val="auto"/>
        </w:rPr>
      </w:pPr>
    </w:p>
    <w:p>
      <w:pPr>
        <w:ind w:left="1360" w:right="14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“Collateral Administrator” </w:t>
      </w:r>
      <w:r>
        <w:rPr>
          <w:rFonts w:ascii="Times New Roman" w:cs="Times New Roman" w:eastAsia="Times New Roman" w:hAnsi="Times New Roman"/>
          <w:sz w:val="16"/>
          <w:szCs w:val="16"/>
          <w:color w:val="auto"/>
        </w:rPr>
        <w:t>means U.S. Bank Trust Company, National Association,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successor thereto under the Collateral Administration Agreement.</w:t>
      </w:r>
    </w:p>
    <w:p>
      <w:pPr>
        <w:spacing w:after="0" w:line="126" w:lineRule="exact"/>
        <w:rPr>
          <w:sz w:val="20"/>
          <w:szCs w:val="20"/>
          <w:color w:val="auto"/>
        </w:rPr>
      </w:pPr>
    </w:p>
    <w:p>
      <w:pPr>
        <w:ind w:left="1360" w:right="17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“Collateral Agent” </w:t>
      </w:r>
      <w:r>
        <w:rPr>
          <w:rFonts w:ascii="Times New Roman" w:cs="Times New Roman" w:eastAsia="Times New Roman" w:hAnsi="Times New Roman"/>
          <w:sz w:val="16"/>
          <w:szCs w:val="16"/>
          <w:color w:val="auto"/>
        </w:rPr>
        <w:t>has the meaning assigned to such term in the introduction to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w:t>
      </w:r>
    </w:p>
    <w:p>
      <w:pPr>
        <w:spacing w:after="0" w:line="126" w:lineRule="exact"/>
        <w:rPr>
          <w:sz w:val="20"/>
          <w:szCs w:val="20"/>
          <w:color w:val="auto"/>
        </w:rPr>
      </w:pPr>
    </w:p>
    <w:p>
      <w:pPr>
        <w:ind w:left="1360" w:right="1500" w:firstLine="484"/>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“Collateral Agent Fee Letter” </w:t>
      </w:r>
      <w:r>
        <w:rPr>
          <w:rFonts w:ascii="Times New Roman" w:cs="Times New Roman" w:eastAsia="Times New Roman" w:hAnsi="Times New Roman"/>
          <w:sz w:val="16"/>
          <w:szCs w:val="16"/>
          <w:color w:val="auto"/>
        </w:rPr>
        <w:t>means the fee letter, dated as of the date hereof, among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Collateral Agent, the Custodian, U.S. Bank National Association as Securities Intermediary under the Account Control Agreement, the Backup Collateral Manager, the Collateral Administrator, the Borrower and the Collateral Manager setting forth the fees payable by the Borrower to the Collateral Agent in connection with the transactions contemplated by this Agreement and other Facility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641350</wp:posOffset>
            </wp:positionV>
            <wp:extent cx="526605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0" w:name="page111"/>
    <w:bookmarkEnd w:id="110"/>
    <w:p>
      <w:pPr>
        <w:spacing w:after="0" w:line="268" w:lineRule="exact"/>
        <w:rPr>
          <w:sz w:val="20"/>
          <w:szCs w:val="20"/>
          <w:color w:val="auto"/>
        </w:rPr>
      </w:pPr>
    </w:p>
    <w:p>
      <w:pPr>
        <w:ind w:left="1360" w:right="1360" w:firstLine="484"/>
        <w:spacing w:after="0" w:line="194" w:lineRule="exact"/>
        <w:rPr>
          <w:sz w:val="20"/>
          <w:szCs w:val="20"/>
          <w:color w:val="auto"/>
        </w:rPr>
      </w:pPr>
      <w:r>
        <w:rPr>
          <w:rFonts w:ascii="Times New Roman" w:cs="Times New Roman" w:eastAsia="Times New Roman" w:hAnsi="Times New Roman"/>
          <w:sz w:val="16"/>
          <w:szCs w:val="16"/>
          <w:i w:val="1"/>
          <w:iCs w:val="1"/>
          <w:color w:val="auto"/>
        </w:rPr>
        <w:t xml:space="preserve">“Collateral Interest Amount” </w:t>
      </w:r>
      <w:r>
        <w:rPr>
          <w:rFonts w:ascii="Times New Roman" w:cs="Times New Roman" w:eastAsia="Times New Roman" w:hAnsi="Times New Roman"/>
          <w:sz w:val="16"/>
          <w:szCs w:val="16"/>
          <w:color w:val="auto"/>
        </w:rPr>
        <w:t>means, as of any date of determination, without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duplication, the Dollar Equivalent of the aggregate amount of Interest Proceeds that has been received or that is expected to be received (other than Interest Proceeds expected to be received from Defaulted Collateral Loans, Ineligible Collateral Loans and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Cash Paying PIK Loans, in each case unless actually received), in each case during the Collection Period (and, if such Collection Period does not end on a Business Day, the next succeeding Business Day) in which such date of determination occurs.</w:t>
      </w:r>
    </w:p>
    <w:p>
      <w:pPr>
        <w:spacing w:after="0" w:line="166" w:lineRule="exact"/>
        <w:rPr>
          <w:sz w:val="20"/>
          <w:szCs w:val="20"/>
          <w:color w:val="auto"/>
        </w:rPr>
      </w:pPr>
    </w:p>
    <w:p>
      <w:pPr>
        <w:ind w:left="1360" w:right="198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Collateral Loan</w:t>
      </w:r>
      <w:r>
        <w:rPr>
          <w:rFonts w:ascii="Times New Roman" w:cs="Times New Roman" w:eastAsia="Times New Roman" w:hAnsi="Times New Roman"/>
          <w:sz w:val="16"/>
          <w:szCs w:val="16"/>
          <w:color w:val="auto"/>
        </w:rPr>
        <w:t>” means a loan, debt obligation or debt security acquired by the Borrower (including Participation Interests).</w:t>
      </w:r>
    </w:p>
    <w:p>
      <w:pPr>
        <w:spacing w:after="0" w:line="126" w:lineRule="exact"/>
        <w:rPr>
          <w:sz w:val="20"/>
          <w:szCs w:val="20"/>
          <w:color w:val="auto"/>
        </w:rPr>
      </w:pPr>
    </w:p>
    <w:p>
      <w:pPr>
        <w:ind w:left="1360" w:right="14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“Collateral Management Fees” </w:t>
      </w:r>
      <w:r>
        <w:rPr>
          <w:rFonts w:ascii="Times New Roman" w:cs="Times New Roman" w:eastAsia="Times New Roman" w:hAnsi="Times New Roman"/>
          <w:sz w:val="16"/>
          <w:szCs w:val="16"/>
          <w:color w:val="auto"/>
        </w:rPr>
        <w:t>means, collectively, Senior Collateral Management Fees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Subordinated Collateral Management Fees.</w:t>
      </w:r>
    </w:p>
    <w:p>
      <w:pPr>
        <w:spacing w:after="0" w:line="126" w:lineRule="exact"/>
        <w:rPr>
          <w:sz w:val="20"/>
          <w:szCs w:val="20"/>
          <w:color w:val="auto"/>
        </w:rPr>
      </w:pPr>
    </w:p>
    <w:p>
      <w:pPr>
        <w:ind w:left="1360" w:right="1380" w:firstLine="484"/>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“Collateral Management Standard” </w:t>
      </w:r>
      <w:r>
        <w:rPr>
          <w:rFonts w:ascii="Times New Roman" w:cs="Times New Roman" w:eastAsia="Times New Roman" w:hAnsi="Times New Roman"/>
          <w:sz w:val="16"/>
          <w:szCs w:val="16"/>
          <w:color w:val="auto"/>
        </w:rPr>
        <w:t>means, with respect to any Collateral Loans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included in the Collateral, to service and administer such Collateral Loans in accordance with the Related Documents and all customary and usual servicing practices (a) which are consistent with the higher of: (i) the customary and usual servicing practices that a prudent loan investor or lender would use in servicing loans like the Collateral Loans for its own account, and (ii) the same care, skill, prudence and diligence with which the Collateral Manager services and administers loans for its own account or for the account of others; (b) to the extent not inconsistent with clause (a), with a view to maximize the value of the Collateral Loans; and (c) without regard to: (i) any relationship that the Collateral Manager or any Affiliate of the Collateral Manager may have with any Obligor or any Affiliate of any Obligor, (ii) the Collateral Manager’s obligations to incur servicing and administrative expenses with respect to a Collateral Loan, (iii) the Collateral Manager’s right to receive compensation for its services hereunder or with respect to any particular transaction, (iv) the ownership by the Collateral Manager or any Affiliate thereof of any retained interest or one or more loans of the same class as any Collateral Loans, (v) the ownership, servicing or management for others by the Collateral Manager of any other loans or property by the Collateral Manager, or (vi) any relationship that the Collateral Manager or any Affiliate of the Collateral Manager may have with any holder of other loans of the Obligor with respect to such Collateral Loans.</w:t>
      </w:r>
    </w:p>
    <w:p>
      <w:pPr>
        <w:spacing w:after="0" w:line="155" w:lineRule="exact"/>
        <w:rPr>
          <w:sz w:val="20"/>
          <w:szCs w:val="20"/>
          <w:color w:val="auto"/>
        </w:rPr>
      </w:pPr>
    </w:p>
    <w:p>
      <w:pPr>
        <w:ind w:left="1360" w:right="150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“Collateral Manager” </w:t>
      </w:r>
      <w:r>
        <w:rPr>
          <w:rFonts w:ascii="Times New Roman" w:cs="Times New Roman" w:eastAsia="Times New Roman" w:hAnsi="Times New Roman"/>
          <w:sz w:val="16"/>
          <w:szCs w:val="16"/>
          <w:color w:val="auto"/>
        </w:rPr>
        <w:t>has the meaning assigned to such term in the introduction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w:t>
      </w:r>
    </w:p>
    <w:p>
      <w:pPr>
        <w:spacing w:after="0" w:line="126" w:lineRule="exact"/>
        <w:rPr>
          <w:sz w:val="20"/>
          <w:szCs w:val="20"/>
          <w:color w:val="auto"/>
        </w:rPr>
      </w:pPr>
    </w:p>
    <w:p>
      <w:pPr>
        <w:ind w:left="1360" w:right="15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“Collateral Manager Event of Default” </w:t>
      </w:r>
      <w:r>
        <w:rPr>
          <w:rFonts w:ascii="Times New Roman" w:cs="Times New Roman" w:eastAsia="Times New Roman" w:hAnsi="Times New Roman"/>
          <w:sz w:val="16"/>
          <w:szCs w:val="16"/>
          <w:color w:val="auto"/>
        </w:rPr>
        <w:t>means the occurrence of any of the events, acts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circumstances set forth in Section 6.02.</w:t>
      </w:r>
    </w:p>
    <w:p>
      <w:pPr>
        <w:spacing w:after="0" w:line="1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“Collateral Manager Replacement Event” </w:t>
      </w:r>
      <w:r>
        <w:rPr>
          <w:rFonts w:ascii="Times New Roman" w:cs="Times New Roman" w:eastAsia="Times New Roman" w:hAnsi="Times New Roman"/>
          <w:sz w:val="16"/>
          <w:szCs w:val="16"/>
          <w:color w:val="auto"/>
        </w:rPr>
        <w:t>means the occurrence of the following event:</w:t>
      </w:r>
    </w:p>
    <w:p>
      <w:pPr>
        <w:spacing w:after="0" w:line="19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6"/>
          <w:szCs w:val="16"/>
          <w:color w:val="auto"/>
        </w:rPr>
        <w:t>(a) the Default Ratio shall exceed 10.0%.</w:t>
      </w:r>
    </w:p>
    <w:p>
      <w:pPr>
        <w:spacing w:after="0" w:line="187" w:lineRule="exact"/>
        <w:rPr>
          <w:sz w:val="20"/>
          <w:szCs w:val="20"/>
          <w:color w:val="auto"/>
        </w:rPr>
      </w:pPr>
    </w:p>
    <w:p>
      <w:pPr>
        <w:ind w:left="1360" w:right="1400" w:firstLine="4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Collateral Quality Test</w:t>
      </w:r>
      <w:r>
        <w:rPr>
          <w:rFonts w:ascii="Times New Roman" w:cs="Times New Roman" w:eastAsia="Times New Roman" w:hAnsi="Times New Roman"/>
          <w:sz w:val="16"/>
          <w:szCs w:val="16"/>
          <w:color w:val="auto"/>
        </w:rPr>
        <w:t>” means a test that is satisfied if, as of any date of determination, in the aggregate, the Collateral Loans owned (or, in relation to a proposed purchase of a Collateral Loan, both owned and proposed to be owned) by the Borrower satisfy each of the tests set forth below, calculated, in each case, in accordance with Section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638175</wp:posOffset>
            </wp:positionV>
            <wp:extent cx="526605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1" w:name="page112"/>
    <w:bookmarkEnd w:id="111"/>
    <w:p>
      <w:pPr>
        <w:spacing w:after="0" w:line="270" w:lineRule="exact"/>
        <w:rPr>
          <w:sz w:val="20"/>
          <w:szCs w:val="20"/>
          <w:color w:val="auto"/>
        </w:rPr>
      </w:pPr>
    </w:p>
    <w:p>
      <w:pPr>
        <w:ind w:left="2540" w:hanging="212"/>
        <w:spacing w:after="0"/>
        <w:tabs>
          <w:tab w:leader="none" w:pos="25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Weighted Average Spread Test;</w:t>
      </w:r>
    </w:p>
    <w:p>
      <w:pPr>
        <w:spacing w:after="0" w:line="189" w:lineRule="exact"/>
        <w:rPr>
          <w:rFonts w:ascii="Times New Roman" w:cs="Times New Roman" w:eastAsia="Times New Roman" w:hAnsi="Times New Roman"/>
          <w:sz w:val="16"/>
          <w:szCs w:val="16"/>
          <w:color w:val="auto"/>
        </w:rPr>
      </w:pPr>
    </w:p>
    <w:p>
      <w:pPr>
        <w:ind w:left="2560" w:hanging="232"/>
        <w:spacing w:after="0"/>
        <w:tabs>
          <w:tab w:leader="none" w:pos="2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Weighted Average Coupon Test; and</w:t>
      </w:r>
    </w:p>
    <w:p>
      <w:pPr>
        <w:spacing w:after="0" w:line="189" w:lineRule="exact"/>
        <w:rPr>
          <w:rFonts w:ascii="Times New Roman" w:cs="Times New Roman" w:eastAsia="Times New Roman" w:hAnsi="Times New Roman"/>
          <w:sz w:val="16"/>
          <w:szCs w:val="16"/>
          <w:color w:val="auto"/>
        </w:rPr>
      </w:pPr>
    </w:p>
    <w:p>
      <w:pPr>
        <w:ind w:left="2540" w:hanging="212"/>
        <w:spacing w:after="0"/>
        <w:tabs>
          <w:tab w:leader="none" w:pos="25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Weighted Average Life Test.</w:t>
      </w:r>
    </w:p>
    <w:p>
      <w:pPr>
        <w:spacing w:after="0" w:line="187" w:lineRule="exact"/>
        <w:rPr>
          <w:sz w:val="20"/>
          <w:szCs w:val="20"/>
          <w:color w:val="auto"/>
        </w:rPr>
      </w:pPr>
    </w:p>
    <w:p>
      <w:pPr>
        <w:ind w:left="1360" w:right="154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“Collection Account” </w:t>
      </w:r>
      <w:r>
        <w:rPr>
          <w:rFonts w:ascii="Times New Roman" w:cs="Times New Roman" w:eastAsia="Times New Roman" w:hAnsi="Times New Roman"/>
          <w:sz w:val="16"/>
          <w:szCs w:val="16"/>
          <w:color w:val="auto"/>
        </w:rPr>
        <w:t>means the trust account established pursuant to Section 8.02,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includes each Principal Collection Subaccount and each Interest Collection Subaccount.</w:t>
      </w:r>
    </w:p>
    <w:p>
      <w:pPr>
        <w:spacing w:after="0" w:line="126" w:lineRule="exact"/>
        <w:rPr>
          <w:sz w:val="20"/>
          <w:szCs w:val="20"/>
          <w:color w:val="auto"/>
        </w:rPr>
      </w:pPr>
    </w:p>
    <w:p>
      <w:pPr>
        <w:ind w:left="1360" w:right="1500" w:firstLine="484"/>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“Collection Period” </w:t>
      </w:r>
      <w:r>
        <w:rPr>
          <w:rFonts w:ascii="Times New Roman" w:cs="Times New Roman" w:eastAsia="Times New Roman" w:hAnsi="Times New Roman"/>
          <w:sz w:val="16"/>
          <w:szCs w:val="16"/>
          <w:color w:val="auto"/>
        </w:rPr>
        <w:t>means, with respect to any Payment Date, the period commencing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immediately following the prior Collection Period (or on the Closing Date, in the case of the Collection Period relating to the first Payment Date) and ending on the last day of the month prior to the month in which such Payment Date occurs (or, if such last day of the month is not a Business Day, the next succeeding Business Day) or, in the case of the final Collection Period preceding the Final Maturity Date or the final Collection Period preceding an optional prepayment in whole of the Advances, ending on the day preceding the Final Maturity Date or the date of such prepayment, respectively.</w:t>
      </w:r>
    </w:p>
    <w:p>
      <w:pPr>
        <w:spacing w:after="0" w:line="151" w:lineRule="exact"/>
        <w:rPr>
          <w:sz w:val="20"/>
          <w:szCs w:val="20"/>
          <w:color w:val="auto"/>
        </w:rPr>
      </w:pPr>
    </w:p>
    <w:p>
      <w:pPr>
        <w:ind w:left="1360" w:right="1380" w:firstLine="484"/>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“Collections” </w:t>
      </w:r>
      <w:r>
        <w:rPr>
          <w:rFonts w:ascii="Times New Roman" w:cs="Times New Roman" w:eastAsia="Times New Roman" w:hAnsi="Times New Roman"/>
          <w:sz w:val="16"/>
          <w:szCs w:val="16"/>
          <w:color w:val="auto"/>
        </w:rPr>
        <w:t>means all cash collections, distributions, payments and other amounts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received, and to be received by the Borrower, from any Person in respect of any Collateral Loans constituting Collateral, including all principal, interest, fees, distributions and redemption and withdrawal proceeds payable to the Borrower under or in connection with any such Collateral Loans and all Proceeds from any sale or disposition of any such Collateral Loans.</w:t>
      </w:r>
    </w:p>
    <w:p>
      <w:pPr>
        <w:spacing w:after="0" w:line="147" w:lineRule="exact"/>
        <w:rPr>
          <w:sz w:val="20"/>
          <w:szCs w:val="20"/>
          <w:color w:val="auto"/>
        </w:rPr>
      </w:pPr>
    </w:p>
    <w:p>
      <w:pPr>
        <w:ind w:left="1360" w:right="1400" w:firstLine="484"/>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“Commitment” </w:t>
      </w:r>
      <w:r>
        <w:rPr>
          <w:rFonts w:ascii="Times New Roman" w:cs="Times New Roman" w:eastAsia="Times New Roman" w:hAnsi="Times New Roman"/>
          <w:sz w:val="16"/>
          <w:szCs w:val="16"/>
          <w:color w:val="auto"/>
        </w:rPr>
        <w:t>means, as to each Lender, the obligation of such Lender to make, 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subject to the terms and conditions hereof, Advances to the Borrower pursuant to Section 2.01. The aggregate Dollar Equivalent of the principal amount of Advances made by any Lender at any one time outstanding shall not exceed the amount set forth opposite the name of such Lender on Schedule 1 or in the Assignment and Acceptance pursuant to which such Lender shall have assumed its Commitment, as applicable, as such amount may be reduced from time to time pursuant to Section 2.06 or increased or reduced from time to time pursuant to assignments effected in accordance with Section 15.06(a).</w:t>
      </w:r>
    </w:p>
    <w:p>
      <w:pPr>
        <w:spacing w:after="0" w:line="15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“Commitment Fees” </w:t>
      </w:r>
      <w:r>
        <w:rPr>
          <w:rFonts w:ascii="Times New Roman" w:cs="Times New Roman" w:eastAsia="Times New Roman" w:hAnsi="Times New Roman"/>
          <w:sz w:val="16"/>
          <w:szCs w:val="16"/>
          <w:color w:val="auto"/>
        </w:rPr>
        <w:t>has the meaning assigned to such term in the Lender Fee Letter.</w:t>
      </w:r>
    </w:p>
    <w:p>
      <w:pPr>
        <w:spacing w:after="0" w:line="189" w:lineRule="exact"/>
        <w:rPr>
          <w:sz w:val="20"/>
          <w:szCs w:val="20"/>
          <w:color w:val="auto"/>
        </w:rPr>
      </w:pPr>
    </w:p>
    <w:p>
      <w:pPr>
        <w:ind w:left="1360" w:right="136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“Commitment Termination Date” </w:t>
      </w:r>
      <w:r>
        <w:rPr>
          <w:rFonts w:ascii="Times New Roman" w:cs="Times New Roman" w:eastAsia="Times New Roman" w:hAnsi="Times New Roman"/>
          <w:sz w:val="16"/>
          <w:szCs w:val="16"/>
          <w:color w:val="auto"/>
        </w:rPr>
        <w:t>means the last day of the Reinvestment Period;</w:t>
      </w:r>
      <w:r>
        <w:rPr>
          <w:rFonts w:ascii="Times New Roman" w:cs="Times New Roman" w:eastAsia="Times New Roman" w:hAnsi="Times New Roman"/>
          <w:sz w:val="16"/>
          <w:szCs w:val="16"/>
          <w:i w:val="1"/>
          <w:iCs w:val="1"/>
          <w:color w:val="auto"/>
        </w:rPr>
        <w:t xml:space="preserve"> provided </w:t>
      </w:r>
      <w:r>
        <w:rPr>
          <w:rFonts w:ascii="Times New Roman" w:cs="Times New Roman" w:eastAsia="Times New Roman" w:hAnsi="Times New Roman"/>
          <w:sz w:val="16"/>
          <w:szCs w:val="16"/>
          <w:color w:val="auto"/>
        </w:rPr>
        <w:t>that, if the Commitment Termination Date would otherwise not be a Business Day, then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Commitment Termination Date shall be the immediately succeeding Business Day.</w:t>
      </w:r>
    </w:p>
    <w:p>
      <w:pPr>
        <w:spacing w:after="0" w:line="140" w:lineRule="exact"/>
        <w:rPr>
          <w:sz w:val="20"/>
          <w:szCs w:val="20"/>
          <w:color w:val="auto"/>
        </w:rPr>
      </w:pPr>
    </w:p>
    <w:p>
      <w:pPr>
        <w:ind w:left="1360" w:right="1380" w:firstLine="484"/>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“Concentration Limitations” </w:t>
      </w:r>
      <w:r>
        <w:rPr>
          <w:rFonts w:ascii="Times New Roman" w:cs="Times New Roman" w:eastAsia="Times New Roman" w:hAnsi="Times New Roman"/>
          <w:sz w:val="16"/>
          <w:szCs w:val="16"/>
          <w:color w:val="auto"/>
        </w:rPr>
        <w:t>means, as of any date of determination, the following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limitations (calculated without duplication) as applied to the Eligible Collateral Loans (including, for Delayed Drawdown Collateral Loans and Revolving Collateral Loans, the unfunded commitments thereunder) owned (or, in relation to a proposed purchase of an Eligible Collateral Loan, proposed to be owned) by the Borrower, calculated as a percentage of the Aggregate Principal Balance of all Eligible Collateral Loans (including, for Delayed Drawdown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641350</wp:posOffset>
            </wp:positionV>
            <wp:extent cx="526605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2" w:name="page113"/>
    <w:bookmarkEnd w:id="112"/>
    <w:p>
      <w:pPr>
        <w:spacing w:after="0" w:line="270" w:lineRule="exact"/>
        <w:rPr>
          <w:sz w:val="20"/>
          <w:szCs w:val="20"/>
          <w:color w:val="auto"/>
        </w:rPr>
      </w:pPr>
    </w:p>
    <w:p>
      <w:pPr>
        <w:ind w:left="1360" w:right="1620"/>
        <w:spacing w:after="0" w:line="283" w:lineRule="auto"/>
        <w:rPr>
          <w:sz w:val="20"/>
          <w:szCs w:val="20"/>
          <w:color w:val="auto"/>
        </w:rPr>
      </w:pPr>
      <w:r>
        <w:rPr>
          <w:rFonts w:ascii="Times New Roman" w:cs="Times New Roman" w:eastAsia="Times New Roman" w:hAnsi="Times New Roman"/>
          <w:sz w:val="16"/>
          <w:szCs w:val="16"/>
          <w:color w:val="auto"/>
        </w:rPr>
        <w:t>Loans and Revolving Collateral Loans, the unfunded commitments thereunder) owned by the Borrower (after giving effect to any proposed purchase of Eligible Collateral Loans)</w:t>
      </w:r>
    </w:p>
    <w:p>
      <w:pPr>
        <w:spacing w:after="0" w:line="131" w:lineRule="exact"/>
        <w:rPr>
          <w:sz w:val="20"/>
          <w:szCs w:val="20"/>
          <w:color w:val="auto"/>
        </w:rPr>
      </w:pPr>
    </w:p>
    <w:p>
      <w:pPr>
        <w:ind w:left="1840" w:right="1860" w:firstLine="488"/>
        <w:spacing w:after="0" w:line="239" w:lineRule="auto"/>
        <w:tabs>
          <w:tab w:leader="none" w:pos="254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5.00% may consist of Collateral Loans that are issued by a single Obligor and its Affiliates, except that (1) up to 6.67% may consist of Collateral Loans issued by each of the three (3) largest single Obligors and their respective Affiliates and (2) up to 6.00% may consist of Collateral Loans issued by each of the fourth (4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6"/>
          <w:szCs w:val="16"/>
          <w:color w:val="auto"/>
        </w:rPr>
        <w:t>) and fifth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6"/>
          <w:szCs w:val="16"/>
          <w:color w:val="auto"/>
        </w:rPr>
        <w:t>) largest single Obligors and their respective Affiliates;</w:t>
      </w:r>
    </w:p>
    <w:p>
      <w:pPr>
        <w:spacing w:after="0" w:line="163" w:lineRule="exact"/>
        <w:rPr>
          <w:rFonts w:ascii="Times New Roman" w:cs="Times New Roman" w:eastAsia="Times New Roman" w:hAnsi="Times New Roman"/>
          <w:sz w:val="16"/>
          <w:szCs w:val="16"/>
          <w:color w:val="auto"/>
        </w:rPr>
      </w:pPr>
    </w:p>
    <w:p>
      <w:pPr>
        <w:ind w:left="1840" w:right="1980" w:firstLine="488"/>
        <w:spacing w:after="0" w:line="266" w:lineRule="auto"/>
        <w:tabs>
          <w:tab w:leader="none" w:pos="255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30.00% may consist of Collateral Loans that are issued by the five (5) largest single Obligors and their respective Affiliates in the aggregate;</w:t>
      </w:r>
    </w:p>
    <w:p>
      <w:pPr>
        <w:spacing w:after="0" w:line="144" w:lineRule="exact"/>
        <w:rPr>
          <w:rFonts w:ascii="Times New Roman" w:cs="Times New Roman" w:eastAsia="Times New Roman" w:hAnsi="Times New Roman"/>
          <w:sz w:val="16"/>
          <w:szCs w:val="16"/>
          <w:color w:val="auto"/>
        </w:rPr>
      </w:pPr>
    </w:p>
    <w:p>
      <w:pPr>
        <w:ind w:left="1840" w:right="1980" w:firstLine="488"/>
        <w:spacing w:after="0" w:line="261" w:lineRule="auto"/>
        <w:tabs>
          <w:tab w:leader="none" w:pos="254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15.00% may consist of Collateral Loans that are issued by Obligors and their Affiliates that belong to any single S&amp;P Industry Classification, except that up to 25.00% may consist of Collateral Loans with Obligors and their Affiliates in the largest S&amp;P Industry Classification;</w:t>
      </w:r>
    </w:p>
    <w:p>
      <w:pPr>
        <w:spacing w:after="0" w:line="148" w:lineRule="exact"/>
        <w:rPr>
          <w:rFonts w:ascii="Times New Roman" w:cs="Times New Roman" w:eastAsia="Times New Roman" w:hAnsi="Times New Roman"/>
          <w:sz w:val="16"/>
          <w:szCs w:val="16"/>
          <w:color w:val="auto"/>
        </w:rPr>
      </w:pPr>
    </w:p>
    <w:p>
      <w:pPr>
        <w:ind w:left="1840" w:right="2140" w:firstLine="488"/>
        <w:spacing w:after="0" w:line="266" w:lineRule="auto"/>
        <w:tabs>
          <w:tab w:leader="none" w:pos="255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15.00% may consist of Second Lien Loans and Split Lien Loans, provided that not more than 10.00% may consist of Second Lien Loans;</w:t>
      </w:r>
    </w:p>
    <w:p>
      <w:pPr>
        <w:spacing w:after="0" w:line="144" w:lineRule="exact"/>
        <w:rPr>
          <w:rFonts w:ascii="Times New Roman" w:cs="Times New Roman" w:eastAsia="Times New Roman" w:hAnsi="Times New Roman"/>
          <w:sz w:val="16"/>
          <w:szCs w:val="16"/>
          <w:color w:val="auto"/>
        </w:rPr>
      </w:pPr>
    </w:p>
    <w:p>
      <w:pPr>
        <w:ind w:left="2540" w:hanging="212"/>
        <w:spacing w:after="0"/>
        <w:tabs>
          <w:tab w:leader="none" w:pos="25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5.00% may consist of DIP Collateral Obligations;</w:t>
      </w:r>
    </w:p>
    <w:p>
      <w:pPr>
        <w:spacing w:after="0" w:line="189" w:lineRule="exact"/>
        <w:rPr>
          <w:rFonts w:ascii="Times New Roman" w:cs="Times New Roman" w:eastAsia="Times New Roman" w:hAnsi="Times New Roman"/>
          <w:sz w:val="16"/>
          <w:szCs w:val="16"/>
          <w:color w:val="auto"/>
        </w:rPr>
      </w:pPr>
    </w:p>
    <w:p>
      <w:pPr>
        <w:ind w:left="1840" w:right="2040" w:firstLine="488"/>
        <w:spacing w:after="0" w:line="283" w:lineRule="auto"/>
        <w:tabs>
          <w:tab w:leader="none" w:pos="252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15.00% may consist of Collateral Loans with Obligors organized or incorporated in an Eligible Foreign Country;</w:t>
      </w:r>
    </w:p>
    <w:p>
      <w:pPr>
        <w:spacing w:after="0" w:line="131" w:lineRule="exact"/>
        <w:rPr>
          <w:rFonts w:ascii="Times New Roman" w:cs="Times New Roman" w:eastAsia="Times New Roman" w:hAnsi="Times New Roman"/>
          <w:sz w:val="16"/>
          <w:szCs w:val="16"/>
          <w:color w:val="auto"/>
        </w:rPr>
      </w:pPr>
    </w:p>
    <w:p>
      <w:pPr>
        <w:ind w:left="2560" w:hanging="232"/>
        <w:spacing w:after="0"/>
        <w:tabs>
          <w:tab w:leader="none" w:pos="25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10.00% may consist of Partial PIK Loans;</w:t>
      </w:r>
    </w:p>
    <w:p>
      <w:pPr>
        <w:spacing w:after="0" w:line="189" w:lineRule="exact"/>
        <w:rPr>
          <w:rFonts w:ascii="Times New Roman" w:cs="Times New Roman" w:eastAsia="Times New Roman" w:hAnsi="Times New Roman"/>
          <w:sz w:val="16"/>
          <w:szCs w:val="16"/>
          <w:color w:val="auto"/>
        </w:rPr>
      </w:pPr>
    </w:p>
    <w:p>
      <w:pPr>
        <w:ind w:left="1840" w:right="2040" w:firstLine="488"/>
        <w:spacing w:after="0" w:line="283" w:lineRule="auto"/>
        <w:tabs>
          <w:tab w:leader="none" w:pos="255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15.0% may consist of Revolving Collateral Loans and Delayed Drawdown Collateral Loans;</w:t>
      </w:r>
    </w:p>
    <w:p>
      <w:pPr>
        <w:spacing w:after="0" w:line="131" w:lineRule="exact"/>
        <w:rPr>
          <w:rFonts w:ascii="Times New Roman" w:cs="Times New Roman" w:eastAsia="Times New Roman" w:hAnsi="Times New Roman"/>
          <w:sz w:val="16"/>
          <w:szCs w:val="16"/>
          <w:color w:val="auto"/>
        </w:rPr>
      </w:pPr>
    </w:p>
    <w:p>
      <w:pPr>
        <w:ind w:left="2520" w:hanging="192"/>
        <w:spacing w:after="0"/>
        <w:tabs>
          <w:tab w:leader="none" w:pos="25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10.00% may consist of Discount Collateral Loans;</w:t>
      </w:r>
    </w:p>
    <w:p>
      <w:pPr>
        <w:spacing w:after="0" w:line="189" w:lineRule="exact"/>
        <w:rPr>
          <w:rFonts w:ascii="Times New Roman" w:cs="Times New Roman" w:eastAsia="Times New Roman" w:hAnsi="Times New Roman"/>
          <w:sz w:val="16"/>
          <w:szCs w:val="16"/>
          <w:color w:val="auto"/>
        </w:rPr>
      </w:pPr>
    </w:p>
    <w:p>
      <w:pPr>
        <w:ind w:left="2520" w:hanging="192"/>
        <w:spacing w:after="0"/>
        <w:tabs>
          <w:tab w:leader="none" w:pos="25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25.00% may consist of Credit Improved Loans;</w:t>
      </w:r>
    </w:p>
    <w:p>
      <w:pPr>
        <w:spacing w:after="0" w:line="189" w:lineRule="exact"/>
        <w:rPr>
          <w:rFonts w:ascii="Times New Roman" w:cs="Times New Roman" w:eastAsia="Times New Roman" w:hAnsi="Times New Roman"/>
          <w:sz w:val="16"/>
          <w:szCs w:val="16"/>
          <w:color w:val="auto"/>
        </w:rPr>
      </w:pPr>
    </w:p>
    <w:p>
      <w:pPr>
        <w:ind w:left="1840" w:right="1900" w:firstLine="488"/>
        <w:spacing w:after="0" w:line="283" w:lineRule="auto"/>
        <w:tabs>
          <w:tab w:leader="none" w:pos="255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10.00% may consist of Collateral Loans that provide for payment of interest less frequently than quarterly;</w:t>
      </w:r>
    </w:p>
    <w:p>
      <w:pPr>
        <w:spacing w:after="0" w:line="131" w:lineRule="exact"/>
        <w:rPr>
          <w:rFonts w:ascii="Times New Roman" w:cs="Times New Roman" w:eastAsia="Times New Roman" w:hAnsi="Times New Roman"/>
          <w:sz w:val="16"/>
          <w:szCs w:val="16"/>
          <w:color w:val="auto"/>
        </w:rPr>
      </w:pPr>
    </w:p>
    <w:p>
      <w:pPr>
        <w:ind w:left="1840" w:right="2140" w:firstLine="488"/>
        <w:spacing w:after="0" w:line="283" w:lineRule="auto"/>
        <w:tabs>
          <w:tab w:leader="none" w:pos="2517"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3.00% may consist of Collateral Loans with attached equity kickers;</w:t>
      </w:r>
    </w:p>
    <w:p>
      <w:pPr>
        <w:spacing w:after="0" w:line="131" w:lineRule="exact"/>
        <w:rPr>
          <w:rFonts w:ascii="Times New Roman" w:cs="Times New Roman" w:eastAsia="Times New Roman" w:hAnsi="Times New Roman"/>
          <w:sz w:val="16"/>
          <w:szCs w:val="16"/>
          <w:color w:val="auto"/>
        </w:rPr>
      </w:pPr>
    </w:p>
    <w:p>
      <w:pPr>
        <w:ind w:left="1840" w:right="2060" w:firstLine="488"/>
        <w:spacing w:after="0" w:line="266" w:lineRule="auto"/>
        <w:tabs>
          <w:tab w:leader="none" w:pos="2598"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20.00% may consist of Collateral Loans whose Obligors have an EBITDA that is less than $15,000,000 (excluding Haircut Collateral Loans); provided that not more than 5.00% may consist of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636905</wp:posOffset>
            </wp:positionV>
            <wp:extent cx="526605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3" w:name="page114"/>
    <w:bookmarkEnd w:id="113"/>
    <w:p>
      <w:pPr>
        <w:spacing w:after="0" w:line="270" w:lineRule="exact"/>
        <w:rPr>
          <w:sz w:val="20"/>
          <w:szCs w:val="20"/>
          <w:color w:val="auto"/>
        </w:rPr>
      </w:pPr>
    </w:p>
    <w:p>
      <w:pPr>
        <w:ind w:left="1840" w:right="2000"/>
        <w:spacing w:after="0" w:line="283" w:lineRule="auto"/>
        <w:rPr>
          <w:sz w:val="20"/>
          <w:szCs w:val="20"/>
          <w:color w:val="auto"/>
        </w:rPr>
      </w:pPr>
      <w:r>
        <w:rPr>
          <w:rFonts w:ascii="Times New Roman" w:cs="Times New Roman" w:eastAsia="Times New Roman" w:hAnsi="Times New Roman"/>
          <w:sz w:val="16"/>
          <w:szCs w:val="16"/>
          <w:color w:val="auto"/>
        </w:rPr>
        <w:t>Loans whose Obligors have an EBITDA that is at least $5,000,000 and less than $7,500,000;</w:t>
      </w:r>
    </w:p>
    <w:p>
      <w:pPr>
        <w:spacing w:after="0" w:line="131" w:lineRule="exact"/>
        <w:rPr>
          <w:sz w:val="20"/>
          <w:szCs w:val="20"/>
          <w:color w:val="auto"/>
        </w:rPr>
      </w:pPr>
    </w:p>
    <w:p>
      <w:pPr>
        <w:ind w:left="1840" w:right="1840" w:firstLine="488"/>
        <w:spacing w:after="0" w:line="252" w:lineRule="auto"/>
        <w:tabs>
          <w:tab w:leader="none" w:pos="255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20.00% may consist of Collateral Loans that exceed one or more of the following limits (excluding Haircut Collateral Loans): (i) the Obligor on such Collateral Loan is a Tier 1 Obligor and has (x) with respect to a Collateral Loan other than a Stretch Senior Loan, (A) a Senior Leverage Ratio greater than 5.00x, or (B) a Total Leverage Ratio greater than 7.00x, or (y) with respect to a Stretch Senior Loan, a Total Leverage Ratio greater than 6.00x; (ii) the Obligor on such Collateral Loan is a Tier 2 Obligor and has (x) with respect to a Collateral Loan other than a Stretch Senior Loan, (A) a Senior Leverage Ratio greater than 4.25x, or (B) a Total Leverage Ratio greater than 6.00x, or (y) with respect to a Stretch Senior Loan, a Total Leverage Ratio greater than 5.25x; or (iii) the Obligor on such Collateral Loan is a Tier 3 Obligor and has (x) with respect to a Collateral Loan other than a Stretch Senior Loan, (A) a Senior Leverage Ratio greater than 3.75x, or (B) a Total Leverage Ratio greater than 5.00x, or (y) with respect to a Stretch Senior Loan, a Total Leverage Ratio greater than 4.50x;</w:t>
      </w:r>
    </w:p>
    <w:p>
      <w:pPr>
        <w:spacing w:after="0" w:line="160" w:lineRule="exact"/>
        <w:rPr>
          <w:rFonts w:ascii="Times New Roman" w:cs="Times New Roman" w:eastAsia="Times New Roman" w:hAnsi="Times New Roman"/>
          <w:sz w:val="16"/>
          <w:szCs w:val="16"/>
          <w:color w:val="auto"/>
        </w:rPr>
      </w:pPr>
    </w:p>
    <w:p>
      <w:pPr>
        <w:ind w:left="1840" w:right="1900" w:firstLine="488"/>
        <w:spacing w:after="0" w:line="266" w:lineRule="auto"/>
        <w:tabs>
          <w:tab w:leader="none" w:pos="255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15.00% may consist of Collateral Loans that, at the time of acquisition thereof by the Borrower or the Borrower’s commitment to acquire the same, were LBO Loans;</w:t>
      </w:r>
    </w:p>
    <w:p>
      <w:pPr>
        <w:spacing w:after="0" w:line="142" w:lineRule="exact"/>
        <w:rPr>
          <w:rFonts w:ascii="Times New Roman" w:cs="Times New Roman" w:eastAsia="Times New Roman" w:hAnsi="Times New Roman"/>
          <w:sz w:val="16"/>
          <w:szCs w:val="16"/>
          <w:color w:val="auto"/>
        </w:rPr>
      </w:pPr>
    </w:p>
    <w:p>
      <w:pPr>
        <w:ind w:left="1840" w:right="1840" w:firstLine="488"/>
        <w:spacing w:after="0" w:line="256" w:lineRule="auto"/>
        <w:tabs>
          <w:tab w:leader="none" w:pos="255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 more than 5.00% may consist of Participation Interests,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however, </w:t>
      </w:r>
      <w:r>
        <w:rPr>
          <w:rFonts w:ascii="Times New Roman" w:cs="Times New Roman" w:eastAsia="Times New Roman" w:hAnsi="Times New Roman"/>
          <w:sz w:val="16"/>
          <w:szCs w:val="16"/>
          <w:color w:val="auto"/>
        </w:rPr>
        <w:t>that the Fifth Amendment Participation Pool shall not be included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calculation of the Concentration Limitation set forth in this clause (p) for the period beginning on the date on which the Fifth Amendment Participation Pool is acquired (the “</w:t>
      </w:r>
      <w:r>
        <w:rPr>
          <w:rFonts w:ascii="Times New Roman" w:cs="Times New Roman" w:eastAsia="Times New Roman" w:hAnsi="Times New Roman"/>
          <w:sz w:val="16"/>
          <w:szCs w:val="16"/>
          <w:i w:val="1"/>
          <w:iCs w:val="1"/>
          <w:color w:val="auto"/>
        </w:rPr>
        <w:t>Fifth Amendment Participation Pool Acquisition Date</w:t>
      </w:r>
      <w:r>
        <w:rPr>
          <w:rFonts w:ascii="Times New Roman" w:cs="Times New Roman" w:eastAsia="Times New Roman" w:hAnsi="Times New Roman"/>
          <w:sz w:val="16"/>
          <w:szCs w:val="16"/>
          <w:color w:val="auto"/>
        </w:rPr>
        <w:t>”) and ending on the date that is 75 days after the Fifth Amendment Participation Pool Acquisition Date;</w:t>
      </w:r>
    </w:p>
    <w:p>
      <w:pPr>
        <w:spacing w:after="0" w:line="151" w:lineRule="exact"/>
        <w:rPr>
          <w:rFonts w:ascii="Times New Roman" w:cs="Times New Roman" w:eastAsia="Times New Roman" w:hAnsi="Times New Roman"/>
          <w:sz w:val="16"/>
          <w:szCs w:val="16"/>
          <w:color w:val="auto"/>
        </w:rPr>
      </w:pPr>
    </w:p>
    <w:p>
      <w:pPr>
        <w:ind w:left="2560" w:hanging="232"/>
        <w:spacing w:after="0"/>
        <w:tabs>
          <w:tab w:leader="none" w:pos="2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15.00% may consist of Eligible Covenant Lite Loans;</w:t>
      </w:r>
    </w:p>
    <w:p>
      <w:pPr>
        <w:spacing w:after="0" w:line="189" w:lineRule="exact"/>
        <w:rPr>
          <w:rFonts w:ascii="Times New Roman" w:cs="Times New Roman" w:eastAsia="Times New Roman" w:hAnsi="Times New Roman"/>
          <w:sz w:val="16"/>
          <w:szCs w:val="16"/>
          <w:color w:val="auto"/>
        </w:rPr>
      </w:pPr>
    </w:p>
    <w:p>
      <w:pPr>
        <w:ind w:left="2520" w:hanging="192"/>
        <w:spacing w:after="0"/>
        <w:tabs>
          <w:tab w:leader="none" w:pos="25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10.00% may consist of Fixed Rate Obligations; and</w:t>
      </w:r>
    </w:p>
    <w:p>
      <w:pPr>
        <w:spacing w:after="0" w:line="189" w:lineRule="exact"/>
        <w:rPr>
          <w:rFonts w:ascii="Times New Roman" w:cs="Times New Roman" w:eastAsia="Times New Roman" w:hAnsi="Times New Roman"/>
          <w:sz w:val="16"/>
          <w:szCs w:val="16"/>
          <w:color w:val="auto"/>
        </w:rPr>
      </w:pPr>
    </w:p>
    <w:p>
      <w:pPr>
        <w:ind w:left="1840" w:right="1920" w:firstLine="488"/>
        <w:spacing w:after="0" w:line="283" w:lineRule="auto"/>
        <w:tabs>
          <w:tab w:leader="none" w:pos="253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15.00% may consist of Collateral Loans denominated in an Agreed Foreign Currency.</w:t>
      </w:r>
    </w:p>
    <w:p>
      <w:pPr>
        <w:spacing w:after="0" w:line="129" w:lineRule="exact"/>
        <w:rPr>
          <w:sz w:val="20"/>
          <w:szCs w:val="20"/>
          <w:color w:val="auto"/>
        </w:rPr>
      </w:pPr>
    </w:p>
    <w:p>
      <w:pPr>
        <w:ind w:left="1360" w:right="1500" w:firstLine="484"/>
        <w:spacing w:after="0" w:line="194" w:lineRule="exact"/>
        <w:rPr>
          <w:sz w:val="20"/>
          <w:szCs w:val="20"/>
          <w:color w:val="auto"/>
        </w:rPr>
      </w:pPr>
      <w:r>
        <w:rPr>
          <w:rFonts w:ascii="Times New Roman" w:cs="Times New Roman" w:eastAsia="Times New Roman" w:hAnsi="Times New Roman"/>
          <w:sz w:val="16"/>
          <w:szCs w:val="16"/>
          <w:i w:val="1"/>
          <w:iCs w:val="1"/>
          <w:color w:val="auto"/>
        </w:rPr>
        <w:t xml:space="preserve">“Constituent Documents” </w:t>
      </w:r>
      <w:r>
        <w:rPr>
          <w:rFonts w:ascii="Times New Roman" w:cs="Times New Roman" w:eastAsia="Times New Roman" w:hAnsi="Times New Roman"/>
          <w:sz w:val="16"/>
          <w:szCs w:val="16"/>
          <w:color w:val="auto"/>
        </w:rPr>
        <w:t>means in respect of any Person, the certificate or articles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formation or organization, the limited liability company agreement, operating agreement, partnership agreement, joint venture agreement or other applicable agreement of formation or organization (or equivalent or comparable constituent documents) and other organizational documents and by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laws and any certificate of incorporation, certificate of formation, certificate of limited partnership and other agreement, similar instrument filed or made in connection with its formation or organization, in each case, as the same may be amended, restated, replaced,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650240</wp:posOffset>
            </wp:positionV>
            <wp:extent cx="526605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4" w:name="page115"/>
    <w:bookmarkEnd w:id="114"/>
    <w:p>
      <w:pPr>
        <w:spacing w:after="0" w:line="268" w:lineRule="exact"/>
        <w:rPr>
          <w:sz w:val="20"/>
          <w:szCs w:val="20"/>
          <w:color w:val="auto"/>
        </w:rPr>
      </w:pPr>
    </w:p>
    <w:p>
      <w:pPr>
        <w:ind w:left="1360" w:right="1420" w:firstLine="4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“Control” </w:t>
      </w:r>
      <w:r>
        <w:rPr>
          <w:rFonts w:ascii="Times New Roman" w:cs="Times New Roman" w:eastAsia="Times New Roman" w:hAnsi="Times New Roman"/>
          <w:sz w:val="16"/>
          <w:szCs w:val="16"/>
          <w:color w:val="auto"/>
        </w:rPr>
        <w:t>means the direct or indirect possession of the power to direct or cause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direction of the management or policies of a Person, whether through ownership, by contract, arrangement or understanding, or otherwise. </w:t>
      </w:r>
      <w:r>
        <w:rPr>
          <w:rFonts w:ascii="Times New Roman" w:cs="Times New Roman" w:eastAsia="Times New Roman" w:hAnsi="Times New Roman"/>
          <w:sz w:val="16"/>
          <w:szCs w:val="16"/>
          <w:i w:val="1"/>
          <w:iCs w:val="1"/>
          <w:color w:val="auto"/>
        </w:rPr>
        <w:t>“Controlled”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“Controlling”</w:t>
      </w:r>
      <w:r>
        <w:rPr>
          <w:rFonts w:ascii="Times New Roman" w:cs="Times New Roman" w:eastAsia="Times New Roman" w:hAnsi="Times New Roman"/>
          <w:sz w:val="16"/>
          <w:szCs w:val="16"/>
          <w:color w:val="auto"/>
        </w:rPr>
        <w:t xml:space="preserve"> have the meaning correlative thereto.</w:t>
      </w:r>
    </w:p>
    <w:p>
      <w:pPr>
        <w:spacing w:after="0" w:line="145" w:lineRule="exact"/>
        <w:rPr>
          <w:sz w:val="20"/>
          <w:szCs w:val="20"/>
          <w:color w:val="auto"/>
        </w:rPr>
      </w:pPr>
    </w:p>
    <w:p>
      <w:pPr>
        <w:ind w:left="1360" w:right="202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CORRA</w:t>
      </w:r>
      <w:r>
        <w:rPr>
          <w:rFonts w:ascii="Times New Roman" w:cs="Times New Roman" w:eastAsia="Times New Roman" w:hAnsi="Times New Roman"/>
          <w:sz w:val="16"/>
          <w:szCs w:val="16"/>
          <w:color w:val="auto"/>
        </w:rPr>
        <w:t xml:space="preserve"> ” means the Canadian Overnight Repo Rate Average administered and published by the Bank of Canada (or any successor administrator).</w:t>
      </w:r>
    </w:p>
    <w:p>
      <w:pPr>
        <w:spacing w:after="0" w:line="126" w:lineRule="exact"/>
        <w:rPr>
          <w:sz w:val="20"/>
          <w:szCs w:val="20"/>
          <w:color w:val="auto"/>
        </w:rPr>
      </w:pPr>
    </w:p>
    <w:p>
      <w:pPr>
        <w:jc w:val="both"/>
        <w:ind w:left="1360" w:right="1560" w:firstLine="4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Corporate Trust Office”</w:t>
      </w:r>
      <w:r>
        <w:rPr>
          <w:rFonts w:ascii="Times New Roman" w:cs="Times New Roman" w:eastAsia="Times New Roman" w:hAnsi="Times New Roman"/>
          <w:sz w:val="16"/>
          <w:szCs w:val="16"/>
          <w:color w:val="auto"/>
        </w:rPr>
        <w:t xml:space="preserve"> means the applicable designated corporate trust office of the Collateral Agent and the Collateral Administrator specified on Schedule 6 hereto or such other address within the United States as the Collateral Agent and the Collateral Administrator may designate from time to time by notice to the Administrative Agent.</w:t>
      </w:r>
    </w:p>
    <w:p>
      <w:pPr>
        <w:spacing w:after="0" w:line="145" w:lineRule="exact"/>
        <w:rPr>
          <w:sz w:val="20"/>
          <w:szCs w:val="20"/>
          <w:color w:val="auto"/>
        </w:rPr>
      </w:pPr>
    </w:p>
    <w:p>
      <w:pPr>
        <w:ind w:left="1360" w:right="1400" w:firstLine="484"/>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“Covenant Lite Loan” </w:t>
      </w:r>
      <w:r>
        <w:rPr>
          <w:rFonts w:ascii="Times New Roman" w:cs="Times New Roman" w:eastAsia="Times New Roman" w:hAnsi="Times New Roman"/>
          <w:sz w:val="16"/>
          <w:szCs w:val="16"/>
          <w:color w:val="auto"/>
        </w:rPr>
        <w:t>means a Collateral Loan that does not require the Obligor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comply with at least one of the following financial covenants during each reporting period applicable to such Collateral Loan, whether or not any action by, or event relating to, the Obligor has occurred: maximum leverage, maximum senior leverage, maximum first lien leverage, minimum fixed charge coverage, minimum tangible net worth, minimum net worth, minimum debt service coverage, minimum interest coverage, maximum capital expenditures, minimum EBITDA, or other customary financial covenants.</w:t>
      </w:r>
    </w:p>
    <w:p>
      <w:pPr>
        <w:spacing w:after="0" w:line="150" w:lineRule="exact"/>
        <w:rPr>
          <w:sz w:val="20"/>
          <w:szCs w:val="20"/>
          <w:color w:val="auto"/>
        </w:rPr>
      </w:pPr>
    </w:p>
    <w:p>
      <w:pPr>
        <w:ind w:left="1360" w:right="14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“Coverage Test” </w:t>
      </w:r>
      <w:r>
        <w:rPr>
          <w:rFonts w:ascii="Times New Roman" w:cs="Times New Roman" w:eastAsia="Times New Roman" w:hAnsi="Times New Roman"/>
          <w:sz w:val="16"/>
          <w:szCs w:val="16"/>
          <w:color w:val="auto"/>
        </w:rPr>
        <w:t>means each of (i) the Maximum Advance Rate Test and (ii) the Interest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Coverage Ratio Test.</w:t>
      </w:r>
    </w:p>
    <w:p>
      <w:pPr>
        <w:spacing w:after="0" w:line="126" w:lineRule="exact"/>
        <w:rPr>
          <w:sz w:val="20"/>
          <w:szCs w:val="20"/>
          <w:color w:val="auto"/>
        </w:rPr>
      </w:pPr>
    </w:p>
    <w:p>
      <w:pPr>
        <w:ind w:left="1360" w:right="140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“Covered Account” </w:t>
      </w:r>
      <w:r>
        <w:rPr>
          <w:rFonts w:ascii="Times New Roman" w:cs="Times New Roman" w:eastAsia="Times New Roman" w:hAnsi="Times New Roman"/>
          <w:sz w:val="16"/>
          <w:szCs w:val="16"/>
          <w:color w:val="auto"/>
        </w:rPr>
        <w:t>means each of the Collection Account (including each Interest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Collection Subaccount and Principal Collection Subaccount therein), each Payment Account, the Revolving Reserve Account and the Custodial Account.</w:t>
      </w:r>
    </w:p>
    <w:p>
      <w:pPr>
        <w:spacing w:after="0" w:line="126" w:lineRule="exact"/>
        <w:rPr>
          <w:sz w:val="20"/>
          <w:szCs w:val="20"/>
          <w:color w:val="auto"/>
        </w:rPr>
      </w:pPr>
    </w:p>
    <w:p>
      <w:pPr>
        <w:ind w:left="1360" w:right="1380" w:firstLine="484"/>
        <w:spacing w:after="0" w:line="203" w:lineRule="exact"/>
        <w:rPr>
          <w:sz w:val="20"/>
          <w:szCs w:val="20"/>
          <w:color w:val="auto"/>
        </w:rPr>
      </w:pPr>
      <w:r>
        <w:rPr>
          <w:rFonts w:ascii="Times New Roman" w:cs="Times New Roman" w:eastAsia="Times New Roman" w:hAnsi="Times New Roman"/>
          <w:sz w:val="16"/>
          <w:szCs w:val="16"/>
          <w:i w:val="1"/>
          <w:iCs w:val="1"/>
          <w:color w:val="auto"/>
        </w:rPr>
        <w:t xml:space="preserve">“CP Conduit” </w:t>
      </w:r>
      <w:r>
        <w:rPr>
          <w:rFonts w:ascii="Times New Roman" w:cs="Times New Roman" w:eastAsia="Times New Roman" w:hAnsi="Times New Roman"/>
          <w:sz w:val="16"/>
          <w:szCs w:val="16"/>
          <w:color w:val="auto"/>
        </w:rPr>
        <w:t>means any multi</w:t>
      </w:r>
      <w:r>
        <w:rPr>
          <w:rFonts w:ascii="Times New Roman" w:cs="Times New Roman" w:eastAsia="Times New Roman" w:hAnsi="Times New Roman"/>
          <w:sz w:val="16"/>
          <w:szCs w:val="16"/>
          <w:i w:val="1"/>
          <w:iCs w:val="1"/>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seller asset</w:t>
      </w:r>
      <w:r>
        <w:rPr>
          <w:rFonts w:ascii="MS PGothic" w:cs="MS PGothic" w:eastAsia="MS PGothic" w:hAnsi="MS PGothic"/>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backed commercial paper conduit established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use the direct or indirect proceeds of the issuance of commercial paper notes to finance financial assets and that is a Lender.</w:t>
      </w:r>
    </w:p>
    <w:p>
      <w:pPr>
        <w:spacing w:after="0" w:line="164" w:lineRule="exact"/>
        <w:rPr>
          <w:sz w:val="20"/>
          <w:szCs w:val="20"/>
          <w:color w:val="auto"/>
        </w:rPr>
      </w:pPr>
    </w:p>
    <w:p>
      <w:pPr>
        <w:ind w:left="1360" w:right="148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“Credit and Collection Policies” </w:t>
      </w:r>
      <w:r>
        <w:rPr>
          <w:rFonts w:ascii="Times New Roman" w:cs="Times New Roman" w:eastAsia="Times New Roman" w:hAnsi="Times New Roman"/>
          <w:sz w:val="16"/>
          <w:szCs w:val="16"/>
          <w:color w:val="auto"/>
        </w:rPr>
        <w:t>means the PennantPark Floating Rate Ltd Policies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Procedures dated as of July 1, 2021, as amended subject to the terms hereof.</w:t>
      </w:r>
    </w:p>
    <w:p>
      <w:pPr>
        <w:spacing w:after="0" w:line="1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Credit Improved Loan</w:t>
      </w:r>
      <w:r>
        <w:rPr>
          <w:rFonts w:ascii="Times New Roman" w:cs="Times New Roman" w:eastAsia="Times New Roman" w:hAnsi="Times New Roman"/>
          <w:sz w:val="16"/>
          <w:szCs w:val="16"/>
          <w:color w:val="auto"/>
        </w:rPr>
        <w:t>” means:</w:t>
      </w:r>
    </w:p>
    <w:p>
      <w:pPr>
        <w:spacing w:after="0" w:line="191" w:lineRule="exact"/>
        <w:rPr>
          <w:sz w:val="20"/>
          <w:szCs w:val="20"/>
          <w:color w:val="auto"/>
        </w:rPr>
      </w:pPr>
    </w:p>
    <w:p>
      <w:pPr>
        <w:ind w:left="1840" w:right="1440" w:firstLine="488"/>
        <w:spacing w:after="0" w:line="256" w:lineRule="auto"/>
        <w:tabs>
          <w:tab w:leader="none" w:pos="254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Defaulted Collateral Loan, after the date on which such loan became a Defaulted Collateral Loan, (i) it is current on all required payments for a period of three months (if such loan pays monthly), two quarters (if such loan pays quarterly) or one year (if such loan pays semiannually) and (ii) it would satisfy the definition of Eligible Collateral Loan (with the exception of clauses (k) and (dd) thereof) if purchased at such time; and</w:t>
      </w:r>
    </w:p>
    <w:p>
      <w:pPr>
        <w:spacing w:after="0" w:line="154" w:lineRule="exact"/>
        <w:rPr>
          <w:rFonts w:ascii="Times New Roman" w:cs="Times New Roman" w:eastAsia="Times New Roman" w:hAnsi="Times New Roman"/>
          <w:sz w:val="16"/>
          <w:szCs w:val="16"/>
          <w:color w:val="auto"/>
        </w:rPr>
      </w:pPr>
    </w:p>
    <w:p>
      <w:pPr>
        <w:ind w:left="1840" w:right="1400" w:firstLine="488"/>
        <w:spacing w:after="0" w:line="283" w:lineRule="auto"/>
        <w:tabs>
          <w:tab w:leader="none" w:pos="2553"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Collateral Loan which has been the subject of a Material Modification, either (i) after the date on which such loan became a Collateral Loan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628015</wp:posOffset>
            </wp:positionV>
            <wp:extent cx="526605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5" w:name="page116"/>
    <w:bookmarkEnd w:id="115"/>
    <w:p>
      <w:pPr>
        <w:spacing w:after="0" w:line="270" w:lineRule="exact"/>
        <w:rPr>
          <w:sz w:val="20"/>
          <w:szCs w:val="20"/>
          <w:color w:val="auto"/>
        </w:rPr>
      </w:pPr>
    </w:p>
    <w:p>
      <w:pPr>
        <w:ind w:left="1840" w:right="1440"/>
        <w:spacing w:after="0" w:line="254" w:lineRule="auto"/>
        <w:rPr>
          <w:sz w:val="20"/>
          <w:szCs w:val="20"/>
          <w:color w:val="auto"/>
        </w:rPr>
      </w:pPr>
      <w:r>
        <w:rPr>
          <w:rFonts w:ascii="Times New Roman" w:cs="Times New Roman" w:eastAsia="Times New Roman" w:hAnsi="Times New Roman"/>
          <w:sz w:val="16"/>
          <w:szCs w:val="16"/>
          <w:color w:val="auto"/>
        </w:rPr>
        <w:t>is the subject of a Material Modification, (A) it is current on all required payments for a period of three months (if such loan pays monthly), two quarters (if such loan pays quarterly) or one year (if such loan pays semiannually) and (B) it would satisfy the definition of Eligible Collateral Loan (with the exception of clause (k) thereof as a result of such Eligible Collateral Loan being subject to Material Modification) if purchased at such time, or (ii) the Administrative Agent has consented in writing to such Collateral Loan no longer constituting a loan which has been the subject of a Material Modification hereunder.</w:t>
      </w:r>
    </w:p>
    <w:p>
      <w:pPr>
        <w:spacing w:after="0" w:line="155" w:lineRule="exact"/>
        <w:rPr>
          <w:sz w:val="20"/>
          <w:szCs w:val="20"/>
          <w:color w:val="auto"/>
        </w:rPr>
      </w:pPr>
    </w:p>
    <w:p>
      <w:pPr>
        <w:ind w:left="1360" w:right="1340" w:firstLine="48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Credit Risk Collateral Loan</w:t>
      </w:r>
      <w:r>
        <w:rPr>
          <w:rFonts w:ascii="Times New Roman" w:cs="Times New Roman" w:eastAsia="Times New Roman" w:hAnsi="Times New Roman"/>
          <w:sz w:val="16"/>
          <w:szCs w:val="16"/>
          <w:color w:val="auto"/>
        </w:rPr>
        <w:t xml:space="preserve"> ” means any Collateral Loan that in the Collateral Manager’s commercially reasonable business judgment (i) has a significant risk of declining in credit quality and, with a lapse of time, becoming a Defaulted Collateral Loan, and (ii) as a result of one or more factors including but not limited to credit quality, has a significant risk of declining in market price (but not including any such decline experienced by the market generally as a result of interest rate movement, general economic conditions or similar factors.</w:t>
      </w:r>
    </w:p>
    <w:p>
      <w:pPr>
        <w:spacing w:after="0" w:line="1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“Currency” </w:t>
      </w:r>
      <w:r>
        <w:rPr>
          <w:rFonts w:ascii="Times New Roman" w:cs="Times New Roman" w:eastAsia="Times New Roman" w:hAnsi="Times New Roman"/>
          <w:sz w:val="16"/>
          <w:szCs w:val="16"/>
          <w:color w:val="auto"/>
        </w:rPr>
        <w:t>means Dollars or any Agreed Foreign Currency.</w:t>
      </w:r>
    </w:p>
    <w:p>
      <w:pPr>
        <w:spacing w:after="0" w:line="189" w:lineRule="exact"/>
        <w:rPr>
          <w:sz w:val="20"/>
          <w:szCs w:val="20"/>
          <w:color w:val="auto"/>
        </w:rPr>
      </w:pPr>
    </w:p>
    <w:p>
      <w:pPr>
        <w:ind w:left="1360" w:right="1420" w:firstLine="484"/>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“Currency Valuation Trigger Event” </w:t>
      </w:r>
      <w:r>
        <w:rPr>
          <w:rFonts w:ascii="Times New Roman" w:cs="Times New Roman" w:eastAsia="Times New Roman" w:hAnsi="Times New Roman"/>
          <w:sz w:val="16"/>
          <w:szCs w:val="16"/>
          <w:color w:val="auto"/>
        </w:rPr>
        <w:t>means, an event that occurs if, as of any date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determination (i) with respect to any Agreed Foreign Currency that either (x) is the applicable Agreed Foreign Currency that any Collateral Loan that is part of the Collateral is denominated in, or (y) is the Agreed Foreign Currency that any outstanding Advances are denominated in, such Agreed Foreign Currency, the spot selling rate at which such Agreed Foreign Currency is sold for Dollars in the London foreign exchange market at approximately 4:00 p.m. (New York time) on such date of determination for delivery two (2) Business Days later fluctuates by a factor greater than 10.0% from (ii) the spot selling rate at which such Agreed Foreign Currency was sold for Dollars in the London foreign exchange market at approximately 4:00 p.m. (New York time) for delivery two (2) Business Days later as of the date two (2) Business Days prior to the date on which the Borrowing Base was calculated in the most recent Monthly Report or Borrowing Base Calculation Statement that was delivered to the Administrative Agent. None of the Administrative Agent, the Collateral Administrator or the Collateral Agent, shall have any responsibility for any calculation of a Currency Valuation Trigger Event made by the Collateral Manager. For avoidance of doubt, neither the Collateral Administrator nor the Collateral Agent shall have any responsibility to calculate a Currency Valuation Trigger Event pursuant to this Agreement.</w:t>
      </w:r>
    </w:p>
    <w:p>
      <w:pPr>
        <w:spacing w:after="0" w:line="156" w:lineRule="exact"/>
        <w:rPr>
          <w:sz w:val="20"/>
          <w:szCs w:val="20"/>
          <w:color w:val="auto"/>
        </w:rPr>
      </w:pPr>
    </w:p>
    <w:p>
      <w:pPr>
        <w:ind w:left="1360" w:right="1480" w:firstLine="4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Current Modified Loan</w:t>
      </w:r>
      <w:r>
        <w:rPr>
          <w:rFonts w:ascii="Times New Roman" w:cs="Times New Roman" w:eastAsia="Times New Roman" w:hAnsi="Times New Roman"/>
          <w:sz w:val="16"/>
          <w:szCs w:val="16"/>
          <w:color w:val="auto"/>
        </w:rPr>
        <w:t>” means a Collateral Loan that, as of the date such Collateral Loan is modified, (a) has been current on all required payments for a period of three (3) months (if such Collateral Loan pays monthly), two quarters (if such Collateral Loan pays quarterly) or one year (if such Collateral Loan pays semiannually) and (b) would satisfy the definition of Eligible Collateral Loan if purchased on the date of such modification.</w:t>
      </w:r>
    </w:p>
    <w:p>
      <w:pPr>
        <w:spacing w:after="0" w:line="147" w:lineRule="exact"/>
        <w:rPr>
          <w:sz w:val="20"/>
          <w:szCs w:val="20"/>
          <w:color w:val="auto"/>
        </w:rPr>
      </w:pPr>
    </w:p>
    <w:p>
      <w:pPr>
        <w:ind w:left="1360" w:right="19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“Custodial Account” </w:t>
      </w:r>
      <w:r>
        <w:rPr>
          <w:rFonts w:ascii="Times New Roman" w:cs="Times New Roman" w:eastAsia="Times New Roman" w:hAnsi="Times New Roman"/>
          <w:sz w:val="16"/>
          <w:szCs w:val="16"/>
          <w:color w:val="auto"/>
        </w:rPr>
        <w:t>means the custodial account established pursuant to Section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8.03(b).</w:t>
      </w:r>
    </w:p>
    <w:p>
      <w:pPr>
        <w:spacing w:after="0" w:line="126" w:lineRule="exact"/>
        <w:rPr>
          <w:sz w:val="20"/>
          <w:szCs w:val="20"/>
          <w:color w:val="auto"/>
        </w:rPr>
      </w:pPr>
    </w:p>
    <w:p>
      <w:pPr>
        <w:ind w:left="1360" w:right="144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“Custodian” </w:t>
      </w:r>
      <w:r>
        <w:rPr>
          <w:rFonts w:ascii="Times New Roman" w:cs="Times New Roman" w:eastAsia="Times New Roman" w:hAnsi="Times New Roman"/>
          <w:sz w:val="16"/>
          <w:szCs w:val="16"/>
          <w:color w:val="auto"/>
        </w:rPr>
        <w:t>means U.S. Bank National Association, a national banking association,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successor thereto appointed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6" w:name="page117"/>
    <w:bookmarkEnd w:id="116"/>
    <w:p>
      <w:pPr>
        <w:spacing w:after="0" w:line="268" w:lineRule="exact"/>
        <w:rPr>
          <w:sz w:val="20"/>
          <w:szCs w:val="20"/>
          <w:color w:val="auto"/>
        </w:rPr>
      </w:pPr>
    </w:p>
    <w:p>
      <w:pPr>
        <w:ind w:left="1360" w:right="176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“Custodian Fee Letter” </w:t>
      </w:r>
      <w:r>
        <w:rPr>
          <w:rFonts w:ascii="Times New Roman" w:cs="Times New Roman" w:eastAsia="Times New Roman" w:hAnsi="Times New Roman"/>
          <w:sz w:val="16"/>
          <w:szCs w:val="16"/>
          <w:color w:val="auto"/>
        </w:rPr>
        <w:t>means the Collateral Agent Fee Letter setting forth the fees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payable by the Borrower to, among other parties, the Custodian in connection with the transactions contemplated by this Agreement.</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“Custodian Termination Notice” </w:t>
      </w:r>
      <w:r>
        <w:rPr>
          <w:rFonts w:ascii="Times New Roman" w:cs="Times New Roman" w:eastAsia="Times New Roman" w:hAnsi="Times New Roman"/>
          <w:sz w:val="16"/>
          <w:szCs w:val="16"/>
          <w:color w:val="auto"/>
        </w:rPr>
        <w:t>is defined in Section 14.05 hereof.</w:t>
      </w:r>
    </w:p>
    <w:p>
      <w:pPr>
        <w:spacing w:after="0" w:line="189" w:lineRule="exact"/>
        <w:rPr>
          <w:sz w:val="20"/>
          <w:szCs w:val="20"/>
          <w:color w:val="auto"/>
        </w:rPr>
      </w:pPr>
    </w:p>
    <w:p>
      <w:pPr>
        <w:ind w:left="1360" w:right="1360" w:firstLine="484"/>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Daily Simple RFR</w:t>
      </w:r>
      <w:r>
        <w:rPr>
          <w:rFonts w:ascii="Times New Roman" w:cs="Times New Roman" w:eastAsia="Times New Roman" w:hAnsi="Times New Roman"/>
          <w:sz w:val="16"/>
          <w:szCs w:val="16"/>
          <w:color w:val="auto"/>
        </w:rPr>
        <w:t>” means, for any day (an “</w:t>
      </w:r>
      <w:r>
        <w:rPr>
          <w:rFonts w:ascii="Times New Roman" w:cs="Times New Roman" w:eastAsia="Times New Roman" w:hAnsi="Times New Roman"/>
          <w:sz w:val="16"/>
          <w:szCs w:val="16"/>
          <w:i w:val="1"/>
          <w:iCs w:val="1"/>
          <w:color w:val="auto"/>
        </w:rPr>
        <w:t>RFR Interest Day</w:t>
      </w:r>
      <w:r>
        <w:rPr>
          <w:rFonts w:ascii="Times New Roman" w:cs="Times New Roman" w:eastAsia="Times New Roman" w:hAnsi="Times New Roman"/>
          <w:sz w:val="16"/>
          <w:szCs w:val="16"/>
          <w:color w:val="auto"/>
        </w:rPr>
        <w:t>”), an interest rate per annum equal to for any RFR Advance denominated in Sterling, the greater of (i) SONIA for the day (the “</w:t>
      </w:r>
      <w:r>
        <w:rPr>
          <w:rFonts w:ascii="Times New Roman" w:cs="Times New Roman" w:eastAsia="Times New Roman" w:hAnsi="Times New Roman"/>
          <w:sz w:val="16"/>
          <w:szCs w:val="16"/>
          <w:i w:val="1"/>
          <w:iCs w:val="1"/>
          <w:color w:val="auto"/>
        </w:rPr>
        <w:t>RFR Reference Day</w:t>
      </w:r>
      <w:r>
        <w:rPr>
          <w:rFonts w:ascii="Times New Roman" w:cs="Times New Roman" w:eastAsia="Times New Roman" w:hAnsi="Times New Roman"/>
          <w:sz w:val="16"/>
          <w:szCs w:val="16"/>
          <w:color w:val="auto"/>
        </w:rPr>
        <w:t>”) that is five Business Days prior to (A) if such RFR Interest Day is a Business Day, such RFR Interest Day or (B) if such RFR Interest Day is not a Business Day, the Business Day immediately preceding such RFR Interest Day and (ii) 0.00%. If by 5:00 pm, (local time for the applicable RFR), on the second Business Day immediately following any RFR Reference Day, the applicable RFR Rate in respect of such RFR Reference Day has not been published on the applicable RFR Administrator’s Website and a Benchmark Replacement Date with respect to the applicable Daily Simple RFR has not occurred, then the RFR Rate for such RFR Reference Day will be the RFR Rate as published in respect of the first preceding RFR Business Day for which such RFR Rate was published on the RFR Administrator’s Website; provided that any RFR Rate as determined pursuant to this sentence shall be utilized for purposes of calculating the Daily Simple RFR for no more than three consecutive RFR Interest Days. Any change in Daily Simple RFR due to a change in the applicable RFR Rate shall be effective from and including the effective date of such change in such RFR Rate without notice to the Borrower.</w:t>
      </w:r>
    </w:p>
    <w:p>
      <w:pPr>
        <w:spacing w:after="0" w:line="15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“Data File</w:t>
      </w:r>
      <w:r>
        <w:rPr>
          <w:rFonts w:ascii="Times New Roman" w:cs="Times New Roman" w:eastAsia="Times New Roman" w:hAnsi="Times New Roman"/>
          <w:sz w:val="16"/>
          <w:szCs w:val="16"/>
          <w:color w:val="auto"/>
        </w:rPr>
        <w:t>” has the meaning assigned to such term in Section 8.06(a).</w:t>
      </w:r>
    </w:p>
    <w:p>
      <w:pPr>
        <w:spacing w:after="0" w:line="189" w:lineRule="exact"/>
        <w:rPr>
          <w:sz w:val="20"/>
          <w:szCs w:val="20"/>
          <w:color w:val="auto"/>
        </w:rPr>
      </w:pPr>
    </w:p>
    <w:p>
      <w:pPr>
        <w:ind w:left="1360" w:right="1480" w:firstLine="4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Debt to Capitalization Ratio</w:t>
      </w:r>
      <w:r>
        <w:rPr>
          <w:rFonts w:ascii="Times New Roman" w:cs="Times New Roman" w:eastAsia="Times New Roman" w:hAnsi="Times New Roman"/>
          <w:sz w:val="16"/>
          <w:szCs w:val="16"/>
          <w:color w:val="auto"/>
        </w:rPr>
        <w:t xml:space="preserve">” means, with respect to any Collateral Loan, the ratio of total indebtedness to total capitalization of the related Obligor as calculated by the Collateral Manager in good faith using information from and calculations consistent with the relevant financial models, </w:t>
      </w:r>
      <w:r>
        <w:rPr>
          <w:rFonts w:ascii="Times New Roman" w:cs="Times New Roman" w:eastAsia="Times New Roman" w:hAnsi="Times New Roman"/>
          <w:sz w:val="16"/>
          <w:szCs w:val="16"/>
          <w:i w:val="1"/>
          <w:iCs w:val="1"/>
          <w:color w:val="auto"/>
        </w:rPr>
        <w:t>pro forma</w:t>
      </w:r>
      <w:r>
        <w:rPr>
          <w:rFonts w:ascii="Times New Roman" w:cs="Times New Roman" w:eastAsia="Times New Roman" w:hAnsi="Times New Roman"/>
          <w:sz w:val="16"/>
          <w:szCs w:val="16"/>
          <w:color w:val="auto"/>
        </w:rPr>
        <w:t xml:space="preserve"> financial statements, compliance statements and financial reporting packages provided by the relevant Obligor as per the requirements of the Related Documents.</w:t>
      </w:r>
    </w:p>
    <w:p>
      <w:pPr>
        <w:spacing w:after="0" w:line="147" w:lineRule="exact"/>
        <w:rPr>
          <w:sz w:val="20"/>
          <w:szCs w:val="20"/>
          <w:color w:val="auto"/>
        </w:rPr>
      </w:pPr>
    </w:p>
    <w:p>
      <w:pPr>
        <w:ind w:left="1360" w:right="138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“Default” </w:t>
      </w:r>
      <w:r>
        <w:rPr>
          <w:rFonts w:ascii="Times New Roman" w:cs="Times New Roman" w:eastAsia="Times New Roman" w:hAnsi="Times New Roman"/>
          <w:sz w:val="16"/>
          <w:szCs w:val="16"/>
          <w:color w:val="auto"/>
        </w:rPr>
        <w:t>means any event which, with the passage of time, the giving of notice, or both,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would constitute an Event of Default.</w:t>
      </w:r>
    </w:p>
    <w:p>
      <w:pPr>
        <w:spacing w:after="0" w:line="126" w:lineRule="exact"/>
        <w:rPr>
          <w:sz w:val="20"/>
          <w:szCs w:val="20"/>
          <w:color w:val="auto"/>
        </w:rPr>
      </w:pPr>
    </w:p>
    <w:p>
      <w:pPr>
        <w:ind w:left="1360" w:right="1360" w:firstLine="484"/>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“Default Ratio” </w:t>
      </w:r>
      <w:r>
        <w:rPr>
          <w:rFonts w:ascii="Times New Roman" w:cs="Times New Roman" w:eastAsia="Times New Roman" w:hAnsi="Times New Roman"/>
          <w:sz w:val="16"/>
          <w:szCs w:val="16"/>
          <w:color w:val="auto"/>
        </w:rPr>
        <w:t>means, on any date of determination, the annualized ratio (expressed as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percentage) equal to (a) the sum of the Defaulted Balances of all Collateral Loans that became Defaulted Collateral Loans during the previous twelve (12) calendar months,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(b) the weighted average Aggregate Principal Balance of all Collateral Loans during the previous twelve (12) calendar months.</w:t>
      </w:r>
    </w:p>
    <w:p>
      <w:pPr>
        <w:spacing w:after="0" w:line="147" w:lineRule="exact"/>
        <w:rPr>
          <w:sz w:val="20"/>
          <w:szCs w:val="20"/>
          <w:color w:val="auto"/>
        </w:rPr>
      </w:pPr>
    </w:p>
    <w:p>
      <w:pPr>
        <w:ind w:left="1360" w:right="166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“Defaulted Balance” </w:t>
      </w:r>
      <w:r>
        <w:rPr>
          <w:rFonts w:ascii="Times New Roman" w:cs="Times New Roman" w:eastAsia="Times New Roman" w:hAnsi="Times New Roman"/>
          <w:sz w:val="16"/>
          <w:szCs w:val="16"/>
          <w:color w:val="auto"/>
        </w:rPr>
        <w:t>means, with respect to any Defaulted Collateral Loan, (i)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Principal Balance of such Defaulted Collateral Loan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(ii) 1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the applicable Recovery Rate for such Defaulted Collateral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635000</wp:posOffset>
            </wp:positionV>
            <wp:extent cx="526605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7" w:name="page118"/>
    <w:bookmarkEnd w:id="117"/>
    <w:p>
      <w:pPr>
        <w:spacing w:after="0" w:line="2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 xml:space="preserve">“Defaulted Collateral Loan” </w:t>
      </w:r>
      <w:r>
        <w:rPr>
          <w:rFonts w:ascii="Times New Roman" w:cs="Times New Roman" w:eastAsia="Times New Roman" w:hAnsi="Times New Roman"/>
          <w:sz w:val="16"/>
          <w:szCs w:val="16"/>
          <w:color w:val="auto"/>
        </w:rPr>
        <w:t>means any Collateral Loan as to which at any time:</w:t>
      </w:r>
    </w:p>
    <w:p>
      <w:pPr>
        <w:spacing w:after="0" w:line="191" w:lineRule="exact"/>
        <w:rPr>
          <w:sz w:val="20"/>
          <w:szCs w:val="20"/>
          <w:color w:val="auto"/>
        </w:rPr>
      </w:pPr>
    </w:p>
    <w:p>
      <w:pPr>
        <w:ind w:left="1840" w:right="1420" w:firstLine="488"/>
        <w:spacing w:after="0" w:line="266" w:lineRule="auto"/>
        <w:tabs>
          <w:tab w:leader="none" w:pos="2544"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default as to all or any portion of one or more payments of principal, interest or commitment fees has occurred after the earlier of (i) any grace period applicable thereto and (ii) five (5) Business Days, in each case, past the applicable due date;</w:t>
      </w:r>
    </w:p>
    <w:p>
      <w:pPr>
        <w:spacing w:after="0" w:line="144" w:lineRule="exact"/>
        <w:rPr>
          <w:rFonts w:ascii="Times New Roman" w:cs="Times New Roman" w:eastAsia="Times New Roman" w:hAnsi="Times New Roman"/>
          <w:sz w:val="16"/>
          <w:szCs w:val="16"/>
          <w:color w:val="auto"/>
        </w:rPr>
      </w:pPr>
    </w:p>
    <w:p>
      <w:pPr>
        <w:ind w:left="1840" w:right="1460" w:firstLine="488"/>
        <w:spacing w:after="0" w:line="256" w:lineRule="auto"/>
        <w:tabs>
          <w:tab w:leader="none" w:pos="255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default (other than a default described in clause (a) of this definition) has occurred under the applicable Related Documents and for which the Borrower (or the agent or required lenders pursuant to the applicable Related Documents, as applicable) has elected to exercise any of its rights or remedies under the applicable Related Documents (including acceleration, foreclosing on collateral or the imposition of default pricing);</w:t>
      </w:r>
    </w:p>
    <w:p>
      <w:pPr>
        <w:spacing w:after="0" w:line="154" w:lineRule="exact"/>
        <w:rPr>
          <w:rFonts w:ascii="Times New Roman" w:cs="Times New Roman" w:eastAsia="Times New Roman" w:hAnsi="Times New Roman"/>
          <w:sz w:val="16"/>
          <w:szCs w:val="16"/>
          <w:color w:val="auto"/>
        </w:rPr>
      </w:pPr>
    </w:p>
    <w:p>
      <w:pPr>
        <w:ind w:left="1840" w:right="1620" w:firstLine="488"/>
        <w:spacing w:after="0" w:line="283" w:lineRule="auto"/>
        <w:tabs>
          <w:tab w:leader="none" w:pos="2544"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in the case of a DIP Collateral Obligation, an Insolvency Event with respect to the related Obligor has occurred;</w:t>
      </w:r>
    </w:p>
    <w:p>
      <w:pPr>
        <w:spacing w:after="0" w:line="131" w:lineRule="exact"/>
        <w:rPr>
          <w:rFonts w:ascii="Times New Roman" w:cs="Times New Roman" w:eastAsia="Times New Roman" w:hAnsi="Times New Roman"/>
          <w:sz w:val="16"/>
          <w:szCs w:val="16"/>
          <w:color w:val="auto"/>
        </w:rPr>
      </w:pPr>
    </w:p>
    <w:p>
      <w:pPr>
        <w:ind w:left="1840" w:right="1420" w:firstLine="488"/>
        <w:spacing w:after="0" w:line="283" w:lineRule="auto"/>
        <w:tabs>
          <w:tab w:leader="none" w:pos="255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portion of principal and/or interest payable thereunder has been waived or forgiven by the holders of such obligation;</w:t>
      </w:r>
    </w:p>
    <w:p>
      <w:pPr>
        <w:spacing w:after="0" w:line="131" w:lineRule="exact"/>
        <w:rPr>
          <w:rFonts w:ascii="Times New Roman" w:cs="Times New Roman" w:eastAsia="Times New Roman" w:hAnsi="Times New Roman"/>
          <w:sz w:val="16"/>
          <w:szCs w:val="16"/>
          <w:color w:val="auto"/>
        </w:rPr>
      </w:pPr>
    </w:p>
    <w:p>
      <w:pPr>
        <w:ind w:left="1840" w:right="1520" w:firstLine="488"/>
        <w:spacing w:after="0" w:line="266" w:lineRule="auto"/>
        <w:tabs>
          <w:tab w:leader="none" w:pos="2544"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Manager has reasonably determined in accordance with the Credit and Collection Policies that such obligation is not collectible or should be placed on “non-accrual” status; or</w:t>
      </w:r>
    </w:p>
    <w:p>
      <w:pPr>
        <w:spacing w:after="0" w:line="144" w:lineRule="exact"/>
        <w:rPr>
          <w:rFonts w:ascii="Times New Roman" w:cs="Times New Roman" w:eastAsia="Times New Roman" w:hAnsi="Times New Roman"/>
          <w:sz w:val="16"/>
          <w:szCs w:val="16"/>
          <w:color w:val="auto"/>
        </w:rPr>
      </w:pPr>
    </w:p>
    <w:p>
      <w:pPr>
        <w:ind w:left="2520" w:hanging="192"/>
        <w:spacing w:after="0"/>
        <w:tabs>
          <w:tab w:leader="none" w:pos="25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subject to a Material Modification;</w:t>
      </w:r>
    </w:p>
    <w:p>
      <w:pPr>
        <w:spacing w:after="0" w:line="187" w:lineRule="exact"/>
        <w:rPr>
          <w:sz w:val="20"/>
          <w:szCs w:val="20"/>
          <w:color w:val="auto"/>
        </w:rPr>
      </w:pPr>
    </w:p>
    <w:p>
      <w:pPr>
        <w:ind w:left="1360" w:right="1400"/>
        <w:spacing w:after="0" w:line="259"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any Collateral Loan that has been subject to any of the preceding conditions for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period of 180 days or less prior to acquisition by the Borrower will be classified as a Defaulted Collateral Loan unless such Collateral Loan is a DIP Collateral Obligation;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a Collateral Loan that meets the criteria for a Credit Improved Loan shall no longer be characterized as a Defaulted Collateral Loan hereunder.</w:t>
      </w:r>
    </w:p>
    <w:p>
      <w:pPr>
        <w:spacing w:after="0" w:line="147" w:lineRule="exact"/>
        <w:rPr>
          <w:sz w:val="20"/>
          <w:szCs w:val="20"/>
          <w:color w:val="auto"/>
        </w:rPr>
      </w:pPr>
    </w:p>
    <w:p>
      <w:pPr>
        <w:ind w:left="1360" w:right="1400" w:firstLine="484"/>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Defaulted Collateral Loan Balance</w:t>
      </w:r>
      <w:r>
        <w:rPr>
          <w:rFonts w:ascii="Times New Roman" w:cs="Times New Roman" w:eastAsia="Times New Roman" w:hAnsi="Times New Roman"/>
          <w:sz w:val="16"/>
          <w:szCs w:val="16"/>
          <w:color w:val="auto"/>
        </w:rPr>
        <w:t xml:space="preserve">” means, for each Defaulted Collateral Loan, at any time, the lesser of (a) the current Market Value of such Defaulted Collateral Loan and (b) the product of (i) the Recovery Rate of such Defaulted Collateral Loan and (ii) the Principal Balance of such Defaulted Collateral Loan;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Defaulted Collateral Loan Balance shall be zero (0) if such loan (x) is a Defaulted Collateral Loan pursuant to the definition thereof for six</w:t>
      </w:r>
    </w:p>
    <w:p>
      <w:pPr>
        <w:spacing w:after="0" w:line="1" w:lineRule="exact"/>
        <w:rPr>
          <w:sz w:val="20"/>
          <w:szCs w:val="20"/>
          <w:color w:val="auto"/>
        </w:rPr>
      </w:pPr>
    </w:p>
    <w:p>
      <w:pPr>
        <w:ind w:left="1580" w:hanging="220"/>
        <w:spacing w:after="0"/>
        <w:tabs>
          <w:tab w:leader="none" w:pos="1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consecutive months or (y) is a Defaulted Collateral Loan pursuant to clause (d) of the</w:t>
      </w:r>
    </w:p>
    <w:p>
      <w:pPr>
        <w:spacing w:after="0" w:line="7" w:lineRule="exact"/>
        <w:rPr>
          <w:rFonts w:ascii="Times New Roman" w:cs="Times New Roman" w:eastAsia="Times New Roman" w:hAnsi="Times New Roman"/>
          <w:sz w:val="16"/>
          <w:szCs w:val="16"/>
          <w:color w:val="auto"/>
        </w:rPr>
      </w:pPr>
    </w:p>
    <w:p>
      <w:pPr>
        <w:ind w:left="1360" w:right="1420"/>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definition thereof or pursuant to clauses (b) or (e) of the definition of Material Modification; </w:t>
      </w:r>
      <w:r>
        <w:rPr>
          <w:rFonts w:ascii="Times New Roman" w:cs="Times New Roman" w:eastAsia="Times New Roman" w:hAnsi="Times New Roman"/>
          <w:sz w:val="16"/>
          <w:szCs w:val="16"/>
          <w:i w:val="1"/>
          <w:iCs w:val="1"/>
          <w:color w:val="auto"/>
        </w:rPr>
        <w:t xml:space="preserve">provided further </w:t>
      </w:r>
      <w:r>
        <w:rPr>
          <w:rFonts w:ascii="Times New Roman" w:cs="Times New Roman" w:eastAsia="Times New Roman" w:hAnsi="Times New Roman"/>
          <w:sz w:val="16"/>
          <w:szCs w:val="16"/>
          <w:color w:val="auto"/>
        </w:rPr>
        <w:t>that a loan, debt obligation, debt security or Participation Interest that meets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criteria for a Credit Improved Loan shall no longer be characterized as a Defaulted Collateral Loan hereunder. The Market Value of any Defaulted Collateral Loan determined under clause</w:t>
      </w:r>
    </w:p>
    <w:p>
      <w:pPr>
        <w:ind w:left="1360" w:right="142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shall be subject to the Administrative Agent’s right to challenge such value in its sole discretion;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Collateral Manager shall have the right to dispute such challenge by providing the Administrative Agent with an Appraisal.</w:t>
      </w:r>
    </w:p>
    <w:p>
      <w:pPr>
        <w:spacing w:after="0" w:line="1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“Defaulting Lender” </w:t>
      </w:r>
      <w:r>
        <w:rPr>
          <w:rFonts w:ascii="Times New Roman" w:cs="Times New Roman" w:eastAsia="Times New Roman" w:hAnsi="Times New Roman"/>
          <w:sz w:val="16"/>
          <w:szCs w:val="16"/>
          <w:color w:val="auto"/>
        </w:rPr>
        <w:t>means, subject to Section 2.16(b), any Lender that (a) has failed to</w:t>
      </w:r>
    </w:p>
    <w:p>
      <w:pPr>
        <w:spacing w:after="0" w:line="28" w:lineRule="exact"/>
        <w:rPr>
          <w:sz w:val="20"/>
          <w:szCs w:val="20"/>
          <w:color w:val="auto"/>
        </w:rPr>
      </w:pPr>
    </w:p>
    <w:p>
      <w:pPr>
        <w:ind w:left="1360" w:right="1960"/>
        <w:spacing w:after="0" w:line="260" w:lineRule="auto"/>
        <w:tabs>
          <w:tab w:leader="none" w:pos="1553"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 all or any portion of its Advances within two (2) Business Days of the date such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639445</wp:posOffset>
            </wp:positionV>
            <wp:extent cx="526605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8" w:name="page119"/>
    <w:bookmarkEnd w:id="118"/>
    <w:p>
      <w:pPr>
        <w:spacing w:after="0" w:line="270" w:lineRule="exact"/>
        <w:rPr>
          <w:sz w:val="20"/>
          <w:szCs w:val="20"/>
          <w:color w:val="auto"/>
        </w:rPr>
      </w:pPr>
    </w:p>
    <w:p>
      <w:pPr>
        <w:ind w:left="1360" w:right="1360"/>
        <w:spacing w:after="0" w:line="251" w:lineRule="auto"/>
        <w:rPr>
          <w:sz w:val="20"/>
          <w:szCs w:val="20"/>
          <w:color w:val="auto"/>
        </w:rPr>
      </w:pPr>
      <w:r>
        <w:rPr>
          <w:rFonts w:ascii="Times New Roman" w:cs="Times New Roman" w:eastAsia="Times New Roman" w:hAnsi="Times New Roman"/>
          <w:sz w:val="16"/>
          <w:szCs w:val="16"/>
          <w:color w:val="auto"/>
        </w:rPr>
        <w:t>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any Swingline Lender or any other Lender any other amount required to be paid by it hereunder (including in respect of its participations in Swingline Advances) within two (2) Business Days of the date when due, (b) has notified the Borrower, the Administrative Agent or any Swingline Lender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(iii) become the subject of a Bail-in Action;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2.16(b)) upon delivery of written notice of such determination to the Borrower, each Swingline Lender and each Lender.</w:t>
      </w:r>
    </w:p>
    <w:p>
      <w:pPr>
        <w:spacing w:after="0" w:line="156" w:lineRule="exact"/>
        <w:rPr>
          <w:sz w:val="20"/>
          <w:szCs w:val="20"/>
          <w:color w:val="auto"/>
        </w:rPr>
      </w:pPr>
    </w:p>
    <w:p>
      <w:pPr>
        <w:ind w:left="1360" w:right="1440" w:firstLine="484"/>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“Delayed Drawdown Collateral Loan” </w:t>
      </w:r>
      <w:r>
        <w:rPr>
          <w:rFonts w:ascii="Times New Roman" w:cs="Times New Roman" w:eastAsia="Times New Roman" w:hAnsi="Times New Roman"/>
          <w:sz w:val="16"/>
          <w:szCs w:val="16"/>
          <w:color w:val="auto"/>
        </w:rPr>
        <w:t>means a Collateral Loan that (a) requires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Borrower to make one or more future advances to the Obligor under the Related Documents, (b) specifies a maximum amount that can be borrowed on one or more fixed borrowing dates, and</w:t>
      </w:r>
    </w:p>
    <w:p>
      <w:pPr>
        <w:ind w:left="1360" w:right="1420"/>
        <w:spacing w:after="0" w:line="193" w:lineRule="exact"/>
        <w:tabs>
          <w:tab w:leader="none" w:pos="1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permit the 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borrowing of any amount previously repaid by the Obligor thereunder;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any such Collateral Loan will be a Delayed Drawdown Collateral Loan only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extent of undrawn commitments and solely until all commitments by the Borrower to make advances on such Collateral Loan to the borrower under the Related Documents expire or are terminated or are reduced to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650240</wp:posOffset>
            </wp:positionV>
            <wp:extent cx="526605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9" w:name="page120"/>
    <w:bookmarkEnd w:id="119"/>
    <w:p>
      <w:pPr>
        <w:spacing w:after="0" w:line="26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i w:val="1"/>
          <w:iCs w:val="1"/>
          <w:color w:val="auto"/>
        </w:rPr>
        <w:t xml:space="preserve">“Deliver”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i w:val="1"/>
          <w:iCs w:val="1"/>
          <w:color w:val="auto"/>
        </w:rPr>
        <w:t xml:space="preserve"> “Delivered”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i w:val="1"/>
          <w:iCs w:val="1"/>
          <w:color w:val="auto"/>
        </w:rPr>
        <w:t xml:space="preserve"> “Delivery” </w:t>
      </w:r>
      <w:r>
        <w:rPr>
          <w:rFonts w:ascii="Times New Roman" w:cs="Times New Roman" w:eastAsia="Times New Roman" w:hAnsi="Times New Roman"/>
          <w:sz w:val="16"/>
          <w:szCs w:val="16"/>
          <w:color w:val="auto"/>
        </w:rPr>
        <w:t>means the taking of the following steps:</w:t>
      </w:r>
    </w:p>
    <w:p>
      <w:pPr>
        <w:spacing w:after="0" w:line="191" w:lineRule="exact"/>
        <w:rPr>
          <w:sz w:val="20"/>
          <w:szCs w:val="20"/>
          <w:color w:val="auto"/>
        </w:rPr>
      </w:pPr>
    </w:p>
    <w:p>
      <w:pPr>
        <w:jc w:val="both"/>
        <w:ind w:left="1840" w:right="1400" w:firstLine="44"/>
        <w:spacing w:after="0" w:line="266" w:lineRule="auto"/>
        <w:tabs>
          <w:tab w:leader="none" w:pos="21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each Certificated Security (other than a Clearing Corporation Security), Instrument and Participation Interest in which the Participation Interest or the underlying loan is represented by an Instrument:</w:t>
      </w:r>
    </w:p>
    <w:p>
      <w:pPr>
        <w:spacing w:after="0" w:line="144" w:lineRule="exact"/>
        <w:rPr>
          <w:rFonts w:ascii="Times New Roman" w:cs="Times New Roman" w:eastAsia="Times New Roman" w:hAnsi="Times New Roman"/>
          <w:sz w:val="16"/>
          <w:szCs w:val="16"/>
          <w:color w:val="auto"/>
        </w:rPr>
      </w:pPr>
    </w:p>
    <w:p>
      <w:pPr>
        <w:ind w:left="2320" w:right="1360" w:firstLine="49"/>
        <w:spacing w:after="0" w:line="261" w:lineRule="auto"/>
        <w:tabs>
          <w:tab w:leader="none" w:pos="2553"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causing the delivery of such Certificated Security or Instrument to the Custodian (which for the avoidance of doubt shall be the Document Custodian) by registering the same in the name of the Custodian or its affiliated nominee or by endorsing the same to the Custodian or in blank;</w:t>
      </w:r>
    </w:p>
    <w:p>
      <w:pPr>
        <w:spacing w:after="0" w:line="148" w:lineRule="exact"/>
        <w:rPr>
          <w:rFonts w:ascii="Times New Roman" w:cs="Times New Roman" w:eastAsia="Times New Roman" w:hAnsi="Times New Roman"/>
          <w:sz w:val="16"/>
          <w:szCs w:val="16"/>
          <w:color w:val="auto"/>
        </w:rPr>
      </w:pPr>
    </w:p>
    <w:p>
      <w:pPr>
        <w:ind w:left="2320" w:right="1500" w:firstLine="49"/>
        <w:spacing w:after="0" w:line="266" w:lineRule="auto"/>
        <w:tabs>
          <w:tab w:leader="none" w:pos="2598"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causing the Custodian to indicate continuously on its books and records that such Certificated Security or Instrument is credited to the applicable Covered Account; and</w:t>
      </w:r>
    </w:p>
    <w:p>
      <w:pPr>
        <w:spacing w:after="0" w:line="144" w:lineRule="exact"/>
        <w:rPr>
          <w:rFonts w:ascii="Times New Roman" w:cs="Times New Roman" w:eastAsia="Times New Roman" w:hAnsi="Times New Roman"/>
          <w:sz w:val="16"/>
          <w:szCs w:val="16"/>
          <w:color w:val="auto"/>
        </w:rPr>
      </w:pPr>
    </w:p>
    <w:p>
      <w:pPr>
        <w:ind w:left="2320" w:right="1380" w:firstLine="49"/>
        <w:spacing w:after="0" w:line="283" w:lineRule="auto"/>
        <w:tabs>
          <w:tab w:leader="none" w:pos="2643"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causing the Custodian to maintain continuous possession of such Certificated Security or Instrument;</w:t>
      </w:r>
    </w:p>
    <w:p>
      <w:pPr>
        <w:spacing w:after="0" w:line="131" w:lineRule="exact"/>
        <w:rPr>
          <w:rFonts w:ascii="Times New Roman" w:cs="Times New Roman" w:eastAsia="Times New Roman" w:hAnsi="Times New Roman"/>
          <w:sz w:val="16"/>
          <w:szCs w:val="16"/>
          <w:color w:val="auto"/>
        </w:rPr>
      </w:pPr>
    </w:p>
    <w:p>
      <w:pPr>
        <w:ind w:left="1840" w:right="1900" w:firstLine="44"/>
        <w:spacing w:after="0" w:line="283" w:lineRule="auto"/>
        <w:tabs>
          <w:tab w:leader="none" w:pos="2109"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each Uncertificated Security (other than a Clearing Corporation Security), unless covered by clause (e) below:</w:t>
      </w:r>
    </w:p>
    <w:p>
      <w:pPr>
        <w:spacing w:after="0" w:line="131" w:lineRule="exact"/>
        <w:rPr>
          <w:rFonts w:ascii="Times New Roman" w:cs="Times New Roman" w:eastAsia="Times New Roman" w:hAnsi="Times New Roman"/>
          <w:sz w:val="16"/>
          <w:szCs w:val="16"/>
          <w:color w:val="auto"/>
        </w:rPr>
      </w:pPr>
    </w:p>
    <w:p>
      <w:pPr>
        <w:ind w:left="2320" w:right="1740" w:firstLine="49"/>
        <w:spacing w:after="0" w:line="283" w:lineRule="auto"/>
        <w:tabs>
          <w:tab w:leader="none" w:pos="2553"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causing such Uncertificated Security to be continuously registered on the books of the issuer thereof to the Custodian; and</w:t>
      </w:r>
    </w:p>
    <w:p>
      <w:pPr>
        <w:spacing w:after="0" w:line="131" w:lineRule="exact"/>
        <w:rPr>
          <w:rFonts w:ascii="Times New Roman" w:cs="Times New Roman" w:eastAsia="Times New Roman" w:hAnsi="Times New Roman"/>
          <w:sz w:val="16"/>
          <w:szCs w:val="16"/>
          <w:color w:val="auto"/>
        </w:rPr>
      </w:pPr>
    </w:p>
    <w:p>
      <w:pPr>
        <w:ind w:left="2320" w:right="1460" w:firstLine="49"/>
        <w:spacing w:after="0" w:line="283" w:lineRule="auto"/>
        <w:tabs>
          <w:tab w:leader="none" w:pos="2638"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causing the Custodian to indicate continuously on its books and records that such Uncertificated Security is credited to the applicable Covered Account;</w:t>
      </w:r>
    </w:p>
    <w:p>
      <w:pPr>
        <w:spacing w:after="0" w:line="131" w:lineRule="exact"/>
        <w:rPr>
          <w:rFonts w:ascii="Times New Roman" w:cs="Times New Roman" w:eastAsia="Times New Roman" w:hAnsi="Times New Roman"/>
          <w:sz w:val="16"/>
          <w:szCs w:val="16"/>
          <w:color w:val="auto"/>
        </w:rPr>
      </w:pPr>
    </w:p>
    <w:p>
      <w:pPr>
        <w:ind w:left="2100" w:hanging="216"/>
        <w:spacing w:after="0"/>
        <w:tabs>
          <w:tab w:leader="none" w:pos="21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each Clearing Corporation Security:</w:t>
      </w:r>
    </w:p>
    <w:p>
      <w:pPr>
        <w:spacing w:after="0" w:line="189" w:lineRule="exact"/>
        <w:rPr>
          <w:rFonts w:ascii="Times New Roman" w:cs="Times New Roman" w:eastAsia="Times New Roman" w:hAnsi="Times New Roman"/>
          <w:sz w:val="16"/>
          <w:szCs w:val="16"/>
          <w:color w:val="auto"/>
        </w:rPr>
      </w:pPr>
    </w:p>
    <w:p>
      <w:pPr>
        <w:ind w:left="2320" w:right="1420" w:firstLine="49"/>
        <w:spacing w:after="0" w:line="283" w:lineRule="auto"/>
        <w:tabs>
          <w:tab w:leader="none" w:pos="2553"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causing the relevant Clearing Corporation to credit such Clearing Corporation Security to the securities account of the Custodian, and</w:t>
      </w:r>
    </w:p>
    <w:p>
      <w:pPr>
        <w:spacing w:after="0" w:line="131" w:lineRule="exact"/>
        <w:rPr>
          <w:rFonts w:ascii="Times New Roman" w:cs="Times New Roman" w:eastAsia="Times New Roman" w:hAnsi="Times New Roman"/>
          <w:sz w:val="16"/>
          <w:szCs w:val="16"/>
          <w:color w:val="auto"/>
        </w:rPr>
      </w:pPr>
    </w:p>
    <w:p>
      <w:pPr>
        <w:ind w:left="2320" w:right="1360" w:firstLine="49"/>
        <w:spacing w:after="0" w:line="283" w:lineRule="auto"/>
        <w:tabs>
          <w:tab w:leader="none" w:pos="2638"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causing the Custodian to indicate continuously on its books and records that such Clearing Corporation Security is credited to the applicable Covered Account;</w:t>
      </w:r>
    </w:p>
    <w:p>
      <w:pPr>
        <w:spacing w:after="0" w:line="131" w:lineRule="exact"/>
        <w:rPr>
          <w:rFonts w:ascii="Times New Roman" w:cs="Times New Roman" w:eastAsia="Times New Roman" w:hAnsi="Times New Roman"/>
          <w:sz w:val="16"/>
          <w:szCs w:val="16"/>
          <w:color w:val="auto"/>
        </w:rPr>
      </w:pPr>
    </w:p>
    <w:p>
      <w:pPr>
        <w:ind w:left="1840" w:right="1460" w:firstLine="44"/>
        <w:spacing w:after="0" w:line="198" w:lineRule="exact"/>
        <w:tabs>
          <w:tab w:leader="none" w:pos="2149"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each security issued or guaranteed by the United States of America or agency or instrumentality thereof and that is maintained in book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entry records of a Federal Reserve Bank (</w:t>
      </w:r>
      <w:r>
        <w:rPr>
          <w:rFonts w:ascii="Times New Roman" w:cs="Times New Roman" w:eastAsia="Times New Roman" w:hAnsi="Times New Roman"/>
          <w:sz w:val="16"/>
          <w:szCs w:val="16"/>
          <w:i w:val="1"/>
          <w:iCs w:val="1"/>
          <w:color w:val="auto"/>
        </w:rPr>
        <w:t>“FRB”</w:t>
      </w:r>
      <w:r>
        <w:rPr>
          <w:rFonts w:ascii="Times New Roman" w:cs="Times New Roman" w:eastAsia="Times New Roman" w:hAnsi="Times New Roman"/>
          <w:sz w:val="16"/>
          <w:szCs w:val="16"/>
          <w:color w:val="auto"/>
        </w:rPr>
        <w:t xml:space="preserve">) (each such security, a </w:t>
      </w:r>
      <w:r>
        <w:rPr>
          <w:rFonts w:ascii="Times New Roman" w:cs="Times New Roman" w:eastAsia="Times New Roman" w:hAnsi="Times New Roman"/>
          <w:sz w:val="16"/>
          <w:szCs w:val="16"/>
          <w:i w:val="1"/>
          <w:iCs w:val="1"/>
          <w:color w:val="auto"/>
        </w:rPr>
        <w:t>“Government Security”</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ind w:left="2320" w:right="1540" w:firstLine="49"/>
        <w:spacing w:after="0" w:line="266" w:lineRule="auto"/>
        <w:tabs>
          <w:tab w:leader="none" w:pos="2593"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causing the creation of a Security Entitlement to such Government Security by the credit of such Government Security to the securities account of the Custodian at such FRB,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636905</wp:posOffset>
            </wp:positionV>
            <wp:extent cx="526605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0" w:name="page121"/>
    <w:bookmarkEnd w:id="120"/>
    <w:p>
      <w:pPr>
        <w:spacing w:after="0" w:line="270" w:lineRule="exact"/>
        <w:rPr>
          <w:sz w:val="20"/>
          <w:szCs w:val="20"/>
          <w:color w:val="auto"/>
        </w:rPr>
      </w:pPr>
    </w:p>
    <w:p>
      <w:pPr>
        <w:ind w:left="2320" w:right="1460" w:firstLine="49"/>
        <w:spacing w:after="0" w:line="283" w:lineRule="auto"/>
        <w:tabs>
          <w:tab w:leader="none" w:pos="2638"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causing the Custodian to indicate continuously on its books and records that such Government Security is credited to the applicable Covered Account;</w:t>
      </w:r>
    </w:p>
    <w:p>
      <w:pPr>
        <w:spacing w:after="0" w:line="131" w:lineRule="exact"/>
        <w:rPr>
          <w:rFonts w:ascii="Times New Roman" w:cs="Times New Roman" w:eastAsia="Times New Roman" w:hAnsi="Times New Roman"/>
          <w:sz w:val="16"/>
          <w:szCs w:val="16"/>
          <w:color w:val="auto"/>
        </w:rPr>
      </w:pPr>
    </w:p>
    <w:p>
      <w:pPr>
        <w:ind w:left="1840" w:right="1760" w:firstLine="44"/>
        <w:spacing w:after="0" w:line="283" w:lineRule="auto"/>
        <w:tabs>
          <w:tab w:leader="none" w:pos="21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each Security Entitlement not governed by clauses (a) through (d) above:</w:t>
      </w:r>
    </w:p>
    <w:p>
      <w:pPr>
        <w:spacing w:after="0" w:line="131" w:lineRule="exact"/>
        <w:rPr>
          <w:rFonts w:ascii="Times New Roman" w:cs="Times New Roman" w:eastAsia="Times New Roman" w:hAnsi="Times New Roman"/>
          <w:sz w:val="16"/>
          <w:szCs w:val="16"/>
          <w:color w:val="auto"/>
        </w:rPr>
      </w:pPr>
    </w:p>
    <w:p>
      <w:pPr>
        <w:ind w:left="2320" w:right="1420" w:firstLine="49"/>
        <w:spacing w:after="0" w:line="266" w:lineRule="auto"/>
        <w:tabs>
          <w:tab w:leader="none" w:pos="2553"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causing a Securities Intermediary to receive a Financial Asset from a Securities Intermediary or to acquire the underlying Financial Asset, and in either case, accepting it for credit to the Custodian’s securities account,</w:t>
      </w:r>
    </w:p>
    <w:p>
      <w:pPr>
        <w:spacing w:after="0" w:line="145" w:lineRule="exact"/>
        <w:rPr>
          <w:sz w:val="20"/>
          <w:szCs w:val="20"/>
          <w:color w:val="auto"/>
        </w:rPr>
      </w:pPr>
    </w:p>
    <w:p>
      <w:pPr>
        <w:jc w:val="both"/>
        <w:ind w:left="2320" w:right="1400" w:firstLine="49"/>
        <w:spacing w:after="0" w:line="261" w:lineRule="auto"/>
        <w:tabs>
          <w:tab w:leader="none" w:pos="2598"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causing such Securities Intermediary to make entries on its books and records continuously identifying such Security Entitlement as belonging to the Custodian and continuously indicating on its books and records that such Security Entitlement is credited to the Custodian’s securities account, and</w:t>
      </w:r>
    </w:p>
    <w:p>
      <w:pPr>
        <w:spacing w:after="0" w:line="148" w:lineRule="exact"/>
        <w:rPr>
          <w:rFonts w:ascii="Times New Roman" w:cs="Times New Roman" w:eastAsia="Times New Roman" w:hAnsi="Times New Roman"/>
          <w:sz w:val="16"/>
          <w:szCs w:val="16"/>
          <w:color w:val="auto"/>
        </w:rPr>
      </w:pPr>
    </w:p>
    <w:p>
      <w:pPr>
        <w:ind w:left="2320" w:right="1380" w:firstLine="49"/>
        <w:spacing w:after="0" w:line="266" w:lineRule="auto"/>
        <w:tabs>
          <w:tab w:leader="none" w:pos="2643"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causing the Custodian to indicate continuously on its books and records that such Security Entitlement (or all rights and property of the Custodian representing such Security Entitlement) is credited to the applicable Covered Account;</w:t>
      </w:r>
    </w:p>
    <w:p>
      <w:pPr>
        <w:spacing w:after="0" w:line="144" w:lineRule="exact"/>
        <w:rPr>
          <w:rFonts w:ascii="Times New Roman" w:cs="Times New Roman" w:eastAsia="Times New Roman" w:hAnsi="Times New Roman"/>
          <w:sz w:val="16"/>
          <w:szCs w:val="16"/>
          <w:color w:val="auto"/>
        </w:rPr>
      </w:pPr>
    </w:p>
    <w:p>
      <w:pPr>
        <w:ind w:left="2080" w:hanging="196"/>
        <w:spacing w:after="0"/>
        <w:tabs>
          <w:tab w:leader="none" w:pos="20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Cash or Money:</w:t>
      </w:r>
    </w:p>
    <w:p>
      <w:pPr>
        <w:spacing w:after="0" w:line="189" w:lineRule="exact"/>
        <w:rPr>
          <w:rFonts w:ascii="Times New Roman" w:cs="Times New Roman" w:eastAsia="Times New Roman" w:hAnsi="Times New Roman"/>
          <w:sz w:val="16"/>
          <w:szCs w:val="16"/>
          <w:color w:val="auto"/>
        </w:rPr>
      </w:pPr>
    </w:p>
    <w:p>
      <w:pPr>
        <w:ind w:left="2560" w:hanging="191"/>
        <w:spacing w:after="0"/>
        <w:tabs>
          <w:tab w:leader="none" w:pos="256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causing the delivery of such Cash or Money to the Custodian,</w:t>
      </w:r>
    </w:p>
    <w:p>
      <w:pPr>
        <w:spacing w:after="0" w:line="189" w:lineRule="exact"/>
        <w:rPr>
          <w:rFonts w:ascii="Times New Roman" w:cs="Times New Roman" w:eastAsia="Times New Roman" w:hAnsi="Times New Roman"/>
          <w:sz w:val="16"/>
          <w:szCs w:val="16"/>
          <w:color w:val="auto"/>
        </w:rPr>
      </w:pPr>
    </w:p>
    <w:p>
      <w:pPr>
        <w:ind w:left="2320" w:right="1720" w:firstLine="49"/>
        <w:spacing w:after="0" w:line="204" w:lineRule="exact"/>
        <w:tabs>
          <w:tab w:leader="none" w:pos="2598"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causing the Custodian to credit such Cash or Money to a deposit account maintained as a sub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account of the applicable Covered Account, and</w:t>
      </w:r>
    </w:p>
    <w:p>
      <w:pPr>
        <w:spacing w:after="0" w:line="158" w:lineRule="exact"/>
        <w:rPr>
          <w:rFonts w:ascii="Times New Roman" w:cs="Times New Roman" w:eastAsia="Times New Roman" w:hAnsi="Times New Roman"/>
          <w:sz w:val="16"/>
          <w:szCs w:val="16"/>
          <w:color w:val="auto"/>
        </w:rPr>
      </w:pPr>
    </w:p>
    <w:p>
      <w:pPr>
        <w:ind w:left="2320" w:right="1420" w:firstLine="49"/>
        <w:spacing w:after="0" w:line="283" w:lineRule="auto"/>
        <w:tabs>
          <w:tab w:leader="none" w:pos="2683"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causing the Custodian to indicate continuously on its books and records that such Cash or Money is credited to the applicable Covered Account; and</w:t>
      </w:r>
    </w:p>
    <w:p>
      <w:pPr>
        <w:spacing w:after="0" w:line="131" w:lineRule="exact"/>
        <w:rPr>
          <w:rFonts w:ascii="Times New Roman" w:cs="Times New Roman" w:eastAsia="Times New Roman" w:hAnsi="Times New Roman"/>
          <w:sz w:val="16"/>
          <w:szCs w:val="16"/>
          <w:color w:val="auto"/>
        </w:rPr>
      </w:pPr>
    </w:p>
    <w:p>
      <w:pPr>
        <w:ind w:left="1840" w:right="1400" w:firstLine="44"/>
        <w:spacing w:after="0" w:line="261" w:lineRule="auto"/>
        <w:tabs>
          <w:tab w:leader="none" w:pos="2149"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each account or general intangible (including any Participation Interest in which none of the Participation Interest or the underlying loan, is represented by an Instrument), causing the filing of a Financing Statement in the office of the Secretary of State of the State of Delaware.</w:t>
      </w:r>
    </w:p>
    <w:p>
      <w:pPr>
        <w:spacing w:after="0" w:line="148" w:lineRule="exact"/>
        <w:rPr>
          <w:sz w:val="20"/>
          <w:szCs w:val="20"/>
          <w:color w:val="auto"/>
        </w:rPr>
      </w:pPr>
    </w:p>
    <w:p>
      <w:pPr>
        <w:ind w:left="1360" w:right="1580" w:firstLine="484"/>
        <w:spacing w:after="0" w:line="198" w:lineRule="exact"/>
        <w:rPr>
          <w:sz w:val="20"/>
          <w:szCs w:val="20"/>
          <w:color w:val="auto"/>
        </w:rPr>
      </w:pPr>
      <w:r>
        <w:rPr>
          <w:rFonts w:ascii="Times New Roman" w:cs="Times New Roman" w:eastAsia="Times New Roman" w:hAnsi="Times New Roman"/>
          <w:sz w:val="16"/>
          <w:szCs w:val="16"/>
          <w:color w:val="auto"/>
        </w:rPr>
        <w:t>In addition, the Collateral Manager on behalf of the Borrower will obtain any and all consents required by the Related Documents relating to any Instruments, accounts or general intangibles for the transfer of ownership and/or pledge hereunder (except to the extent that the requirement for such consent is rendered ineffective under Section 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406 of the UCC).</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“Determination Date” </w:t>
      </w:r>
      <w:r>
        <w:rPr>
          <w:rFonts w:ascii="Times New Roman" w:cs="Times New Roman" w:eastAsia="Times New Roman" w:hAnsi="Times New Roman"/>
          <w:sz w:val="16"/>
          <w:szCs w:val="16"/>
          <w:color w:val="auto"/>
        </w:rPr>
        <w:t>means the last day of each Collection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666115</wp:posOffset>
            </wp:positionV>
            <wp:extent cx="526605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1" w:name="page122"/>
    <w:bookmarkEnd w:id="121"/>
    <w:p>
      <w:pPr>
        <w:spacing w:after="0" w:line="26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“DIP Collateral Obligation” </w:t>
      </w:r>
      <w:r>
        <w:rPr>
          <w:rFonts w:ascii="Times New Roman" w:cs="Times New Roman" w:eastAsia="Times New Roman" w:hAnsi="Times New Roman"/>
          <w:sz w:val="16"/>
          <w:szCs w:val="16"/>
          <w:color w:val="auto"/>
        </w:rPr>
        <w:t>means an obligation:</w:t>
      </w:r>
    </w:p>
    <w:p>
      <w:pPr>
        <w:spacing w:after="0" w:line="191" w:lineRule="exact"/>
        <w:rPr>
          <w:sz w:val="20"/>
          <w:szCs w:val="20"/>
          <w:color w:val="auto"/>
        </w:rPr>
      </w:pPr>
    </w:p>
    <w:p>
      <w:pPr>
        <w:ind w:left="1840" w:right="1800" w:firstLine="44"/>
        <w:spacing w:after="0" w:line="283" w:lineRule="auto"/>
        <w:tabs>
          <w:tab w:leader="none" w:pos="21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obtained or incurred after the entry of an order of relief in a case pending under Chapter 11 of the Bankruptcy Code,</w:t>
      </w:r>
    </w:p>
    <w:p>
      <w:pPr>
        <w:spacing w:after="0" w:line="131" w:lineRule="exact"/>
        <w:rPr>
          <w:rFonts w:ascii="Times New Roman" w:cs="Times New Roman" w:eastAsia="Times New Roman" w:hAnsi="Times New Roman"/>
          <w:sz w:val="16"/>
          <w:szCs w:val="16"/>
          <w:color w:val="auto"/>
        </w:rPr>
      </w:pPr>
    </w:p>
    <w:p>
      <w:pPr>
        <w:ind w:left="1840" w:right="1520" w:firstLine="44"/>
        <w:spacing w:after="0" w:line="266" w:lineRule="auto"/>
        <w:tabs>
          <w:tab w:leader="none" w:pos="210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debtor in possession as described in Chapter 11 of the Bankruptcy Code or a trustee (if appointment of such trustee has been ordered pursuant to Section 1104 of the Bankruptcy Code),</w:t>
      </w:r>
    </w:p>
    <w:p>
      <w:pPr>
        <w:spacing w:after="0" w:line="144" w:lineRule="exact"/>
        <w:rPr>
          <w:rFonts w:ascii="Times New Roman" w:cs="Times New Roman" w:eastAsia="Times New Roman" w:hAnsi="Times New Roman"/>
          <w:sz w:val="16"/>
          <w:szCs w:val="16"/>
          <w:color w:val="auto"/>
        </w:rPr>
      </w:pPr>
    </w:p>
    <w:p>
      <w:pPr>
        <w:ind w:left="1840" w:right="1500" w:firstLine="44"/>
        <w:spacing w:after="0" w:line="283" w:lineRule="auto"/>
        <w:tabs>
          <w:tab w:leader="none" w:pos="21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which the related Obligor is required to pay interest and/or principal on a current basis, and</w:t>
      </w:r>
    </w:p>
    <w:p>
      <w:pPr>
        <w:spacing w:after="0" w:line="131" w:lineRule="exact"/>
        <w:rPr>
          <w:rFonts w:ascii="Times New Roman" w:cs="Times New Roman" w:eastAsia="Times New Roman" w:hAnsi="Times New Roman"/>
          <w:sz w:val="16"/>
          <w:szCs w:val="16"/>
          <w:color w:val="auto"/>
        </w:rPr>
      </w:pPr>
    </w:p>
    <w:p>
      <w:pPr>
        <w:ind w:left="1840" w:right="1420" w:firstLine="44"/>
        <w:spacing w:after="0" w:line="255" w:lineRule="auto"/>
        <w:tabs>
          <w:tab w:leader="none" w:pos="210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approved by a Final Order or Interim Order of the bankruptcy court so long as such obligation is (A) fully secured by a Lien on the debtor’s otherwise unencumbered assets pursuant to Section 364(c)(2) of the Bankruptcy Code, (B) fully secured by a Lien of equal or senior priority on property of the debtor estate that is otherwise subject to a Lien pursuant to Section 364(d) of the Bankruptcy Code or (C) is secured by a junior Lien on the debtor’s encumbered assets (so long as such loan is fully secured based on the most recent current valuation or appraisal report, if any, of the debtor).</w:t>
      </w:r>
    </w:p>
    <w:p>
      <w:pPr>
        <w:spacing w:after="0" w:line="153" w:lineRule="exact"/>
        <w:rPr>
          <w:sz w:val="20"/>
          <w:szCs w:val="20"/>
          <w:color w:val="auto"/>
        </w:rPr>
      </w:pPr>
    </w:p>
    <w:p>
      <w:pPr>
        <w:ind w:left="1360" w:right="158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Discount Collateral Loan</w:t>
      </w:r>
      <w:r>
        <w:rPr>
          <w:rFonts w:ascii="Times New Roman" w:cs="Times New Roman" w:eastAsia="Times New Roman" w:hAnsi="Times New Roman"/>
          <w:sz w:val="16"/>
          <w:szCs w:val="16"/>
          <w:color w:val="auto"/>
        </w:rPr>
        <w:t>” means any Collateral Loan having a purchase price of less than 95.0% of par.</w:t>
      </w:r>
    </w:p>
    <w:p>
      <w:pPr>
        <w:spacing w:after="0" w:line="126" w:lineRule="exact"/>
        <w:rPr>
          <w:sz w:val="20"/>
          <w:szCs w:val="20"/>
          <w:color w:val="auto"/>
        </w:rPr>
      </w:pPr>
    </w:p>
    <w:p>
      <w:pPr>
        <w:ind w:left="1360" w:right="142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Document Custodian</w:t>
      </w:r>
      <w:r>
        <w:rPr>
          <w:rFonts w:ascii="Times New Roman" w:cs="Times New Roman" w:eastAsia="Times New Roman" w:hAnsi="Times New Roman"/>
          <w:sz w:val="16"/>
          <w:szCs w:val="16"/>
          <w:color w:val="auto"/>
        </w:rPr>
        <w:t>” means the Custodian when acting in the role of a custodian of the Related Documents hereunder.</w:t>
      </w:r>
    </w:p>
    <w:p>
      <w:pPr>
        <w:spacing w:after="0" w:line="126" w:lineRule="exact"/>
        <w:rPr>
          <w:sz w:val="20"/>
          <w:szCs w:val="20"/>
          <w:color w:val="auto"/>
        </w:rPr>
      </w:pPr>
    </w:p>
    <w:p>
      <w:pPr>
        <w:ind w:left="1360" w:right="146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Document Custodian Facilities</w:t>
      </w:r>
      <w:r>
        <w:rPr>
          <w:rFonts w:ascii="Times New Roman" w:cs="Times New Roman" w:eastAsia="Times New Roman" w:hAnsi="Times New Roman"/>
          <w:sz w:val="16"/>
          <w:szCs w:val="16"/>
          <w:color w:val="auto"/>
        </w:rPr>
        <w:t>” means the office of the Document Custodian specified on Schedule 6.</w:t>
      </w:r>
    </w:p>
    <w:p>
      <w:pPr>
        <w:spacing w:after="0" w:line="126" w:lineRule="exact"/>
        <w:rPr>
          <w:sz w:val="20"/>
          <w:szCs w:val="20"/>
          <w:color w:val="auto"/>
        </w:rPr>
      </w:pPr>
    </w:p>
    <w:p>
      <w:pPr>
        <w:ind w:left="1360" w:right="1440" w:firstLine="484"/>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“Dollar Equivalent” </w:t>
      </w:r>
      <w:r>
        <w:rPr>
          <w:rFonts w:ascii="Times New Roman" w:cs="Times New Roman" w:eastAsia="Times New Roman" w:hAnsi="Times New Roman"/>
          <w:sz w:val="16"/>
          <w:szCs w:val="16"/>
          <w:color w:val="auto"/>
        </w:rPr>
        <w:t>means, on any date of determination, with respect to an amount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denominated in any Agreed Foreign Currency, the amount of Dollars that would be required to purchase such amount of such Agreed Foreign Currency based upon the spot selling rate at which such Agreed Foreign Currency may be exchanged for Dollars on the FXC GO screen of the Bloomberg Financial Markets System at approximately 4:00 p.m. (New York Time) on such date. None of the Administrative Agent, the Collateral Administrator or the Collateral Agent, shall have any responsibility for any calculation of a Dollar Equivalent made by the Collateral Manager. For avoidance of doubt, neither the Collateral Administrator nor the Collateral Agent shall have any responsibility to calculate any Dollar Equivalent pursuant to this Agreement.</w:t>
      </w:r>
    </w:p>
    <w:p>
      <w:pPr>
        <w:spacing w:after="0" w:line="15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“Dollars”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 </w:t>
      </w:r>
      <w:r>
        <w:rPr>
          <w:rFonts w:ascii="Times New Roman" w:cs="Times New Roman" w:eastAsia="Times New Roman" w:hAnsi="Times New Roman"/>
          <w:sz w:val="16"/>
          <w:szCs w:val="16"/>
          <w:color w:val="auto"/>
        </w:rPr>
        <w:t>mean lawful money of the United States of America.</w:t>
      </w:r>
    </w:p>
    <w:p>
      <w:pPr>
        <w:spacing w:after="0" w:line="189" w:lineRule="exact"/>
        <w:rPr>
          <w:sz w:val="20"/>
          <w:szCs w:val="20"/>
          <w:color w:val="auto"/>
        </w:rPr>
      </w:pPr>
    </w:p>
    <w:p>
      <w:pPr>
        <w:ind w:left="1360" w:right="18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“Due Date” </w:t>
      </w:r>
      <w:r>
        <w:rPr>
          <w:rFonts w:ascii="Times New Roman" w:cs="Times New Roman" w:eastAsia="Times New Roman" w:hAnsi="Times New Roman"/>
          <w:sz w:val="16"/>
          <w:szCs w:val="16"/>
          <w:color w:val="auto"/>
        </w:rPr>
        <w:t>means each date on which any payment is due on a Collateral Loan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accordance with its terms.</w:t>
      </w:r>
    </w:p>
    <w:p>
      <w:pPr>
        <w:spacing w:after="0" w:line="126" w:lineRule="exact"/>
        <w:rPr>
          <w:sz w:val="20"/>
          <w:szCs w:val="20"/>
          <w:color w:val="auto"/>
        </w:rPr>
      </w:pPr>
    </w:p>
    <w:p>
      <w:pPr>
        <w:ind w:left="1360" w:right="14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“EBITDA” </w:t>
      </w:r>
      <w:r>
        <w:rPr>
          <w:rFonts w:ascii="Times New Roman" w:cs="Times New Roman" w:eastAsia="Times New Roman" w:hAnsi="Times New Roman"/>
          <w:sz w:val="16"/>
          <w:szCs w:val="16"/>
          <w:color w:val="auto"/>
        </w:rPr>
        <w:t>means, with respect to any Relevant Test Period and any Collateral Loan,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meaning of the term “Adjusted EBITDA”, the term “EBITDA” or any comparable definition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2" w:name="page123"/>
    <w:bookmarkEnd w:id="122"/>
    <w:p>
      <w:pPr>
        <w:spacing w:after="0" w:line="270" w:lineRule="exact"/>
        <w:rPr>
          <w:sz w:val="20"/>
          <w:szCs w:val="20"/>
          <w:color w:val="auto"/>
        </w:rPr>
      </w:pPr>
    </w:p>
    <w:p>
      <w:pPr>
        <w:ind w:left="1360" w:right="1400"/>
        <w:spacing w:after="0" w:line="252" w:lineRule="auto"/>
        <w:rPr>
          <w:sz w:val="20"/>
          <w:szCs w:val="20"/>
          <w:color w:val="auto"/>
        </w:rPr>
      </w:pPr>
      <w:r>
        <w:rPr>
          <w:rFonts w:ascii="Times New Roman" w:cs="Times New Roman" w:eastAsia="Times New Roman" w:hAnsi="Times New Roman"/>
          <w:sz w:val="16"/>
          <w:szCs w:val="16"/>
          <w:color w:val="auto"/>
        </w:rPr>
        <w:t xml:space="preserve">the Related Documents for such period and Collateral Loan (or, in the case of a Collateral Loan for which the Related Documents have not been executed, as set forth in the relevant marketing materials or financial model in respect of such Collateral Loan) as determined in the good faith discretion of the Collateral Manager, and, in any case that the term “Adjusted EBITDA”, the term “EBITDA” or such comparable definition is not defined in such Related Documents, an amount, for the principal Obligor thereunder and any of its parents or subsidiaries that are obligated as guarantor pursuant to the Related Documents for such Collateral Loan (determined on a consolidated basis without duplication in accordance with GAAP (and also on a </w:t>
      </w:r>
      <w:r>
        <w:rPr>
          <w:rFonts w:ascii="Times New Roman" w:cs="Times New Roman" w:eastAsia="Times New Roman" w:hAnsi="Times New Roman"/>
          <w:sz w:val="16"/>
          <w:szCs w:val="16"/>
          <w:i w:val="1"/>
          <w:iCs w:val="1"/>
          <w:color w:val="auto"/>
        </w:rPr>
        <w:t>pro forma</w:t>
      </w:r>
      <w:r>
        <w:rPr>
          <w:rFonts w:ascii="Times New Roman" w:cs="Times New Roman" w:eastAsia="Times New Roman" w:hAnsi="Times New Roman"/>
          <w:sz w:val="16"/>
          <w:szCs w:val="16"/>
          <w:color w:val="auto"/>
        </w:rPr>
        <w:t xml:space="preserve"> basis as determined in good faith by the Collateral Manager in case of any acquisitions)) equal to earnings from continuing operations for such period plus interest expense, income taxes, unallocated depreciation and amortization for such period (to the extent deducted in determining earnings from continuing operations for such period), amortization of intangibles (including goodwill, financing fees and other capitalized costs), other non-cash charges and organization costs, extraordinary, one-time and/or non-recurring losses or charges, and any other item the Collateral Manager and the Administrative Agent deem to be appropriate.</w:t>
      </w:r>
    </w:p>
    <w:p>
      <w:pPr>
        <w:spacing w:after="0" w:line="157" w:lineRule="exact"/>
        <w:rPr>
          <w:sz w:val="20"/>
          <w:szCs w:val="20"/>
          <w:color w:val="auto"/>
        </w:rPr>
      </w:pPr>
    </w:p>
    <w:p>
      <w:pPr>
        <w:ind w:left="1360" w:right="1560" w:firstLine="48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EEA Financial Institution</w:t>
      </w:r>
      <w:r>
        <w:rPr>
          <w:rFonts w:ascii="Times New Roman" w:cs="Times New Roman" w:eastAsia="Times New Roman" w:hAnsi="Times New Roman"/>
          <w:sz w:val="16"/>
          <w:szCs w:val="16"/>
          <w:color w:val="auto"/>
        </w:rPr>
        <w:t xml:space="preserve">” means (a) any credit institution or investment firm established in any EEA Member Country </w:t>
      </w:r>
      <w:r>
        <w:rPr>
          <w:rFonts w:ascii="Times New Roman" w:cs="Times New Roman" w:eastAsia="Times New Roman" w:hAnsi="Times New Roman"/>
          <w:sz w:val="16"/>
          <w:szCs w:val="16"/>
          <w:color w:val="FF0000"/>
          <w:strike w:val="1"/>
        </w:rPr>
        <w:t>which</w:t>
      </w:r>
      <w:r>
        <w:rPr>
          <w:rFonts w:ascii="Times New Roman" w:cs="Times New Roman" w:eastAsia="Times New Roman" w:hAnsi="Times New Roman"/>
          <w:sz w:val="16"/>
          <w:szCs w:val="16"/>
          <w:color w:val="0000FF"/>
        </w:rPr>
        <w:t>that</w:t>
      </w:r>
      <w:r>
        <w:rPr>
          <w:rFonts w:ascii="Times New Roman" w:cs="Times New Roman" w:eastAsia="Times New Roman" w:hAnsi="Times New Roman"/>
          <w:sz w:val="16"/>
          <w:szCs w:val="16"/>
          <w:color w:val="auto"/>
        </w:rPr>
        <w:t xml:space="preserve"> is subject to the supervision of an EEA Resolution Authority, (b) any entity established in an EEA Member Country </w:t>
      </w:r>
      <w:r>
        <w:rPr>
          <w:rFonts w:ascii="Times New Roman" w:cs="Times New Roman" w:eastAsia="Times New Roman" w:hAnsi="Times New Roman"/>
          <w:sz w:val="16"/>
          <w:szCs w:val="16"/>
          <w:color w:val="FF0000"/>
          <w:strike w:val="1"/>
        </w:rPr>
        <w:t>which</w:t>
      </w:r>
      <w:r>
        <w:rPr>
          <w:rFonts w:ascii="Times New Roman" w:cs="Times New Roman" w:eastAsia="Times New Roman" w:hAnsi="Times New Roman"/>
          <w:sz w:val="16"/>
          <w:szCs w:val="16"/>
          <w:color w:val="0000FF"/>
        </w:rPr>
        <w:t>that</w:t>
      </w:r>
      <w:r>
        <w:rPr>
          <w:rFonts w:ascii="Times New Roman" w:cs="Times New Roman" w:eastAsia="Times New Roman" w:hAnsi="Times New Roman"/>
          <w:sz w:val="16"/>
          <w:szCs w:val="16"/>
          <w:color w:val="auto"/>
        </w:rPr>
        <w:t xml:space="preserve"> is a parent of an institution described in clause (a) of this definition, or (c) any financial institution established in an EEA Member Country </w:t>
      </w:r>
      <w:r>
        <w:rPr>
          <w:rFonts w:ascii="Times New Roman" w:cs="Times New Roman" w:eastAsia="Times New Roman" w:hAnsi="Times New Roman"/>
          <w:sz w:val="16"/>
          <w:szCs w:val="16"/>
          <w:color w:val="FF0000"/>
          <w:strike w:val="1"/>
        </w:rPr>
        <w:t>which</w:t>
      </w:r>
      <w:r>
        <w:rPr>
          <w:rFonts w:ascii="Times New Roman" w:cs="Times New Roman" w:eastAsia="Times New Roman" w:hAnsi="Times New Roman"/>
          <w:sz w:val="16"/>
          <w:szCs w:val="16"/>
          <w:color w:val="0000FF"/>
        </w:rPr>
        <w:t>that</w:t>
      </w:r>
      <w:r>
        <w:rPr>
          <w:rFonts w:ascii="Times New Roman" w:cs="Times New Roman" w:eastAsia="Times New Roman" w:hAnsi="Times New Roman"/>
          <w:sz w:val="16"/>
          <w:szCs w:val="16"/>
          <w:color w:val="auto"/>
        </w:rPr>
        <w:t xml:space="preserve"> is a subsidiary of an institution described in clauses (a) or (b) of this definition and is subject to consolidated supervision with its parent.</w:t>
      </w:r>
    </w:p>
    <w:p>
      <w:pPr>
        <w:spacing w:after="0" w:line="150" w:lineRule="exact"/>
        <w:rPr>
          <w:sz w:val="20"/>
          <w:szCs w:val="20"/>
          <w:color w:val="auto"/>
        </w:rPr>
      </w:pPr>
    </w:p>
    <w:p>
      <w:pPr>
        <w:ind w:left="1360" w:right="138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EEA Member Country</w:t>
      </w:r>
      <w:r>
        <w:rPr>
          <w:rFonts w:ascii="Times New Roman" w:cs="Times New Roman" w:eastAsia="Times New Roman" w:hAnsi="Times New Roman"/>
          <w:sz w:val="16"/>
          <w:szCs w:val="16"/>
          <w:color w:val="auto"/>
        </w:rPr>
        <w:t>” means any of the member states of the European Union, Iceland, Liechtenstein, and Norway.</w:t>
      </w:r>
    </w:p>
    <w:p>
      <w:pPr>
        <w:spacing w:after="0" w:line="126" w:lineRule="exact"/>
        <w:rPr>
          <w:sz w:val="20"/>
          <w:szCs w:val="20"/>
          <w:color w:val="auto"/>
        </w:rPr>
      </w:pPr>
    </w:p>
    <w:p>
      <w:pPr>
        <w:ind w:left="1360" w:right="1680" w:firstLine="484"/>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EEA Resolution Authority</w:t>
      </w:r>
      <w:r>
        <w:rPr>
          <w:rFonts w:ascii="Times New Roman" w:cs="Times New Roman" w:eastAsia="Times New Roman" w:hAnsi="Times New Roman"/>
          <w:sz w:val="16"/>
          <w:szCs w:val="16"/>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0" w:lineRule="exact"/>
        <w:rPr>
          <w:sz w:val="20"/>
          <w:szCs w:val="20"/>
          <w:color w:val="auto"/>
        </w:rPr>
      </w:pPr>
    </w:p>
    <w:p>
      <w:pPr>
        <w:ind w:left="1360" w:right="168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“Eligible Collateral Loan” </w:t>
      </w:r>
      <w:r>
        <w:rPr>
          <w:rFonts w:ascii="Times New Roman" w:cs="Times New Roman" w:eastAsia="Times New Roman" w:hAnsi="Times New Roman"/>
          <w:sz w:val="16"/>
          <w:szCs w:val="16"/>
          <w:color w:val="auto"/>
        </w:rPr>
        <w:t>means a Collateral Loan that meets each of the following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criteria:</w:t>
      </w:r>
    </w:p>
    <w:p>
      <w:pPr>
        <w:spacing w:after="0" w:line="128" w:lineRule="exact"/>
        <w:rPr>
          <w:sz w:val="20"/>
          <w:szCs w:val="20"/>
          <w:color w:val="auto"/>
        </w:rPr>
      </w:pPr>
    </w:p>
    <w:p>
      <w:pPr>
        <w:ind w:left="1840" w:right="1420" w:firstLine="488"/>
        <w:spacing w:after="0" w:line="283" w:lineRule="auto"/>
        <w:tabs>
          <w:tab w:leader="none" w:pos="2544"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 First Lien Loan (including a Stretch Senior Loan), a Split First Lien Loan, a Split Lien Loan or a Second Lien Loan;</w:t>
      </w:r>
    </w:p>
    <w:p>
      <w:pPr>
        <w:spacing w:after="0" w:line="131" w:lineRule="exact"/>
        <w:rPr>
          <w:rFonts w:ascii="Times New Roman" w:cs="Times New Roman" w:eastAsia="Times New Roman" w:hAnsi="Times New Roman"/>
          <w:sz w:val="16"/>
          <w:szCs w:val="16"/>
          <w:color w:val="auto"/>
        </w:rPr>
      </w:pPr>
    </w:p>
    <w:p>
      <w:pPr>
        <w:ind w:left="2560" w:hanging="232"/>
        <w:spacing w:after="0"/>
        <w:tabs>
          <w:tab w:leader="none" w:pos="25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time of acquisition, was acquired for a purchase price of more than 85%</w:t>
      </w:r>
    </w:p>
    <w:p>
      <w:pPr>
        <w:spacing w:after="0" w:line="25" w:lineRule="exact"/>
        <w:rPr>
          <w:rFonts w:ascii="Times New Roman" w:cs="Times New Roman" w:eastAsia="Times New Roman" w:hAnsi="Times New Roman"/>
          <w:sz w:val="16"/>
          <w:szCs w:val="16"/>
          <w:color w:val="auto"/>
        </w:rPr>
      </w:pPr>
    </w:p>
    <w:p>
      <w:pPr>
        <w:ind w:left="18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par;</w:t>
      </w:r>
    </w:p>
    <w:p>
      <w:pPr>
        <w:spacing w:after="0" w:line="171" w:lineRule="exact"/>
        <w:rPr>
          <w:rFonts w:ascii="Times New Roman" w:cs="Times New Roman" w:eastAsia="Times New Roman" w:hAnsi="Times New Roman"/>
          <w:sz w:val="16"/>
          <w:szCs w:val="16"/>
          <w:color w:val="auto"/>
        </w:rPr>
      </w:pPr>
    </w:p>
    <w:p>
      <w:pPr>
        <w:ind w:left="1840" w:right="1420" w:firstLine="488"/>
        <w:spacing w:after="0" w:line="283" w:lineRule="auto"/>
        <w:tabs>
          <w:tab w:leader="none" w:pos="2544"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permits the purchase thereof by or assignment thereof to the Borrower and the pledge to the Collateral Agent;</w:t>
      </w:r>
    </w:p>
    <w:p>
      <w:pPr>
        <w:spacing w:after="0" w:line="131" w:lineRule="exact"/>
        <w:rPr>
          <w:rFonts w:ascii="Times New Roman" w:cs="Times New Roman" w:eastAsia="Times New Roman" w:hAnsi="Times New Roman"/>
          <w:sz w:val="16"/>
          <w:szCs w:val="16"/>
          <w:color w:val="auto"/>
        </w:rPr>
      </w:pPr>
    </w:p>
    <w:p>
      <w:pPr>
        <w:ind w:left="1840" w:right="1500" w:firstLine="488"/>
        <w:spacing w:after="0" w:line="266" w:lineRule="auto"/>
        <w:tabs>
          <w:tab w:leader="none" w:pos="255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denominated and payable in (i) Dollars or (ii) Pounds Sterling, Euros, Canadian Dollars, Australian Dollars to the extent that, in the case of this clause (ii), (x) such loan, debt obligation or Participation Interest would also constitute a Floating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636905</wp:posOffset>
            </wp:positionV>
            <wp:extent cx="526605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3" w:name="page124"/>
    <w:bookmarkEnd w:id="123"/>
    <w:p>
      <w:pPr>
        <w:spacing w:after="0" w:line="270" w:lineRule="exact"/>
        <w:rPr>
          <w:sz w:val="20"/>
          <w:szCs w:val="20"/>
          <w:color w:val="auto"/>
        </w:rPr>
      </w:pPr>
    </w:p>
    <w:p>
      <w:pPr>
        <w:ind w:left="1840" w:right="1460"/>
        <w:spacing w:after="0" w:line="283" w:lineRule="auto"/>
        <w:rPr>
          <w:sz w:val="20"/>
          <w:szCs w:val="20"/>
          <w:color w:val="auto"/>
        </w:rPr>
      </w:pPr>
      <w:r>
        <w:rPr>
          <w:rFonts w:ascii="Times New Roman" w:cs="Times New Roman" w:eastAsia="Times New Roman" w:hAnsi="Times New Roman"/>
          <w:sz w:val="16"/>
          <w:szCs w:val="16"/>
          <w:color w:val="auto"/>
        </w:rPr>
        <w:t>Obligation, and (y) such loan, debt obligation or Participation Interest is not a Revolving Collateral Loan or Delayed Drawdown Collateral Loan;</w:t>
      </w:r>
    </w:p>
    <w:p>
      <w:pPr>
        <w:spacing w:after="0" w:line="131" w:lineRule="exact"/>
        <w:rPr>
          <w:sz w:val="20"/>
          <w:szCs w:val="20"/>
          <w:color w:val="auto"/>
        </w:rPr>
      </w:pPr>
    </w:p>
    <w:p>
      <w:pPr>
        <w:ind w:left="1840" w:right="1560" w:firstLine="488"/>
        <w:spacing w:after="0" w:line="266" w:lineRule="auto"/>
        <w:tabs>
          <w:tab w:leader="none" w:pos="2544"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primary Obligor thereon (i.e., the Obligor under which the loan was principally underwritten) is organized or incorporated in the United States (or any state thereof) or any Eligible Foreign Country;</w:t>
      </w:r>
    </w:p>
    <w:p>
      <w:pPr>
        <w:spacing w:after="0" w:line="144" w:lineRule="exact"/>
        <w:rPr>
          <w:rFonts w:ascii="Times New Roman" w:cs="Times New Roman" w:eastAsia="Times New Roman" w:hAnsi="Times New Roman"/>
          <w:sz w:val="16"/>
          <w:szCs w:val="16"/>
          <w:color w:val="auto"/>
        </w:rPr>
      </w:pPr>
    </w:p>
    <w:p>
      <w:pPr>
        <w:jc w:val="both"/>
        <w:ind w:left="1840" w:right="1420" w:firstLine="488"/>
        <w:spacing w:after="0" w:line="266" w:lineRule="auto"/>
        <w:tabs>
          <w:tab w:leader="none" w:pos="252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portion thereof (including any conversion option, exchange option, warrant or other component thereof) is exchangeable or convertible into an Equity Security at the option of the related Obligor;</w:t>
      </w:r>
    </w:p>
    <w:p>
      <w:pPr>
        <w:spacing w:after="0" w:line="144" w:lineRule="exact"/>
        <w:rPr>
          <w:rFonts w:ascii="Times New Roman" w:cs="Times New Roman" w:eastAsia="Times New Roman" w:hAnsi="Times New Roman"/>
          <w:sz w:val="16"/>
          <w:szCs w:val="16"/>
          <w:color w:val="auto"/>
        </w:rPr>
      </w:pPr>
    </w:p>
    <w:p>
      <w:pPr>
        <w:ind w:left="2560" w:hanging="232"/>
        <w:spacing w:after="0"/>
        <w:tabs>
          <w:tab w:leader="none" w:pos="25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an Equity Security or a component of an Equity Security;</w:t>
      </w:r>
    </w:p>
    <w:p>
      <w:pPr>
        <w:spacing w:after="0" w:line="189" w:lineRule="exact"/>
        <w:rPr>
          <w:rFonts w:ascii="Times New Roman" w:cs="Times New Roman" w:eastAsia="Times New Roman" w:hAnsi="Times New Roman"/>
          <w:sz w:val="16"/>
          <w:szCs w:val="16"/>
          <w:color w:val="auto"/>
        </w:rPr>
      </w:pPr>
    </w:p>
    <w:p>
      <w:pPr>
        <w:ind w:left="2560" w:hanging="232"/>
        <w:spacing w:after="0"/>
        <w:tabs>
          <w:tab w:leader="none" w:pos="25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time of acquisition, is not the subject of an offer or call for redemption;</w:t>
      </w:r>
    </w:p>
    <w:p>
      <w:pPr>
        <w:spacing w:after="0" w:line="189" w:lineRule="exact"/>
        <w:rPr>
          <w:rFonts w:ascii="Times New Roman" w:cs="Times New Roman" w:eastAsia="Times New Roman" w:hAnsi="Times New Roman"/>
          <w:sz w:val="16"/>
          <w:szCs w:val="16"/>
          <w:color w:val="auto"/>
        </w:rPr>
      </w:pPr>
    </w:p>
    <w:p>
      <w:pPr>
        <w:ind w:left="2520" w:hanging="192"/>
        <w:spacing w:after="0"/>
        <w:tabs>
          <w:tab w:leader="none" w:pos="25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constitute Margin Stock;</w:t>
      </w:r>
    </w:p>
    <w:p>
      <w:pPr>
        <w:spacing w:after="0" w:line="189" w:lineRule="exact"/>
        <w:rPr>
          <w:rFonts w:ascii="Times New Roman" w:cs="Times New Roman" w:eastAsia="Times New Roman" w:hAnsi="Times New Roman"/>
          <w:sz w:val="16"/>
          <w:szCs w:val="16"/>
          <w:color w:val="auto"/>
        </w:rPr>
      </w:pPr>
    </w:p>
    <w:p>
      <w:pPr>
        <w:ind w:left="1840" w:right="1440" w:firstLine="488"/>
        <w:spacing w:after="0" w:line="258" w:lineRule="auto"/>
        <w:tabs>
          <w:tab w:leader="none" w:pos="251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subject the Borrower to withholding tax unless the related Obligor is required to make “gross-up” payments that ensure that the net amount actually received by the Borrower (after payment of all taxes, whether imposed on such Obligor or the Borrower) will equal the full amount that the Borrower would have received had no such taxes been imposed;</w:t>
      </w:r>
    </w:p>
    <w:p>
      <w:pPr>
        <w:spacing w:after="0" w:line="151" w:lineRule="exact"/>
        <w:rPr>
          <w:rFonts w:ascii="Times New Roman" w:cs="Times New Roman" w:eastAsia="Times New Roman" w:hAnsi="Times New Roman"/>
          <w:sz w:val="16"/>
          <w:szCs w:val="16"/>
          <w:color w:val="auto"/>
        </w:rPr>
      </w:pPr>
    </w:p>
    <w:p>
      <w:pPr>
        <w:ind w:left="2560" w:hanging="232"/>
        <w:spacing w:after="0"/>
        <w:tabs>
          <w:tab w:leader="none" w:pos="25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time of acquisition, is not a Defaulted Collateral Loan;</w:t>
      </w:r>
    </w:p>
    <w:p>
      <w:pPr>
        <w:spacing w:after="0" w:line="189" w:lineRule="exact"/>
        <w:rPr>
          <w:rFonts w:ascii="Times New Roman" w:cs="Times New Roman" w:eastAsia="Times New Roman" w:hAnsi="Times New Roman"/>
          <w:sz w:val="16"/>
          <w:szCs w:val="16"/>
          <w:color w:val="auto"/>
        </w:rPr>
      </w:pPr>
    </w:p>
    <w:p>
      <w:pPr>
        <w:ind w:left="2520" w:hanging="192"/>
        <w:spacing w:after="0"/>
        <w:tabs>
          <w:tab w:leader="none" w:pos="25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 Non-Cash Paying PIK Loan;</w:t>
      </w:r>
    </w:p>
    <w:p>
      <w:pPr>
        <w:spacing w:after="0" w:line="189" w:lineRule="exact"/>
        <w:rPr>
          <w:rFonts w:ascii="Times New Roman" w:cs="Times New Roman" w:eastAsia="Times New Roman" w:hAnsi="Times New Roman"/>
          <w:sz w:val="16"/>
          <w:szCs w:val="16"/>
          <w:color w:val="auto"/>
        </w:rPr>
      </w:pPr>
    </w:p>
    <w:p>
      <w:pPr>
        <w:ind w:left="2600" w:hanging="272"/>
        <w:spacing w:after="0"/>
        <w:tabs>
          <w:tab w:leader="none" w:pos="26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 Zero Coupon Obligation;</w:t>
      </w:r>
    </w:p>
    <w:p>
      <w:pPr>
        <w:spacing w:after="0" w:line="189" w:lineRule="exact"/>
        <w:rPr>
          <w:rFonts w:ascii="Times New Roman" w:cs="Times New Roman" w:eastAsia="Times New Roman" w:hAnsi="Times New Roman"/>
          <w:sz w:val="16"/>
          <w:szCs w:val="16"/>
          <w:color w:val="auto"/>
        </w:rPr>
      </w:pPr>
    </w:p>
    <w:p>
      <w:pPr>
        <w:ind w:left="2560" w:hanging="232"/>
        <w:spacing w:after="0"/>
        <w:tabs>
          <w:tab w:leader="none" w:pos="25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 Covenant Lite Loan unless such loan is an Eligible Covenant Lite</w:t>
      </w:r>
    </w:p>
    <w:p>
      <w:pPr>
        <w:spacing w:after="0" w:line="25" w:lineRule="exact"/>
        <w:rPr>
          <w:rFonts w:ascii="Times New Roman" w:cs="Times New Roman" w:eastAsia="Times New Roman" w:hAnsi="Times New Roman"/>
          <w:sz w:val="16"/>
          <w:szCs w:val="16"/>
          <w:color w:val="auto"/>
        </w:rPr>
      </w:pPr>
    </w:p>
    <w:p>
      <w:pPr>
        <w:ind w:left="18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w:t>
      </w:r>
    </w:p>
    <w:p>
      <w:pPr>
        <w:spacing w:after="0" w:line="171" w:lineRule="exact"/>
        <w:rPr>
          <w:rFonts w:ascii="Times New Roman" w:cs="Times New Roman" w:eastAsia="Times New Roman" w:hAnsi="Times New Roman"/>
          <w:sz w:val="16"/>
          <w:szCs w:val="16"/>
          <w:color w:val="auto"/>
        </w:rPr>
      </w:pPr>
    </w:p>
    <w:p>
      <w:pPr>
        <w:ind w:left="1840" w:right="1500" w:firstLine="488"/>
        <w:spacing w:after="0" w:line="283" w:lineRule="auto"/>
        <w:tabs>
          <w:tab w:leader="none" w:pos="255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 Structured Finance Obligation, a bond, a synthetic security, a finance lease or chattel paper;</w:t>
      </w:r>
    </w:p>
    <w:p>
      <w:pPr>
        <w:spacing w:after="0" w:line="131" w:lineRule="exact"/>
        <w:rPr>
          <w:rFonts w:ascii="Times New Roman" w:cs="Times New Roman" w:eastAsia="Times New Roman" w:hAnsi="Times New Roman"/>
          <w:sz w:val="16"/>
          <w:szCs w:val="16"/>
          <w:color w:val="auto"/>
        </w:rPr>
      </w:pPr>
    </w:p>
    <w:p>
      <w:pPr>
        <w:ind w:left="2560" w:hanging="232"/>
        <w:spacing w:after="0"/>
        <w:tabs>
          <w:tab w:leader="none" w:pos="25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provides for the full principal balance to be payable at or prior to its maturity;</w:t>
      </w:r>
    </w:p>
    <w:p>
      <w:pPr>
        <w:spacing w:after="0" w:line="189" w:lineRule="exact"/>
        <w:rPr>
          <w:rFonts w:ascii="Times New Roman" w:cs="Times New Roman" w:eastAsia="Times New Roman" w:hAnsi="Times New Roman"/>
          <w:sz w:val="16"/>
          <w:szCs w:val="16"/>
          <w:color w:val="auto"/>
        </w:rPr>
      </w:pPr>
    </w:p>
    <w:p>
      <w:pPr>
        <w:ind w:left="1840" w:right="1420" w:firstLine="488"/>
        <w:spacing w:after="0" w:line="261" w:lineRule="auto"/>
        <w:tabs>
          <w:tab w:leader="none" w:pos="255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such Collateral Loan is a Participation Interest, then such Participation Interest is acquired from a Selling Institution incorporated or organized under the laws of the United States which has a long-term rating of at least “A/A2” and a short-term rating of at least “A-2/P2” by S&amp;P and Moody’s, respectively;</w:t>
      </w:r>
    </w:p>
    <w:p>
      <w:pPr>
        <w:spacing w:after="0" w:line="148" w:lineRule="exact"/>
        <w:rPr>
          <w:rFonts w:ascii="Times New Roman" w:cs="Times New Roman" w:eastAsia="Times New Roman" w:hAnsi="Times New Roman"/>
          <w:sz w:val="16"/>
          <w:szCs w:val="16"/>
          <w:color w:val="auto"/>
        </w:rPr>
      </w:pPr>
    </w:p>
    <w:p>
      <w:pPr>
        <w:ind w:left="2520" w:hanging="192"/>
        <w:spacing w:after="0"/>
        <w:tabs>
          <w:tab w:leader="none" w:pos="25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a remaining term to maturity of not more than seven (7) years;</w:t>
      </w:r>
    </w:p>
    <w:p>
      <w:pPr>
        <w:spacing w:after="0" w:line="189" w:lineRule="exact"/>
        <w:rPr>
          <w:rFonts w:ascii="Times New Roman" w:cs="Times New Roman" w:eastAsia="Times New Roman" w:hAnsi="Times New Roman"/>
          <w:sz w:val="16"/>
          <w:szCs w:val="16"/>
          <w:color w:val="auto"/>
        </w:rPr>
      </w:pPr>
    </w:p>
    <w:p>
      <w:pPr>
        <w:ind w:left="2540" w:hanging="212"/>
        <w:spacing w:after="0"/>
        <w:tabs>
          <w:tab w:leader="none" w:pos="25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provides for payment of interest at least semi-annually;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664845</wp:posOffset>
            </wp:positionV>
            <wp:extent cx="526605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4" w:name="page125"/>
    <w:bookmarkEnd w:id="124"/>
    <w:p>
      <w:pPr>
        <w:spacing w:after="0" w:line="270" w:lineRule="exact"/>
        <w:rPr>
          <w:sz w:val="20"/>
          <w:szCs w:val="20"/>
          <w:color w:val="auto"/>
        </w:rPr>
      </w:pPr>
    </w:p>
    <w:p>
      <w:pPr>
        <w:ind w:left="1840" w:right="1440" w:firstLine="488"/>
        <w:spacing w:after="0" w:line="261" w:lineRule="auto"/>
        <w:tabs>
          <w:tab w:leader="none" w:pos="251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time of acquisition, the obligation of the related Obligor to pay principal and interest is not contingent on any material non-credit related risk (such as the occurrence of a catastrophe), as determined by the Collateral Manager in its sole discretion;</w:t>
      </w:r>
    </w:p>
    <w:p>
      <w:pPr>
        <w:spacing w:after="0" w:line="148" w:lineRule="exact"/>
        <w:rPr>
          <w:rFonts w:ascii="Times New Roman" w:cs="Times New Roman" w:eastAsia="Times New Roman" w:hAnsi="Times New Roman"/>
          <w:sz w:val="16"/>
          <w:szCs w:val="16"/>
          <w:color w:val="auto"/>
        </w:rPr>
      </w:pPr>
    </w:p>
    <w:p>
      <w:pPr>
        <w:ind w:left="1840" w:right="1600" w:firstLine="488"/>
        <w:spacing w:after="0" w:line="266" w:lineRule="auto"/>
        <w:tabs>
          <w:tab w:leader="none" w:pos="2553"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an obligation (other than a Revolving Collateral Loan or a Delayed Drawdown Collateral Loan) pursuant to which any future advances or payments to the Obligor may be required to be made by the Borrower;</w:t>
      </w:r>
    </w:p>
    <w:p>
      <w:pPr>
        <w:spacing w:after="0" w:line="144" w:lineRule="exact"/>
        <w:rPr>
          <w:rFonts w:ascii="Times New Roman" w:cs="Times New Roman" w:eastAsia="Times New Roman" w:hAnsi="Times New Roman"/>
          <w:sz w:val="16"/>
          <w:szCs w:val="16"/>
          <w:color w:val="auto"/>
        </w:rPr>
      </w:pPr>
    </w:p>
    <w:p>
      <w:pPr>
        <w:ind w:left="1840" w:right="1360" w:firstLine="488"/>
        <w:spacing w:after="0" w:line="283" w:lineRule="auto"/>
        <w:tabs>
          <w:tab w:leader="none" w:pos="2553"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not cause the Borrower or the pool of assets to be required to be registered as an investment company under the Investment Company Act;</w:t>
      </w:r>
    </w:p>
    <w:p>
      <w:pPr>
        <w:spacing w:after="0" w:line="131" w:lineRule="exact"/>
        <w:rPr>
          <w:rFonts w:ascii="Times New Roman" w:cs="Times New Roman" w:eastAsia="Times New Roman" w:hAnsi="Times New Roman"/>
          <w:sz w:val="16"/>
          <w:szCs w:val="16"/>
          <w:color w:val="auto"/>
        </w:rPr>
      </w:pPr>
    </w:p>
    <w:p>
      <w:pPr>
        <w:ind w:left="1840" w:right="1800" w:firstLine="488"/>
        <w:spacing w:after="0" w:line="283" w:lineRule="auto"/>
        <w:tabs>
          <w:tab w:leader="none" w:pos="258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(i) underwritten as a real estate loan or principally secured by real property; (ii) a construction loan or (iii) a project finance loan;</w:t>
      </w:r>
    </w:p>
    <w:p>
      <w:pPr>
        <w:spacing w:after="0" w:line="131" w:lineRule="exact"/>
        <w:rPr>
          <w:rFonts w:ascii="Times New Roman" w:cs="Times New Roman" w:eastAsia="Times New Roman" w:hAnsi="Times New Roman"/>
          <w:sz w:val="16"/>
          <w:szCs w:val="16"/>
          <w:color w:val="auto"/>
        </w:rPr>
      </w:pPr>
    </w:p>
    <w:p>
      <w:pPr>
        <w:ind w:left="1840" w:right="1380" w:firstLine="488"/>
        <w:spacing w:after="0" w:line="266" w:lineRule="auto"/>
        <w:tabs>
          <w:tab w:leader="none" w:pos="2553"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an interest only obligation (meaning, for the avoidance of doubt, that the obligations thereunder constitute only interest payments (e.g., an I/O strip and not an obligation with a bullet or balloon principal payment));</w:t>
      </w:r>
    </w:p>
    <w:p>
      <w:pPr>
        <w:spacing w:after="0" w:line="144" w:lineRule="exact"/>
        <w:rPr>
          <w:rFonts w:ascii="Times New Roman" w:cs="Times New Roman" w:eastAsia="Times New Roman" w:hAnsi="Times New Roman"/>
          <w:sz w:val="16"/>
          <w:szCs w:val="16"/>
          <w:color w:val="auto"/>
        </w:rPr>
      </w:pPr>
    </w:p>
    <w:p>
      <w:pPr>
        <w:ind w:left="1840" w:right="1460" w:firstLine="488"/>
        <w:spacing w:after="0" w:line="266" w:lineRule="auto"/>
        <w:tabs>
          <w:tab w:leader="none" w:pos="2553"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 letter of credit (other than a Revolving Collateral Loan that includes a letter of credit sub-facility as long as the Borrower is not the letter of credit issuer with respect thereto);</w:t>
      </w:r>
    </w:p>
    <w:p>
      <w:pPr>
        <w:spacing w:after="0" w:line="144" w:lineRule="exact"/>
        <w:rPr>
          <w:rFonts w:ascii="Times New Roman" w:cs="Times New Roman" w:eastAsia="Times New Roman" w:hAnsi="Times New Roman"/>
          <w:sz w:val="16"/>
          <w:szCs w:val="16"/>
          <w:color w:val="auto"/>
        </w:rPr>
      </w:pPr>
    </w:p>
    <w:p>
      <w:pPr>
        <w:ind w:left="2540" w:hanging="212"/>
        <w:spacing w:after="0"/>
        <w:tabs>
          <w:tab w:leader="none" w:pos="25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in “registered” form for U.S. federal income tax purposes;</w:t>
      </w:r>
    </w:p>
    <w:p>
      <w:pPr>
        <w:spacing w:after="0" w:line="189" w:lineRule="exact"/>
        <w:rPr>
          <w:sz w:val="20"/>
          <w:szCs w:val="20"/>
          <w:color w:val="auto"/>
        </w:rPr>
      </w:pPr>
    </w:p>
    <w:p>
      <w:pPr>
        <w:ind w:left="1840" w:right="2020" w:firstLine="488"/>
        <w:spacing w:after="0" w:line="283" w:lineRule="auto"/>
        <w:tabs>
          <w:tab w:leader="none" w:pos="2615"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evidenced by a note or other instrument (including an assignment agreement or transfer document) that has been delivered to the Custodian;</w:t>
      </w:r>
    </w:p>
    <w:p>
      <w:pPr>
        <w:spacing w:after="0" w:line="131" w:lineRule="exact"/>
        <w:rPr>
          <w:rFonts w:ascii="Times New Roman" w:cs="Times New Roman" w:eastAsia="Times New Roman" w:hAnsi="Times New Roman"/>
          <w:sz w:val="16"/>
          <w:szCs w:val="16"/>
          <w:color w:val="auto"/>
        </w:rPr>
      </w:pPr>
    </w:p>
    <w:p>
      <w:pPr>
        <w:ind w:left="1840" w:right="1380" w:firstLine="488"/>
        <w:spacing w:after="0" w:line="253" w:lineRule="auto"/>
        <w:tabs>
          <w:tab w:leader="none" w:pos="2634"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time of acquisition has (i) a Tier 1 Obligor with (A) in respect of a loan or debt obligation other than a Stretch Senior Loan, (1) a Senior Leverage Ratio of less than 5.50x and (2) a Total Leverage Ratio of less than 7.50x, or (B) in respect of a Stretch Senior Loan, a Total Leverage Ratio of less than 6.50x; (ii) a Tier 2 Obligor with (A) in respect of a loan or debt obligation other than a Stretch Senior Loan, (1) a Senior Leverage Ratio of less than 4.75x and (2) a Total Leverage Ratio of less than 6.50x, or</w:t>
      </w:r>
    </w:p>
    <w:p>
      <w:pPr>
        <w:spacing w:after="0" w:line="4" w:lineRule="exact"/>
        <w:rPr>
          <w:rFonts w:ascii="Times New Roman" w:cs="Times New Roman" w:eastAsia="Times New Roman" w:hAnsi="Times New Roman"/>
          <w:sz w:val="16"/>
          <w:szCs w:val="16"/>
          <w:color w:val="auto"/>
        </w:rPr>
      </w:pPr>
    </w:p>
    <w:p>
      <w:pPr>
        <w:ind w:left="1840" w:right="1440" w:firstLine="4"/>
        <w:spacing w:after="0" w:line="251" w:lineRule="auto"/>
        <w:tabs>
          <w:tab w:leader="none" w:pos="209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respect of a Stretch Senior Loan, a Total Leverage Ratio of less than 5.75x; or (iii) a Tier 3 Obligor with (A) in respect of a loan or debt obligation other than a Stretch Senior Loan, (1) a Senior Leverage Ratio of less than 4.25x and (2) a Total Leverage Ratio of less than 5.50x, or (B) in respect of a Stretch Senior Loan, a Total Leverage Ratio of less than 5.00x;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Collateral Loan which does not meet the criteria in this clause (bb) at the time of acquisition or at any time thereafter will not be wholly ineligible, but will be deemed to be a Haircut Collateral Loan;</w:t>
      </w:r>
    </w:p>
    <w:p>
      <w:pPr>
        <w:spacing w:after="0" w:line="158" w:lineRule="exact"/>
        <w:rPr>
          <w:rFonts w:ascii="Times New Roman" w:cs="Times New Roman" w:eastAsia="Times New Roman" w:hAnsi="Times New Roman"/>
          <w:sz w:val="16"/>
          <w:szCs w:val="16"/>
          <w:color w:val="auto"/>
        </w:rPr>
      </w:pPr>
    </w:p>
    <w:p>
      <w:pPr>
        <w:ind w:left="2620" w:hanging="292"/>
        <w:spacing w:after="0"/>
        <w:tabs>
          <w:tab w:leader="none" w:pos="262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time of acquisition, has an Obligor with an EBITDA of at least</w:t>
      </w:r>
    </w:p>
    <w:p>
      <w:pPr>
        <w:spacing w:after="0" w:line="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653415</wp:posOffset>
            </wp:positionV>
            <wp:extent cx="526605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5" w:name="page126"/>
    <w:bookmarkEnd w:id="125"/>
    <w:p>
      <w:pPr>
        <w:spacing w:after="0" w:line="270" w:lineRule="exact"/>
        <w:rPr>
          <w:sz w:val="20"/>
          <w:szCs w:val="20"/>
          <w:color w:val="auto"/>
        </w:rPr>
      </w:pPr>
    </w:p>
    <w:p>
      <w:pPr>
        <w:ind w:left="1840" w:right="1400" w:firstLine="488"/>
        <w:spacing w:after="0" w:line="266" w:lineRule="auto"/>
        <w:tabs>
          <w:tab w:leader="none" w:pos="2634"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time of acquisition, has not been more than thirty (30) days past due with respect to payments of either interest or principal on such Collateral Loan within the past twelve (12) months; and</w:t>
      </w:r>
    </w:p>
    <w:p>
      <w:pPr>
        <w:spacing w:after="0" w:line="144" w:lineRule="exact"/>
        <w:rPr>
          <w:rFonts w:ascii="Times New Roman" w:cs="Times New Roman" w:eastAsia="Times New Roman" w:hAnsi="Times New Roman"/>
          <w:sz w:val="16"/>
          <w:szCs w:val="16"/>
          <w:color w:val="auto"/>
        </w:rPr>
      </w:pPr>
    </w:p>
    <w:p>
      <w:pPr>
        <w:ind w:left="1840" w:right="1620" w:firstLine="488"/>
        <w:spacing w:after="0" w:line="283" w:lineRule="auto"/>
        <w:tabs>
          <w:tab w:leader="none" w:pos="2615"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time of acquisition, is not an obligation of an Obligor (or guarantor) engaged in a Prohibited Industry.</w:t>
      </w:r>
    </w:p>
    <w:p>
      <w:pPr>
        <w:spacing w:after="0" w:line="129" w:lineRule="exact"/>
        <w:rPr>
          <w:sz w:val="20"/>
          <w:szCs w:val="20"/>
          <w:color w:val="auto"/>
        </w:rPr>
      </w:pPr>
    </w:p>
    <w:p>
      <w:pPr>
        <w:ind w:left="1360" w:right="1400" w:firstLine="484"/>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“Eligible Covenant Lite Loan” </w:t>
      </w:r>
      <w:r>
        <w:rPr>
          <w:rFonts w:ascii="Times New Roman" w:cs="Times New Roman" w:eastAsia="Times New Roman" w:hAnsi="Times New Roman"/>
          <w:sz w:val="16"/>
          <w:szCs w:val="16"/>
          <w:color w:val="auto"/>
        </w:rPr>
        <w:t>means a Covenant Lite Loan that (i) is not subordinate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right or payment to any other obligation for borrowed money of the obligor of such loan and is secured by a valid first priority perfected security interest or Lien in, to or on specified collateral,</w:t>
      </w:r>
    </w:p>
    <w:p>
      <w:pPr>
        <w:spacing w:after="0" w:line="2" w:lineRule="exact"/>
        <w:rPr>
          <w:sz w:val="20"/>
          <w:szCs w:val="20"/>
          <w:color w:val="auto"/>
        </w:rPr>
      </w:pPr>
    </w:p>
    <w:p>
      <w:pPr>
        <w:jc w:val="both"/>
        <w:ind w:left="1360" w:right="1460"/>
        <w:spacing w:after="0" w:line="193" w:lineRule="exact"/>
        <w:tabs>
          <w:tab w:leader="none" w:pos="159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an original principal balance of (and unfunded commitments in respect of) the Dollar Equivalent of $250,000,000 or more and (iii) such loan is rated by either or both of S&amp;P and Moody’s and (x) if rated only by S&amp;P, such loan has a rating of 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or better, (y) if rated only by Moody’s, such loan has a rating of B3 or better and (z) if rated by both S&amp;P and Moody’s, such loan has a rating of 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or better by S&amp;P and B3 or better by Moody’s.</w:t>
      </w:r>
    </w:p>
    <w:p>
      <w:pPr>
        <w:spacing w:after="0" w:line="158" w:lineRule="exact"/>
        <w:rPr>
          <w:sz w:val="20"/>
          <w:szCs w:val="20"/>
          <w:color w:val="auto"/>
        </w:rPr>
      </w:pPr>
    </w:p>
    <w:p>
      <w:pPr>
        <w:ind w:left="1360" w:right="1380" w:firstLine="4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Eligible Foreign Country</w:t>
      </w:r>
      <w:r>
        <w:rPr>
          <w:rFonts w:ascii="Times New Roman" w:cs="Times New Roman" w:eastAsia="Times New Roman" w:hAnsi="Times New Roman"/>
          <w:sz w:val="16"/>
          <w:szCs w:val="16"/>
          <w:color w:val="auto"/>
        </w:rPr>
        <w:t>” means the United Kingdom, Canada, the Netherlands Antilles, Bermuda, the Cayman Islands, the British Virgin Islands, the Channel Islands, the Isle of Man, Australia, the Netherlands, Germany, Sweden, Switzerland, Austria, Belgium, Denmark, Finland, Iceland, Ireland, Lichtenstein, Luxembourg and Norway.</w:t>
      </w:r>
    </w:p>
    <w:p>
      <w:pPr>
        <w:spacing w:after="0" w:line="145" w:lineRule="exact"/>
        <w:rPr>
          <w:sz w:val="20"/>
          <w:szCs w:val="20"/>
          <w:color w:val="auto"/>
        </w:rPr>
      </w:pPr>
    </w:p>
    <w:p>
      <w:pPr>
        <w:ind w:left="1360" w:right="162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Eligible Foreign Obligor</w:t>
      </w:r>
      <w:r>
        <w:rPr>
          <w:rFonts w:ascii="Times New Roman" w:cs="Times New Roman" w:eastAsia="Times New Roman" w:hAnsi="Times New Roman"/>
          <w:sz w:val="16"/>
          <w:szCs w:val="16"/>
          <w:color w:val="auto"/>
        </w:rPr>
        <w:t>” means an Obligor with its headquarters, principal place of business and primary operations in an Eligible Foreign Country.</w:t>
      </w:r>
    </w:p>
    <w:p>
      <w:pPr>
        <w:spacing w:after="0" w:line="126" w:lineRule="exact"/>
        <w:rPr>
          <w:sz w:val="20"/>
          <w:szCs w:val="20"/>
          <w:color w:val="auto"/>
        </w:rPr>
      </w:pPr>
    </w:p>
    <w:p>
      <w:pPr>
        <w:ind w:left="1360" w:right="1360" w:firstLine="484"/>
        <w:spacing w:after="0" w:line="194" w:lineRule="exact"/>
        <w:rPr>
          <w:sz w:val="20"/>
          <w:szCs w:val="20"/>
          <w:color w:val="auto"/>
        </w:rPr>
      </w:pPr>
      <w:r>
        <w:rPr>
          <w:rFonts w:ascii="Times New Roman" w:cs="Times New Roman" w:eastAsia="Times New Roman" w:hAnsi="Times New Roman"/>
          <w:sz w:val="16"/>
          <w:szCs w:val="16"/>
          <w:i w:val="1"/>
          <w:iCs w:val="1"/>
          <w:color w:val="auto"/>
        </w:rPr>
        <w:t xml:space="preserve">“Eligible Investment Required Ratings” </w:t>
      </w:r>
      <w:r>
        <w:rPr>
          <w:rFonts w:ascii="Times New Roman" w:cs="Times New Roman" w:eastAsia="Times New Roman" w:hAnsi="Times New Roman"/>
          <w:sz w:val="16"/>
          <w:szCs w:val="16"/>
          <w:color w:val="auto"/>
        </w:rPr>
        <w:t>means, with respect to any obligation or security,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such obligation or security (a) (i) if such obligation or security has both a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and a short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credit rating from Moody’s, such ratings are “Aa3” or better (not on credit watch for possible downgrade) and “P</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 (not on credit watch for possible downgrade), respectively, (ii) if such obligation or security only has a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credit rating from Moody’s, such rating is “Aaa” (not on credit watch for possible downgrade) and (iii) if such obligation or security only has a short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credit rating from Moody’s, such rating is “P</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 (not on credit watch for possible downgrade) and (b) has a rating of “A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 or better (or, in the absence of a short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credit rating, a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credit rating of “A+” or better) from S&amp;P.</w:t>
      </w:r>
    </w:p>
    <w:p>
      <w:pPr>
        <w:spacing w:after="0" w:line="161" w:lineRule="exact"/>
        <w:rPr>
          <w:sz w:val="20"/>
          <w:szCs w:val="20"/>
          <w:color w:val="auto"/>
        </w:rPr>
      </w:pPr>
    </w:p>
    <w:p>
      <w:pPr>
        <w:ind w:left="1360" w:right="166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“Eligible Investments” </w:t>
      </w:r>
      <w:r>
        <w:rPr>
          <w:rFonts w:ascii="Times New Roman" w:cs="Times New Roman" w:eastAsia="Times New Roman" w:hAnsi="Times New Roman"/>
          <w:sz w:val="16"/>
          <w:szCs w:val="16"/>
          <w:color w:val="auto"/>
        </w:rPr>
        <w:t>means any Dollar investment that, at the time it is Delivered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(directly or through an intermediary or bailee), is one or more of the following obligations or securities:</w:t>
      </w:r>
    </w:p>
    <w:p>
      <w:pPr>
        <w:spacing w:after="0" w:line="142" w:lineRule="exact"/>
        <w:rPr>
          <w:sz w:val="20"/>
          <w:szCs w:val="20"/>
          <w:color w:val="auto"/>
        </w:rPr>
      </w:pPr>
    </w:p>
    <w:p>
      <w:pPr>
        <w:jc w:val="both"/>
        <w:ind w:left="1840" w:right="1440" w:firstLine="44"/>
        <w:spacing w:after="0" w:line="261" w:lineRule="auto"/>
        <w:tabs>
          <w:tab w:leader="none" w:pos="2073"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obligations of, and obligations the timely payment of principal and interest on which is fully and expressly guaranteed by, the United States of America or any agency or instrumentality of the United States of America the obligations of which are expressly backed by the full faith and credit of the United States of America;</w:t>
      </w:r>
    </w:p>
    <w:p>
      <w:pPr>
        <w:spacing w:after="0" w:line="148" w:lineRule="exact"/>
        <w:rPr>
          <w:rFonts w:ascii="Times New Roman" w:cs="Times New Roman" w:eastAsia="Times New Roman" w:hAnsi="Times New Roman"/>
          <w:sz w:val="16"/>
          <w:szCs w:val="16"/>
          <w:color w:val="auto"/>
        </w:rPr>
      </w:pPr>
    </w:p>
    <w:p>
      <w:pPr>
        <w:ind w:left="1840" w:right="1480" w:firstLine="44"/>
        <w:spacing w:after="0" w:line="261" w:lineRule="auto"/>
        <w:tabs>
          <w:tab w:leader="none" w:pos="2118"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demand and time deposits in, certificates of deposit of, trust accounts with, bankers’ acceptances payable within 183 days of issuance by, or federal funds sold by any depository institution or trust company incorporated under the laws of the United States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638810</wp:posOffset>
            </wp:positionV>
            <wp:extent cx="526605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6" w:name="page127"/>
    <w:bookmarkEnd w:id="126"/>
    <w:p>
      <w:pPr>
        <w:spacing w:after="0" w:line="270" w:lineRule="exact"/>
        <w:rPr>
          <w:sz w:val="20"/>
          <w:szCs w:val="20"/>
          <w:color w:val="auto"/>
        </w:rPr>
      </w:pPr>
    </w:p>
    <w:p>
      <w:pPr>
        <w:ind w:left="1840" w:right="1360"/>
        <w:spacing w:after="0" w:line="256" w:lineRule="auto"/>
        <w:rPr>
          <w:sz w:val="20"/>
          <w:szCs w:val="20"/>
          <w:color w:val="auto"/>
        </w:rPr>
      </w:pPr>
      <w:r>
        <w:rPr>
          <w:rFonts w:ascii="Times New Roman" w:cs="Times New Roman" w:eastAsia="Times New Roman" w:hAnsi="Times New Roman"/>
          <w:sz w:val="16"/>
          <w:szCs w:val="16"/>
          <w:color w:val="auto"/>
        </w:rPr>
        <w:t>America or any state thereof and subject to supervision and examination by federal and/or state banking authorities, so long as the commercial paper and/or the debt obligations of such depository institution or trust company (or, in the case of the principal depository institution in a holding company system, the commercial paper or debt obligations of such holding company) at the time of such investment or contractual commitment providing for such investment have the Eligible Investment Required Ratings;</w:t>
      </w:r>
    </w:p>
    <w:p>
      <w:pPr>
        <w:spacing w:after="0" w:line="154" w:lineRule="exact"/>
        <w:rPr>
          <w:sz w:val="20"/>
          <w:szCs w:val="20"/>
          <w:color w:val="auto"/>
        </w:rPr>
      </w:pPr>
    </w:p>
    <w:p>
      <w:pPr>
        <w:ind w:left="1840" w:right="1400" w:firstLine="44"/>
        <w:spacing w:after="0" w:line="255" w:lineRule="auto"/>
        <w:tabs>
          <w:tab w:leader="none" w:pos="2163"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unleveraged repurchase obligations with respect to (a) any security described in clause (i) above or (b) any other security issued or guaranteed by an agency or instrumentality of the United States of America, in either case entered into with a depository institution or trust company (acting as principal) described in clause (ii) above or entered into with an entity (acting as principal) which has, or whose parent company has (in addition to a guarantee agreement with such entity), the Eligible Investment Required Ratings;</w:t>
      </w:r>
    </w:p>
    <w:p>
      <w:pPr>
        <w:spacing w:after="0" w:line="155" w:lineRule="exact"/>
        <w:rPr>
          <w:rFonts w:ascii="Times New Roman" w:cs="Times New Roman" w:eastAsia="Times New Roman" w:hAnsi="Times New Roman"/>
          <w:sz w:val="16"/>
          <w:szCs w:val="16"/>
          <w:color w:val="auto"/>
        </w:rPr>
      </w:pPr>
    </w:p>
    <w:p>
      <w:pPr>
        <w:jc w:val="both"/>
        <w:ind w:left="1840" w:right="1380" w:firstLine="44"/>
        <w:spacing w:after="0" w:line="261" w:lineRule="auto"/>
        <w:tabs>
          <w:tab w:leader="none" w:pos="2154"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bearing interest or sold at a discount issued by any entity formed under the laws of the United States of America or any State thereof that has the Eligible Investment Required Ratings at the time of such investment or contractual commitment providing for such investment;</w:t>
      </w:r>
    </w:p>
    <w:p>
      <w:pPr>
        <w:spacing w:after="0" w:line="132" w:lineRule="exact"/>
        <w:rPr>
          <w:rFonts w:ascii="Times New Roman" w:cs="Times New Roman" w:eastAsia="Times New Roman" w:hAnsi="Times New Roman"/>
          <w:sz w:val="16"/>
          <w:szCs w:val="16"/>
          <w:color w:val="auto"/>
        </w:rPr>
      </w:pPr>
    </w:p>
    <w:p>
      <w:pPr>
        <w:jc w:val="both"/>
        <w:ind w:left="1840" w:right="1420" w:firstLine="44"/>
        <w:spacing w:after="0" w:line="201" w:lineRule="exact"/>
        <w:tabs>
          <w:tab w:leader="none" w:pos="2109"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extendable commercial paper or other short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obligations with the Eligible Investment Required Ratings and that either bear interest or are sold at a discount from the face amount thereof and have a maturity of not more than 183 days from their date of issuance;</w:t>
      </w:r>
    </w:p>
    <w:p>
      <w:pPr>
        <w:spacing w:after="0" w:line="164" w:lineRule="exact"/>
        <w:rPr>
          <w:rFonts w:ascii="Times New Roman" w:cs="Times New Roman" w:eastAsia="Times New Roman" w:hAnsi="Times New Roman"/>
          <w:sz w:val="16"/>
          <w:szCs w:val="16"/>
          <w:color w:val="auto"/>
        </w:rPr>
      </w:pPr>
    </w:p>
    <w:p>
      <w:pPr>
        <w:ind w:left="1840" w:right="1380" w:firstLine="44"/>
        <w:spacing w:after="0" w:line="257" w:lineRule="auto"/>
        <w:tabs>
          <w:tab w:leader="none" w:pos="2154"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Reinvestment Agreement issued by any bank (if treated as a deposit by such bank), or a Reinvestment Agreement issued by any insurance company or other corporation or entity, in each case with the Eligible Investment Required Ratings;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the Administrative Agent and the Required Lenders have consented thereto or (b) such Reinvestment Agreement may be unwound at the option of the Borrower without penalty;</w:t>
      </w:r>
    </w:p>
    <w:p>
      <w:pPr>
        <w:spacing w:after="0" w:line="346" w:lineRule="exact"/>
        <w:rPr>
          <w:rFonts w:ascii="Times New Roman" w:cs="Times New Roman" w:eastAsia="Times New Roman" w:hAnsi="Times New Roman"/>
          <w:sz w:val="16"/>
          <w:szCs w:val="16"/>
          <w:color w:val="auto"/>
        </w:rPr>
      </w:pPr>
    </w:p>
    <w:p>
      <w:pPr>
        <w:ind w:left="1840" w:right="1440" w:firstLine="44"/>
        <w:spacing w:after="0" w:line="204" w:lineRule="exact"/>
        <w:tabs>
          <w:tab w:leader="none" w:pos="219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money market funds that have, at all times, credit ratings of “Aaa” and “MR1+” by Moody’s and “AAAm” or “AAAm</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 by S&amp;P, respectively; and</w:t>
      </w:r>
    </w:p>
    <w:p>
      <w:pPr>
        <w:spacing w:after="0" w:line="158" w:lineRule="exact"/>
        <w:rPr>
          <w:rFonts w:ascii="Times New Roman" w:cs="Times New Roman" w:eastAsia="Times New Roman" w:hAnsi="Times New Roman"/>
          <w:sz w:val="16"/>
          <w:szCs w:val="16"/>
          <w:color w:val="auto"/>
        </w:rPr>
      </w:pPr>
    </w:p>
    <w:p>
      <w:pPr>
        <w:ind w:left="2240" w:hanging="356"/>
        <w:spacing w:after="0"/>
        <w:tabs>
          <w:tab w:leader="none" w:pos="224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w:t>
      </w:r>
    </w:p>
    <w:p>
      <w:pPr>
        <w:spacing w:after="0" w:line="187" w:lineRule="exact"/>
        <w:rPr>
          <w:sz w:val="20"/>
          <w:szCs w:val="20"/>
          <w:color w:val="auto"/>
        </w:rPr>
      </w:pPr>
    </w:p>
    <w:p>
      <w:pPr>
        <w:ind w:left="1360" w:right="1420"/>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(1) Eligible Investments purchased with funds in the Collection Account shall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held until maturity except as otherwise specifically provided herein and shall include only such obligations or securities, other than those referred to in clause (vii) above, as mature (or are putable at par to the issuer thereof) no later than the earlier of (x) sixty (60) days after the date of acquisition thereof or (y) the Business Day prior to the next Payment Date; and (2) none of the foregoing obligations or securities shall constitute Eligible Investments if (a) such obligation or security has an “f”, “r”, “p”, “pi”, “q” or “t” subscript assigned by S&amp;P, (b) all, or substantially all, of the remaining amounts payable thereunder consist of interest and not principal payments,</w:t>
      </w:r>
    </w:p>
    <w:p>
      <w:pPr>
        <w:spacing w:after="0" w:line="2" w:lineRule="exact"/>
        <w:rPr>
          <w:sz w:val="20"/>
          <w:szCs w:val="20"/>
          <w:color w:val="auto"/>
        </w:rPr>
      </w:pPr>
    </w:p>
    <w:p>
      <w:pPr>
        <w:ind w:left="1360" w:right="1580"/>
        <w:spacing w:after="0" w:line="260" w:lineRule="auto"/>
        <w:tabs>
          <w:tab w:leader="none" w:pos="1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obligation or security is subject to U.S. withholding or foreign withholding tax unless the issuer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639445</wp:posOffset>
            </wp:positionV>
            <wp:extent cx="526605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7" w:name="page128"/>
    <w:bookmarkEnd w:id="127"/>
    <w:p>
      <w:pPr>
        <w:spacing w:after="0" w:line="254" w:lineRule="exact"/>
        <w:rPr>
          <w:sz w:val="20"/>
          <w:szCs w:val="20"/>
          <w:color w:val="auto"/>
        </w:rPr>
      </w:pPr>
    </w:p>
    <w:p>
      <w:pPr>
        <w:jc w:val="center"/>
        <w:spacing w:after="0" w:line="184" w:lineRule="exact"/>
        <w:rPr>
          <w:sz w:val="20"/>
          <w:szCs w:val="20"/>
          <w:color w:val="auto"/>
        </w:rPr>
      </w:pPr>
      <w:r>
        <w:rPr>
          <w:rFonts w:ascii="Times New Roman" w:cs="Times New Roman" w:eastAsia="Times New Roman" w:hAnsi="Times New Roman"/>
          <w:sz w:val="16"/>
          <w:szCs w:val="16"/>
          <w:color w:val="auto"/>
        </w:rPr>
        <w:t>the security is required to make “gross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up” payments for the full amount of such withholding tax,</w:t>
      </w:r>
    </w:p>
    <w:p>
      <w:pPr>
        <w:spacing w:after="0" w:line="42" w:lineRule="exact"/>
        <w:rPr>
          <w:sz w:val="20"/>
          <w:szCs w:val="20"/>
          <w:color w:val="auto"/>
        </w:rPr>
      </w:pPr>
    </w:p>
    <w:p>
      <w:pPr>
        <w:ind w:left="1360" w:right="1380"/>
        <w:spacing w:after="0" w:line="192" w:lineRule="exact"/>
        <w:tabs>
          <w:tab w:leader="none" w:pos="158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obligation or security is secured by real property, (e) such obligation or security is purchased at a price greater than 100% of the principal or face amount thereof, (f) such obligation or security is subject of a tender offer, voluntary redemption, exchange offer, conversion or other similar action or (g) in the Collateral Manager’s judgment, such obligation or security is subject to material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credit related risks. Any such investment may be made or acquired from or through the Collateral Agent or any of its affiliates, or any entity for whom the Collateral Agent or any of its affiliates provides services (so long as such investment otherwise meets the applicable requirements of the foregoing definition of Eligible Investment at the time of acquisition).</w:t>
      </w:r>
    </w:p>
    <w:p>
      <w:pPr>
        <w:spacing w:after="0" w:line="162" w:lineRule="exact"/>
        <w:rPr>
          <w:sz w:val="20"/>
          <w:szCs w:val="20"/>
          <w:color w:val="auto"/>
        </w:rPr>
      </w:pPr>
    </w:p>
    <w:p>
      <w:pPr>
        <w:ind w:left="1360" w:right="1480" w:firstLine="484"/>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Equity Security</w:t>
      </w:r>
      <w:r>
        <w:rPr>
          <w:rFonts w:ascii="Times New Roman" w:cs="Times New Roman" w:eastAsia="Times New Roman" w:hAnsi="Times New Roman"/>
          <w:sz w:val="16"/>
          <w:szCs w:val="16"/>
          <w:color w:val="auto"/>
        </w:rPr>
        <w:t>” means any stock or similar security, certificate of interest or participation in any profit sharing agreement, preorganization certificate or subscription, transferable share, voting trust certificate or certificate of deposit for an equity security, limited partnership interest, interest in a joint venture, or certificate of interest in a business trust; any security future on any such security; or any security convertible, with or without consideration into such a security, or carrying any warrant or right to subscribe to or purchase such a security; or any such warrant or right.</w:t>
      </w:r>
    </w:p>
    <w:p>
      <w:pPr>
        <w:spacing w:after="0" w:line="150" w:lineRule="exact"/>
        <w:rPr>
          <w:sz w:val="20"/>
          <w:szCs w:val="20"/>
          <w:color w:val="auto"/>
        </w:rPr>
      </w:pPr>
    </w:p>
    <w:p>
      <w:pPr>
        <w:ind w:left="1360" w:right="168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“ERISA” </w:t>
      </w:r>
      <w:r>
        <w:rPr>
          <w:rFonts w:ascii="Times New Roman" w:cs="Times New Roman" w:eastAsia="Times New Roman" w:hAnsi="Times New Roman"/>
          <w:sz w:val="16"/>
          <w:szCs w:val="16"/>
          <w:color w:val="auto"/>
        </w:rPr>
        <w:t>means the Employee Retirement Income Security Act of 1974, as amended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time to time, and the regulations promulgated and rulings issued thereunder.</w:t>
      </w:r>
    </w:p>
    <w:p>
      <w:pPr>
        <w:spacing w:after="0" w:line="126" w:lineRule="exact"/>
        <w:rPr>
          <w:sz w:val="20"/>
          <w:szCs w:val="20"/>
          <w:color w:val="auto"/>
        </w:rPr>
      </w:pPr>
    </w:p>
    <w:p>
      <w:pPr>
        <w:ind w:left="1360" w:right="1340" w:firstLine="484"/>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“ERISA Event” </w:t>
      </w:r>
      <w:r>
        <w:rPr>
          <w:rFonts w:ascii="Times New Roman" w:cs="Times New Roman" w:eastAsia="Times New Roman" w:hAnsi="Times New Roman"/>
          <w:sz w:val="16"/>
          <w:szCs w:val="16"/>
          <w:color w:val="auto"/>
        </w:rPr>
        <w:t>means (a) any “reportable event,” as defined in Section 4043 of ERISA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the regulations issued thereunder with respect to a Plan (other than an event for which the thirty (30) day notice requirement is waived); (b) the failure with respect to any Plan to satisfy the “minimum funding standard” (as defined in Section 412 of the Code or Section 302 of ERISA); (c) the filing pursuant to Section 412(c) of the Code or Section 302 of ERISA of an application for a waiver of the minimum funding standard with respect to any Plan; (d) a determination that any Plan is, or is expected to be, in “at risk” status (as defined in Section 430 of the Code or Section 303 of ERISA); (e) the incurrence by the Borrower or any member of its ERISA Group of any liability under Title IV of ERISA with respect to the termination of any Plan; (f) (i) the receipt by the Borrower or any member of its ERISA Group from the PBGC of a notice of determination that the PBGC intends to seek termination of any Plan or to have a trustee appointed for any Plan, or (ii) the filing by the Borrower or any member of its ERISA Group of a notice of intent to terminate any Plan; (g) the incurrence by the Borrower or any member of its ERISA Group of any liability (i) with respect to a Plan pursuant to Sections 4063 and 4064 of ERISA, (ii) with respect to a facility closing pursuant to Section 4062(e) of ERISA, or (iii) with respect to the withdrawal or partial withdrawal from any Multiemployer Plan; (h) the receipt by the Borrower or any member of its ERISA Group of any notice concerning the imposition of Withdrawal Liability or a determination that a Multiemployer Plan is, or is expected to be, in endangered status or critical status, within the meaning of Section 432 of the Code or Section 305 of ERISA or is or is expected to be insolvent or in reorganization, within the meaning of Title IV of ERISA; or (i) the failure of the Borrower or any member of its ERISA Group to make any required contribution to a Multiemployer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651510</wp:posOffset>
            </wp:positionV>
            <wp:extent cx="526605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8" w:name="page129"/>
    <w:bookmarkEnd w:id="128"/>
    <w:p>
      <w:pPr>
        <w:spacing w:after="0" w:line="268" w:lineRule="exact"/>
        <w:rPr>
          <w:sz w:val="20"/>
          <w:szCs w:val="20"/>
          <w:color w:val="auto"/>
        </w:rPr>
      </w:pPr>
    </w:p>
    <w:p>
      <w:pPr>
        <w:ind w:left="1360" w:right="156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“ERISA Group” </w:t>
      </w:r>
      <w:r>
        <w:rPr>
          <w:rFonts w:ascii="Times New Roman" w:cs="Times New Roman" w:eastAsia="Times New Roman" w:hAnsi="Times New Roman"/>
          <w:sz w:val="16"/>
          <w:szCs w:val="16"/>
          <w:color w:val="auto"/>
        </w:rPr>
        <w:t>means each controlled group of corporations or trades or businesses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(whether or not incorporated) under common control that is treated as a single employer under Section 414(b), (c), (m) or (o) of the Code with the Borrower.</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“Erroneous Payment” </w:t>
      </w:r>
      <w:r>
        <w:rPr>
          <w:rFonts w:ascii="Times New Roman" w:cs="Times New Roman" w:eastAsia="Times New Roman" w:hAnsi="Times New Roman"/>
          <w:sz w:val="16"/>
          <w:szCs w:val="16"/>
          <w:color w:val="auto"/>
        </w:rPr>
        <w:t>has the meaning given in Section 12.07(a).</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“Erroneous Payment Deficiency Assignment” </w:t>
      </w:r>
      <w:r>
        <w:rPr>
          <w:rFonts w:ascii="Times New Roman" w:cs="Times New Roman" w:eastAsia="Times New Roman" w:hAnsi="Times New Roman"/>
          <w:sz w:val="16"/>
          <w:szCs w:val="16"/>
          <w:color w:val="auto"/>
        </w:rPr>
        <w:t>has the meaning given in Section 12.07(d).</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“Erroneous Payment Impacted Class” </w:t>
      </w:r>
      <w:r>
        <w:rPr>
          <w:rFonts w:ascii="Times New Roman" w:cs="Times New Roman" w:eastAsia="Times New Roman" w:hAnsi="Times New Roman"/>
          <w:sz w:val="16"/>
          <w:szCs w:val="16"/>
          <w:color w:val="auto"/>
        </w:rPr>
        <w:t>has the meaning given in Section 12.07(d).</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“Erroneous Payment Return Deficiency” </w:t>
      </w:r>
      <w:r>
        <w:rPr>
          <w:rFonts w:ascii="Times New Roman" w:cs="Times New Roman" w:eastAsia="Times New Roman" w:hAnsi="Times New Roman"/>
          <w:sz w:val="16"/>
          <w:szCs w:val="16"/>
          <w:color w:val="auto"/>
        </w:rPr>
        <w:t>has the meaning given in Section 12.07(d).</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“Erroneous Payment Subrogation Rights” </w:t>
      </w:r>
      <w:r>
        <w:rPr>
          <w:rFonts w:ascii="Times New Roman" w:cs="Times New Roman" w:eastAsia="Times New Roman" w:hAnsi="Times New Roman"/>
          <w:sz w:val="16"/>
          <w:szCs w:val="16"/>
          <w:color w:val="auto"/>
        </w:rPr>
        <w:t>has the meaning given in Section 12.07(d).</w:t>
      </w:r>
    </w:p>
    <w:p>
      <w:pPr>
        <w:spacing w:after="0" w:line="189" w:lineRule="exact"/>
        <w:rPr>
          <w:sz w:val="20"/>
          <w:szCs w:val="20"/>
          <w:color w:val="auto"/>
        </w:rPr>
      </w:pPr>
    </w:p>
    <w:p>
      <w:pPr>
        <w:ind w:left="1360" w:right="142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EU Bail-In Legislation Schedule</w:t>
      </w:r>
      <w:r>
        <w:rPr>
          <w:rFonts w:ascii="Times New Roman" w:cs="Times New Roman" w:eastAsia="Times New Roman" w:hAnsi="Times New Roman"/>
          <w:sz w:val="16"/>
          <w:szCs w:val="16"/>
          <w:color w:val="auto"/>
        </w:rPr>
        <w:t>” means the EU Bail -In Legislation Schedule published by the Loan Market Association (or any successor person), as in effect from time to time.</w:t>
      </w:r>
    </w:p>
    <w:p>
      <w:pPr>
        <w:spacing w:after="0" w:line="1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“Euros”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i w:val="1"/>
          <w:iCs w:val="1"/>
          <w:color w:val="auto"/>
        </w:rPr>
        <w:t xml:space="preserve"> “ € ” </w:t>
      </w:r>
      <w:r>
        <w:rPr>
          <w:rFonts w:ascii="Times New Roman" w:cs="Times New Roman" w:eastAsia="Times New Roman" w:hAnsi="Times New Roman"/>
          <w:sz w:val="16"/>
          <w:szCs w:val="16"/>
          <w:color w:val="auto"/>
        </w:rPr>
        <w:t>means the unit of single currency of the Participating Member States.</w:t>
      </w:r>
    </w:p>
    <w:p>
      <w:pPr>
        <w:spacing w:after="0" w:line="189" w:lineRule="exact"/>
        <w:rPr>
          <w:sz w:val="20"/>
          <w:szCs w:val="20"/>
          <w:color w:val="auto"/>
        </w:rPr>
      </w:pPr>
    </w:p>
    <w:p>
      <w:pPr>
        <w:ind w:left="1360" w:right="150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“Event of Default” </w:t>
      </w:r>
      <w:r>
        <w:rPr>
          <w:rFonts w:ascii="Times New Roman" w:cs="Times New Roman" w:eastAsia="Times New Roman" w:hAnsi="Times New Roman"/>
          <w:sz w:val="16"/>
          <w:szCs w:val="16"/>
          <w:color w:val="auto"/>
        </w:rPr>
        <w:t>means the occurrence of any of the events, acts or circumstances set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forth in Section 6.01.</w:t>
      </w:r>
    </w:p>
    <w:p>
      <w:pPr>
        <w:spacing w:after="0" w:line="126" w:lineRule="exact"/>
        <w:rPr>
          <w:sz w:val="20"/>
          <w:szCs w:val="20"/>
          <w:color w:val="auto"/>
        </w:rPr>
      </w:pPr>
    </w:p>
    <w:p>
      <w:pPr>
        <w:ind w:left="1360" w:right="1400" w:firstLine="484"/>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“Excess Concentration Amount” </w:t>
      </w:r>
      <w:r>
        <w:rPr>
          <w:rFonts w:ascii="Times New Roman" w:cs="Times New Roman" w:eastAsia="Times New Roman" w:hAnsi="Times New Roman"/>
          <w:sz w:val="16"/>
          <w:szCs w:val="16"/>
          <w:color w:val="auto"/>
        </w:rPr>
        <w:t>means, at any time in respect of which any one or more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of the Concentration Limitations are exceeded, the Dollar Equivalent of the portions (calculated without duplication) of each Eligible Collateral Loan that cause such Concentration Limitations to be exceeded;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any Excess Concentration Amount related to clause (m) of the definition of Concentration Limitations shall be calculated as the product of (a) the portions (calculated without duplication) of each Eligible Collateral Loan that causes such Concentration Limitations to be exceeded, </w:t>
      </w:r>
      <w:r>
        <w:rPr>
          <w:rFonts w:ascii="Times New Roman" w:cs="Times New Roman" w:eastAsia="Times New Roman" w:hAnsi="Times New Roman"/>
          <w:sz w:val="16"/>
          <w:szCs w:val="16"/>
          <w:i w:val="1"/>
          <w:iCs w:val="1"/>
          <w:color w:val="auto"/>
        </w:rPr>
        <w:t>times</w:t>
      </w:r>
      <w:r>
        <w:rPr>
          <w:rFonts w:ascii="Times New Roman" w:cs="Times New Roman" w:eastAsia="Times New Roman" w:hAnsi="Times New Roman"/>
          <w:sz w:val="16"/>
          <w:szCs w:val="16"/>
          <w:color w:val="auto"/>
        </w:rPr>
        <w:t xml:space="preserve"> (b) 1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the Recovery Rate applicable to each such Eligible Collateral Loan, and (ii) any Excess Concentration Amount related to clause (n) of the definition of Concentration Limitations shall be calculated as the product of (a) the portions of each Eligible Collateral Loan that causes such Concentration Limitations to be exceeded </w:t>
      </w:r>
      <w:r>
        <w:rPr>
          <w:rFonts w:ascii="Times New Roman" w:cs="Times New Roman" w:eastAsia="Times New Roman" w:hAnsi="Times New Roman"/>
          <w:sz w:val="16"/>
          <w:szCs w:val="16"/>
          <w:i w:val="1"/>
          <w:iCs w:val="1"/>
          <w:color w:val="auto"/>
        </w:rPr>
        <w:t>times</w:t>
      </w:r>
      <w:r>
        <w:rPr>
          <w:rFonts w:ascii="Times New Roman" w:cs="Times New Roman" w:eastAsia="Times New Roman" w:hAnsi="Times New Roman"/>
          <w:sz w:val="16"/>
          <w:szCs w:val="16"/>
          <w:color w:val="auto"/>
        </w:rPr>
        <w:t xml:space="preserve"> (b) 1 </w:t>
      </w:r>
      <w:r>
        <w:rPr>
          <w:rFonts w:ascii="Times New Roman" w:cs="Times New Roman" w:eastAsia="Times New Roman" w:hAnsi="Times New Roman"/>
          <w:sz w:val="16"/>
          <w:szCs w:val="16"/>
          <w:i w:val="1"/>
          <w:iCs w:val="1"/>
          <w:color w:val="auto"/>
        </w:rPr>
        <w:t xml:space="preserve">minus </w:t>
      </w:r>
      <w:r>
        <w:rPr>
          <w:rFonts w:ascii="Times New Roman" w:cs="Times New Roman" w:eastAsia="Times New Roman" w:hAnsi="Times New Roman"/>
          <w:sz w:val="16"/>
          <w:szCs w:val="16"/>
          <w:color w:val="auto"/>
        </w:rPr>
        <w:t>the lower of 90% or the Market Value applicable to such Eligible Collateral Loan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expressed as a percentage of the par value of such Collateral Loan.</w:t>
      </w:r>
    </w:p>
    <w:p>
      <w:pPr>
        <w:spacing w:after="0" w:line="155" w:lineRule="exact"/>
        <w:rPr>
          <w:sz w:val="20"/>
          <w:szCs w:val="20"/>
          <w:color w:val="auto"/>
        </w:rPr>
      </w:pPr>
    </w:p>
    <w:p>
      <w:pPr>
        <w:ind w:left="1360" w:right="1460" w:firstLine="484"/>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“Excess Interest Proceeds Amount” </w:t>
      </w:r>
      <w:r>
        <w:rPr>
          <w:rFonts w:ascii="Times New Roman" w:cs="Times New Roman" w:eastAsia="Times New Roman" w:hAnsi="Times New Roman"/>
          <w:sz w:val="16"/>
          <w:szCs w:val="16"/>
          <w:color w:val="auto"/>
        </w:rPr>
        <w:t>means, at any time, the excess, if any, of (i)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Dollar Equivalent of the aggregate amount in and available from the Interest Collection Subaccounts over (ii) 150% of the Dollar Equivalent of the aggregate amount necessary on the following Payment Date, in the good faith estimate of the Collateral Manager, to make the required payments pursuant to Section 9.01(a)(i)(A) through (E) of the Priority of Payments (after giving effect to any prepayments pursuant to Section 2.05). The Excess Interest Proceeds Amount shall be calculated by the Collateral Manager pursuant to an Excess Interest Proceeds Estimate. The Collateral Manager shall calculate the Excess Interest Proceeds Amount (including, without limitation, the estimate of the required payments pursuant to Section 9.01(a) (i)(A) through (E) of the Priority of Payments) in good faith and in a commercially reasonable manner based on the outstanding Advances immediately after giving effect to the contemplated prepayment being made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644525</wp:posOffset>
            </wp:positionV>
            <wp:extent cx="526605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9" w:name="page130"/>
    <w:bookmarkEnd w:id="129"/>
    <w:p>
      <w:pPr>
        <w:spacing w:after="0" w:line="270" w:lineRule="exact"/>
        <w:rPr>
          <w:sz w:val="20"/>
          <w:szCs w:val="20"/>
          <w:color w:val="auto"/>
        </w:rPr>
      </w:pPr>
    </w:p>
    <w:p>
      <w:pPr>
        <w:ind w:left="1360" w:right="1620"/>
        <w:spacing w:after="0" w:line="283" w:lineRule="auto"/>
        <w:rPr>
          <w:sz w:val="20"/>
          <w:szCs w:val="20"/>
          <w:color w:val="auto"/>
        </w:rPr>
      </w:pPr>
      <w:r>
        <w:rPr>
          <w:rFonts w:ascii="Times New Roman" w:cs="Times New Roman" w:eastAsia="Times New Roman" w:hAnsi="Times New Roman"/>
          <w:sz w:val="16"/>
          <w:szCs w:val="16"/>
          <w:color w:val="auto"/>
        </w:rPr>
        <w:t>Excess Interest Proceeds Amount or such higher amount as deemed appropriate to make such required payments in the Collateral Manager’s estimation.</w:t>
      </w:r>
    </w:p>
    <w:p>
      <w:pPr>
        <w:spacing w:after="0" w:line="129" w:lineRule="exact"/>
        <w:rPr>
          <w:sz w:val="20"/>
          <w:szCs w:val="20"/>
          <w:color w:val="auto"/>
        </w:rPr>
      </w:pPr>
    </w:p>
    <w:p>
      <w:pPr>
        <w:jc w:val="both"/>
        <w:ind w:left="1360" w:right="144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“Excess Interest Proceeds Estimate” </w:t>
      </w:r>
      <w:r>
        <w:rPr>
          <w:rFonts w:ascii="Times New Roman" w:cs="Times New Roman" w:eastAsia="Times New Roman" w:hAnsi="Times New Roman"/>
          <w:sz w:val="16"/>
          <w:szCs w:val="16"/>
          <w:color w:val="auto"/>
        </w:rPr>
        <w:t>means a good faith estimate of the Excess Interest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Proceeds Amount as calculated by the Collateral Manager in the form attached hereto as Exhibit A.</w:t>
      </w:r>
    </w:p>
    <w:p>
      <w:pPr>
        <w:spacing w:after="0" w:line="140" w:lineRule="exact"/>
        <w:rPr>
          <w:sz w:val="20"/>
          <w:szCs w:val="20"/>
          <w:color w:val="auto"/>
        </w:rPr>
      </w:pPr>
    </w:p>
    <w:p>
      <w:pPr>
        <w:ind w:left="1360" w:right="1380" w:firstLine="4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“Exchange Act” </w:t>
      </w:r>
      <w:r>
        <w:rPr>
          <w:rFonts w:ascii="Times New Roman" w:cs="Times New Roman" w:eastAsia="Times New Roman" w:hAnsi="Times New Roman"/>
          <w:sz w:val="16"/>
          <w:szCs w:val="16"/>
          <w:color w:val="auto"/>
        </w:rPr>
        <w:t>means the Securities Exchange Act of 1934, as amended, and the rules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regulations promulgated thereunder, all as from time to time in effect, or any successor law, rules or regulations, and any reference to any statutory or regulatory provision shall be deemed to be a reference to any successor statutory or regulatory provision.</w:t>
      </w:r>
    </w:p>
    <w:p>
      <w:pPr>
        <w:spacing w:after="0" w:line="145" w:lineRule="exact"/>
        <w:rPr>
          <w:sz w:val="20"/>
          <w:szCs w:val="20"/>
          <w:color w:val="auto"/>
        </w:rPr>
      </w:pPr>
    </w:p>
    <w:p>
      <w:pPr>
        <w:ind w:left="1360" w:right="1380" w:firstLine="484"/>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“Facility Amount” </w:t>
      </w:r>
      <w:r>
        <w:rPr>
          <w:rFonts w:ascii="Times New Roman" w:cs="Times New Roman" w:eastAsia="Times New Roman" w:hAnsi="Times New Roman"/>
          <w:sz w:val="16"/>
          <w:szCs w:val="16"/>
          <w:color w:val="auto"/>
        </w:rPr>
        <w:t>means the Dollar Equivalent of (a) on or prior to the Commitment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Termination Date, the “Facility Amount” as set forth on Schedule 1 (as such amount may be reduced from time to time pursuant to Section 2.06) and (b) following the Commitment Termination Date, the outstanding principal balance of all the Advances;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Facility Amount may be increased by the Borrower from time to time in accordance with Section 2.15 hereof.</w:t>
      </w:r>
    </w:p>
    <w:p>
      <w:pPr>
        <w:spacing w:after="0" w:line="150" w:lineRule="exact"/>
        <w:rPr>
          <w:sz w:val="20"/>
          <w:szCs w:val="20"/>
          <w:color w:val="auto"/>
        </w:rPr>
      </w:pPr>
    </w:p>
    <w:p>
      <w:pPr>
        <w:ind w:left="1360" w:right="188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“Facility Amount Increase” </w:t>
      </w:r>
      <w:r>
        <w:rPr>
          <w:rFonts w:ascii="Times New Roman" w:cs="Times New Roman" w:eastAsia="Times New Roman" w:hAnsi="Times New Roman"/>
          <w:sz w:val="16"/>
          <w:szCs w:val="16"/>
          <w:color w:val="auto"/>
        </w:rPr>
        <w:t>means an increase in the Facility Amount pursuant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Section 2.15 hereof.</w:t>
      </w:r>
    </w:p>
    <w:p>
      <w:pPr>
        <w:spacing w:after="0" w:line="1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“Facility Amount Increase Request” </w:t>
      </w:r>
      <w:r>
        <w:rPr>
          <w:rFonts w:ascii="Times New Roman" w:cs="Times New Roman" w:eastAsia="Times New Roman" w:hAnsi="Times New Roman"/>
          <w:sz w:val="16"/>
          <w:szCs w:val="16"/>
          <w:color w:val="auto"/>
        </w:rPr>
        <w:t>is defined in Section 2.15 hereof.</w:t>
      </w:r>
    </w:p>
    <w:p>
      <w:pPr>
        <w:spacing w:after="0" w:line="189" w:lineRule="exact"/>
        <w:rPr>
          <w:sz w:val="20"/>
          <w:szCs w:val="20"/>
          <w:color w:val="auto"/>
        </w:rPr>
      </w:pPr>
    </w:p>
    <w:p>
      <w:pPr>
        <w:ind w:left="1360" w:right="1420" w:firstLine="484"/>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“Facility Documents” </w:t>
      </w:r>
      <w:r>
        <w:rPr>
          <w:rFonts w:ascii="Times New Roman" w:cs="Times New Roman" w:eastAsia="Times New Roman" w:hAnsi="Times New Roman"/>
          <w:sz w:val="16"/>
          <w:szCs w:val="16"/>
          <w:color w:val="auto"/>
        </w:rPr>
        <w:t>means this Agreement, the Purchase and Contribution Agreement,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Account Control Agreement, the Collateral Agent Fee Letter, the Custodian Fee Letter, the Backup Collateral Manager Fee Letter, the Lender Fee Letter, the Collateral Administration Agreement and any other security agreements and other instruments entered into or delivered by or on behalf of the Borrower pursuant to Section 5.01(c) to create, perfect or otherwise evidence the Collateral Agent’s security interest.</w:t>
      </w:r>
    </w:p>
    <w:p>
      <w:pPr>
        <w:spacing w:after="0" w:line="150" w:lineRule="exact"/>
        <w:rPr>
          <w:sz w:val="20"/>
          <w:szCs w:val="20"/>
          <w:color w:val="auto"/>
        </w:rPr>
      </w:pPr>
    </w:p>
    <w:p>
      <w:pPr>
        <w:ind w:left="1360" w:right="1400" w:firstLine="484"/>
        <w:spacing w:after="0" w:line="255" w:lineRule="auto"/>
        <w:rPr>
          <w:sz w:val="20"/>
          <w:szCs w:val="20"/>
          <w:color w:val="auto"/>
        </w:rPr>
      </w:pPr>
      <w:r>
        <w:rPr>
          <w:rFonts w:ascii="Times New Roman" w:cs="Times New Roman" w:eastAsia="Times New Roman" w:hAnsi="Times New Roman"/>
          <w:sz w:val="16"/>
          <w:szCs w:val="16"/>
          <w:i w:val="1"/>
          <w:iCs w:val="1"/>
          <w:color w:val="auto"/>
        </w:rPr>
        <w:t>“FATCA</w:t>
      </w:r>
      <w:r>
        <w:rPr>
          <w:rFonts w:ascii="Times New Roman" w:cs="Times New Roman" w:eastAsia="Times New Roman" w:hAnsi="Times New Roman"/>
          <w:sz w:val="16"/>
          <w:szCs w:val="16"/>
          <w:color w:val="auto"/>
        </w:rPr>
        <w:t>” means Sections 1471 through 1474 of the Code, as of the date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(or any amended versions of Sections 1471 through 1474 of the Code that are substantively comparable and not materially more onerous to comply with), any current or future regulations or official interpretations thereof (including any Revenue Ruling, Revenue Procedure, Notice or similar guidance issued by the IRS thereunder as a precondition to relief or exemption from taxes under such provisions), and any agreements entered into pursuant to Section 1471(b)(1) of the Code and an applicable intergovernmental agreement implementing any of the foregoing.</w:t>
      </w:r>
    </w:p>
    <w:p>
      <w:pPr>
        <w:spacing w:after="0" w:line="151" w:lineRule="exact"/>
        <w:rPr>
          <w:sz w:val="20"/>
          <w:szCs w:val="20"/>
          <w:color w:val="auto"/>
        </w:rPr>
      </w:pPr>
    </w:p>
    <w:p>
      <w:pPr>
        <w:ind w:left="1360" w:right="1440" w:firstLine="484"/>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“Federal Funds Rate” </w:t>
      </w:r>
      <w:r>
        <w:rPr>
          <w:rFonts w:ascii="Times New Roman" w:cs="Times New Roman" w:eastAsia="Times New Roman" w:hAnsi="Times New Roman"/>
          <w:sz w:val="16"/>
          <w:szCs w:val="16"/>
          <w:color w:val="auto"/>
        </w:rPr>
        <w:t>means, for any period, a fluctuating interest rate per annum equal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for each day during such period to the weighted average of the rates on overnight Federal funds transactions with members of the Federal Reserve System,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at any time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641985</wp:posOffset>
            </wp:positionV>
            <wp:extent cx="526605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0" w:name="page131"/>
    <w:bookmarkEnd w:id="130"/>
    <w:p>
      <w:pPr>
        <w:spacing w:after="0" w:line="270" w:lineRule="exact"/>
        <w:rPr>
          <w:sz w:val="20"/>
          <w:szCs w:val="20"/>
          <w:color w:val="auto"/>
        </w:rPr>
      </w:pPr>
    </w:p>
    <w:p>
      <w:pPr>
        <w:ind w:left="1360" w:right="1420"/>
        <w:spacing w:after="0" w:line="256" w:lineRule="auto"/>
        <w:rPr>
          <w:sz w:val="20"/>
          <w:szCs w:val="20"/>
          <w:color w:val="auto"/>
        </w:rPr>
      </w:pPr>
      <w:r>
        <w:rPr>
          <w:rFonts w:ascii="Times New Roman" w:cs="Times New Roman" w:eastAsia="Times New Roman" w:hAnsi="Times New Roman"/>
          <w:sz w:val="16"/>
          <w:szCs w:val="16"/>
          <w:color w:val="auto"/>
        </w:rPr>
        <w:t>is borrowing overnight funds from a Federal Reserve Bank that day, the Federal Funds Rate for such Lender for such day shall be the average rate per annum at which such overnight borrowings are made on that day as promptly reported by such Lender to the Borrower, the Collateral Administrator and the Agents in writing. Each determination of the Federal Funds Rate by a Lender pursuant to the foregoing proviso shall be conclusive and binding except in the case of manifest error.</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Fifth Amendment Effective Date</w:t>
      </w:r>
      <w:r>
        <w:rPr>
          <w:rFonts w:ascii="Times New Roman" w:cs="Times New Roman" w:eastAsia="Times New Roman" w:hAnsi="Times New Roman"/>
          <w:sz w:val="16"/>
          <w:szCs w:val="16"/>
          <w:color w:val="auto"/>
        </w:rPr>
        <w:t>” means August 4, 2025.</w:t>
      </w:r>
    </w:p>
    <w:p>
      <w:pPr>
        <w:spacing w:after="0" w:line="189" w:lineRule="exact"/>
        <w:rPr>
          <w:sz w:val="20"/>
          <w:szCs w:val="20"/>
          <w:color w:val="auto"/>
        </w:rPr>
      </w:pPr>
    </w:p>
    <w:p>
      <w:pPr>
        <w:ind w:left="1360" w:right="180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Fifth Amendment Participation Pool</w:t>
      </w:r>
      <w:r>
        <w:rPr>
          <w:rFonts w:ascii="Times New Roman" w:cs="Times New Roman" w:eastAsia="Times New Roman" w:hAnsi="Times New Roman"/>
          <w:sz w:val="16"/>
          <w:szCs w:val="16"/>
          <w:color w:val="auto"/>
        </w:rPr>
        <w:t>” means those Participation Interests listed on Schedule 5 hereto.</w:t>
      </w:r>
    </w:p>
    <w:p>
      <w:pPr>
        <w:spacing w:after="0" w:line="1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“Final Maturity Date” </w:t>
      </w:r>
      <w:r>
        <w:rPr>
          <w:rFonts w:ascii="Times New Roman" w:cs="Times New Roman" w:eastAsia="Times New Roman" w:hAnsi="Times New Roman"/>
          <w:sz w:val="16"/>
          <w:szCs w:val="16"/>
          <w:color w:val="auto"/>
        </w:rPr>
        <w:t>means the second anniversary of the last day of the Reinvestment</w:t>
      </w:r>
    </w:p>
    <w:p>
      <w:pPr>
        <w:spacing w:after="0" w:line="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Period.</w:t>
      </w:r>
    </w:p>
    <w:p>
      <w:pPr>
        <w:spacing w:after="0" w:line="169" w:lineRule="exact"/>
        <w:rPr>
          <w:sz w:val="20"/>
          <w:szCs w:val="20"/>
          <w:color w:val="auto"/>
        </w:rPr>
      </w:pPr>
    </w:p>
    <w:p>
      <w:pPr>
        <w:ind w:left="1360" w:right="1460" w:firstLine="484"/>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“Final Order” </w:t>
      </w:r>
      <w:r>
        <w:rPr>
          <w:rFonts w:ascii="Times New Roman" w:cs="Times New Roman" w:eastAsia="Times New Roman" w:hAnsi="Times New Roman"/>
          <w:sz w:val="16"/>
          <w:szCs w:val="16"/>
          <w:color w:val="auto"/>
        </w:rPr>
        <w:t>means an order, judgment, decree or ruling the operation or effect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has not been stayed, reversed or amended and as to which order, judgment, decree or ruling (or any revision, modification or amendment thereof) the time to appeal or to seek review or rehearing has expired and as to which no appeal or petition for review or rehearing was filed or, if filed, remains pending.</w:t>
      </w:r>
    </w:p>
    <w:p>
      <w:pPr>
        <w:spacing w:after="0" w:line="133" w:lineRule="exact"/>
        <w:rPr>
          <w:sz w:val="20"/>
          <w:szCs w:val="20"/>
          <w:color w:val="auto"/>
        </w:rPr>
      </w:pPr>
    </w:p>
    <w:p>
      <w:pPr>
        <w:ind w:left="1840"/>
        <w:spacing w:after="0" w:line="184" w:lineRule="exact"/>
        <w:rPr>
          <w:sz w:val="20"/>
          <w:szCs w:val="20"/>
          <w:color w:val="auto"/>
        </w:rPr>
      </w:pPr>
      <w:r>
        <w:rPr>
          <w:rFonts w:ascii="Times New Roman" w:cs="Times New Roman" w:eastAsia="Times New Roman" w:hAnsi="Times New Roman"/>
          <w:sz w:val="16"/>
          <w:szCs w:val="16"/>
          <w:i w:val="1"/>
          <w:iCs w:val="1"/>
          <w:color w:val="auto"/>
        </w:rPr>
        <w:t xml:space="preserve">“Financial Asset” </w:t>
      </w:r>
      <w:r>
        <w:rPr>
          <w:rFonts w:ascii="Times New Roman" w:cs="Times New Roman" w:eastAsia="Times New Roman" w:hAnsi="Times New Roman"/>
          <w:sz w:val="16"/>
          <w:szCs w:val="16"/>
          <w:color w:val="auto"/>
        </w:rPr>
        <w:t>has the meaning specified in Section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102(a)(9) of the UCC.</w:t>
      </w:r>
    </w:p>
    <w:p>
      <w:pPr>
        <w:spacing w:after="0" w:line="20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Financing Documents</w:t>
      </w:r>
      <w:r>
        <w:rPr>
          <w:rFonts w:ascii="Times New Roman" w:cs="Times New Roman" w:eastAsia="Times New Roman" w:hAnsi="Times New Roman"/>
          <w:sz w:val="16"/>
          <w:szCs w:val="16"/>
          <w:color w:val="auto"/>
        </w:rPr>
        <w:t>” has the meaning set forth in Section 14.02(b) hereof.</w:t>
      </w:r>
    </w:p>
    <w:p>
      <w:pPr>
        <w:spacing w:after="0" w:line="175" w:lineRule="exact"/>
        <w:rPr>
          <w:sz w:val="20"/>
          <w:szCs w:val="20"/>
          <w:color w:val="auto"/>
        </w:rPr>
      </w:pPr>
    </w:p>
    <w:p>
      <w:pPr>
        <w:ind w:left="1840"/>
        <w:spacing w:after="0" w:line="184" w:lineRule="exact"/>
        <w:rPr>
          <w:sz w:val="20"/>
          <w:szCs w:val="20"/>
          <w:color w:val="auto"/>
        </w:rPr>
      </w:pPr>
      <w:r>
        <w:rPr>
          <w:rFonts w:ascii="Times New Roman" w:cs="Times New Roman" w:eastAsia="Times New Roman" w:hAnsi="Times New Roman"/>
          <w:sz w:val="16"/>
          <w:szCs w:val="16"/>
          <w:i w:val="1"/>
          <w:iCs w:val="1"/>
          <w:color w:val="auto"/>
        </w:rPr>
        <w:t xml:space="preserve">“Financing Statements” </w:t>
      </w:r>
      <w:r>
        <w:rPr>
          <w:rFonts w:ascii="Times New Roman" w:cs="Times New Roman" w:eastAsia="Times New Roman" w:hAnsi="Times New Roman"/>
          <w:sz w:val="16"/>
          <w:szCs w:val="16"/>
          <w:color w:val="auto"/>
        </w:rPr>
        <w:t>has the meaning specified in Section 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102(a)(39) of the UCC.</w:t>
      </w:r>
    </w:p>
    <w:p>
      <w:pPr>
        <w:spacing w:after="0" w:line="203" w:lineRule="exact"/>
        <w:rPr>
          <w:sz w:val="20"/>
          <w:szCs w:val="20"/>
          <w:color w:val="auto"/>
        </w:rPr>
      </w:pPr>
    </w:p>
    <w:p>
      <w:pPr>
        <w:ind w:left="1360" w:right="1360" w:firstLine="484"/>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“First Lien/Last Out Loan” </w:t>
      </w:r>
      <w:r>
        <w:rPr>
          <w:rFonts w:ascii="Times New Roman" w:cs="Times New Roman" w:eastAsia="Times New Roman" w:hAnsi="Times New Roman"/>
          <w:sz w:val="16"/>
          <w:szCs w:val="16"/>
          <w:color w:val="auto"/>
        </w:rPr>
        <w:t>means a Collateral Loan that would constitute a First Lien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Loan (other than by operation of the proviso in the definition of such term) but that, in the case of an event of default under the applicable Related Document, will be paid after one or more tranches of first lien loans issued by the same obligor have been paid in full in accordance with a specified waterfall of payments.</w:t>
      </w:r>
    </w:p>
    <w:p>
      <w:pPr>
        <w:spacing w:after="0" w:line="14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First Lien Loan</w:t>
      </w:r>
      <w:r>
        <w:rPr>
          <w:rFonts w:ascii="Times New Roman" w:cs="Times New Roman" w:eastAsia="Times New Roman" w:hAnsi="Times New Roman"/>
          <w:sz w:val="16"/>
          <w:szCs w:val="16"/>
          <w:color w:val="auto"/>
        </w:rPr>
        <w:t>” means any Collateral Loan (for purposes of this definition, a “loan”)</w:t>
      </w:r>
    </w:p>
    <w:p>
      <w:pPr>
        <w:spacing w:after="0" w:line="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that meets the following criteria:</w:t>
      </w:r>
    </w:p>
    <w:p>
      <w:pPr>
        <w:spacing w:after="0" w:line="171" w:lineRule="exact"/>
        <w:rPr>
          <w:sz w:val="20"/>
          <w:szCs w:val="20"/>
          <w:color w:val="auto"/>
        </w:rPr>
      </w:pPr>
    </w:p>
    <w:p>
      <w:pPr>
        <w:ind w:left="1840" w:right="1400" w:firstLine="488"/>
        <w:spacing w:after="0" w:line="266" w:lineRule="auto"/>
        <w:tabs>
          <w:tab w:leader="none" w:pos="2544"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(and is not expressly permitted by its terms to become) subordinate in right of payment to any other obligation for borrowed money of the Obligor of such loan, unless such loan is a Split First Lien Loan;</w:t>
      </w:r>
    </w:p>
    <w:p>
      <w:pPr>
        <w:spacing w:after="0" w:line="144" w:lineRule="exact"/>
        <w:rPr>
          <w:rFonts w:ascii="Times New Roman" w:cs="Times New Roman" w:eastAsia="Times New Roman" w:hAnsi="Times New Roman"/>
          <w:sz w:val="16"/>
          <w:szCs w:val="16"/>
          <w:color w:val="auto"/>
        </w:rPr>
      </w:pPr>
    </w:p>
    <w:p>
      <w:pPr>
        <w:ind w:left="1840" w:right="1440" w:firstLine="488"/>
        <w:spacing w:after="0" w:line="256" w:lineRule="auto"/>
        <w:tabs>
          <w:tab w:leader="none" w:pos="2553"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is secured by a valid first priority perfected Lien in, to or on specified collateral securing the Obligor’s obligations under such loan (whether or not such loan is also secured by any lower priority Lien on other collateral), but subject to purchase money liens and customary Liens for taxes or regulatory charges not then due and payable and other permitted Liens under the Related Documents;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permitted Liens do not directly secure indebtedness for borrowed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642620</wp:posOffset>
            </wp:positionV>
            <wp:extent cx="526605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1" w:name="page132"/>
    <w:bookmarkEnd w:id="131"/>
    <w:p>
      <w:pPr>
        <w:spacing w:after="0" w:line="270" w:lineRule="exact"/>
        <w:rPr>
          <w:sz w:val="20"/>
          <w:szCs w:val="20"/>
          <w:color w:val="auto"/>
        </w:rPr>
      </w:pPr>
    </w:p>
    <w:p>
      <w:pPr>
        <w:jc w:val="both"/>
        <w:ind w:left="1840" w:right="1360" w:firstLine="488"/>
        <w:spacing w:after="0" w:line="261" w:lineRule="auto"/>
        <w:tabs>
          <w:tab w:leader="none" w:pos="254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secured, pursuant to such first priority perfected Lien, by collateral having a value (determined as set forth below) not less than the Principal Balance of such loan plus the aggregate Principal Balances of all other loans of equal seniority secured by a first Lien in the same collateral; and</w:t>
      </w:r>
    </w:p>
    <w:p>
      <w:pPr>
        <w:spacing w:after="0" w:line="148" w:lineRule="exact"/>
        <w:rPr>
          <w:rFonts w:ascii="Times New Roman" w:cs="Times New Roman" w:eastAsia="Times New Roman" w:hAnsi="Times New Roman"/>
          <w:sz w:val="16"/>
          <w:szCs w:val="16"/>
          <w:color w:val="auto"/>
        </w:rPr>
      </w:pPr>
    </w:p>
    <w:p>
      <w:pPr>
        <w:ind w:left="1840" w:right="1540" w:firstLine="488"/>
        <w:spacing w:after="0" w:line="283" w:lineRule="auto"/>
        <w:tabs>
          <w:tab w:leader="none" w:pos="2553"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 loan which is secured solely or primarily by the common stock of its Obligor or any of its Affiliates;</w:t>
      </w:r>
    </w:p>
    <w:p>
      <w:pPr>
        <w:spacing w:after="0" w:line="129" w:lineRule="exact"/>
        <w:rPr>
          <w:sz w:val="20"/>
          <w:szCs w:val="20"/>
          <w:color w:val="auto"/>
        </w:rPr>
      </w:pPr>
    </w:p>
    <w:p>
      <w:pPr>
        <w:ind w:left="1360" w:right="1340"/>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neither a First Lien/Last Out Loan nor a Split Lien Loan shall constitute a First Lien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Loan. For the avoidance of doubt, Split First Lien Loans will constitute First Lien Loans hereunder.</w:t>
      </w:r>
    </w:p>
    <w:p>
      <w:pPr>
        <w:spacing w:after="0" w:line="142" w:lineRule="exact"/>
        <w:rPr>
          <w:sz w:val="20"/>
          <w:szCs w:val="20"/>
          <w:color w:val="auto"/>
        </w:rPr>
      </w:pPr>
    </w:p>
    <w:p>
      <w:pPr>
        <w:ind w:left="1360" w:right="1400" w:firstLine="484"/>
        <w:spacing w:after="0" w:line="256" w:lineRule="auto"/>
        <w:rPr>
          <w:sz w:val="20"/>
          <w:szCs w:val="20"/>
          <w:color w:val="auto"/>
        </w:rPr>
      </w:pPr>
      <w:r>
        <w:rPr>
          <w:rFonts w:ascii="Times New Roman" w:cs="Times New Roman" w:eastAsia="Times New Roman" w:hAnsi="Times New Roman"/>
          <w:sz w:val="16"/>
          <w:szCs w:val="16"/>
          <w:color w:val="auto"/>
        </w:rPr>
        <w:t>The determination as to whether clause (c) of this definition is satisfied shall be based on both (a) an analysis of the enterprise value of the related Obligor by the Collateral Manager or an Appraisal or other valuation (which may be an internal Appraisal or valuation performed by the Collateral Manager) performed on or about the date of acquisition by the Borrower or of the most recent restructuring of such Collateral Loan, and (b) the Collateral Manager’s judgment at the time such Collateral Loan is acquired by the Borrower.</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“Fitch” </w:t>
      </w:r>
      <w:r>
        <w:rPr>
          <w:rFonts w:ascii="Times New Roman" w:cs="Times New Roman" w:eastAsia="Times New Roman" w:hAnsi="Times New Roman"/>
          <w:sz w:val="16"/>
          <w:szCs w:val="16"/>
          <w:color w:val="auto"/>
        </w:rPr>
        <w:t>means Fitch, Inc., together with its successors.</w:t>
      </w:r>
    </w:p>
    <w:p>
      <w:pPr>
        <w:spacing w:after="0" w:line="189" w:lineRule="exact"/>
        <w:rPr>
          <w:sz w:val="20"/>
          <w:szCs w:val="20"/>
          <w:color w:val="auto"/>
        </w:rPr>
      </w:pPr>
    </w:p>
    <w:p>
      <w:pPr>
        <w:ind w:left="1360" w:right="1400" w:firstLine="484"/>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Fixed Charge Coverage Ratio</w:t>
      </w:r>
      <w:r>
        <w:rPr>
          <w:rFonts w:ascii="Times New Roman" w:cs="Times New Roman" w:eastAsia="Times New Roman" w:hAnsi="Times New Roman"/>
          <w:sz w:val="16"/>
          <w:szCs w:val="16"/>
          <w:color w:val="auto"/>
        </w:rPr>
        <w:t xml:space="preserve">” means, with respect to any Collateral Loan for any Relevant Test Period, the meaning of “Fixed Charge Coverage Ratio” or any comparable term relating to the ratio of fixed charges to EBITDA defined in the Related Documents for such Collateral Loan, and in any case that “Fixed Charge Coverage Ratio” or such comparable term is not defined in such Related Documents, the ratio of (a) fixed charges to (b) EBITDA as calculated by the Collateral Manager in good faith using information from and calculations consistent with the relevant financial models, </w:t>
      </w:r>
      <w:r>
        <w:rPr>
          <w:rFonts w:ascii="Times New Roman" w:cs="Times New Roman" w:eastAsia="Times New Roman" w:hAnsi="Times New Roman"/>
          <w:sz w:val="16"/>
          <w:szCs w:val="16"/>
          <w:i w:val="1"/>
          <w:iCs w:val="1"/>
          <w:color w:val="auto"/>
        </w:rPr>
        <w:t>pro forma</w:t>
      </w:r>
      <w:r>
        <w:rPr>
          <w:rFonts w:ascii="Times New Roman" w:cs="Times New Roman" w:eastAsia="Times New Roman" w:hAnsi="Times New Roman"/>
          <w:sz w:val="16"/>
          <w:szCs w:val="16"/>
          <w:color w:val="auto"/>
        </w:rPr>
        <w:t xml:space="preserve"> financial statements, compliance statements and financial reporting packages provided by the relevant Obligor as per the requirements of the Related Documents.</w:t>
      </w:r>
    </w:p>
    <w:p>
      <w:pPr>
        <w:spacing w:after="0" w:line="15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“Fixed Rate Obligation” </w:t>
      </w:r>
      <w:r>
        <w:rPr>
          <w:rFonts w:ascii="Times New Roman" w:cs="Times New Roman" w:eastAsia="Times New Roman" w:hAnsi="Times New Roman"/>
          <w:sz w:val="16"/>
          <w:szCs w:val="16"/>
          <w:color w:val="auto"/>
        </w:rPr>
        <w:t>means any Collateral Loan that bears a fixed rate of interest.</w:t>
      </w:r>
    </w:p>
    <w:p>
      <w:pPr>
        <w:spacing w:after="0" w:line="189" w:lineRule="exact"/>
        <w:rPr>
          <w:sz w:val="20"/>
          <w:szCs w:val="20"/>
          <w:color w:val="auto"/>
        </w:rPr>
      </w:pPr>
    </w:p>
    <w:p>
      <w:pPr>
        <w:ind w:left="1360" w:right="18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“Floating Rate Obligation” </w:t>
      </w:r>
      <w:r>
        <w:rPr>
          <w:rFonts w:ascii="Times New Roman" w:cs="Times New Roman" w:eastAsia="Times New Roman" w:hAnsi="Times New Roman"/>
          <w:sz w:val="16"/>
          <w:szCs w:val="16"/>
          <w:color w:val="auto"/>
        </w:rPr>
        <w:t>means any Collateral Loan that bears a floating rate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w:t>
      </w:r>
    </w:p>
    <w:p>
      <w:pPr>
        <w:spacing w:after="0" w:line="1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“Floor Obligation” </w:t>
      </w:r>
      <w:r>
        <w:rPr>
          <w:rFonts w:ascii="Times New Roman" w:cs="Times New Roman" w:eastAsia="Times New Roman" w:hAnsi="Times New Roman"/>
          <w:sz w:val="16"/>
          <w:szCs w:val="16"/>
          <w:color w:val="auto"/>
        </w:rPr>
        <w:t>means, as of any date:</w:t>
      </w:r>
    </w:p>
    <w:p>
      <w:pPr>
        <w:spacing w:after="0" w:line="191" w:lineRule="exact"/>
        <w:rPr>
          <w:sz w:val="20"/>
          <w:szCs w:val="20"/>
          <w:color w:val="auto"/>
        </w:rPr>
      </w:pPr>
    </w:p>
    <w:p>
      <w:pPr>
        <w:ind w:left="1840" w:right="1360" w:firstLine="44"/>
        <w:spacing w:after="0" w:line="256" w:lineRule="auto"/>
        <w:tabs>
          <w:tab w:leader="none" w:pos="21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Floating Rate Obligation (1) for which the Related Documents provides for a London interbank offered rate option or a SOFR option and that such rate is calculated as the greater of a specified “floor” rate per annum and such rate for the applicable interest period and (2) that, as of such date, bears interest based on such London interbank offered rate option or SOFR option, but only if as of such date the London interbank offered rate or SOFR for the applicable interest period is less than such floor rate; and</w:t>
      </w:r>
    </w:p>
    <w:p>
      <w:pPr>
        <w:spacing w:after="0" w:line="154" w:lineRule="exact"/>
        <w:rPr>
          <w:rFonts w:ascii="Times New Roman" w:cs="Times New Roman" w:eastAsia="Times New Roman" w:hAnsi="Times New Roman"/>
          <w:sz w:val="16"/>
          <w:szCs w:val="16"/>
          <w:color w:val="auto"/>
        </w:rPr>
      </w:pPr>
    </w:p>
    <w:p>
      <w:pPr>
        <w:ind w:left="1840" w:right="1500" w:firstLine="44"/>
        <w:spacing w:after="0" w:line="283" w:lineRule="auto"/>
        <w:tabs>
          <w:tab w:leader="none" w:pos="210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Floating Rate Obligation (1) for which the Related Documents provides for a base or prime rate option and such base or prime rate is calculated as the greater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628015</wp:posOffset>
            </wp:positionV>
            <wp:extent cx="526605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2" w:name="page133"/>
    <w:bookmarkEnd w:id="132"/>
    <w:p>
      <w:pPr>
        <w:spacing w:after="0" w:line="270" w:lineRule="exact"/>
        <w:rPr>
          <w:sz w:val="20"/>
          <w:szCs w:val="20"/>
          <w:color w:val="auto"/>
        </w:rPr>
      </w:pPr>
    </w:p>
    <w:p>
      <w:pPr>
        <w:ind w:left="1840" w:right="1360"/>
        <w:spacing w:after="0" w:line="261" w:lineRule="auto"/>
        <w:rPr>
          <w:sz w:val="20"/>
          <w:szCs w:val="20"/>
          <w:color w:val="auto"/>
        </w:rPr>
      </w:pPr>
      <w:r>
        <w:rPr>
          <w:rFonts w:ascii="Times New Roman" w:cs="Times New Roman" w:eastAsia="Times New Roman" w:hAnsi="Times New Roman"/>
          <w:sz w:val="16"/>
          <w:szCs w:val="16"/>
          <w:color w:val="auto"/>
        </w:rPr>
        <w:t>specified “floor” rate per annum and the base or prime rate for the applicable interest period and (2) that, as of such date, bears interest based on such base or prime rate option, but only if as of such date the base or prime rate for the applicable interest period is less than such floor rate.</w:t>
      </w:r>
    </w:p>
    <w:p>
      <w:pPr>
        <w:spacing w:after="0" w:line="146" w:lineRule="exact"/>
        <w:rPr>
          <w:sz w:val="20"/>
          <w:szCs w:val="20"/>
          <w:color w:val="auto"/>
        </w:rPr>
      </w:pPr>
    </w:p>
    <w:p>
      <w:pPr>
        <w:ind w:left="1360" w:right="1400" w:firstLine="484"/>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“Foreign Currency Equivalent” </w:t>
      </w:r>
      <w:r>
        <w:rPr>
          <w:rFonts w:ascii="Times New Roman" w:cs="Times New Roman" w:eastAsia="Times New Roman" w:hAnsi="Times New Roman"/>
          <w:sz w:val="16"/>
          <w:szCs w:val="16"/>
          <w:color w:val="auto"/>
        </w:rPr>
        <w:t>means, with respect to any amount in Dollars,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amount of any Agreed Foreign Currency that could be purchased with such amount of Dollars using the reciprocal of the foreign exchange rate(s) specified in the definition of the term “Dollar Equivalent”, as determined by the Collateral Manager and reported to the Administrative Agent and the Collateral Administrator.</w:t>
      </w:r>
    </w:p>
    <w:p>
      <w:pPr>
        <w:spacing w:after="0" w:line="147" w:lineRule="exact"/>
        <w:rPr>
          <w:sz w:val="20"/>
          <w:szCs w:val="20"/>
          <w:color w:val="auto"/>
        </w:rPr>
      </w:pPr>
    </w:p>
    <w:p>
      <w:pPr>
        <w:ind w:left="1360" w:right="1380" w:firstLine="484"/>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Foreign Currency Loan OC Balance</w:t>
      </w:r>
      <w:r>
        <w:rPr>
          <w:rFonts w:ascii="Times New Roman" w:cs="Times New Roman" w:eastAsia="Times New Roman" w:hAnsi="Times New Roman"/>
          <w:sz w:val="16"/>
          <w:szCs w:val="16"/>
          <w:color w:val="auto"/>
        </w:rPr>
        <w:t xml:space="preserve">” means, for any Collateral Loan denominated in an Agreed Foreign Currency, the sum of, (a) the product of (i) the Dollar Equivalent outstanding principal balance of such loan, and (ii) the difference of 1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the Advance Rate applicable to such loan, (b) the Dollar Equivalent of any Excess Concentration Amount attributable to such Collateral Loan, and (c) if such Collateral Loan is a Haircut Collateral Loan, the product of (i) the Dollar Equivalent outstanding principal balance of such Haircut Collateral Loan and (ii) 1 </w:t>
      </w:r>
      <w:r>
        <w:rPr>
          <w:rFonts w:ascii="Times New Roman" w:cs="Times New Roman" w:eastAsia="Times New Roman" w:hAnsi="Times New Roman"/>
          <w:sz w:val="16"/>
          <w:szCs w:val="16"/>
          <w:i w:val="1"/>
          <w:iCs w:val="1"/>
          <w:color w:val="auto"/>
        </w:rPr>
        <w:t xml:space="preserve">minus </w:t>
      </w:r>
      <w:r>
        <w:rPr>
          <w:rFonts w:ascii="Times New Roman" w:cs="Times New Roman" w:eastAsia="Times New Roman" w:hAnsi="Times New Roman"/>
          <w:sz w:val="16"/>
          <w:szCs w:val="16"/>
          <w:color w:val="auto"/>
        </w:rPr>
        <w:t>such Haircut Collateral Loan’s Recovery Rate.</w:t>
      </w:r>
    </w:p>
    <w:p>
      <w:pPr>
        <w:spacing w:after="0" w:line="150" w:lineRule="exact"/>
        <w:rPr>
          <w:sz w:val="20"/>
          <w:szCs w:val="20"/>
          <w:color w:val="auto"/>
        </w:rPr>
      </w:pPr>
    </w:p>
    <w:p>
      <w:pPr>
        <w:ind w:left="1360" w:right="16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“Foreign Currency Variability Factor” </w:t>
      </w:r>
      <w:r>
        <w:rPr>
          <w:rFonts w:ascii="Times New Roman" w:cs="Times New Roman" w:eastAsia="Times New Roman" w:hAnsi="Times New Roman"/>
          <w:sz w:val="16"/>
          <w:szCs w:val="16"/>
          <w:color w:val="auto"/>
        </w:rPr>
        <w:t>means, with respect to each Agreed Foreign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Currency, the percentage opposite such Agreed Foreign Currency set forth in the table below:</w:t>
      </w:r>
    </w:p>
    <w:p>
      <w:pPr>
        <w:spacing w:after="0" w:line="310" w:lineRule="exact"/>
        <w:rPr>
          <w:sz w:val="20"/>
          <w:szCs w:val="20"/>
          <w:color w:val="auto"/>
        </w:rPr>
      </w:pPr>
    </w:p>
    <w:tbl>
      <w:tblPr>
        <w:tblLayout w:type="fixed"/>
        <w:tblInd w:w="1440" w:type="dxa"/>
        <w:tblCellMar>
          <w:top w:w="0" w:type="dxa"/>
          <w:left w:w="0" w:type="dxa"/>
          <w:bottom w:w="0" w:type="dxa"/>
          <w:right w:w="0" w:type="dxa"/>
        </w:tblCellMar>
      </w:tblPr>
      <w:tr>
        <w:trPr>
          <w:trHeight w:val="210"/>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Applicable Currency</w:t>
            </w:r>
          </w:p>
        </w:tc>
        <w:tc>
          <w:tcPr>
            <w:tcW w:w="206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99"/>
              </w:rPr>
              <w:t>Percentage Factor</w:t>
            </w:r>
          </w:p>
        </w:tc>
      </w:tr>
      <w:tr>
        <w:trPr>
          <w:trHeight w:val="37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Euros</w:t>
            </w:r>
          </w:p>
        </w:tc>
        <w:tc>
          <w:tcPr>
            <w:tcW w:w="206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33%</w:t>
            </w:r>
          </w:p>
        </w:tc>
      </w:tr>
      <w:tr>
        <w:trPr>
          <w:trHeight w:val="37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Canadian Dollars</w:t>
            </w:r>
          </w:p>
        </w:tc>
        <w:tc>
          <w:tcPr>
            <w:tcW w:w="206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38%</w:t>
            </w:r>
          </w:p>
        </w:tc>
      </w:tr>
      <w:tr>
        <w:trPr>
          <w:trHeight w:val="37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Pounds Sterling</w:t>
            </w:r>
          </w:p>
        </w:tc>
        <w:tc>
          <w:tcPr>
            <w:tcW w:w="206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51%</w:t>
            </w:r>
          </w:p>
        </w:tc>
      </w:tr>
      <w:tr>
        <w:trPr>
          <w:trHeight w:val="37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Australian Dollars</w:t>
            </w:r>
          </w:p>
        </w:tc>
        <w:tc>
          <w:tcPr>
            <w:tcW w:w="206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61%</w:t>
            </w:r>
          </w:p>
        </w:tc>
      </w:tr>
    </w:tbl>
    <w:p>
      <w:pPr>
        <w:spacing w:after="0" w:line="161" w:lineRule="exact"/>
        <w:rPr>
          <w:sz w:val="20"/>
          <w:szCs w:val="20"/>
          <w:color w:val="auto"/>
        </w:rPr>
      </w:pPr>
    </w:p>
    <w:p>
      <w:pPr>
        <w:ind w:left="1360" w:right="1520" w:firstLine="484"/>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“Foreign Currency Variability Reserve” </w:t>
      </w:r>
      <w:r>
        <w:rPr>
          <w:rFonts w:ascii="Times New Roman" w:cs="Times New Roman" w:eastAsia="Times New Roman" w:hAnsi="Times New Roman"/>
          <w:sz w:val="16"/>
          <w:szCs w:val="16"/>
          <w:color w:val="auto"/>
        </w:rPr>
        <w:t>means the sum of (a) the product of (i)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aggregate Foreign Currency Loan OC Balance for all Collateral Loans denominated in Euros, and (ii) the Foreign Currency Variability Factor for Euros, (b) the product of (i) the aggregate Foreign Currency Loan OC Balance for all Collateral Loans denominated in Canadian Dollars and (ii) the Foreign Currency Variability Factor for Canadian Dollars, (c) the product of (i) the aggregate Foreign Currency Loan OC Balance for all Collateral Loans denominated in Pounds Sterling and (ii) the Foreign Currency Variability Factor for Pounds Sterling, (d) the product of</w:t>
      </w:r>
    </w:p>
    <w:p>
      <w:pPr>
        <w:spacing w:after="0" w:line="4" w:lineRule="exact"/>
        <w:rPr>
          <w:sz w:val="20"/>
          <w:szCs w:val="20"/>
          <w:color w:val="auto"/>
        </w:rPr>
      </w:pPr>
    </w:p>
    <w:p>
      <w:pPr>
        <w:ind w:left="1360" w:right="1640"/>
        <w:spacing w:after="0" w:line="260" w:lineRule="auto"/>
        <w:tabs>
          <w:tab w:leader="none" w:pos="155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Foreign Currency Loan OC Balance for all Collateral Loans denominated in Australian Dollars and (ii) the Foreign Currency Variability Factor for Australian Dollars.</w:t>
      </w:r>
    </w:p>
    <w:p>
      <w:pPr>
        <w:spacing w:after="0" w:line="146" w:lineRule="exact"/>
        <w:rPr>
          <w:sz w:val="20"/>
          <w:szCs w:val="20"/>
          <w:color w:val="auto"/>
        </w:rPr>
      </w:pPr>
    </w:p>
    <w:p>
      <w:pPr>
        <w:ind w:left="1360" w:right="1500" w:firstLine="4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Foreign Loan</w:t>
      </w:r>
      <w:r>
        <w:rPr>
          <w:rFonts w:ascii="Times New Roman" w:cs="Times New Roman" w:eastAsia="Times New Roman" w:hAnsi="Times New Roman"/>
          <w:sz w:val="16"/>
          <w:szCs w:val="16"/>
          <w:color w:val="auto"/>
        </w:rPr>
        <w:t>” means any Loan that relates to an Eligible Foreign Obligor or any other Obligor that is not registered to do business in the United States, does not have contact information in the United States or the collateral securing such Loan is located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638175</wp:posOffset>
            </wp:positionV>
            <wp:extent cx="526605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3" w:name="page134"/>
    <w:bookmarkEnd w:id="133"/>
    <w:p>
      <w:pPr>
        <w:spacing w:after="0" w:line="268" w:lineRule="exact"/>
        <w:rPr>
          <w:sz w:val="20"/>
          <w:szCs w:val="20"/>
          <w:color w:val="auto"/>
        </w:rPr>
      </w:pPr>
    </w:p>
    <w:p>
      <w:pPr>
        <w:ind w:left="1360" w:right="1360" w:firstLine="4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Freshwater Industry</w:t>
      </w:r>
      <w:r>
        <w:rPr>
          <w:rFonts w:ascii="Times New Roman" w:cs="Times New Roman" w:eastAsia="Times New Roman" w:hAnsi="Times New Roman"/>
          <w:sz w:val="16"/>
          <w:szCs w:val="16"/>
          <w:color w:val="auto"/>
        </w:rPr>
        <w:t>” means an industry where the Obligor directly supports the following: dams that do not conform to the decision-making framework of the WCD Framework; or projects located in, or substantially impacting on, critical natural habitats where the project significantly degrades or converts them.</w:t>
      </w:r>
    </w:p>
    <w:p>
      <w:pPr>
        <w:spacing w:after="0" w:line="145" w:lineRule="exact"/>
        <w:rPr>
          <w:sz w:val="20"/>
          <w:szCs w:val="20"/>
          <w:color w:val="auto"/>
        </w:rPr>
      </w:pPr>
    </w:p>
    <w:p>
      <w:pPr>
        <w:ind w:left="1360" w:right="1360" w:firstLine="484"/>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“Fundamental Amendment” </w:t>
      </w:r>
      <w:r>
        <w:rPr>
          <w:rFonts w:ascii="Times New Roman" w:cs="Times New Roman" w:eastAsia="Times New Roman" w:hAnsi="Times New Roman"/>
          <w:sz w:val="16"/>
          <w:szCs w:val="16"/>
          <w:color w:val="auto"/>
        </w:rPr>
        <w:t>means any amendment, modification, waiver or supplement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or to this Agreement that would (a) increase or extend the term of the Commitments (other than an increase in the Commitment of a particular Lender or addition of a new Lender hereunder agreed to by the relevant Lender(s) pursuant to the terms of this Agreement) or change the Final Maturity Date, (b) extend the date fixed for the payment of principal of or interest on any Advance or any fee hereunder, (c) reduce the amount of any such payment of principal, (d) reduce the rate at which interest is payable thereon or any fee is payable hereunder, (e) release any material portion of the Collateral, except in connection with dispositions permitted hereunder, (f) alter the terms of Section 6.01, Section 9.01, Section 15.01(b) or Section 15.23 or any defined terms used therein or any other provision providing for pro rata payments to the Lenders, (g) modify the definition of the terms “Agreed Foreign Currency,” “Currency Valuation Trigger Event,” “Dollar Equivalent,” “Majority Lenders,” “Required Lenders,” “Maximum Available Amount,” “Borrowing Base,” “Maximum Advance Rate Test”, “Maximum Advance Rate Default Test”, “Fundamental Amendment”, “Interest Coverage Ratio Test”, “Minimum Equity Amount”, “Collateral Quality Test” or any Collateral Quality Test set forth therein or component thereof defined therein, “Collateral Loan”, “Eligible Collateral Loan” or any defined terms used therein, or modify in any other manner the number or percentage of the Lenders required to make any determinations or waive any rights hereunder or to modify any provision hereof, (h) extend the Reinvestment Period, (i) permit the formation of any subsidiary of the Borrower or (j) result in the direct or indirect subordination of the Obligations and/or the security interest and lien upon the Collateral that is granted by any Borrower in accordance with this Agreement.</w:t>
      </w:r>
    </w:p>
    <w:p>
      <w:pPr>
        <w:spacing w:after="0" w:line="358" w:lineRule="exact"/>
        <w:rPr>
          <w:sz w:val="20"/>
          <w:szCs w:val="20"/>
          <w:color w:val="auto"/>
        </w:rPr>
      </w:pPr>
    </w:p>
    <w:p>
      <w:pPr>
        <w:ind w:left="1360" w:right="148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“Funding Effective Date” </w:t>
      </w:r>
      <w:r>
        <w:rPr>
          <w:rFonts w:ascii="Times New Roman" w:cs="Times New Roman" w:eastAsia="Times New Roman" w:hAnsi="Times New Roman"/>
          <w:sz w:val="16"/>
          <w:szCs w:val="16"/>
          <w:color w:val="auto"/>
        </w:rPr>
        <w:t>means the later of the Closing Date and the date on which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conditions precedent set forth in Section 3.01 are satisfied.</w:t>
      </w:r>
    </w:p>
    <w:p>
      <w:pPr>
        <w:spacing w:after="0" w:line="126" w:lineRule="exact"/>
        <w:rPr>
          <w:sz w:val="20"/>
          <w:szCs w:val="20"/>
          <w:color w:val="auto"/>
        </w:rPr>
      </w:pPr>
    </w:p>
    <w:p>
      <w:pPr>
        <w:ind w:left="1360" w:right="154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“GAAP” </w:t>
      </w:r>
      <w:r>
        <w:rPr>
          <w:rFonts w:ascii="Times New Roman" w:cs="Times New Roman" w:eastAsia="Times New Roman" w:hAnsi="Times New Roman"/>
          <w:sz w:val="16"/>
          <w:szCs w:val="16"/>
          <w:color w:val="auto"/>
        </w:rPr>
        <w:t>means generally accepted accounting principles in effect from time to time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United States.</w:t>
      </w:r>
    </w:p>
    <w:p>
      <w:pPr>
        <w:spacing w:after="0" w:line="126" w:lineRule="exact"/>
        <w:rPr>
          <w:sz w:val="20"/>
          <w:szCs w:val="20"/>
          <w:color w:val="auto"/>
        </w:rPr>
      </w:pPr>
    </w:p>
    <w:p>
      <w:pPr>
        <w:ind w:left="1360" w:right="1420" w:firstLine="484"/>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“Governmental Authority” </w:t>
      </w:r>
      <w:r>
        <w:rPr>
          <w:rFonts w:ascii="Times New Roman" w:cs="Times New Roman" w:eastAsia="Times New Roman" w:hAnsi="Times New Roman"/>
          <w:sz w:val="16"/>
          <w:szCs w:val="16"/>
          <w:color w:val="auto"/>
        </w:rPr>
        <w:t>means any nation or government, any state or other political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subdivision thereof, any agency, authority, instrumentality, regulatory body, quasi-regulatory authority, administrative tribunal, central bank, public office, court, arbitration or mediation panel, or other entity exercising executive, legislative, judicial, taxing, regulatory or administrative powers or functions of government, including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 (including any supra-national body exercising such powers or functions, such as the European Union or the European Central Bank).</w:t>
      </w:r>
    </w:p>
    <w:p>
      <w:pPr>
        <w:spacing w:after="0" w:line="151" w:lineRule="exact"/>
        <w:rPr>
          <w:sz w:val="20"/>
          <w:szCs w:val="20"/>
          <w:color w:val="auto"/>
        </w:rPr>
      </w:pPr>
    </w:p>
    <w:p>
      <w:pPr>
        <w:ind w:left="1360" w:right="184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“Governmental Authorizations” </w:t>
      </w:r>
      <w:r>
        <w:rPr>
          <w:rFonts w:ascii="Times New Roman" w:cs="Times New Roman" w:eastAsia="Times New Roman" w:hAnsi="Times New Roman"/>
          <w:sz w:val="16"/>
          <w:szCs w:val="16"/>
          <w:color w:val="auto"/>
        </w:rPr>
        <w:t>means all franchises, permits, licenses, approvals,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consents and other authorizations of all Governmental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4" w:name="page135"/>
    <w:bookmarkEnd w:id="134"/>
    <w:p>
      <w:pPr>
        <w:spacing w:after="0" w:line="268" w:lineRule="exact"/>
        <w:rPr>
          <w:sz w:val="20"/>
          <w:szCs w:val="20"/>
          <w:color w:val="auto"/>
        </w:rPr>
      </w:pPr>
    </w:p>
    <w:p>
      <w:pPr>
        <w:ind w:left="1360" w:right="138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“Governmental Filings” </w:t>
      </w:r>
      <w:r>
        <w:rPr>
          <w:rFonts w:ascii="Times New Roman" w:cs="Times New Roman" w:eastAsia="Times New Roman" w:hAnsi="Times New Roman"/>
          <w:sz w:val="16"/>
          <w:szCs w:val="16"/>
          <w:color w:val="auto"/>
        </w:rPr>
        <w:t>means all filings, including franchise and similar tax filings,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payment of all fees, assessments, interests and penalties associated with such filings with all Authorities.</w:t>
      </w:r>
    </w:p>
    <w:p>
      <w:pPr>
        <w:spacing w:after="0" w:line="140" w:lineRule="exact"/>
        <w:rPr>
          <w:sz w:val="20"/>
          <w:szCs w:val="20"/>
          <w:color w:val="auto"/>
        </w:rPr>
      </w:pPr>
    </w:p>
    <w:p>
      <w:pPr>
        <w:ind w:left="1360" w:right="154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Haircut Collateral Loan</w:t>
      </w:r>
      <w:r>
        <w:rPr>
          <w:rFonts w:ascii="Times New Roman" w:cs="Times New Roman" w:eastAsia="Times New Roman" w:hAnsi="Times New Roman"/>
          <w:sz w:val="16"/>
          <w:szCs w:val="16"/>
          <w:color w:val="auto"/>
        </w:rPr>
        <w:t>” means, at any time without duplication, any Collateral Loan that does not satisfy clauses (bb) or (cc) of the definition of Eligible Collateral Loan.</w:t>
      </w:r>
    </w:p>
    <w:p>
      <w:pPr>
        <w:spacing w:after="0" w:line="126" w:lineRule="exact"/>
        <w:rPr>
          <w:sz w:val="20"/>
          <w:szCs w:val="20"/>
          <w:color w:val="auto"/>
        </w:rPr>
      </w:pPr>
    </w:p>
    <w:p>
      <w:pPr>
        <w:ind w:left="1360" w:right="1380" w:firstLine="484"/>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Haircut Collateral Loan Balance</w:t>
      </w:r>
      <w:r>
        <w:rPr>
          <w:rFonts w:ascii="Times New Roman" w:cs="Times New Roman" w:eastAsia="Times New Roman" w:hAnsi="Times New Roman"/>
          <w:sz w:val="16"/>
          <w:szCs w:val="16"/>
          <w:color w:val="auto"/>
        </w:rPr>
        <w:t xml:space="preserve">” means, (A) for a Collateral Loan that qualifies as a Haircut Collateral Loan as a result of the failure to satisfy clause (bb) of the definition of Eligible Collateral Loan (1) for each such Haircut Collateral Loan that is a First Lien Loan, a Split First Lien Loan or a Split Lien Loan, at any time, the lesser of (a) the current Market Value of such Haircut Collateral Loan, and (b) the product of (i) the Principal Balance of such Haircut Collateral Loan and (ii) one (1)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such Haircut Collateral Loan’s Haircut Percentage, and (2) for each such Haircut Collateral Loan that is a Second Lien Loan, at any time, the lesser of (a) the current Market Value of such Haircut Collateral Loan, and (b) the product of (i) the Principal Balance of such Haircut Collateral Loan and (ii) one (1)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(x) if such Haircut Collateral Loan qualifies for a Level 1 Haircut Percentage, a Level 2 Haircut Percentage or Level 3 Haircut Percentage, 50.0% and (y) if such Haircut Collateral Loan qualifies for a Level 4 Haircut Percentage, 70.0%, and (B) for a Collateral Loan that qualifies as a Haircut Collateral Loan as a result of the failure to satisfy clause (cc) of the definition of Eligible Collateral Loan, the lesser of (a) the current Market Value of such Haircut Collateral Loan, and (b) the product of (i) the Principal Balance of such Haircut Collateral Loan and (ii) such Haircut Collateral Loan’s Recovery Rate; provided, that if a Collateral Loan fails to satisfy both clause (bb) and clause (cc) of the definition of Eligible Collateral Loan, the Haircut Collateral Loan Balance shall be determined in accordance with clause (B) above.</w:t>
      </w:r>
    </w:p>
    <w:p>
      <w:pPr>
        <w:spacing w:after="0" w:line="155" w:lineRule="exact"/>
        <w:rPr>
          <w:sz w:val="20"/>
          <w:szCs w:val="20"/>
          <w:color w:val="auto"/>
        </w:rPr>
      </w:pPr>
    </w:p>
    <w:p>
      <w:pPr>
        <w:jc w:val="both"/>
        <w:ind w:left="1360" w:right="170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“Haircut Percentage” </w:t>
      </w:r>
      <w:r>
        <w:rPr>
          <w:rFonts w:ascii="Times New Roman" w:cs="Times New Roman" w:eastAsia="Times New Roman" w:hAnsi="Times New Roman"/>
          <w:sz w:val="16"/>
          <w:szCs w:val="16"/>
          <w:color w:val="auto"/>
        </w:rPr>
        <w:t>mean, with respect to each Haircut Collateral Loan, a Level 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Haircut Percentage, a Level 2 Haircut Percentage, a Level 3 Haircut Percentage or a Level 4 Haircut Percentage, in each case, as determined in accordance with such definitions.</w:t>
      </w:r>
    </w:p>
    <w:p>
      <w:pPr>
        <w:spacing w:after="0" w:line="140" w:lineRule="exact"/>
        <w:rPr>
          <w:sz w:val="20"/>
          <w:szCs w:val="20"/>
          <w:color w:val="auto"/>
        </w:rPr>
      </w:pPr>
    </w:p>
    <w:p>
      <w:pPr>
        <w:ind w:left="1360" w:right="1400" w:firstLine="484"/>
        <w:spacing w:after="0" w:line="194" w:lineRule="exact"/>
        <w:rPr>
          <w:sz w:val="20"/>
          <w:szCs w:val="20"/>
          <w:color w:val="auto"/>
        </w:rPr>
      </w:pPr>
      <w:r>
        <w:rPr>
          <w:rFonts w:ascii="Times New Roman" w:cs="Times New Roman" w:eastAsia="Times New Roman" w:hAnsi="Times New Roman"/>
          <w:sz w:val="16"/>
          <w:szCs w:val="16"/>
          <w:i w:val="1"/>
          <w:iCs w:val="1"/>
          <w:color w:val="auto"/>
        </w:rPr>
        <w:t xml:space="preserve">“Hedge Counterparty” </w:t>
      </w:r>
      <w:r>
        <w:rPr>
          <w:rFonts w:ascii="Times New Roman" w:cs="Times New Roman" w:eastAsia="Times New Roman" w:hAnsi="Times New Roman"/>
          <w:sz w:val="16"/>
          <w:szCs w:val="16"/>
          <w:color w:val="auto"/>
        </w:rPr>
        <w:t>means (1) Truist Bank or (2) any other entity that (a) on the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entering into any hedge transaction with the Borrower (i) is an interest rate swap dealer that has been approved in writing by the Administrative Agent and (ii) has a short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unsecured debt rating of not less than “A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 by S&amp;P and not less than “P</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1” by Moody’s, and (b) in a hedging agreement (i) consents to the assignment of the Borrower’s rights under the hedging agreement to the Collateral Agent and (ii) agrees that in the event that Moody’s or S&amp;P reduces its short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unsecured debt rating below the ratings set forth above, it shall, at its own expense, transfer its rights and obligations under each hedging transaction to another entity that meets the requirements of clauses (a) and (b) hereof or collateralize its exposure under each hedging transaction.</w:t>
      </w:r>
    </w:p>
    <w:p>
      <w:pPr>
        <w:spacing w:after="0" w:line="16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“Indemnified Party” </w:t>
      </w:r>
      <w:r>
        <w:rPr>
          <w:rFonts w:ascii="Times New Roman" w:cs="Times New Roman" w:eastAsia="Times New Roman" w:hAnsi="Times New Roman"/>
          <w:sz w:val="16"/>
          <w:szCs w:val="16"/>
          <w:color w:val="auto"/>
        </w:rPr>
        <w:t>has the meaning assigned to such term in Section 12.04(b).</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“Independent Accountants” </w:t>
      </w:r>
      <w:r>
        <w:rPr>
          <w:rFonts w:ascii="Times New Roman" w:cs="Times New Roman" w:eastAsia="Times New Roman" w:hAnsi="Times New Roman"/>
          <w:sz w:val="16"/>
          <w:szCs w:val="16"/>
          <w:color w:val="auto"/>
        </w:rPr>
        <w:t>has the meaning assigned to such term in Section 8.08.</w:t>
      </w:r>
    </w:p>
    <w:p>
      <w:pPr>
        <w:spacing w:after="0" w:line="189" w:lineRule="exact"/>
        <w:rPr>
          <w:sz w:val="20"/>
          <w:szCs w:val="20"/>
          <w:color w:val="auto"/>
        </w:rPr>
      </w:pPr>
    </w:p>
    <w:p>
      <w:pPr>
        <w:ind w:left="1360" w:right="136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“Ineligible Collateral Loan” </w:t>
      </w:r>
      <w:r>
        <w:rPr>
          <w:rFonts w:ascii="Times New Roman" w:cs="Times New Roman" w:eastAsia="Times New Roman" w:hAnsi="Times New Roman"/>
          <w:sz w:val="16"/>
          <w:szCs w:val="16"/>
          <w:color w:val="auto"/>
        </w:rPr>
        <w:t>means, at any time, a Collateral Loan or any portion thereof,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fails to satisfy any criteria of the definition of Eligible Collateral Loan as of any date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5" w:name="page136"/>
    <w:bookmarkEnd w:id="135"/>
    <w:p>
      <w:pPr>
        <w:spacing w:after="0" w:line="270" w:lineRule="exact"/>
        <w:rPr>
          <w:sz w:val="20"/>
          <w:szCs w:val="20"/>
          <w:color w:val="auto"/>
        </w:rPr>
      </w:pPr>
    </w:p>
    <w:p>
      <w:pPr>
        <w:ind w:left="1360" w:right="1420"/>
        <w:spacing w:after="0" w:line="266" w:lineRule="auto"/>
        <w:rPr>
          <w:sz w:val="20"/>
          <w:szCs w:val="20"/>
          <w:color w:val="auto"/>
        </w:rPr>
      </w:pPr>
      <w:r>
        <w:rPr>
          <w:rFonts w:ascii="Times New Roman" w:cs="Times New Roman" w:eastAsia="Times New Roman" w:hAnsi="Times New Roman"/>
          <w:sz w:val="16"/>
          <w:szCs w:val="16"/>
          <w:color w:val="auto"/>
        </w:rPr>
        <w:t>such criteria are applicable thereto; it being understood that such criteria in the definition of Eligible Collateral Loan that are specified to be applicable only as of the date of acquisition of such Collateral Loan shall not be applicable after the date of acquisition of such Collateral Loan.</w:t>
      </w:r>
    </w:p>
    <w:p>
      <w:pPr>
        <w:spacing w:after="0" w:line="143" w:lineRule="exact"/>
        <w:rPr>
          <w:sz w:val="20"/>
          <w:szCs w:val="20"/>
          <w:color w:val="auto"/>
        </w:rPr>
      </w:pPr>
    </w:p>
    <w:p>
      <w:pPr>
        <w:ind w:left="1360" w:right="1400" w:firstLine="484"/>
        <w:spacing w:after="0" w:line="194" w:lineRule="exact"/>
        <w:rPr>
          <w:sz w:val="20"/>
          <w:szCs w:val="20"/>
          <w:color w:val="auto"/>
        </w:rPr>
      </w:pPr>
      <w:r>
        <w:rPr>
          <w:rFonts w:ascii="Times New Roman" w:cs="Times New Roman" w:eastAsia="Times New Roman" w:hAnsi="Times New Roman"/>
          <w:sz w:val="16"/>
          <w:szCs w:val="16"/>
          <w:i w:val="1"/>
          <w:iCs w:val="1"/>
          <w:color w:val="auto"/>
        </w:rPr>
        <w:t xml:space="preserve">“Insolvency Event” </w:t>
      </w:r>
      <w:r>
        <w:rPr>
          <w:rFonts w:ascii="Times New Roman" w:cs="Times New Roman" w:eastAsia="Times New Roman" w:hAnsi="Times New Roman"/>
          <w:sz w:val="16"/>
          <w:szCs w:val="16"/>
          <w:color w:val="auto"/>
        </w:rPr>
        <w:t>means with respect to a specified Person, (a) the filing of a decree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order for relief by a court having jurisdiction in the premises in respect of such Person or any substantial part of its property in an involuntary case under the Bankruptcy Code or any other applicable insolvency law now or hereafter in effect, or appointing a receiver, liquidator, assignee, custodian, trustee, sequestrator or similar official for such Person or for any substantial part of its property, or ordering the winding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up or liquidation of such Person’s affairs, and such decree or order shall remain unstayed and in effect for a period of sixty (60) consecutive days; or</w:t>
      </w:r>
    </w:p>
    <w:p>
      <w:pPr>
        <w:spacing w:after="0" w:line="4" w:lineRule="exact"/>
        <w:rPr>
          <w:sz w:val="20"/>
          <w:szCs w:val="20"/>
          <w:color w:val="auto"/>
        </w:rPr>
      </w:pPr>
    </w:p>
    <w:p>
      <w:pPr>
        <w:ind w:left="1360" w:right="1380"/>
        <w:spacing w:after="0" w:line="251" w:lineRule="auto"/>
        <w:tabs>
          <w:tab w:leader="none" w:pos="1589"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commencement by such Person of a voluntary case under the Bankruptcy Code or any other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42" w:lineRule="exact"/>
        <w:rPr>
          <w:sz w:val="20"/>
          <w:szCs w:val="20"/>
          <w:color w:val="auto"/>
        </w:rPr>
      </w:pPr>
    </w:p>
    <w:p>
      <w:pPr>
        <w:ind w:left="1840"/>
        <w:spacing w:after="0" w:line="184" w:lineRule="exact"/>
        <w:rPr>
          <w:sz w:val="20"/>
          <w:szCs w:val="20"/>
          <w:color w:val="auto"/>
        </w:rPr>
      </w:pPr>
      <w:r>
        <w:rPr>
          <w:rFonts w:ascii="Times New Roman" w:cs="Times New Roman" w:eastAsia="Times New Roman" w:hAnsi="Times New Roman"/>
          <w:sz w:val="16"/>
          <w:szCs w:val="16"/>
          <w:i w:val="1"/>
          <w:iCs w:val="1"/>
          <w:color w:val="auto"/>
        </w:rPr>
        <w:t xml:space="preserve">“Instrument” </w:t>
      </w:r>
      <w:r>
        <w:rPr>
          <w:rFonts w:ascii="Times New Roman" w:cs="Times New Roman" w:eastAsia="Times New Roman" w:hAnsi="Times New Roman"/>
          <w:sz w:val="16"/>
          <w:szCs w:val="16"/>
          <w:color w:val="auto"/>
        </w:rPr>
        <w:t>has the meaning specified in Section 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102(a)(47) of the UCC.</w:t>
      </w:r>
    </w:p>
    <w:p>
      <w:pPr>
        <w:spacing w:after="0" w:line="203" w:lineRule="exact"/>
        <w:rPr>
          <w:sz w:val="20"/>
          <w:szCs w:val="20"/>
          <w:color w:val="auto"/>
        </w:rPr>
      </w:pPr>
    </w:p>
    <w:p>
      <w:pPr>
        <w:ind w:left="1360" w:right="148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“Interest” </w:t>
      </w:r>
      <w:r>
        <w:rPr>
          <w:rFonts w:ascii="Times New Roman" w:cs="Times New Roman" w:eastAsia="Times New Roman" w:hAnsi="Times New Roman"/>
          <w:sz w:val="16"/>
          <w:szCs w:val="16"/>
          <w:color w:val="auto"/>
        </w:rPr>
        <w:t>means, for each day during an Interest Accrual Period and each Advance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outstanding by a Lender on such day, the sum of the products (for each day during such Interest Accrual Period)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84455</wp:posOffset>
            </wp:positionV>
            <wp:extent cx="499745" cy="275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499745" cy="27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where:</w:t>
      </w:r>
    </w:p>
    <w:p>
      <w:pPr>
        <w:spacing w:after="0" w:line="18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6"/>
          <w:szCs w:val="16"/>
          <w:color w:val="auto"/>
        </w:rPr>
        <w:t>IR = the Interest Rate for such Advance on such day;</w:t>
      </w:r>
    </w:p>
    <w:p>
      <w:pPr>
        <w:spacing w:after="0" w:line="18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6"/>
          <w:szCs w:val="16"/>
          <w:color w:val="auto"/>
        </w:rPr>
        <w:t>P = the principal amount of such Advance on such day; and</w:t>
      </w:r>
    </w:p>
    <w:p>
      <w:pPr>
        <w:spacing w:after="0" w:line="189" w:lineRule="exact"/>
        <w:rPr>
          <w:sz w:val="20"/>
          <w:szCs w:val="20"/>
          <w:color w:val="auto"/>
        </w:rPr>
      </w:pPr>
    </w:p>
    <w:p>
      <w:pPr>
        <w:ind w:left="3180" w:right="1360" w:hanging="847"/>
        <w:spacing w:after="0" w:line="266" w:lineRule="auto"/>
        <w:rPr>
          <w:sz w:val="20"/>
          <w:szCs w:val="20"/>
          <w:color w:val="auto"/>
        </w:rPr>
      </w:pPr>
      <w:r>
        <w:rPr>
          <w:rFonts w:ascii="Times New Roman" w:cs="Times New Roman" w:eastAsia="Times New Roman" w:hAnsi="Times New Roman"/>
          <w:sz w:val="16"/>
          <w:szCs w:val="16"/>
          <w:color w:val="auto"/>
        </w:rPr>
        <w:t>D = 360 or, to the extent the Interest Rate is based on the Prime Rate or Multicurrency Advances denominated in Pounds Sterling, 365 or 366 days, as applicable.</w:t>
      </w:r>
    </w:p>
    <w:p>
      <w:pPr>
        <w:spacing w:after="0" w:line="143" w:lineRule="exact"/>
        <w:rPr>
          <w:sz w:val="20"/>
          <w:szCs w:val="20"/>
          <w:color w:val="auto"/>
        </w:rPr>
      </w:pPr>
    </w:p>
    <w:p>
      <w:pPr>
        <w:ind w:left="1360" w:right="1360" w:firstLine="484"/>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“Interest Accrual Period” </w:t>
      </w:r>
      <w:r>
        <w:rPr>
          <w:rFonts w:ascii="Times New Roman" w:cs="Times New Roman" w:eastAsia="Times New Roman" w:hAnsi="Times New Roman"/>
          <w:sz w:val="16"/>
          <w:szCs w:val="16"/>
          <w:color w:val="auto"/>
        </w:rPr>
        <w:t>means, with respect to each Advance (or portion thereof)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with respect to the first Payment Date for such Advance (or portion thereof), the period from and including the Closing Date to and including the last day of the calendar month preceding the first Payment Date and (b) with respect to any subsequent Payment Date for such Advance (or portion thereof), the period commencing on the first day of the calendar month in which the preceding Payment Date occurred and ending on the last day of the calendar month immediately preceding the month in which the Payment Date occurs;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final Interest Accrual Period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641350</wp:posOffset>
            </wp:positionV>
            <wp:extent cx="526605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6" w:name="page137"/>
    <w:bookmarkEnd w:id="136"/>
    <w:p>
      <w:pPr>
        <w:spacing w:after="0" w:line="270" w:lineRule="exact"/>
        <w:rPr>
          <w:sz w:val="20"/>
          <w:szCs w:val="20"/>
          <w:color w:val="auto"/>
        </w:rPr>
      </w:pPr>
    </w:p>
    <w:p>
      <w:pPr>
        <w:ind w:left="1360" w:right="1440"/>
        <w:spacing w:after="0" w:line="283" w:lineRule="auto"/>
        <w:rPr>
          <w:sz w:val="20"/>
          <w:szCs w:val="20"/>
          <w:color w:val="auto"/>
        </w:rPr>
      </w:pPr>
      <w:r>
        <w:rPr>
          <w:rFonts w:ascii="Times New Roman" w:cs="Times New Roman" w:eastAsia="Times New Roman" w:hAnsi="Times New Roman"/>
          <w:sz w:val="16"/>
          <w:szCs w:val="16"/>
          <w:color w:val="auto"/>
        </w:rPr>
        <w:t>all outstanding Advances hereunder shall end on and include the day prior to the payment in full of the Advances hereunder.</w:t>
      </w:r>
    </w:p>
    <w:p>
      <w:pPr>
        <w:spacing w:after="0" w:line="12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“Interest Collection Subaccount” </w:t>
      </w:r>
      <w:r>
        <w:rPr>
          <w:rFonts w:ascii="Times New Roman" w:cs="Times New Roman" w:eastAsia="Times New Roman" w:hAnsi="Times New Roman"/>
          <w:sz w:val="16"/>
          <w:szCs w:val="16"/>
          <w:color w:val="auto"/>
        </w:rPr>
        <w:t>has the meaning specified in Section 8.02(a).</w:t>
      </w:r>
    </w:p>
    <w:p>
      <w:pPr>
        <w:spacing w:after="0" w:line="189" w:lineRule="exact"/>
        <w:rPr>
          <w:sz w:val="20"/>
          <w:szCs w:val="20"/>
          <w:color w:val="auto"/>
        </w:rPr>
      </w:pPr>
    </w:p>
    <w:p>
      <w:pPr>
        <w:ind w:left="1360" w:right="154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“Interest Coverage Ratio” </w:t>
      </w:r>
      <w:r>
        <w:rPr>
          <w:rFonts w:ascii="Times New Roman" w:cs="Times New Roman" w:eastAsia="Times New Roman" w:hAnsi="Times New Roman"/>
          <w:sz w:val="16"/>
          <w:szCs w:val="16"/>
          <w:color w:val="auto"/>
        </w:rPr>
        <w:t>means, on any Determination Date as of the end of the most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recent Collection Period, the percentage equal to:</w:t>
      </w:r>
    </w:p>
    <w:p>
      <w:pPr>
        <w:spacing w:after="0" w:line="128" w:lineRule="exact"/>
        <w:rPr>
          <w:sz w:val="20"/>
          <w:szCs w:val="20"/>
          <w:color w:val="auto"/>
        </w:rPr>
      </w:pPr>
    </w:p>
    <w:p>
      <w:pPr>
        <w:ind w:left="1840" w:right="1500" w:firstLine="44"/>
        <w:spacing w:after="0" w:line="283" w:lineRule="auto"/>
        <w:tabs>
          <w:tab w:leader="none" w:pos="21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Dollar Equivalent of the aggregate Collateral Interest Amount for the three most recent Collection Periods then ended; </w:t>
      </w:r>
      <w:r>
        <w:rPr>
          <w:rFonts w:ascii="Times New Roman" w:cs="Times New Roman" w:eastAsia="Times New Roman" w:hAnsi="Times New Roman"/>
          <w:sz w:val="16"/>
          <w:szCs w:val="16"/>
          <w:i w:val="1"/>
          <w:iCs w:val="1"/>
          <w:color w:val="auto"/>
        </w:rPr>
        <w:t>divided by</w:t>
      </w:r>
    </w:p>
    <w:p>
      <w:pPr>
        <w:spacing w:after="0" w:line="131" w:lineRule="exact"/>
        <w:rPr>
          <w:rFonts w:ascii="Times New Roman" w:cs="Times New Roman" w:eastAsia="Times New Roman" w:hAnsi="Times New Roman"/>
          <w:sz w:val="16"/>
          <w:szCs w:val="16"/>
          <w:color w:val="auto"/>
        </w:rPr>
      </w:pPr>
    </w:p>
    <w:p>
      <w:pPr>
        <w:ind w:left="1840" w:right="1480" w:firstLine="44"/>
        <w:spacing w:after="0" w:line="266" w:lineRule="auto"/>
        <w:tabs>
          <w:tab w:leader="none" w:pos="2109"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Equivalent of the sum of all amounts payable under Section 9.01(a)(i)(A) through (E) on the related Payment Date for each of the three most recent Collection Periods then ended.</w:t>
      </w:r>
    </w:p>
    <w:p>
      <w:pPr>
        <w:spacing w:after="0" w:line="143" w:lineRule="exact"/>
        <w:rPr>
          <w:sz w:val="20"/>
          <w:szCs w:val="20"/>
          <w:color w:val="auto"/>
        </w:rPr>
      </w:pPr>
    </w:p>
    <w:p>
      <w:pPr>
        <w:ind w:left="1360" w:right="1440" w:firstLine="484"/>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Interest Coverage Ratio Test</w:t>
      </w:r>
      <w:r>
        <w:rPr>
          <w:rFonts w:ascii="Times New Roman" w:cs="Times New Roman" w:eastAsia="Times New Roman" w:hAnsi="Times New Roman"/>
          <w:sz w:val="16"/>
          <w:szCs w:val="16"/>
          <w:color w:val="auto"/>
        </w:rPr>
        <w:t>” means a test that is satisfied at any such time if the Interest Coverage Ratio as calculated on the most recent Determination Date as of the end of the most recent Collection Period was greater than or equal to 125%.</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“Interest Proceeds” </w:t>
      </w:r>
      <w:r>
        <w:rPr>
          <w:rFonts w:ascii="Times New Roman" w:cs="Times New Roman" w:eastAsia="Times New Roman" w:hAnsi="Times New Roman"/>
          <w:sz w:val="16"/>
          <w:szCs w:val="16"/>
          <w:color w:val="auto"/>
        </w:rPr>
        <w:t>means, with respect to any Collection Period or the related</w:t>
      </w:r>
    </w:p>
    <w:p>
      <w:pPr>
        <w:spacing w:after="0" w:line="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Determination Date, without duplication, the sum of:</w:t>
      </w:r>
    </w:p>
    <w:p>
      <w:pPr>
        <w:spacing w:after="0" w:line="171" w:lineRule="exact"/>
        <w:rPr>
          <w:sz w:val="20"/>
          <w:szCs w:val="20"/>
          <w:color w:val="auto"/>
        </w:rPr>
      </w:pPr>
    </w:p>
    <w:p>
      <w:pPr>
        <w:ind w:left="1840" w:right="1740" w:firstLine="44"/>
        <w:spacing w:after="0" w:line="261" w:lineRule="auto"/>
        <w:tabs>
          <w:tab w:leader="none" w:pos="21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payments of interest and other income received by the Borrower during such Collection Period on the Collateral Loans (including Ineligible Collateral Loans), including the accrued interest received in connection with a sale thereof during such Collection Period;</w:t>
      </w:r>
    </w:p>
    <w:p>
      <w:pPr>
        <w:spacing w:after="0" w:line="148" w:lineRule="exact"/>
        <w:rPr>
          <w:rFonts w:ascii="Times New Roman" w:cs="Times New Roman" w:eastAsia="Times New Roman" w:hAnsi="Times New Roman"/>
          <w:sz w:val="16"/>
          <w:szCs w:val="16"/>
          <w:color w:val="auto"/>
        </w:rPr>
      </w:pPr>
    </w:p>
    <w:p>
      <w:pPr>
        <w:ind w:left="1840" w:right="1500" w:firstLine="44"/>
        <w:spacing w:after="0" w:line="261" w:lineRule="auto"/>
        <w:tabs>
          <w:tab w:leader="none" w:pos="2109"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principal and interest payments received by the Borrower during such Collection Period on Eligible Investments purchased with Interest Proceeds; and all interest payments received by the Borrower during such Collection Period on Eligible Investments purchased with amounts credited to the Revolving Reserve Account;</w:t>
      </w:r>
    </w:p>
    <w:p>
      <w:pPr>
        <w:spacing w:after="0" w:line="148" w:lineRule="exact"/>
        <w:rPr>
          <w:rFonts w:ascii="Times New Roman" w:cs="Times New Roman" w:eastAsia="Times New Roman" w:hAnsi="Times New Roman"/>
          <w:sz w:val="16"/>
          <w:szCs w:val="16"/>
          <w:color w:val="auto"/>
        </w:rPr>
      </w:pPr>
    </w:p>
    <w:p>
      <w:pPr>
        <w:ind w:left="1840" w:right="1380" w:firstLine="44"/>
        <w:spacing w:after="0" w:line="258" w:lineRule="auto"/>
        <w:tabs>
          <w:tab w:leader="none" w:pos="21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amendment and waiver fees, late payment fees (including compensation for delayed settlement or trades), and all protection fees and other fees and commissions received by the Borrower during such Collection Period, unless the Collateral Manager notifies the Agents before such Determination Date that the Collateral Manager in its sole discretion has determined that such payments are to be treated as Principal Proceeds; and</w:t>
      </w:r>
    </w:p>
    <w:p>
      <w:pPr>
        <w:spacing w:after="0" w:line="151" w:lineRule="exact"/>
        <w:rPr>
          <w:rFonts w:ascii="Times New Roman" w:cs="Times New Roman" w:eastAsia="Times New Roman" w:hAnsi="Times New Roman"/>
          <w:sz w:val="16"/>
          <w:szCs w:val="16"/>
          <w:color w:val="auto"/>
        </w:rPr>
      </w:pPr>
    </w:p>
    <w:p>
      <w:pPr>
        <w:jc w:val="both"/>
        <w:ind w:left="1840" w:right="1380" w:firstLine="44"/>
        <w:spacing w:after="0" w:line="261" w:lineRule="auto"/>
        <w:tabs>
          <w:tab w:leader="none" w:pos="2109"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commitment fees, facility fees, anniversary fees, ticking fees and other similar fees received by the Borrower during such Collection Period unless the Collateral Manager notifies the Agents before such Determination Date that the Collateral Manager in its sole discretion has determined that such payments are to be treated as Principal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638810</wp:posOffset>
            </wp:positionV>
            <wp:extent cx="526605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7" w:name="page138"/>
    <w:bookmarkEnd w:id="137"/>
    <w:p>
      <w:pPr>
        <w:spacing w:after="0" w:line="26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w:t>
      </w:r>
    </w:p>
    <w:p>
      <w:pPr>
        <w:spacing w:after="0" w:line="191" w:lineRule="exact"/>
        <w:rPr>
          <w:sz w:val="20"/>
          <w:szCs w:val="20"/>
          <w:color w:val="auto"/>
        </w:rPr>
      </w:pPr>
    </w:p>
    <w:p>
      <w:pPr>
        <w:ind w:left="1840" w:right="1500" w:firstLine="44"/>
        <w:spacing w:after="0" w:line="255" w:lineRule="auto"/>
        <w:tabs>
          <w:tab w:leader="none" w:pos="2109"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to any Defaulted Collateral Loan (and only so long as it remains a Defaulted Collateral Loan), any amounts received in respect thereof will constitute Principal Proceeds (and not Interest Proceeds) until the aggregate of all Collections in respect thereof since it became a Defaulted Collateral Loan equals the outstanding principal balance of such Defaulted Collateral Loan at the time as of which it became a Defaulted Collateral Loan and all amounts received in excess thereof will constitute Interest Proceeds;</w:t>
      </w:r>
    </w:p>
    <w:p>
      <w:pPr>
        <w:spacing w:after="0" w:line="155" w:lineRule="exact"/>
        <w:rPr>
          <w:rFonts w:ascii="Times New Roman" w:cs="Times New Roman" w:eastAsia="Times New Roman" w:hAnsi="Times New Roman"/>
          <w:sz w:val="16"/>
          <w:szCs w:val="16"/>
          <w:color w:val="auto"/>
        </w:rPr>
      </w:pPr>
    </w:p>
    <w:p>
      <w:pPr>
        <w:ind w:left="1840" w:right="1940" w:firstLine="44"/>
        <w:spacing w:after="0" w:line="283" w:lineRule="auto"/>
        <w:tabs>
          <w:tab w:leader="none" w:pos="2109"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payments received in respect of Equity Securities will constitute Principal Proceeds; and</w:t>
      </w:r>
    </w:p>
    <w:p>
      <w:pPr>
        <w:spacing w:after="0" w:line="131" w:lineRule="exact"/>
        <w:rPr>
          <w:rFonts w:ascii="Times New Roman" w:cs="Times New Roman" w:eastAsia="Times New Roman" w:hAnsi="Times New Roman"/>
          <w:sz w:val="16"/>
          <w:szCs w:val="16"/>
          <w:color w:val="auto"/>
        </w:rPr>
      </w:pPr>
    </w:p>
    <w:p>
      <w:pPr>
        <w:ind w:left="1840" w:right="1740" w:firstLine="44"/>
        <w:spacing w:after="0" w:line="283" w:lineRule="auto"/>
        <w:tabs>
          <w:tab w:leader="none" w:pos="2109"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Cash received as equity contributions from the BDC will constitute Principal Proceeds unless specified by the Collateral Manager pursuant to Section 10.05.</w:t>
      </w:r>
    </w:p>
    <w:p>
      <w:pPr>
        <w:spacing w:after="0" w:line="129" w:lineRule="exact"/>
        <w:rPr>
          <w:sz w:val="20"/>
          <w:szCs w:val="20"/>
          <w:color w:val="auto"/>
        </w:rPr>
      </w:pPr>
    </w:p>
    <w:p>
      <w:pPr>
        <w:ind w:left="1360" w:right="140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“Interest Rate” </w:t>
      </w:r>
      <w:r>
        <w:rPr>
          <w:rFonts w:ascii="Times New Roman" w:cs="Times New Roman" w:eastAsia="Times New Roman" w:hAnsi="Times New Roman"/>
          <w:sz w:val="16"/>
          <w:szCs w:val="16"/>
          <w:color w:val="auto"/>
        </w:rPr>
        <w:t>means, for any Interest Accrual Period and for each Advance outstanding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a Lender for each day during such Interest Accrual Period:</w:t>
      </w:r>
    </w:p>
    <w:p>
      <w:pPr>
        <w:spacing w:after="0" w:line="128" w:lineRule="exact"/>
        <w:rPr>
          <w:sz w:val="20"/>
          <w:szCs w:val="20"/>
          <w:color w:val="auto"/>
        </w:rPr>
      </w:pPr>
    </w:p>
    <w:p>
      <w:pPr>
        <w:jc w:val="both"/>
        <w:ind w:left="1840" w:right="1480" w:firstLine="44"/>
        <w:spacing w:after="0" w:line="258" w:lineRule="auto"/>
        <w:tabs>
          <w:tab w:leader="none" w:pos="21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for Advances constituting Term Benchmark Borrowings denominated in Dollars, Canadian Dollars, Euros and Australian Dollars, a rate per annum equal to the Adjusted Term Benchmark Rate for such Borrowing, and (ii) for Advances constituting RFR Borrowings, a rate per annum equal to the Daily Simple RFR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in each case, the Applicable Margin; and</w:t>
      </w:r>
    </w:p>
    <w:p>
      <w:pPr>
        <w:spacing w:after="0" w:line="149" w:lineRule="exact"/>
        <w:rPr>
          <w:rFonts w:ascii="Times New Roman" w:cs="Times New Roman" w:eastAsia="Times New Roman" w:hAnsi="Times New Roman"/>
          <w:sz w:val="16"/>
          <w:szCs w:val="16"/>
          <w:color w:val="auto"/>
        </w:rPr>
      </w:pPr>
    </w:p>
    <w:p>
      <w:pPr>
        <w:ind w:left="1840" w:right="1900" w:firstLine="44"/>
        <w:spacing w:after="0" w:line="286" w:lineRule="auto"/>
        <w:tabs>
          <w:tab w:leader="none" w:pos="2109"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 respect to any Swingline Advance, a rate equal to the Base Rate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Applicable Margin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1.00% per annum.</w:t>
      </w:r>
    </w:p>
    <w:p>
      <w:pPr>
        <w:spacing w:after="0" w:line="126" w:lineRule="exact"/>
        <w:rPr>
          <w:sz w:val="20"/>
          <w:szCs w:val="20"/>
          <w:color w:val="auto"/>
        </w:rPr>
      </w:pPr>
    </w:p>
    <w:p>
      <w:pPr>
        <w:jc w:val="both"/>
        <w:ind w:left="1360" w:right="152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“Interim Order” </w:t>
      </w:r>
      <w:r>
        <w:rPr>
          <w:rFonts w:ascii="Times New Roman" w:cs="Times New Roman" w:eastAsia="Times New Roman" w:hAnsi="Times New Roman"/>
          <w:sz w:val="16"/>
          <w:szCs w:val="16"/>
          <w:color w:val="auto"/>
        </w:rPr>
        <w:t>means an order, judgment, decree or ruling entered after notice and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hearing conducted in accordance with Bankruptcy Rule 4001(c) granting interim authorization, the operation or effect of which has not been stayed, reversed or amended.</w:t>
      </w:r>
    </w:p>
    <w:p>
      <w:pPr>
        <w:spacing w:after="0" w:line="140" w:lineRule="exact"/>
        <w:rPr>
          <w:sz w:val="20"/>
          <w:szCs w:val="20"/>
          <w:color w:val="auto"/>
        </w:rPr>
      </w:pPr>
    </w:p>
    <w:p>
      <w:pPr>
        <w:ind w:left="1360" w:right="158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“Investment Company Act” </w:t>
      </w:r>
      <w:r>
        <w:rPr>
          <w:rFonts w:ascii="Times New Roman" w:cs="Times New Roman" w:eastAsia="Times New Roman" w:hAnsi="Times New Roman"/>
          <w:sz w:val="16"/>
          <w:szCs w:val="16"/>
          <w:color w:val="auto"/>
        </w:rPr>
        <w:t>means the Investment Company Act of 1940, as amended,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the rules and regulations promulgated thereunder.</w:t>
      </w:r>
    </w:p>
    <w:p>
      <w:pPr>
        <w:spacing w:after="0" w:line="1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“Investment Criteria” </w:t>
      </w:r>
      <w:r>
        <w:rPr>
          <w:rFonts w:ascii="Times New Roman" w:cs="Times New Roman" w:eastAsia="Times New Roman" w:hAnsi="Times New Roman"/>
          <w:sz w:val="16"/>
          <w:szCs w:val="16"/>
          <w:color w:val="auto"/>
        </w:rPr>
        <w:t>means the criteria specified in Section 10.02(a).</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“IRS” </w:t>
      </w:r>
      <w:r>
        <w:rPr>
          <w:rFonts w:ascii="Times New Roman" w:cs="Times New Roman" w:eastAsia="Times New Roman" w:hAnsi="Times New Roman"/>
          <w:sz w:val="16"/>
          <w:szCs w:val="16"/>
          <w:color w:val="auto"/>
        </w:rPr>
        <w:t>means the U.S. Internal Revenue Service.</w:t>
      </w:r>
    </w:p>
    <w:p>
      <w:pPr>
        <w:spacing w:after="0" w:line="189" w:lineRule="exact"/>
        <w:rPr>
          <w:sz w:val="20"/>
          <w:szCs w:val="20"/>
          <w:color w:val="auto"/>
        </w:rPr>
      </w:pPr>
    </w:p>
    <w:p>
      <w:pPr>
        <w:ind w:left="1360" w:right="1460" w:firstLine="484"/>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“Law” </w:t>
      </w:r>
      <w:r>
        <w:rPr>
          <w:rFonts w:ascii="Times New Roman" w:cs="Times New Roman" w:eastAsia="Times New Roman" w:hAnsi="Times New Roman"/>
          <w:sz w:val="16"/>
          <w:szCs w:val="16"/>
          <w:color w:val="auto"/>
        </w:rPr>
        <w:t>means any action, code, consent decree, constitution, decree, directive,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enactment, finding, guideline, law, injunction, interpretation, judgment, order, ordinance, policy statement, proclamation, promulgation, regulation, requirement, rule, rule of law, rule of public policy, settlement agreement, statute, or writ, of any Governmental Authority, or any particular section, part or provision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639445</wp:posOffset>
            </wp:positionV>
            <wp:extent cx="526605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8" w:name="page139"/>
    <w:bookmarkEnd w:id="138"/>
    <w:p>
      <w:pPr>
        <w:spacing w:after="0" w:line="268" w:lineRule="exact"/>
        <w:rPr>
          <w:sz w:val="20"/>
          <w:szCs w:val="20"/>
          <w:color w:val="auto"/>
        </w:rPr>
      </w:pPr>
    </w:p>
    <w:p>
      <w:pPr>
        <w:ind w:left="1360" w:right="1360" w:firstLine="4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“LBO Loan” </w:t>
      </w:r>
      <w:r>
        <w:rPr>
          <w:rFonts w:ascii="Times New Roman" w:cs="Times New Roman" w:eastAsia="Times New Roman" w:hAnsi="Times New Roman"/>
          <w:sz w:val="16"/>
          <w:szCs w:val="16"/>
          <w:color w:val="auto"/>
        </w:rPr>
        <w:t>means any Collateral Loan (a) the proceeds of which are used to finance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acquisition of the Obligor by the sponsor thereof and (b) that has an Obligor with equity of less than 25% of its total capitalization at the time of such acquisition, as determined by the Collateral Manager in its commercially reasonable discretion.</w:t>
      </w:r>
    </w:p>
    <w:p>
      <w:pPr>
        <w:spacing w:after="0" w:line="145" w:lineRule="exact"/>
        <w:rPr>
          <w:sz w:val="20"/>
          <w:szCs w:val="20"/>
          <w:color w:val="auto"/>
        </w:rPr>
      </w:pPr>
    </w:p>
    <w:p>
      <w:pPr>
        <w:ind w:left="1360" w:right="1400" w:firstLine="4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“Lender Fee Letter” </w:t>
      </w:r>
      <w:r>
        <w:rPr>
          <w:rFonts w:ascii="Times New Roman" w:cs="Times New Roman" w:eastAsia="Times New Roman" w:hAnsi="Times New Roman"/>
          <w:sz w:val="16"/>
          <w:szCs w:val="16"/>
          <w:color w:val="auto"/>
        </w:rPr>
        <w:t>means, collectively, (i) that certain Lender Fee Letter, dated as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date hereof, by and among the Lenders, the Borrower and the Administrative Agent, as the same may be amended or amended and restated from time to time, and (ii) any upfront fee letters entered into by and among any Lender and the Borrower.</w:t>
      </w:r>
    </w:p>
    <w:p>
      <w:pPr>
        <w:spacing w:after="0" w:line="145" w:lineRule="exact"/>
        <w:rPr>
          <w:sz w:val="20"/>
          <w:szCs w:val="20"/>
          <w:color w:val="auto"/>
        </w:rPr>
      </w:pPr>
    </w:p>
    <w:p>
      <w:pPr>
        <w:ind w:left="1360" w:right="1380" w:firstLine="484"/>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“Lenders” </w:t>
      </w:r>
      <w:r>
        <w:rPr>
          <w:rFonts w:ascii="Times New Roman" w:cs="Times New Roman" w:eastAsia="Times New Roman" w:hAnsi="Times New Roman"/>
          <w:sz w:val="16"/>
          <w:szCs w:val="16"/>
          <w:color w:val="auto"/>
        </w:rPr>
        <w:t>means the Persons listed on Schedule 1 and any other Person that shall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become a party hereto in accordance with the terms hereof pursuant to an Assignment and Acceptance, other than any such Person that ceases to be a party hereto pursuant to an Assignment and Acceptance. Unless the context otherwise requires, the term “</w:t>
      </w:r>
      <w:r>
        <w:rPr>
          <w:rFonts w:ascii="Times New Roman" w:cs="Times New Roman" w:eastAsia="Times New Roman" w:hAnsi="Times New Roman"/>
          <w:sz w:val="16"/>
          <w:szCs w:val="16"/>
          <w:i w:val="1"/>
          <w:iCs w:val="1"/>
          <w:color w:val="auto"/>
        </w:rPr>
        <w:t>Lenders</w:t>
      </w:r>
      <w:r>
        <w:rPr>
          <w:rFonts w:ascii="Times New Roman" w:cs="Times New Roman" w:eastAsia="Times New Roman" w:hAnsi="Times New Roman"/>
          <w:sz w:val="16"/>
          <w:szCs w:val="16"/>
          <w:color w:val="auto"/>
        </w:rPr>
        <w:t>” includes the Swingline Lender.</w:t>
      </w:r>
    </w:p>
    <w:p>
      <w:pPr>
        <w:spacing w:after="0" w:line="147" w:lineRule="exact"/>
        <w:rPr>
          <w:sz w:val="20"/>
          <w:szCs w:val="20"/>
          <w:color w:val="auto"/>
        </w:rPr>
      </w:pPr>
    </w:p>
    <w:p>
      <w:pPr>
        <w:ind w:left="1360" w:right="1540" w:firstLine="484"/>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“Level 1 Haircut Percentage” </w:t>
      </w:r>
      <w:r>
        <w:rPr>
          <w:rFonts w:ascii="Times New Roman" w:cs="Times New Roman" w:eastAsia="Times New Roman" w:hAnsi="Times New Roman"/>
          <w:sz w:val="16"/>
          <w:szCs w:val="16"/>
          <w:color w:val="auto"/>
        </w:rPr>
        <w:t>means, with respect to a Haircut Collateral Loan, 10.0%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shall apply to the extent that (i) the Obligor on such Haircut Collateral Loan is a Tier 1 Obligor and has (x) with respect to a Haircut Collateral Loan other than a Stretch Senior Loan,</w:t>
      </w:r>
    </w:p>
    <w:p>
      <w:pPr>
        <w:spacing w:after="0" w:line="2" w:lineRule="exact"/>
        <w:rPr>
          <w:sz w:val="20"/>
          <w:szCs w:val="20"/>
          <w:color w:val="auto"/>
        </w:rPr>
      </w:pPr>
    </w:p>
    <w:p>
      <w:pPr>
        <w:ind w:left="1360" w:right="1400"/>
        <w:spacing w:after="0" w:line="250" w:lineRule="auto"/>
        <w:tabs>
          <w:tab w:leader="none" w:pos="1624"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Senior Leverage Ratio greater than 5.50x but less than or equal to 6.00x, or (B) a Total Leverage Ratio greater than 7.50x but less than or equal to 8.00x, or (y) with respect to a Stretch Senior Loan, a Total Leverage Ratio greater than 6.50x but less than or equal to 7.00x; (ii) the Obligor on such Haircut Collateral Loan is a Tier 2 Obligor and has (x) with respect to a Haircut Collateral Loan other than a Stretch Senior Loan, (A) a Senior Leverage Ratio greater than 4.75x but less than or equal to 5.25x, or (B) a Total Leverage Ratio greater than 6.50x but less than or equal to 7.00x, or (y) with respect to a Stretch Senior Loan, a Total Leverage Ratio greater than 5.75x but less than or equal to 6.25x; or (iii) the Obligor on such Haircut Collateral Loan is a Tier 3 Obligor and has (x) with respect to a Haircut Collateral Loan other than a Stretch Senior Loan, (A) a Senior Leverage Ratio greater than 4.25x but less than or equal to 4.75x, or (B) a Total Leverage Ratio greater than 5.50x but less than or equal to 6.00x, or (y) with respect to a Stretch Senior Loan, a Total Leverage Ratio greater than 5.00x but less than or equal to 5.50x.</w:t>
      </w:r>
    </w:p>
    <w:p>
      <w:pPr>
        <w:spacing w:after="0" w:line="162" w:lineRule="exact"/>
        <w:rPr>
          <w:sz w:val="20"/>
          <w:szCs w:val="20"/>
          <w:color w:val="auto"/>
        </w:rPr>
      </w:pPr>
    </w:p>
    <w:p>
      <w:pPr>
        <w:ind w:left="1360" w:right="1540" w:firstLine="484"/>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“Level 2 Haircut Percentage” </w:t>
      </w:r>
      <w:r>
        <w:rPr>
          <w:rFonts w:ascii="Times New Roman" w:cs="Times New Roman" w:eastAsia="Times New Roman" w:hAnsi="Times New Roman"/>
          <w:sz w:val="16"/>
          <w:szCs w:val="16"/>
          <w:color w:val="auto"/>
        </w:rPr>
        <w:t>means, with respect to a Haircut Collateral Loan, 20.0%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shall apply to the extent that (i) the Obligor on such Haircut Collateral Loan is a Tier 1 Obligor and has (x) with respect to a Haircut Collateral Loan other than a Stretch Senior Loan,</w:t>
      </w:r>
    </w:p>
    <w:p>
      <w:pPr>
        <w:spacing w:after="0" w:line="2" w:lineRule="exact"/>
        <w:rPr>
          <w:sz w:val="20"/>
          <w:szCs w:val="20"/>
          <w:color w:val="auto"/>
        </w:rPr>
      </w:pPr>
    </w:p>
    <w:p>
      <w:pPr>
        <w:ind w:left="1360" w:right="1400"/>
        <w:spacing w:after="0" w:line="251" w:lineRule="auto"/>
        <w:tabs>
          <w:tab w:leader="none" w:pos="1624"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Senior Leverage Ratio greater than 6.00x but less than or equal to 6.50x, or (B) a Total Leverage Ratio greater than 8.00x but less than or equal to 8.50x, or (y) with respect to a Stretch Senior Loan, a Total Leverage Ratio greater than 7.00x but less than or equal to 7.50x; (ii) the Obligor on such Haircut Collateral Loan is a Tier 2 Obligor and has (x) with respect to a Haircut Collateral Loan other than a Stretch Senior Loan, (A) a Senior Leverage Ratio greater than 5.25x but less than or equal to 5.75x, or (B) a Total Leverage Ratio greater than 7.00x but less than or equal to 7.50x, or (y) with respect to a Stretch Senior Loan, a Total Leverage Ratio greater than 6.25x but less than or equal to 6.75x; or (iii) the Obligor on such Haircut Collateral Loan is a Tier 3 Obligor and has (x) with respect to a Haircut Collateral Loan other than a Stretch Senior Loan, (A) a Senior Leverage Ratio greater than 4.75x but less than or equal to 5.25x, or (B) a Total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643890</wp:posOffset>
            </wp:positionV>
            <wp:extent cx="526605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9" w:name="page140"/>
    <w:bookmarkEnd w:id="139"/>
    <w:p>
      <w:pPr>
        <w:spacing w:after="0" w:line="270" w:lineRule="exact"/>
        <w:rPr>
          <w:sz w:val="20"/>
          <w:szCs w:val="20"/>
          <w:color w:val="auto"/>
        </w:rPr>
      </w:pPr>
    </w:p>
    <w:p>
      <w:pPr>
        <w:ind w:left="1360" w:right="1480"/>
        <w:spacing w:after="0" w:line="283" w:lineRule="auto"/>
        <w:rPr>
          <w:sz w:val="20"/>
          <w:szCs w:val="20"/>
          <w:color w:val="auto"/>
        </w:rPr>
      </w:pPr>
      <w:r>
        <w:rPr>
          <w:rFonts w:ascii="Times New Roman" w:cs="Times New Roman" w:eastAsia="Times New Roman" w:hAnsi="Times New Roman"/>
          <w:sz w:val="16"/>
          <w:szCs w:val="16"/>
          <w:color w:val="auto"/>
        </w:rPr>
        <w:t>greater than 6.00x but less than or equal to 6.50x, or (y) with respect to a Stretch Senior Loan, a Total Leverage Ratio greater than 5.50x but less than or equal to 6.00x.</w:t>
      </w:r>
    </w:p>
    <w:p>
      <w:pPr>
        <w:spacing w:after="0" w:line="129" w:lineRule="exact"/>
        <w:rPr>
          <w:sz w:val="20"/>
          <w:szCs w:val="20"/>
          <w:color w:val="auto"/>
        </w:rPr>
      </w:pPr>
    </w:p>
    <w:p>
      <w:pPr>
        <w:ind w:left="1360" w:right="1540" w:firstLine="484"/>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“Level 3 Haircut Percentage” </w:t>
      </w:r>
      <w:r>
        <w:rPr>
          <w:rFonts w:ascii="Times New Roman" w:cs="Times New Roman" w:eastAsia="Times New Roman" w:hAnsi="Times New Roman"/>
          <w:sz w:val="16"/>
          <w:szCs w:val="16"/>
          <w:color w:val="auto"/>
        </w:rPr>
        <w:t>means, with respect to a Haircut Collateral Loan, 35.0%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shall apply to the extent that (i) the Obligor on such Haircut Collateral Loan is a Tier 1 Obligor and has (x) with respect to a Haircut Collateral Loan other than a Stretch Senior Loan,</w:t>
      </w:r>
    </w:p>
    <w:p>
      <w:pPr>
        <w:spacing w:after="0" w:line="2" w:lineRule="exact"/>
        <w:rPr>
          <w:sz w:val="20"/>
          <w:szCs w:val="20"/>
          <w:color w:val="auto"/>
        </w:rPr>
      </w:pPr>
    </w:p>
    <w:p>
      <w:pPr>
        <w:ind w:left="1360" w:right="1400"/>
        <w:spacing w:after="0" w:line="250" w:lineRule="auto"/>
        <w:tabs>
          <w:tab w:leader="none" w:pos="1624"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Senior Leverage Ratio greater than 6.50x but less than or equal to 7.00x, or (B) a Total Leverage Ratio greater than 8.50x but less than or equal to 9.00x, or (y) with respect to a Stretch Senior Loan, a Total Leverage Ratio greater than 7.50x but less than or equal to 8.00x; (ii) the Obligor on such Haircut Collateral Loan is a Tier 2 Obligor and has (x) with respect to a Haircut Collateral Loan other than a Stretch Senior Loan, (A) a Senior Leverage Ratio greater than 5.75x but less than or equal to 6.25x, or (B) a Total Leverage Ratio greater than 7.50x but less than or equal to 8.00x, or (y) with respect to a Stretch Senior Loan, a Total Leverage Ratio greater than 6.75x but less than or equal to 7.25x; or (iii) the Obligor on such Haircut Collateral Loan is a Tier 3 Obligor and has (x) with respect to a Haircut Collateral Loan other than a Stretch Senior Loan, (A) a Senior Leverage Ratio greater than 5.25x but less than or equal to 5.75x , or (B) a Total Leverage Ratio greater than 6.50x but less than or equal to 7.00x, or (y) with respect to a Stretch Senior Loan, a Total Leverage Ratio greater than 6.00x but less than or equal to 6.50x.</w:t>
      </w:r>
    </w:p>
    <w:p>
      <w:pPr>
        <w:spacing w:after="0" w:line="162" w:lineRule="exact"/>
        <w:rPr>
          <w:sz w:val="20"/>
          <w:szCs w:val="20"/>
          <w:color w:val="auto"/>
        </w:rPr>
      </w:pPr>
    </w:p>
    <w:p>
      <w:pPr>
        <w:ind w:left="1360" w:right="1540" w:firstLine="484"/>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“Level 4 Haircut Percentage” </w:t>
      </w:r>
      <w:r>
        <w:rPr>
          <w:rFonts w:ascii="Times New Roman" w:cs="Times New Roman" w:eastAsia="Times New Roman" w:hAnsi="Times New Roman"/>
          <w:sz w:val="16"/>
          <w:szCs w:val="16"/>
          <w:color w:val="auto"/>
        </w:rPr>
        <w:t>means, with respect to a Haircut Collateral Loan, 50.0%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shall apply to the extent that (i) the Obligor on such Haircut Collateral Loan is a Tier 1 Obligor and has (x) with respect to a Haircut Collateral Loan other than a Stretch Senior Loan,</w:t>
      </w:r>
    </w:p>
    <w:p>
      <w:pPr>
        <w:spacing w:after="0" w:line="2" w:lineRule="exact"/>
        <w:rPr>
          <w:sz w:val="20"/>
          <w:szCs w:val="20"/>
          <w:color w:val="auto"/>
        </w:rPr>
      </w:pPr>
    </w:p>
    <w:p>
      <w:pPr>
        <w:ind w:left="1360" w:right="1380"/>
        <w:spacing w:after="0" w:line="250" w:lineRule="auto"/>
        <w:tabs>
          <w:tab w:leader="none" w:pos="1624"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Senior Leverage Ratio greater than 7.00x, or (B) a Total Leverage Ratio greater than 9.00x, or (y) with respect to a Stretch Senior Loan, a Total Leverage Ratio greater than 8.00x; (ii) the Obligor on such Haircut Collateral Loan is a Tier 2 Obligor and has (x) with respect to a Haircut Collateral Loan other than a Stretch Senior Loan, (A) a Senior Leverage Ratio greater than</w:t>
      </w:r>
    </w:p>
    <w:p>
      <w:pPr>
        <w:ind w:left="1360" w:right="136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6.25x, or (B) a Total Leverage Ratio greater than 8.00x, or (y) with respect to a Stretch Senior Loan, a Total Leverage Ratio greater than 7.25x; or (iii) the Obligor on such Haircut Collateral Loan is a Tier 3 Obligor and has (x) with respect to a Haircut Collateral Loan other than a Stretch Senior Loan, (A) a Senior Leverage Ratio greater than 5.75x, or (B) a Total Leverage Ratio greater than 7.00x, or (y) with respect to a Stretch Senior Loan, a Total Leverage Ratio greater than 6.50x.</w:t>
      </w:r>
    </w:p>
    <w:p>
      <w:pPr>
        <w:spacing w:after="0" w:line="153" w:lineRule="exact"/>
        <w:rPr>
          <w:sz w:val="20"/>
          <w:szCs w:val="20"/>
          <w:color w:val="auto"/>
        </w:rPr>
      </w:pPr>
    </w:p>
    <w:p>
      <w:pPr>
        <w:ind w:left="1360" w:right="1380" w:firstLine="484"/>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“Lien” </w:t>
      </w:r>
      <w:r>
        <w:rPr>
          <w:rFonts w:ascii="Times New Roman" w:cs="Times New Roman" w:eastAsia="Times New Roman" w:hAnsi="Times New Roman"/>
          <w:sz w:val="16"/>
          <w:szCs w:val="16"/>
          <w:color w:val="auto"/>
        </w:rPr>
        <w:t>means any mortgage, pledge, hypothecation, assignment, encumbrance, lien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security interest (statutory or other), or preference, priority or other security agreement, charge or preferential arrangement of any kind or nature whatsoever (including any conditional sale or other title retention agreement, any financing lease having substantially the same economic effect as any of the foregoing, and the filing authorized by the Borrower of any financing statement under the UCC or comparable law of any jurisdiction).</w:t>
      </w:r>
    </w:p>
    <w:p>
      <w:pPr>
        <w:spacing w:after="0" w:line="150" w:lineRule="exact"/>
        <w:rPr>
          <w:sz w:val="20"/>
          <w:szCs w:val="20"/>
          <w:color w:val="auto"/>
        </w:rPr>
      </w:pPr>
    </w:p>
    <w:p>
      <w:pPr>
        <w:ind w:left="1360" w:right="144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“Liquidity Facility” </w:t>
      </w:r>
      <w:r>
        <w:rPr>
          <w:rFonts w:ascii="Times New Roman" w:cs="Times New Roman" w:eastAsia="Times New Roman" w:hAnsi="Times New Roman"/>
          <w:sz w:val="16"/>
          <w:szCs w:val="16"/>
          <w:color w:val="auto"/>
        </w:rPr>
        <w:t>means, for any CP Conduit, a loan facility, asset purchase facility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arrangement under which the providers of such facility have agreed to provide funds to such CP Conduit for purposes of funding such CP Conduit’s obligations under this Agreement.</w:t>
      </w:r>
    </w:p>
    <w:p>
      <w:pPr>
        <w:spacing w:after="0" w:line="140" w:lineRule="exact"/>
        <w:rPr>
          <w:sz w:val="20"/>
          <w:szCs w:val="20"/>
          <w:color w:val="auto"/>
        </w:rPr>
      </w:pPr>
    </w:p>
    <w:p>
      <w:pPr>
        <w:ind w:left="1360" w:right="14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“Liquidity Bank” </w:t>
      </w:r>
      <w:r>
        <w:rPr>
          <w:rFonts w:ascii="Times New Roman" w:cs="Times New Roman" w:eastAsia="Times New Roman" w:hAnsi="Times New Roman"/>
          <w:sz w:val="16"/>
          <w:szCs w:val="16"/>
          <w:color w:val="auto"/>
        </w:rPr>
        <w:t>means the Person or Persons who provide liquidity support to a Lender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is a CP Conduit pursuant to a Liquidity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0" w:name="page141"/>
    <w:bookmarkEnd w:id="140"/>
    <w:p>
      <w:pPr>
        <w:spacing w:after="0" w:line="268" w:lineRule="exact"/>
        <w:rPr>
          <w:sz w:val="20"/>
          <w:szCs w:val="20"/>
          <w:color w:val="auto"/>
        </w:rPr>
      </w:pPr>
    </w:p>
    <w:p>
      <w:pPr>
        <w:ind w:left="1360" w:right="23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“Listed Collateral Loan” </w:t>
      </w:r>
      <w:r>
        <w:rPr>
          <w:rFonts w:ascii="Times New Roman" w:cs="Times New Roman" w:eastAsia="Times New Roman" w:hAnsi="Times New Roman"/>
          <w:sz w:val="16"/>
          <w:szCs w:val="16"/>
          <w:color w:val="auto"/>
        </w:rPr>
        <w:t>means a Collateral Loan for which, at the time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determination, a Listed Value is available.</w:t>
      </w:r>
    </w:p>
    <w:p>
      <w:pPr>
        <w:spacing w:after="0" w:line="126" w:lineRule="exact"/>
        <w:rPr>
          <w:sz w:val="20"/>
          <w:szCs w:val="20"/>
          <w:color w:val="auto"/>
        </w:rPr>
      </w:pPr>
    </w:p>
    <w:p>
      <w:pPr>
        <w:ind w:left="1360" w:right="1400" w:firstLine="484"/>
        <w:spacing w:after="0" w:line="194" w:lineRule="exact"/>
        <w:rPr>
          <w:sz w:val="20"/>
          <w:szCs w:val="20"/>
          <w:color w:val="auto"/>
        </w:rPr>
      </w:pPr>
      <w:r>
        <w:rPr>
          <w:rFonts w:ascii="Times New Roman" w:cs="Times New Roman" w:eastAsia="Times New Roman" w:hAnsi="Times New Roman"/>
          <w:sz w:val="16"/>
          <w:szCs w:val="16"/>
          <w:i w:val="1"/>
          <w:iCs w:val="1"/>
          <w:color w:val="auto"/>
        </w:rPr>
        <w:t xml:space="preserve">“Listed Value” </w:t>
      </w:r>
      <w:r>
        <w:rPr>
          <w:rFonts w:ascii="Times New Roman" w:cs="Times New Roman" w:eastAsia="Times New Roman" w:hAnsi="Times New Roman"/>
          <w:sz w:val="16"/>
          <w:szCs w:val="16"/>
          <w:color w:val="auto"/>
        </w:rPr>
        <w:t>means, for any Collateral Loan, the bid price for such Collateral Loan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most recently quoted by Loan Pricing Corporation, Mark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it Partners (formerly known as Loan X), Interactive Data Corporation (Thompson Reuters), or quoted by another nationally recognized broker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dealer or nationally recognized quotation service as may be approved from time to time by the Administrative Agent and the Required Lenders if so requested by the Borrower;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Collateral Manager reasonably believes that the price quoted by any such source is based on less than three bona fide bids, then the Collateral Manager, by notice to the Agents, may determine the Listed Value in accordance with clause (b) of the definition of “Market Value”.</w:t>
      </w:r>
    </w:p>
    <w:p>
      <w:pPr>
        <w:spacing w:after="0" w:line="168" w:lineRule="exact"/>
        <w:rPr>
          <w:sz w:val="20"/>
          <w:szCs w:val="20"/>
          <w:color w:val="auto"/>
        </w:rPr>
      </w:pPr>
    </w:p>
    <w:p>
      <w:pPr>
        <w:ind w:left="1360" w:right="1440" w:firstLine="4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“Loan Checklist” </w:t>
      </w:r>
      <w:r>
        <w:rPr>
          <w:rFonts w:ascii="Times New Roman" w:cs="Times New Roman" w:eastAsia="Times New Roman" w:hAnsi="Times New Roman"/>
          <w:sz w:val="16"/>
          <w:szCs w:val="16"/>
          <w:color w:val="auto"/>
        </w:rPr>
        <w:t>means an electronic or hard copy, as applicable, checklist delivered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on behalf of the Borrower to the Custodian, for each Collateral Loan, of all Related Documents to be included within the respective loan file, which shall specify whether such document is an original or a copy.</w:t>
      </w:r>
    </w:p>
    <w:p>
      <w:pPr>
        <w:spacing w:after="0" w:line="145" w:lineRule="exact"/>
        <w:rPr>
          <w:sz w:val="20"/>
          <w:szCs w:val="20"/>
          <w:color w:val="auto"/>
        </w:rPr>
      </w:pPr>
    </w:p>
    <w:p>
      <w:pPr>
        <w:ind w:left="1360" w:right="1380" w:firstLine="484"/>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“Majority Lenders” </w:t>
      </w:r>
      <w:r>
        <w:rPr>
          <w:rFonts w:ascii="Times New Roman" w:cs="Times New Roman" w:eastAsia="Times New Roman" w:hAnsi="Times New Roman"/>
          <w:sz w:val="16"/>
          <w:szCs w:val="16"/>
          <w:color w:val="auto"/>
        </w:rPr>
        <w:t>means, as of any date of determination, one or more Lenders having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aggregate Percentages greater than or equal to 51%,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at any time there are two (2) or more Lenders, “Majority Lenders” must include at least two (2) Lenders (who are not Affiliates of one another) ;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to the extent that any Lender is a Defaulting Lender, the Percentage of such Defaulting Lender shall be excluded for purposes of determining Majority Lenders.</w:t>
      </w:r>
    </w:p>
    <w:p>
      <w:pPr>
        <w:spacing w:after="0" w:line="1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“Margin Stock” </w:t>
      </w:r>
      <w:r>
        <w:rPr>
          <w:rFonts w:ascii="Times New Roman" w:cs="Times New Roman" w:eastAsia="Times New Roman" w:hAnsi="Times New Roman"/>
          <w:sz w:val="16"/>
          <w:szCs w:val="16"/>
          <w:color w:val="auto"/>
        </w:rPr>
        <w:t>has the meaning assigned to such term in Regulation U.</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“Market Value</w:t>
      </w:r>
      <w:r>
        <w:rPr>
          <w:rFonts w:ascii="Times New Roman" w:cs="Times New Roman" w:eastAsia="Times New Roman" w:hAnsi="Times New Roman"/>
          <w:sz w:val="16"/>
          <w:szCs w:val="16"/>
          <w:color w:val="auto"/>
        </w:rPr>
        <w:t>” means, as of any date, for any Collateral Loan, the Dollar Equivalent of:</w:t>
      </w:r>
    </w:p>
    <w:p>
      <w:pPr>
        <w:spacing w:after="0" w:line="191" w:lineRule="exact"/>
        <w:rPr>
          <w:sz w:val="20"/>
          <w:szCs w:val="20"/>
          <w:color w:val="auto"/>
        </w:rPr>
      </w:pPr>
    </w:p>
    <w:p>
      <w:pPr>
        <w:ind w:left="1840" w:right="1380" w:firstLine="44"/>
        <w:spacing w:after="0" w:line="283" w:lineRule="auto"/>
        <w:tabs>
          <w:tab w:leader="none" w:pos="210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such Collateral Loan is a Listed Collateral Loan as at such date, the Listed Value of such Collateral Loan as at such date; and</w:t>
      </w:r>
    </w:p>
    <w:p>
      <w:pPr>
        <w:spacing w:after="0" w:line="131" w:lineRule="exact"/>
        <w:rPr>
          <w:rFonts w:ascii="Times New Roman" w:cs="Times New Roman" w:eastAsia="Times New Roman" w:hAnsi="Times New Roman"/>
          <w:sz w:val="16"/>
          <w:szCs w:val="16"/>
          <w:color w:val="auto"/>
        </w:rPr>
      </w:pPr>
    </w:p>
    <w:p>
      <w:pPr>
        <w:ind w:left="2120" w:hanging="236"/>
        <w:spacing w:after="0"/>
        <w:tabs>
          <w:tab w:leader="none" w:pos="21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such Collateral Loan is not a Listed Collateral Loan as of such date, the lower of:</w:t>
      </w:r>
    </w:p>
    <w:p>
      <w:pPr>
        <w:spacing w:after="0" w:line="189" w:lineRule="exact"/>
        <w:rPr>
          <w:rFonts w:ascii="Times New Roman" w:cs="Times New Roman" w:eastAsia="Times New Roman" w:hAnsi="Times New Roman"/>
          <w:sz w:val="16"/>
          <w:szCs w:val="16"/>
          <w:color w:val="auto"/>
        </w:rPr>
      </w:pPr>
    </w:p>
    <w:p>
      <w:pPr>
        <w:jc w:val="both"/>
        <w:ind w:left="2320" w:right="1440" w:firstLine="49"/>
        <w:spacing w:after="0" w:line="283" w:lineRule="auto"/>
        <w:tabs>
          <w:tab w:leader="none" w:pos="2553"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market value of such Collateral Loan as reasonably determined by the Collateral Manager in accordance with the Collateral Management Standard; and</w:t>
      </w:r>
    </w:p>
    <w:p>
      <w:pPr>
        <w:spacing w:after="0" w:line="131" w:lineRule="exact"/>
        <w:rPr>
          <w:rFonts w:ascii="Times New Roman" w:cs="Times New Roman" w:eastAsia="Times New Roman" w:hAnsi="Times New Roman"/>
          <w:sz w:val="16"/>
          <w:szCs w:val="16"/>
          <w:color w:val="auto"/>
        </w:rPr>
      </w:pPr>
    </w:p>
    <w:p>
      <w:pPr>
        <w:jc w:val="both"/>
        <w:ind w:left="2320" w:right="1380" w:firstLine="49"/>
        <w:spacing w:after="0" w:line="266" w:lineRule="auto"/>
        <w:tabs>
          <w:tab w:leader="none" w:pos="2598"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price in respect of such Collateral Loan expressed as an effective percentage of par less any loss reserves maintained by the Borrower in accordance with GAAP.</w:t>
      </w:r>
    </w:p>
    <w:p>
      <w:pPr>
        <w:spacing w:after="0" w:line="143" w:lineRule="exact"/>
        <w:rPr>
          <w:sz w:val="20"/>
          <w:szCs w:val="20"/>
          <w:color w:val="auto"/>
        </w:rPr>
      </w:pPr>
    </w:p>
    <w:p>
      <w:pPr>
        <w:ind w:left="1360" w:right="1460" w:firstLine="484"/>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“Material Adverse Effect” </w:t>
      </w:r>
      <w:r>
        <w:rPr>
          <w:rFonts w:ascii="Times New Roman" w:cs="Times New Roman" w:eastAsia="Times New Roman" w:hAnsi="Times New Roman"/>
          <w:sz w:val="16"/>
          <w:szCs w:val="16"/>
          <w:color w:val="auto"/>
        </w:rPr>
        <w:t>means a material adverse effect on (a) the business, assets,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financial condition, operations, performance or properties of the Borrower, the Collateral Manager or the BDC, both individually or taken as a whole, (b) the validity, enforceability or collectability of this Agreement or any other Facility Document or the validity, enforceability or collectability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639445</wp:posOffset>
            </wp:positionV>
            <wp:extent cx="526605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1" w:name="page142"/>
    <w:bookmarkEnd w:id="141"/>
    <w:p>
      <w:pPr>
        <w:spacing w:after="0" w:line="270" w:lineRule="exact"/>
        <w:rPr>
          <w:sz w:val="20"/>
          <w:szCs w:val="20"/>
          <w:color w:val="auto"/>
        </w:rPr>
      </w:pPr>
    </w:p>
    <w:p>
      <w:pPr>
        <w:ind w:left="1360" w:right="1500"/>
        <w:spacing w:after="0" w:line="256" w:lineRule="auto"/>
        <w:rPr>
          <w:sz w:val="20"/>
          <w:szCs w:val="20"/>
          <w:color w:val="auto"/>
        </w:rPr>
      </w:pPr>
      <w:r>
        <w:rPr>
          <w:rFonts w:ascii="Times New Roman" w:cs="Times New Roman" w:eastAsia="Times New Roman" w:hAnsi="Times New Roman"/>
          <w:sz w:val="16"/>
          <w:szCs w:val="16"/>
          <w:color w:val="auto"/>
        </w:rPr>
        <w:t>of the Collateral Loans generally or any material portion of the Collateral Loans, (c) the rights and remedies of the Administrative Agent, the Lenders and the Secured Parties with respect to matters arising under this Agreement or any other Facility Document, (d) the ability of each of the Borrower or the Collateral Manager to perform its obligations under any Facility Document to which it is a party, or (e) the status, existence, perfection, priority or enforceability of the Collateral Agent’s lien on the Collateral.</w:t>
      </w:r>
    </w:p>
    <w:p>
      <w:pPr>
        <w:spacing w:after="0" w:line="152" w:lineRule="exact"/>
        <w:rPr>
          <w:sz w:val="20"/>
          <w:szCs w:val="20"/>
          <w:color w:val="auto"/>
        </w:rPr>
      </w:pPr>
    </w:p>
    <w:p>
      <w:pPr>
        <w:ind w:left="1360" w:right="1420" w:firstLine="484"/>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“Material Modification” </w:t>
      </w:r>
      <w:r>
        <w:rPr>
          <w:rFonts w:ascii="Times New Roman" w:cs="Times New Roman" w:eastAsia="Times New Roman" w:hAnsi="Times New Roman"/>
          <w:sz w:val="16"/>
          <w:szCs w:val="16"/>
          <w:color w:val="auto"/>
        </w:rPr>
        <w:t>means, with respect to any Collateral Loan, any amendment,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waiver, consent or modification of a Related Document with respect thereto (it being understood that a release document or similar instrument executed or delivered in connection with a disposition that is otherwise permitted under the applicable Related Documents shall not constitute an amendment or modification to such Related Document) executed or effected after the date on which such Collateral Loan is acquired by the Borrower, that:</w:t>
      </w:r>
    </w:p>
    <w:p>
      <w:pPr>
        <w:spacing w:after="0" w:line="152" w:lineRule="exact"/>
        <w:rPr>
          <w:sz w:val="20"/>
          <w:szCs w:val="20"/>
          <w:color w:val="auto"/>
        </w:rPr>
      </w:pPr>
    </w:p>
    <w:p>
      <w:pPr>
        <w:ind w:left="1840" w:right="1420" w:firstLine="44"/>
        <w:spacing w:after="0" w:line="253" w:lineRule="auto"/>
        <w:tabs>
          <w:tab w:leader="none" w:pos="21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reduces or waives one or more interest payments or permits any interest due with respect to such Collateral Loan in cash to be deferred or capitalized and added to the principal amount of such Collateral Loan (other than any (i) deferral or capitalization already expressly permitted by the terms of its Related Documents or pursuant to the application of a pricing grid, in each case, as of the date such Collateral Loan was acquired by the Borrower or (ii) after giving effect to such modification, (x) any such deferral or capitalization that does not cause the limitation set forth in clause (g) of the Concentration Limitations to be exceeded or (y) the Cash pay interest rate is equal to or greater than the highest applicable rate specified in the proviso to the definition of Partial PIK Loan);</w:t>
      </w:r>
    </w:p>
    <w:p>
      <w:pPr>
        <w:spacing w:after="0" w:line="159" w:lineRule="exact"/>
        <w:rPr>
          <w:rFonts w:ascii="Times New Roman" w:cs="Times New Roman" w:eastAsia="Times New Roman" w:hAnsi="Times New Roman"/>
          <w:sz w:val="16"/>
          <w:szCs w:val="16"/>
          <w:color w:val="auto"/>
        </w:rPr>
      </w:pPr>
    </w:p>
    <w:p>
      <w:pPr>
        <w:ind w:left="1840" w:right="1440" w:firstLine="44"/>
        <w:spacing w:after="0" w:line="261" w:lineRule="auto"/>
        <w:tabs>
          <w:tab w:leader="none" w:pos="2109"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contractually or structurally subordinates such Collateral Loan by operation of a priority of payments, turnover provisions or the transfer of assets in order to limit recourse to the related Obligor or releases any material guarantor or a co-obligor from its obligations with respect thereto;</w:t>
      </w:r>
    </w:p>
    <w:p>
      <w:pPr>
        <w:spacing w:after="0" w:line="148" w:lineRule="exact"/>
        <w:rPr>
          <w:rFonts w:ascii="Times New Roman" w:cs="Times New Roman" w:eastAsia="Times New Roman" w:hAnsi="Times New Roman"/>
          <w:sz w:val="16"/>
          <w:szCs w:val="16"/>
          <w:color w:val="auto"/>
        </w:rPr>
      </w:pPr>
    </w:p>
    <w:p>
      <w:pPr>
        <w:ind w:left="1840" w:right="1360" w:firstLine="44"/>
        <w:spacing w:after="0" w:line="258" w:lineRule="auto"/>
        <w:tabs>
          <w:tab w:leader="none" w:pos="21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substitutes or releases the underlying assets securing such Collateral Loan (other than as expressly permitted by the Related Documents as of the date such Collateral Loan was acquired by the Borrower), and each such substitution or release, as determined in the commercially reasonable discretion of the Administrative Agent, materially and adversely affects the value of such Collateral Loan;</w:t>
      </w:r>
    </w:p>
    <w:p>
      <w:pPr>
        <w:spacing w:after="0" w:line="151" w:lineRule="exact"/>
        <w:rPr>
          <w:rFonts w:ascii="Times New Roman" w:cs="Times New Roman" w:eastAsia="Times New Roman" w:hAnsi="Times New Roman"/>
          <w:sz w:val="16"/>
          <w:szCs w:val="16"/>
          <w:color w:val="auto"/>
        </w:rPr>
      </w:pPr>
    </w:p>
    <w:p>
      <w:pPr>
        <w:ind w:left="1840" w:right="1420" w:firstLine="44"/>
        <w:spacing w:after="0" w:line="261" w:lineRule="auto"/>
        <w:tabs>
          <w:tab w:leader="none" w:pos="2109"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waives, extends or postpones any date fixed for any scheduled payment (including at maturity) or mandatory prepayment of principal on such Collateral Loan (other than waivers of required non-scheduled principal payments if such Collateral Loan is otherwise performing); or</w:t>
      </w:r>
    </w:p>
    <w:p>
      <w:pPr>
        <w:spacing w:after="0" w:line="148" w:lineRule="exact"/>
        <w:rPr>
          <w:rFonts w:ascii="Times New Roman" w:cs="Times New Roman" w:eastAsia="Times New Roman" w:hAnsi="Times New Roman"/>
          <w:sz w:val="16"/>
          <w:szCs w:val="16"/>
          <w:color w:val="auto"/>
        </w:rPr>
      </w:pPr>
    </w:p>
    <w:p>
      <w:pPr>
        <w:ind w:left="2100" w:hanging="216"/>
        <w:spacing w:after="0"/>
        <w:tabs>
          <w:tab w:leader="none" w:pos="21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reduces or forgives any principal amount of such Collateral Loan;</w:t>
      </w:r>
    </w:p>
    <w:p>
      <w:pPr>
        <w:spacing w:after="0" w:line="187" w:lineRule="exact"/>
        <w:rPr>
          <w:sz w:val="20"/>
          <w:szCs w:val="20"/>
          <w:color w:val="auto"/>
        </w:rPr>
      </w:pPr>
    </w:p>
    <w:p>
      <w:pPr>
        <w:ind w:left="1360" w:right="136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(i) any Collateral Loan subject to a Material Modification which subsequently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becomes a Credit Improved Loan shall no longer be considered to have been subject to a Material Modification hereunder unless and until such Collateral Loan is subject to a subsequent Material Modification; and (ii) the Collateral Manager shall be permitted to reduce one or more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638175</wp:posOffset>
            </wp:positionV>
            <wp:extent cx="526605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2" w:name="page143"/>
    <w:bookmarkEnd w:id="142"/>
    <w:p>
      <w:pPr>
        <w:spacing w:after="0" w:line="270" w:lineRule="exact"/>
        <w:rPr>
          <w:sz w:val="20"/>
          <w:szCs w:val="20"/>
          <w:color w:val="auto"/>
        </w:rPr>
      </w:pPr>
    </w:p>
    <w:p>
      <w:pPr>
        <w:ind w:left="1360" w:right="1380"/>
        <w:spacing w:after="0" w:line="253" w:lineRule="auto"/>
        <w:rPr>
          <w:sz w:val="20"/>
          <w:szCs w:val="20"/>
          <w:color w:val="auto"/>
        </w:rPr>
      </w:pPr>
      <w:r>
        <w:rPr>
          <w:rFonts w:ascii="Times New Roman" w:cs="Times New Roman" w:eastAsia="Times New Roman" w:hAnsi="Times New Roman"/>
          <w:sz w:val="16"/>
          <w:szCs w:val="16"/>
          <w:color w:val="auto"/>
        </w:rPr>
        <w:t>payments, extend, waive or postpone any date fixed for any scheduled payment of principal (including at maturity) or waive, extend or reduce any mandatory prepayment of principal on a Collateral Loan, in each case, in connection with a re -pricing, refinancing or other request reflecting market terms then existing at such time (as determined by the Collateral Manager) or otherwise at the request of the Obligor and not in connection with financial or operational difficulties affecting, or the credit deterioration of, the related Obligor, in each case, without such modification constituting a Material Modification hereunder so long as (x) after giving effect to such modification, each Collateral Quality Test is satisfied (or, if not satisfied, the level of compliance with such Collateral Quality Test is maintained or improved), (y) on the date of such modification, such Collateral Loan constitutes a Current Modified Loan and (z) such modification is not made to avoid classification of such Collateral Loan as a Defaulted Collateral Loan.</w:t>
      </w:r>
    </w:p>
    <w:p>
      <w:pPr>
        <w:spacing w:after="0" w:line="346" w:lineRule="exact"/>
        <w:rPr>
          <w:sz w:val="20"/>
          <w:szCs w:val="20"/>
          <w:color w:val="auto"/>
        </w:rPr>
      </w:pPr>
    </w:p>
    <w:p>
      <w:pPr>
        <w:ind w:left="1360" w:right="144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“Maximum Advance Rate Test” </w:t>
      </w:r>
      <w:r>
        <w:rPr>
          <w:rFonts w:ascii="Times New Roman" w:cs="Times New Roman" w:eastAsia="Times New Roman" w:hAnsi="Times New Roman"/>
          <w:sz w:val="16"/>
          <w:szCs w:val="16"/>
          <w:color w:val="auto"/>
        </w:rPr>
        <w:t>means a test that will be satisfied at any time if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Dollar Equivalent of the aggregate outstanding principal balance of the Advances at such time is less than or equal to the Maximum Available Amount at such time.</w:t>
      </w:r>
    </w:p>
    <w:p>
      <w:pPr>
        <w:spacing w:after="0" w:line="140" w:lineRule="exact"/>
        <w:rPr>
          <w:sz w:val="20"/>
          <w:szCs w:val="20"/>
          <w:color w:val="auto"/>
        </w:rPr>
      </w:pPr>
    </w:p>
    <w:p>
      <w:pPr>
        <w:ind w:left="1360" w:right="140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“Maximum Advance Rate Default Test” </w:t>
      </w:r>
      <w:r>
        <w:rPr>
          <w:rFonts w:ascii="Times New Roman" w:cs="Times New Roman" w:eastAsia="Times New Roman" w:hAnsi="Times New Roman"/>
          <w:sz w:val="16"/>
          <w:szCs w:val="16"/>
          <w:color w:val="auto"/>
        </w:rPr>
        <w:t>means a test that will be satisfied at any time if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Dollar Equivalent of the aggregate outstanding principal balance of the Advances at such time is less than or equal to the Maximum Available Amount at such time multiplied by 103.5%.</w:t>
      </w:r>
    </w:p>
    <w:p>
      <w:pPr>
        <w:spacing w:after="0" w:line="140" w:lineRule="exact"/>
        <w:rPr>
          <w:sz w:val="20"/>
          <w:szCs w:val="20"/>
          <w:color w:val="auto"/>
        </w:rPr>
      </w:pPr>
    </w:p>
    <w:p>
      <w:pPr>
        <w:ind w:left="1360" w:right="138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“Maximum Available Amount” </w:t>
      </w:r>
      <w:r>
        <w:rPr>
          <w:rFonts w:ascii="Times New Roman" w:cs="Times New Roman" w:eastAsia="Times New Roman" w:hAnsi="Times New Roman"/>
          <w:sz w:val="16"/>
          <w:szCs w:val="16"/>
          <w:color w:val="auto"/>
        </w:rPr>
        <w:t>means, on any date of determination, without duplication,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amount equal to the least of:</w:t>
      </w:r>
    </w:p>
    <w:p>
      <w:pPr>
        <w:spacing w:after="0" w:line="126" w:lineRule="exact"/>
        <w:rPr>
          <w:sz w:val="20"/>
          <w:szCs w:val="20"/>
          <w:color w:val="auto"/>
        </w:rPr>
      </w:pPr>
    </w:p>
    <w:p>
      <w:pPr>
        <w:ind w:left="1840" w:right="1560" w:firstLine="44"/>
        <w:spacing w:after="0" w:line="268" w:lineRule="auto"/>
        <w:tabs>
          <w:tab w:leader="none" w:pos="210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Facility Amount at such time,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the Revolving Exposure at such time,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Dollar Equivalent of the aggregate amount on deposit in the Revolving Reserve Account;</w:t>
      </w:r>
    </w:p>
    <w:p>
      <w:pPr>
        <w:spacing w:after="0" w:line="142" w:lineRule="exact"/>
        <w:rPr>
          <w:rFonts w:ascii="Times New Roman" w:cs="Times New Roman" w:eastAsia="Times New Roman" w:hAnsi="Times New Roman"/>
          <w:sz w:val="16"/>
          <w:szCs w:val="16"/>
          <w:color w:val="auto"/>
        </w:rPr>
      </w:pPr>
    </w:p>
    <w:p>
      <w:pPr>
        <w:ind w:left="2120" w:hanging="236"/>
        <w:spacing w:after="0"/>
        <w:tabs>
          <w:tab w:leader="none" w:pos="212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w:t>
      </w:r>
    </w:p>
    <w:p>
      <w:pPr>
        <w:spacing w:after="0" w:line="187" w:lineRule="exact"/>
        <w:rPr>
          <w:rFonts w:ascii="Times New Roman" w:cs="Times New Roman" w:eastAsia="Times New Roman" w:hAnsi="Times New Roman"/>
          <w:sz w:val="16"/>
          <w:szCs w:val="16"/>
          <w:color w:val="auto"/>
        </w:rPr>
      </w:pPr>
    </w:p>
    <w:p>
      <w:pPr>
        <w:ind w:left="2560" w:hanging="191"/>
        <w:spacing w:after="0"/>
        <w:tabs>
          <w:tab w:leader="none" w:pos="2560"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Borrowing Base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the Weighted Average Advance Rate, </w:t>
      </w:r>
      <w:r>
        <w:rPr>
          <w:rFonts w:ascii="Times New Roman" w:cs="Times New Roman" w:eastAsia="Times New Roman" w:hAnsi="Times New Roman"/>
          <w:sz w:val="16"/>
          <w:szCs w:val="16"/>
          <w:i w:val="1"/>
          <w:iCs w:val="1"/>
          <w:color w:val="auto"/>
        </w:rPr>
        <w:t>minus</w:t>
      </w:r>
    </w:p>
    <w:p>
      <w:pPr>
        <w:spacing w:after="0" w:line="189" w:lineRule="exact"/>
        <w:rPr>
          <w:rFonts w:ascii="Times New Roman" w:cs="Times New Roman" w:eastAsia="Times New Roman" w:hAnsi="Times New Roman"/>
          <w:sz w:val="16"/>
          <w:szCs w:val="16"/>
          <w:color w:val="auto"/>
        </w:rPr>
      </w:pPr>
    </w:p>
    <w:p>
      <w:pPr>
        <w:ind w:left="2600" w:hanging="231"/>
        <w:spacing w:after="0"/>
        <w:tabs>
          <w:tab w:leader="none" w:pos="2600"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Foreign Currency Variability Reserve, </w:t>
      </w:r>
      <w:r>
        <w:rPr>
          <w:rFonts w:ascii="Times New Roman" w:cs="Times New Roman" w:eastAsia="Times New Roman" w:hAnsi="Times New Roman"/>
          <w:sz w:val="16"/>
          <w:szCs w:val="16"/>
          <w:i w:val="1"/>
          <w:iCs w:val="1"/>
          <w:color w:val="auto"/>
        </w:rPr>
        <w:t>minus</w:t>
      </w:r>
    </w:p>
    <w:p>
      <w:pPr>
        <w:spacing w:after="0" w:line="189" w:lineRule="exact"/>
        <w:rPr>
          <w:rFonts w:ascii="Times New Roman" w:cs="Times New Roman" w:eastAsia="Times New Roman" w:hAnsi="Times New Roman"/>
          <w:sz w:val="16"/>
          <w:szCs w:val="16"/>
          <w:color w:val="auto"/>
        </w:rPr>
      </w:pPr>
    </w:p>
    <w:p>
      <w:pPr>
        <w:ind w:left="2660" w:hanging="291"/>
        <w:spacing w:after="0"/>
        <w:tabs>
          <w:tab w:leader="none" w:pos="2660"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Revolving Exposure at such time, </w:t>
      </w:r>
      <w:r>
        <w:rPr>
          <w:rFonts w:ascii="Times New Roman" w:cs="Times New Roman" w:eastAsia="Times New Roman" w:hAnsi="Times New Roman"/>
          <w:sz w:val="16"/>
          <w:szCs w:val="16"/>
          <w:i w:val="1"/>
          <w:iCs w:val="1"/>
          <w:color w:val="auto"/>
        </w:rPr>
        <w:t>plus</w:t>
      </w:r>
    </w:p>
    <w:p>
      <w:pPr>
        <w:spacing w:after="0" w:line="191" w:lineRule="exact"/>
        <w:rPr>
          <w:rFonts w:ascii="Times New Roman" w:cs="Times New Roman" w:eastAsia="Times New Roman" w:hAnsi="Times New Roman"/>
          <w:sz w:val="16"/>
          <w:szCs w:val="16"/>
          <w:color w:val="auto"/>
        </w:rPr>
      </w:pPr>
    </w:p>
    <w:p>
      <w:pPr>
        <w:ind w:left="2320" w:right="1460" w:firstLine="49"/>
        <w:spacing w:after="0" w:line="283" w:lineRule="auto"/>
        <w:tabs>
          <w:tab w:leader="none" w:pos="2634"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Dollar Equivalent of the aggregate amount of cash then on deposit in the Principal Collection Subaccounts; </w:t>
      </w:r>
      <w:r>
        <w:rPr>
          <w:rFonts w:ascii="Times New Roman" w:cs="Times New Roman" w:eastAsia="Times New Roman" w:hAnsi="Times New Roman"/>
          <w:sz w:val="16"/>
          <w:szCs w:val="16"/>
          <w:i w:val="1"/>
          <w:iCs w:val="1"/>
          <w:color w:val="auto"/>
        </w:rPr>
        <w:t>plus</w:t>
      </w:r>
    </w:p>
    <w:p>
      <w:pPr>
        <w:spacing w:after="0" w:line="131" w:lineRule="exact"/>
        <w:rPr>
          <w:rFonts w:ascii="Times New Roman" w:cs="Times New Roman" w:eastAsia="Times New Roman" w:hAnsi="Times New Roman"/>
          <w:sz w:val="16"/>
          <w:szCs w:val="16"/>
          <w:color w:val="auto"/>
        </w:rPr>
      </w:pPr>
    </w:p>
    <w:p>
      <w:pPr>
        <w:ind w:left="2320" w:right="1500" w:firstLine="49"/>
        <w:spacing w:after="0" w:line="283" w:lineRule="auto"/>
        <w:tabs>
          <w:tab w:leader="none" w:pos="2589"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Equivalent of the aggregate amount of cash then on deposit in the Revolving Reserve Account; and</w:t>
      </w:r>
    </w:p>
    <w:p>
      <w:pPr>
        <w:spacing w:after="0" w:line="131" w:lineRule="exact"/>
        <w:rPr>
          <w:rFonts w:ascii="Times New Roman" w:cs="Times New Roman" w:eastAsia="Times New Roman" w:hAnsi="Times New Roman"/>
          <w:sz w:val="16"/>
          <w:szCs w:val="16"/>
          <w:color w:val="auto"/>
        </w:rPr>
      </w:pPr>
    </w:p>
    <w:p>
      <w:pPr>
        <w:ind w:left="2100" w:hanging="216"/>
        <w:spacing w:after="0"/>
        <w:tabs>
          <w:tab w:leader="none" w:pos="210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w:t>
      </w:r>
    </w:p>
    <w:p>
      <w:pPr>
        <w:spacing w:after="0" w:line="189" w:lineRule="exact"/>
        <w:rPr>
          <w:rFonts w:ascii="Times New Roman" w:cs="Times New Roman" w:eastAsia="Times New Roman" w:hAnsi="Times New Roman"/>
          <w:sz w:val="16"/>
          <w:szCs w:val="16"/>
          <w:color w:val="auto"/>
        </w:rPr>
      </w:pPr>
    </w:p>
    <w:p>
      <w:pPr>
        <w:ind w:left="2320" w:right="1380" w:firstLine="49"/>
        <w:spacing w:after="0" w:line="283" w:lineRule="auto"/>
        <w:tabs>
          <w:tab w:leader="none" w:pos="2553"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Aggregate Collateral Balance (excluding the Revolving Exposure pursuant to clause (d) of the definition thereof), </w:t>
      </w:r>
      <w:r>
        <w:rPr>
          <w:rFonts w:ascii="Times New Roman" w:cs="Times New Roman" w:eastAsia="Times New Roman" w:hAnsi="Times New Roman"/>
          <w:sz w:val="16"/>
          <w:szCs w:val="16"/>
          <w:i w:val="1"/>
          <w:iCs w:val="1"/>
          <w:color w:val="auto"/>
        </w:rPr>
        <w:t>minus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628015</wp:posOffset>
            </wp:positionV>
            <wp:extent cx="526605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3" w:name="page144"/>
    <w:bookmarkEnd w:id="143"/>
    <w:p>
      <w:pPr>
        <w:spacing w:after="0" w:line="268" w:lineRule="exact"/>
        <w:rPr>
          <w:sz w:val="20"/>
          <w:szCs w:val="20"/>
          <w:color w:val="auto"/>
        </w:rPr>
      </w:pPr>
    </w:p>
    <w:p>
      <w:pPr>
        <w:ind w:left="2600" w:hanging="231"/>
        <w:spacing w:after="0"/>
        <w:tabs>
          <w:tab w:leader="none" w:pos="260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Minimum Equity Amount, </w:t>
      </w:r>
      <w:r>
        <w:rPr>
          <w:rFonts w:ascii="Times New Roman" w:cs="Times New Roman" w:eastAsia="Times New Roman" w:hAnsi="Times New Roman"/>
          <w:sz w:val="16"/>
          <w:szCs w:val="16"/>
          <w:i w:val="1"/>
          <w:iCs w:val="1"/>
          <w:color w:val="auto"/>
        </w:rPr>
        <w:t>plus</w:t>
      </w:r>
    </w:p>
    <w:p>
      <w:pPr>
        <w:spacing w:after="0" w:line="191" w:lineRule="exact"/>
        <w:rPr>
          <w:rFonts w:ascii="Times New Roman" w:cs="Times New Roman" w:eastAsia="Times New Roman" w:hAnsi="Times New Roman"/>
          <w:sz w:val="16"/>
          <w:szCs w:val="16"/>
          <w:color w:val="auto"/>
        </w:rPr>
      </w:pPr>
    </w:p>
    <w:p>
      <w:pPr>
        <w:ind w:left="2320" w:right="1440" w:firstLine="49"/>
        <w:spacing w:after="0" w:line="283" w:lineRule="auto"/>
        <w:tabs>
          <w:tab w:leader="none" w:pos="2643"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Equivalent of the aggregate amount of cash then on deposit in the Principal Collection Subaccounts.</w:t>
      </w:r>
    </w:p>
    <w:p>
      <w:pPr>
        <w:spacing w:after="0" w:line="129" w:lineRule="exact"/>
        <w:rPr>
          <w:sz w:val="20"/>
          <w:szCs w:val="20"/>
          <w:color w:val="auto"/>
        </w:rPr>
      </w:pPr>
    </w:p>
    <w:p>
      <w:pPr>
        <w:jc w:val="both"/>
        <w:ind w:left="1360" w:right="1380" w:firstLine="484"/>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Maximum Weighted Average Life Test</w:t>
      </w:r>
      <w:r>
        <w:rPr>
          <w:rFonts w:ascii="Times New Roman" w:cs="Times New Roman" w:eastAsia="Times New Roman" w:hAnsi="Times New Roman"/>
          <w:sz w:val="16"/>
          <w:szCs w:val="16"/>
          <w:color w:val="auto"/>
        </w:rPr>
        <w:t>” means a test that will be satisfied on any date of determination if the Weighted Average Life of the Collateral Loans as of such date is less than or equal to six years.</w:t>
      </w:r>
    </w:p>
    <w:p>
      <w:pPr>
        <w:spacing w:after="0" w:line="140" w:lineRule="exact"/>
        <w:rPr>
          <w:sz w:val="20"/>
          <w:szCs w:val="20"/>
          <w:color w:val="auto"/>
        </w:rPr>
      </w:pPr>
    </w:p>
    <w:p>
      <w:pPr>
        <w:ind w:left="1360" w:right="136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“Measurement Date” </w:t>
      </w:r>
      <w:r>
        <w:rPr>
          <w:rFonts w:ascii="Times New Roman" w:cs="Times New Roman" w:eastAsia="Times New Roman" w:hAnsi="Times New Roman"/>
          <w:sz w:val="16"/>
          <w:szCs w:val="16"/>
          <w:color w:val="auto"/>
        </w:rPr>
        <w:t>means, (i) the Closing Date, (ii) each Borrowing Date and (iii) each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Monthly Report Determination Date.</w:t>
      </w:r>
    </w:p>
    <w:p>
      <w:pPr>
        <w:spacing w:after="0" w:line="126" w:lineRule="exact"/>
        <w:rPr>
          <w:sz w:val="20"/>
          <w:szCs w:val="20"/>
          <w:color w:val="auto"/>
        </w:rPr>
      </w:pPr>
    </w:p>
    <w:p>
      <w:pPr>
        <w:ind w:left="1360" w:right="1380" w:firstLine="484"/>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“Minimum Equity Amount” </w:t>
      </w:r>
      <w:r>
        <w:rPr>
          <w:rFonts w:ascii="Times New Roman" w:cs="Times New Roman" w:eastAsia="Times New Roman" w:hAnsi="Times New Roman"/>
          <w:sz w:val="16"/>
          <w:szCs w:val="16"/>
          <w:color w:val="auto"/>
        </w:rPr>
        <w:t>means, at any time, the greater of (a) $30,000,000 and (b)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Aggregate Collateral Balance of the Collateral Loans for the three largest Obligors (determined as the Obligors with the three largest portions of the Aggregate Collateral Balance) (it being understood that multiple Collateral Loans from the same Obligor and its Affiliates shall be treated as a single exposure).</w:t>
      </w:r>
    </w:p>
    <w:p>
      <w:pPr>
        <w:spacing w:after="0" w:line="147" w:lineRule="exact"/>
        <w:rPr>
          <w:sz w:val="20"/>
          <w:szCs w:val="20"/>
          <w:color w:val="auto"/>
        </w:rPr>
      </w:pPr>
    </w:p>
    <w:p>
      <w:pPr>
        <w:ind w:left="1360" w:right="138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Minimum Weighted Average Coupon Test</w:t>
      </w:r>
      <w:r>
        <w:rPr>
          <w:rFonts w:ascii="Times New Roman" w:cs="Times New Roman" w:eastAsia="Times New Roman" w:hAnsi="Times New Roman"/>
          <w:sz w:val="16"/>
          <w:szCs w:val="16"/>
          <w:color w:val="auto"/>
        </w:rPr>
        <w:t>” means a test that will be satisfied on any date of determination if the Weighted Average Coupon equals or exceeds 8.0%.</w:t>
      </w:r>
    </w:p>
    <w:p>
      <w:pPr>
        <w:spacing w:after="0" w:line="126" w:lineRule="exact"/>
        <w:rPr>
          <w:sz w:val="20"/>
          <w:szCs w:val="20"/>
          <w:color w:val="auto"/>
        </w:rPr>
      </w:pPr>
    </w:p>
    <w:p>
      <w:pPr>
        <w:ind w:left="1360" w:right="142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Minimum Weighted Average Spread Test</w:t>
      </w:r>
      <w:r>
        <w:rPr>
          <w:rFonts w:ascii="Times New Roman" w:cs="Times New Roman" w:eastAsia="Times New Roman" w:hAnsi="Times New Roman"/>
          <w:sz w:val="16"/>
          <w:szCs w:val="16"/>
          <w:color w:val="auto"/>
        </w:rPr>
        <w:t>” means a test that will be satisfied on any date of determination if the Weighted Average Floating Spread equals or exceeds 4.5%.</w:t>
      </w:r>
    </w:p>
    <w:p>
      <w:pPr>
        <w:spacing w:after="0" w:line="126" w:lineRule="exact"/>
        <w:rPr>
          <w:sz w:val="20"/>
          <w:szCs w:val="20"/>
          <w:color w:val="auto"/>
        </w:rPr>
      </w:pPr>
    </w:p>
    <w:p>
      <w:pPr>
        <w:ind w:left="1360" w:right="1400" w:firstLine="4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Mining and Metals Industry</w:t>
      </w:r>
      <w:r>
        <w:rPr>
          <w:rFonts w:ascii="Times New Roman" w:cs="Times New Roman" w:eastAsia="Times New Roman" w:hAnsi="Times New Roman"/>
          <w:sz w:val="16"/>
          <w:szCs w:val="16"/>
          <w:color w:val="auto"/>
        </w:rPr>
        <w:t>” means an industry where the Obligor directly supports: the mining, processing and/or sale of uranium for weapons purposes; or the mining or trading of rough diamonds not certified under the Kimberley Process Certification Scheme which provides assurance that diamonds have not been used to finance wars against legitimate governments, historically a particular problem in Africa through “conflict diamonds”.</w:t>
      </w:r>
    </w:p>
    <w:p>
      <w:pPr>
        <w:spacing w:after="0" w:line="133" w:lineRule="exact"/>
        <w:rPr>
          <w:sz w:val="20"/>
          <w:szCs w:val="20"/>
          <w:color w:val="auto"/>
        </w:rPr>
      </w:pPr>
    </w:p>
    <w:p>
      <w:pPr>
        <w:ind w:left="1840"/>
        <w:spacing w:after="0" w:line="184" w:lineRule="exact"/>
        <w:rPr>
          <w:sz w:val="20"/>
          <w:szCs w:val="20"/>
          <w:color w:val="auto"/>
        </w:rPr>
      </w:pPr>
      <w:r>
        <w:rPr>
          <w:rFonts w:ascii="Times New Roman" w:cs="Times New Roman" w:eastAsia="Times New Roman" w:hAnsi="Times New Roman"/>
          <w:sz w:val="16"/>
          <w:szCs w:val="16"/>
          <w:i w:val="1"/>
          <w:iCs w:val="1"/>
          <w:color w:val="auto"/>
        </w:rPr>
        <w:t xml:space="preserve">“Money” </w:t>
      </w:r>
      <w:r>
        <w:rPr>
          <w:rFonts w:ascii="Times New Roman" w:cs="Times New Roman" w:eastAsia="Times New Roman" w:hAnsi="Times New Roman"/>
          <w:sz w:val="16"/>
          <w:szCs w:val="16"/>
          <w:color w:val="auto"/>
        </w:rPr>
        <w:t>has the meaning specified in Section 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201(24) of the UCC.</w:t>
      </w:r>
    </w:p>
    <w:p>
      <w:pPr>
        <w:spacing w:after="0" w:line="203" w:lineRule="exact"/>
        <w:rPr>
          <w:sz w:val="20"/>
          <w:szCs w:val="20"/>
          <w:color w:val="auto"/>
        </w:rPr>
      </w:pPr>
    </w:p>
    <w:p>
      <w:pPr>
        <w:ind w:left="1360" w:right="19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“Monthly Asset Amount” </w:t>
      </w:r>
      <w:r>
        <w:rPr>
          <w:rFonts w:ascii="Times New Roman" w:cs="Times New Roman" w:eastAsia="Times New Roman" w:hAnsi="Times New Roman"/>
          <w:sz w:val="16"/>
          <w:szCs w:val="16"/>
          <w:color w:val="auto"/>
        </w:rPr>
        <w:t>means, for any Payment Date, the Aggregate Collateral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Balance as of the last day of the most recent Collection Period.</w:t>
      </w:r>
    </w:p>
    <w:p>
      <w:pPr>
        <w:spacing w:after="0" w:line="1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“Monthly Report” </w:t>
      </w:r>
      <w:r>
        <w:rPr>
          <w:rFonts w:ascii="Times New Roman" w:cs="Times New Roman" w:eastAsia="Times New Roman" w:hAnsi="Times New Roman"/>
          <w:sz w:val="16"/>
          <w:szCs w:val="16"/>
          <w:color w:val="auto"/>
        </w:rPr>
        <w:t>has the meaning specified in Section 8.06(a).</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“Monthly Report Determination Date” </w:t>
      </w:r>
      <w:r>
        <w:rPr>
          <w:rFonts w:ascii="Times New Roman" w:cs="Times New Roman" w:eastAsia="Times New Roman" w:hAnsi="Times New Roman"/>
          <w:sz w:val="16"/>
          <w:szCs w:val="16"/>
          <w:color w:val="auto"/>
        </w:rPr>
        <w:t>has the meaning specified in Section 8.06(a).</w:t>
      </w:r>
    </w:p>
    <w:p>
      <w:pPr>
        <w:spacing w:after="0" w:line="189" w:lineRule="exact"/>
        <w:rPr>
          <w:sz w:val="20"/>
          <w:szCs w:val="20"/>
          <w:color w:val="auto"/>
        </w:rPr>
      </w:pPr>
    </w:p>
    <w:p>
      <w:pPr>
        <w:ind w:left="1360" w:right="1440" w:firstLine="484"/>
        <w:spacing w:after="0" w:line="221" w:lineRule="auto"/>
        <w:rPr>
          <w:sz w:val="20"/>
          <w:szCs w:val="20"/>
          <w:color w:val="auto"/>
        </w:rPr>
      </w:pPr>
      <w:r>
        <w:rPr>
          <w:rFonts w:ascii="Times New Roman" w:cs="Times New Roman" w:eastAsia="Times New Roman" w:hAnsi="Times New Roman"/>
          <w:sz w:val="16"/>
          <w:szCs w:val="16"/>
          <w:i w:val="1"/>
          <w:iCs w:val="1"/>
          <w:color w:val="auto"/>
        </w:rPr>
        <w:t xml:space="preserve">“Monthly Reporting Date” </w:t>
      </w:r>
      <w:r>
        <w:rPr>
          <w:rFonts w:ascii="Times New Roman" w:cs="Times New Roman" w:eastAsia="Times New Roman" w:hAnsi="Times New Roman"/>
          <w:sz w:val="16"/>
          <w:szCs w:val="16"/>
          <w:color w:val="auto"/>
        </w:rPr>
        <w:t>means the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calendar day (or, if such day is not a Business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Day, on the next succeeding Business Day) of each calendar month.</w:t>
      </w:r>
    </w:p>
    <w:p>
      <w:pPr>
        <w:spacing w:after="0" w:line="16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“Moody’s” </w:t>
      </w:r>
      <w:r>
        <w:rPr>
          <w:rFonts w:ascii="Times New Roman" w:cs="Times New Roman" w:eastAsia="Times New Roman" w:hAnsi="Times New Roman"/>
          <w:sz w:val="16"/>
          <w:szCs w:val="16"/>
          <w:color w:val="auto"/>
        </w:rPr>
        <w:t>means Moody’s Investors Service, Inc., together with its successors.</w:t>
      </w:r>
    </w:p>
    <w:p>
      <w:pPr>
        <w:spacing w:after="0" w:line="189" w:lineRule="exact"/>
        <w:rPr>
          <w:sz w:val="20"/>
          <w:szCs w:val="20"/>
          <w:color w:val="auto"/>
        </w:rPr>
      </w:pPr>
    </w:p>
    <w:p>
      <w:pPr>
        <w:ind w:left="1360" w:right="178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“Multicurrency Advance” </w:t>
      </w:r>
      <w:r>
        <w:rPr>
          <w:rFonts w:ascii="Times New Roman" w:cs="Times New Roman" w:eastAsia="Times New Roman" w:hAnsi="Times New Roman"/>
          <w:sz w:val="16"/>
          <w:szCs w:val="16"/>
          <w:color w:val="auto"/>
        </w:rPr>
        <w:t>means an Advance denominated in Dollars or an Agreed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4" w:name="page145"/>
    <w:bookmarkEnd w:id="144"/>
    <w:p>
      <w:pPr>
        <w:spacing w:after="0" w:line="268" w:lineRule="exact"/>
        <w:rPr>
          <w:sz w:val="20"/>
          <w:szCs w:val="20"/>
          <w:color w:val="auto"/>
        </w:rPr>
      </w:pPr>
    </w:p>
    <w:p>
      <w:pPr>
        <w:ind w:left="1360" w:right="1360" w:firstLine="4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“Multiemployer Plan” </w:t>
      </w:r>
      <w:r>
        <w:rPr>
          <w:rFonts w:ascii="Times New Roman" w:cs="Times New Roman" w:eastAsia="Times New Roman" w:hAnsi="Times New Roman"/>
          <w:sz w:val="16"/>
          <w:szCs w:val="16"/>
          <w:color w:val="auto"/>
        </w:rPr>
        <w:t>means an employee pension benefit plan within the meaning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Section 4001(a)(3) of ERISA that is sponsored by the Borrower or a member of its ERISA Group or to which the Borrower or a member of its ERISA Group is obligated to make contributions or has any liability.</w:t>
      </w:r>
    </w:p>
    <w:p>
      <w:pPr>
        <w:spacing w:after="0" w:line="145" w:lineRule="exact"/>
        <w:rPr>
          <w:sz w:val="20"/>
          <w:szCs w:val="20"/>
          <w:color w:val="auto"/>
        </w:rPr>
      </w:pPr>
    </w:p>
    <w:p>
      <w:pPr>
        <w:ind w:left="1360" w:right="1360" w:firstLine="484"/>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Net Worth</w:t>
      </w:r>
      <w:r>
        <w:rPr>
          <w:rFonts w:ascii="Times New Roman" w:cs="Times New Roman" w:eastAsia="Times New Roman" w:hAnsi="Times New Roman"/>
          <w:sz w:val="16"/>
          <w:szCs w:val="16"/>
          <w:color w:val="auto"/>
        </w:rPr>
        <w:t>” means, for any Obligor and at any time the same is to be determined, the difference between total assets and total liabilities of such Obligor, total assets and total liabilities each to be determined in accordance with GAAP.</w:t>
      </w:r>
    </w:p>
    <w:p>
      <w:pPr>
        <w:spacing w:after="0" w:line="126" w:lineRule="exact"/>
        <w:rPr>
          <w:sz w:val="20"/>
          <w:szCs w:val="20"/>
          <w:color w:val="auto"/>
        </w:rPr>
      </w:pPr>
    </w:p>
    <w:p>
      <w:pPr>
        <w:ind w:left="1360" w:right="1400" w:firstLine="484"/>
        <w:spacing w:after="0" w:line="198" w:lineRule="exact"/>
        <w:rPr>
          <w:sz w:val="20"/>
          <w:szCs w:val="20"/>
          <w:color w:val="auto"/>
        </w:rPr>
      </w:pPr>
      <w:r>
        <w:rPr>
          <w:rFonts w:ascii="Times New Roman" w:cs="Times New Roman" w:eastAsia="Times New Roman" w:hAnsi="Times New Roman"/>
          <w:sz w:val="16"/>
          <w:szCs w:val="16"/>
          <w:i w:val="1"/>
          <w:iCs w:val="1"/>
          <w:color w:val="auto"/>
        </w:rPr>
        <w:t>“Non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 xml:space="preserve">Cash Paying PIK Loan” </w:t>
      </w:r>
      <w:r>
        <w:rPr>
          <w:rFonts w:ascii="Times New Roman" w:cs="Times New Roman" w:eastAsia="Times New Roman" w:hAnsi="Times New Roman"/>
          <w:sz w:val="16"/>
          <w:szCs w:val="16"/>
          <w:color w:val="auto"/>
        </w:rPr>
        <w:t>means a Collateral Loan that requires the Obligor to pay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only a portion of the accrued and unpaid interest in Cash on a current basis, the remainder of which is or can be deferred and paid later; provided that the portion of such interest required to be paid in Cash pursuant to the terms of the applicable Related Documents carries a current Cash pay interest rate paid (x) at a floating rate of less than 2.50% per annum over London interbank offered rate or SOFR, as applicable, or (y) at a fixed rate of less than 6.0% per annum.</w:t>
      </w:r>
    </w:p>
    <w:p>
      <w:pPr>
        <w:spacing w:after="0" w:line="164" w:lineRule="exact"/>
        <w:rPr>
          <w:sz w:val="20"/>
          <w:szCs w:val="20"/>
          <w:color w:val="auto"/>
        </w:rPr>
      </w:pPr>
    </w:p>
    <w:p>
      <w:pPr>
        <w:ind w:left="1360" w:right="182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Non-Defaulting Lender</w:t>
      </w:r>
      <w:r>
        <w:rPr>
          <w:rFonts w:ascii="Times New Roman" w:cs="Times New Roman" w:eastAsia="Times New Roman" w:hAnsi="Times New Roman"/>
          <w:sz w:val="16"/>
          <w:szCs w:val="16"/>
          <w:color w:val="auto"/>
        </w:rPr>
        <w:t>” shall mean, at any time, a Lender that is not a Defaulting Lender.</w:t>
      </w:r>
    </w:p>
    <w:p>
      <w:pPr>
        <w:spacing w:after="0" w:line="126" w:lineRule="exact"/>
        <w:rPr>
          <w:sz w:val="20"/>
          <w:szCs w:val="20"/>
          <w:color w:val="auto"/>
        </w:rPr>
      </w:pPr>
    </w:p>
    <w:p>
      <w:pPr>
        <w:ind w:left="1360" w:right="1360" w:firstLine="4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Noteless Loan</w:t>
      </w:r>
      <w:r>
        <w:rPr>
          <w:rFonts w:ascii="Times New Roman" w:cs="Times New Roman" w:eastAsia="Times New Roman" w:hAnsi="Times New Roman"/>
          <w:sz w:val="16"/>
          <w:szCs w:val="16"/>
          <w:color w:val="auto"/>
        </w:rPr>
        <w:t>” means a Collateral Loan with respect to which (i) the related loan agreement does not require the obligor to execute and deliver an Underlying Note to evidence the indebtedness created under such Collateral Loan and (ii) no Underlying Notes are outstanding with respect to the portion of the Collateral Loan transferred to the Borrower.</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“Notice of Borrowing” </w:t>
      </w:r>
      <w:r>
        <w:rPr>
          <w:rFonts w:ascii="Times New Roman" w:cs="Times New Roman" w:eastAsia="Times New Roman" w:hAnsi="Times New Roman"/>
          <w:sz w:val="16"/>
          <w:szCs w:val="16"/>
          <w:color w:val="auto"/>
        </w:rPr>
        <w:t>has the meaning assigned to such term in Section 2.02.</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“Notice of Prepayment” </w:t>
      </w:r>
      <w:r>
        <w:rPr>
          <w:rFonts w:ascii="Times New Roman" w:cs="Times New Roman" w:eastAsia="Times New Roman" w:hAnsi="Times New Roman"/>
          <w:sz w:val="16"/>
          <w:szCs w:val="16"/>
          <w:color w:val="auto"/>
        </w:rPr>
        <w:t>has the meaning assigned to such term in Section 2.05.</w:t>
      </w:r>
    </w:p>
    <w:p>
      <w:pPr>
        <w:spacing w:after="0" w:line="189" w:lineRule="exact"/>
        <w:rPr>
          <w:sz w:val="20"/>
          <w:szCs w:val="20"/>
          <w:color w:val="auto"/>
        </w:rPr>
      </w:pPr>
    </w:p>
    <w:p>
      <w:pPr>
        <w:ind w:left="1360" w:right="1420" w:firstLine="484"/>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“Obligations” </w:t>
      </w:r>
      <w:r>
        <w:rPr>
          <w:rFonts w:ascii="Times New Roman" w:cs="Times New Roman" w:eastAsia="Times New Roman" w:hAnsi="Times New Roman"/>
          <w:sz w:val="16"/>
          <w:szCs w:val="16"/>
          <w:color w:val="auto"/>
        </w:rPr>
        <w:t>means all indebtedness, whether absolute, fixed or contingent, at any time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from time to time owing by the Borrower to any Secured Party or any Affected Person under or in connection with this Agreement, the Collateral Agent Fee Letter or any other Facility Document, including all amounts payable by the Borrower in respect of the Advances, with interest thereon, and all amounts payable hereunder.</w:t>
      </w:r>
    </w:p>
    <w:p>
      <w:pPr>
        <w:spacing w:after="0" w:line="147" w:lineRule="exact"/>
        <w:rPr>
          <w:sz w:val="20"/>
          <w:szCs w:val="20"/>
          <w:color w:val="auto"/>
        </w:rPr>
      </w:pPr>
    </w:p>
    <w:p>
      <w:pPr>
        <w:ind w:left="1360" w:right="164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“Obligor” </w:t>
      </w:r>
      <w:r>
        <w:rPr>
          <w:rFonts w:ascii="Times New Roman" w:cs="Times New Roman" w:eastAsia="Times New Roman" w:hAnsi="Times New Roman"/>
          <w:sz w:val="16"/>
          <w:szCs w:val="16"/>
          <w:color w:val="auto"/>
        </w:rPr>
        <w:t>means, in respect of any Collateral Loan, the Person primarily obligated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 Collections in respect of such Collateral Loan.</w:t>
      </w:r>
    </w:p>
    <w:p>
      <w:pPr>
        <w:spacing w:after="0" w:line="1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“OFAC” </w:t>
      </w:r>
      <w:r>
        <w:rPr>
          <w:rFonts w:ascii="Times New Roman" w:cs="Times New Roman" w:eastAsia="Times New Roman" w:hAnsi="Times New Roman"/>
          <w:sz w:val="16"/>
          <w:szCs w:val="16"/>
          <w:color w:val="auto"/>
        </w:rPr>
        <w:t>has the meaning assigned to such term in Section 4.01(f).</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“Offer” </w:t>
      </w:r>
      <w:r>
        <w:rPr>
          <w:rFonts w:ascii="Times New Roman" w:cs="Times New Roman" w:eastAsia="Times New Roman" w:hAnsi="Times New Roman"/>
          <w:sz w:val="16"/>
          <w:szCs w:val="16"/>
          <w:color w:val="auto"/>
        </w:rPr>
        <w:t>has the meaning given in Section 8.07(c).</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“Original Currency” </w:t>
      </w:r>
      <w:r>
        <w:rPr>
          <w:rFonts w:ascii="Times New Roman" w:cs="Times New Roman" w:eastAsia="Times New Roman" w:hAnsi="Times New Roman"/>
          <w:sz w:val="16"/>
          <w:szCs w:val="16"/>
          <w:color w:val="auto"/>
        </w:rPr>
        <w:t>has the meaning assigned to such term in Section 2.14.</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“Other Connection Taxes” </w:t>
      </w:r>
      <w:r>
        <w:rPr>
          <w:rFonts w:ascii="Times New Roman" w:cs="Times New Roman" w:eastAsia="Times New Roman" w:hAnsi="Times New Roman"/>
          <w:sz w:val="16"/>
          <w:szCs w:val="16"/>
          <w:color w:val="auto"/>
        </w:rPr>
        <w:t>has the meaning given in Section 15.03(a).</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“Other Taxes” </w:t>
      </w:r>
      <w:r>
        <w:rPr>
          <w:rFonts w:ascii="Times New Roman" w:cs="Times New Roman" w:eastAsia="Times New Roman" w:hAnsi="Times New Roman"/>
          <w:sz w:val="16"/>
          <w:szCs w:val="16"/>
          <w:color w:val="auto"/>
        </w:rPr>
        <w:t>has the meaning given in Section 15.03(b).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666115</wp:posOffset>
            </wp:positionV>
            <wp:extent cx="526605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5" w:name="page146"/>
    <w:bookmarkEnd w:id="145"/>
    <w:p>
      <w:pPr>
        <w:spacing w:after="0" w:line="268" w:lineRule="exact"/>
        <w:rPr>
          <w:sz w:val="20"/>
          <w:szCs w:val="20"/>
          <w:color w:val="auto"/>
        </w:rPr>
      </w:pPr>
    </w:p>
    <w:p>
      <w:pPr>
        <w:ind w:left="1360" w:right="1360" w:firstLine="4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“Ownership Certificates” </w:t>
      </w:r>
      <w:r>
        <w:rPr>
          <w:rFonts w:ascii="Times New Roman" w:cs="Times New Roman" w:eastAsia="Times New Roman" w:hAnsi="Times New Roman"/>
          <w:sz w:val="16"/>
          <w:szCs w:val="16"/>
          <w:color w:val="auto"/>
        </w:rPr>
        <w:t>means, in respect of any Collateral, all stock, ownership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certificates, participation certificates and other “instruments” and “certificated securities” (as such terms are defined in the UCC), if any, governing or evidencing or representing ownership of such Collateral.</w:t>
      </w:r>
    </w:p>
    <w:p>
      <w:pPr>
        <w:spacing w:after="0" w:line="145" w:lineRule="exact"/>
        <w:rPr>
          <w:sz w:val="20"/>
          <w:szCs w:val="20"/>
          <w:color w:val="auto"/>
        </w:rPr>
      </w:pPr>
    </w:p>
    <w:p>
      <w:pPr>
        <w:ind w:left="1360" w:right="1360" w:firstLine="484"/>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Partial PIK Loan</w:t>
      </w:r>
      <w:r>
        <w:rPr>
          <w:rFonts w:ascii="Times New Roman" w:cs="Times New Roman" w:eastAsia="Times New Roman" w:hAnsi="Times New Roman"/>
          <w:sz w:val="16"/>
          <w:szCs w:val="16"/>
          <w:color w:val="auto"/>
        </w:rPr>
        <w:t xml:space="preserve">” means a Collateral Loan that requires the Obligor to pay only a portion of the accrued and unpaid interest in Cash on a current basis, the remainder of which is or can be deferred and paid later;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portion of such interest required to be paid in Cash pursuant to the terms of the applicable Related Documents carries a current Cash pay interest rate paid (x) at a floating rate of not less than 2.50% and not equal to or greater than</w:t>
      </w:r>
    </w:p>
    <w:p>
      <w:pPr>
        <w:spacing w:after="0" w:line="1" w:lineRule="exact"/>
        <w:rPr>
          <w:sz w:val="20"/>
          <w:szCs w:val="20"/>
          <w:color w:val="auto"/>
        </w:rPr>
      </w:pPr>
    </w:p>
    <w:p>
      <w:pPr>
        <w:ind w:left="1360" w:right="1380"/>
        <w:spacing w:after="0" w:line="260" w:lineRule="auto"/>
        <w:rPr>
          <w:sz w:val="20"/>
          <w:szCs w:val="20"/>
          <w:color w:val="auto"/>
        </w:rPr>
      </w:pPr>
      <w:r>
        <w:rPr>
          <w:rFonts w:ascii="Times New Roman" w:cs="Times New Roman" w:eastAsia="Times New Roman" w:hAnsi="Times New Roman"/>
          <w:sz w:val="16"/>
          <w:szCs w:val="16"/>
          <w:color w:val="auto"/>
        </w:rPr>
        <w:t xml:space="preserve">4.0% </w:t>
      </w:r>
      <w:r>
        <w:rPr>
          <w:rFonts w:ascii="Times New Roman" w:cs="Times New Roman" w:eastAsia="Times New Roman" w:hAnsi="Times New Roman"/>
          <w:sz w:val="16"/>
          <w:szCs w:val="16"/>
          <w:i w:val="1"/>
          <w:iCs w:val="1"/>
          <w:color w:val="auto"/>
        </w:rPr>
        <w:t>per annum</w:t>
      </w:r>
      <w:r>
        <w:rPr>
          <w:rFonts w:ascii="Times New Roman" w:cs="Times New Roman" w:eastAsia="Times New Roman" w:hAnsi="Times New Roman"/>
          <w:sz w:val="16"/>
          <w:szCs w:val="16"/>
          <w:color w:val="auto"/>
        </w:rPr>
        <w:t xml:space="preserve"> over London interbank offered rate or SOFR, as applicable, or (y) at a fixed rate of not less than 6.0% and not equal to or greater than 8.0% </w:t>
      </w:r>
      <w:r>
        <w:rPr>
          <w:rFonts w:ascii="Times New Roman" w:cs="Times New Roman" w:eastAsia="Times New Roman" w:hAnsi="Times New Roman"/>
          <w:sz w:val="16"/>
          <w:szCs w:val="16"/>
          <w:i w:val="1"/>
          <w:iCs w:val="1"/>
          <w:color w:val="auto"/>
        </w:rPr>
        <w:t>per annum</w:t>
      </w:r>
      <w:r>
        <w:rPr>
          <w:rFonts w:ascii="Times New Roman" w:cs="Times New Roman" w:eastAsia="Times New Roman" w:hAnsi="Times New Roman"/>
          <w:sz w:val="16"/>
          <w:szCs w:val="16"/>
          <w:color w:val="auto"/>
        </w:rPr>
        <w:t>.</w:t>
      </w:r>
    </w:p>
    <w:p>
      <w:pPr>
        <w:spacing w:after="0" w:line="146" w:lineRule="exact"/>
        <w:rPr>
          <w:sz w:val="20"/>
          <w:szCs w:val="20"/>
          <w:color w:val="auto"/>
        </w:rPr>
      </w:pPr>
    </w:p>
    <w:p>
      <w:pPr>
        <w:ind w:left="1360" w:right="146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“Participant” </w:t>
      </w:r>
      <w:r>
        <w:rPr>
          <w:rFonts w:ascii="Times New Roman" w:cs="Times New Roman" w:eastAsia="Times New Roman" w:hAnsi="Times New Roman"/>
          <w:sz w:val="16"/>
          <w:szCs w:val="16"/>
          <w:color w:val="auto"/>
        </w:rPr>
        <w:t>means any Person to whom a participation is sold as permitted by Section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15.06(d).</w:t>
      </w:r>
    </w:p>
    <w:p>
      <w:pPr>
        <w:spacing w:after="0" w:line="126" w:lineRule="exact"/>
        <w:rPr>
          <w:sz w:val="20"/>
          <w:szCs w:val="20"/>
          <w:color w:val="auto"/>
        </w:rPr>
      </w:pPr>
    </w:p>
    <w:p>
      <w:pPr>
        <w:ind w:left="1360" w:right="140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“Participating Member State” </w:t>
      </w:r>
      <w:r>
        <w:rPr>
          <w:rFonts w:ascii="Times New Roman" w:cs="Times New Roman" w:eastAsia="Times New Roman" w:hAnsi="Times New Roman"/>
          <w:sz w:val="16"/>
          <w:szCs w:val="16"/>
          <w:color w:val="auto"/>
        </w:rPr>
        <w:t>means any member state of the European Community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adopts or has adopted the Euro as its lawful currency in accordance with the legislation of the European Union relating to the European Monetary Union.</w:t>
      </w:r>
    </w:p>
    <w:p>
      <w:pPr>
        <w:spacing w:after="0" w:line="140" w:lineRule="exact"/>
        <w:rPr>
          <w:sz w:val="20"/>
          <w:szCs w:val="20"/>
          <w:color w:val="auto"/>
        </w:rPr>
      </w:pPr>
    </w:p>
    <w:p>
      <w:pPr>
        <w:ind w:left="1360" w:right="138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“Participation Interest” </w:t>
      </w:r>
      <w:r>
        <w:rPr>
          <w:rFonts w:ascii="Times New Roman" w:cs="Times New Roman" w:eastAsia="Times New Roman" w:hAnsi="Times New Roman"/>
          <w:sz w:val="16"/>
          <w:szCs w:val="16"/>
          <w:color w:val="auto"/>
        </w:rPr>
        <w:t>means a participation interest in a loan or other obligation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would, at the time of acquisition, or the Borrower’s commitment to acquire the same, constitute a Collateral Loan.</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“PATRIOT Act” </w:t>
      </w:r>
      <w:r>
        <w:rPr>
          <w:rFonts w:ascii="Times New Roman" w:cs="Times New Roman" w:eastAsia="Times New Roman" w:hAnsi="Times New Roman"/>
          <w:sz w:val="16"/>
          <w:szCs w:val="16"/>
          <w:color w:val="auto"/>
        </w:rPr>
        <w:t>has the meaning assigned to such term in Section 15.16.</w:t>
      </w:r>
    </w:p>
    <w:p>
      <w:pPr>
        <w:spacing w:after="0" w:line="189" w:lineRule="exact"/>
        <w:rPr>
          <w:sz w:val="20"/>
          <w:szCs w:val="20"/>
          <w:color w:val="auto"/>
        </w:rPr>
      </w:pPr>
    </w:p>
    <w:p>
      <w:pPr>
        <w:ind w:left="1360" w:right="158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“Payment Account” </w:t>
      </w:r>
      <w:r>
        <w:rPr>
          <w:rFonts w:ascii="Times New Roman" w:cs="Times New Roman" w:eastAsia="Times New Roman" w:hAnsi="Times New Roman"/>
          <w:sz w:val="16"/>
          <w:szCs w:val="16"/>
          <w:color w:val="auto"/>
        </w:rPr>
        <w:t>means, collectively, the payment accounts of the Collateral Agent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established pursuant to Section 8.03(a).</w:t>
      </w:r>
    </w:p>
    <w:p>
      <w:pPr>
        <w:spacing w:after="0" w:line="126" w:lineRule="exact"/>
        <w:rPr>
          <w:sz w:val="20"/>
          <w:szCs w:val="20"/>
          <w:color w:val="auto"/>
        </w:rPr>
      </w:pPr>
    </w:p>
    <w:p>
      <w:pPr>
        <w:ind w:left="1360" w:right="1480" w:firstLine="484"/>
        <w:spacing w:after="0" w:line="230" w:lineRule="auto"/>
        <w:rPr>
          <w:sz w:val="20"/>
          <w:szCs w:val="20"/>
          <w:color w:val="auto"/>
        </w:rPr>
      </w:pPr>
      <w:r>
        <w:rPr>
          <w:rFonts w:ascii="Times New Roman" w:cs="Times New Roman" w:eastAsia="Times New Roman" w:hAnsi="Times New Roman"/>
          <w:sz w:val="16"/>
          <w:szCs w:val="16"/>
          <w:i w:val="1"/>
          <w:iCs w:val="1"/>
          <w:color w:val="auto"/>
        </w:rPr>
        <w:t xml:space="preserve">“Payment Date” </w:t>
      </w:r>
      <w:r>
        <w:rPr>
          <w:rFonts w:ascii="Times New Roman" w:cs="Times New Roman" w:eastAsia="Times New Roman" w:hAnsi="Times New Roman"/>
          <w:sz w:val="16"/>
          <w:szCs w:val="16"/>
          <w:color w:val="auto"/>
        </w:rPr>
        <w:t>means the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day of each calendar month in each year;</w:t>
      </w:r>
      <w:r>
        <w:rPr>
          <w:rFonts w:ascii="Times New Roman" w:cs="Times New Roman" w:eastAsia="Times New Roman" w:hAnsi="Times New Roman"/>
          <w:sz w:val="16"/>
          <w:szCs w:val="16"/>
          <w:i w:val="1"/>
          <w:iCs w:val="1"/>
          <w:color w:val="auto"/>
        </w:rPr>
        <w:t xml:space="preserve"> provided </w:t>
      </w:r>
      <w:r>
        <w:rPr>
          <w:rFonts w:ascii="Times New Roman" w:cs="Times New Roman" w:eastAsia="Times New Roman" w:hAnsi="Times New Roman"/>
          <w:sz w:val="16"/>
          <w:szCs w:val="16"/>
          <w:color w:val="auto"/>
        </w:rPr>
        <w:t>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if any such day is not a Business Day, then such Payment Date shall be the next succeeding Business Day.</w:t>
      </w:r>
    </w:p>
    <w:p>
      <w:pPr>
        <w:spacing w:after="0" w:line="16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“Payment Date Report” </w:t>
      </w:r>
      <w:r>
        <w:rPr>
          <w:rFonts w:ascii="Times New Roman" w:cs="Times New Roman" w:eastAsia="Times New Roman" w:hAnsi="Times New Roman"/>
          <w:sz w:val="16"/>
          <w:szCs w:val="16"/>
          <w:color w:val="auto"/>
        </w:rPr>
        <w:t>has the meaning specified in Section 8.06(b).</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“Payment Recipient” </w:t>
      </w:r>
      <w:r>
        <w:rPr>
          <w:rFonts w:ascii="Times New Roman" w:cs="Times New Roman" w:eastAsia="Times New Roman" w:hAnsi="Times New Roman"/>
          <w:sz w:val="16"/>
          <w:szCs w:val="16"/>
          <w:color w:val="auto"/>
        </w:rPr>
        <w:t>has the meaning given in Section 12.07(a).</w:t>
      </w:r>
    </w:p>
    <w:p>
      <w:pPr>
        <w:spacing w:after="0" w:line="189" w:lineRule="exact"/>
        <w:rPr>
          <w:sz w:val="20"/>
          <w:szCs w:val="20"/>
          <w:color w:val="auto"/>
        </w:rPr>
      </w:pPr>
    </w:p>
    <w:p>
      <w:pPr>
        <w:ind w:left="1360" w:right="154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“PBGC” </w:t>
      </w:r>
      <w:r>
        <w:rPr>
          <w:rFonts w:ascii="Times New Roman" w:cs="Times New Roman" w:eastAsia="Times New Roman" w:hAnsi="Times New Roman"/>
          <w:sz w:val="16"/>
          <w:szCs w:val="16"/>
          <w:color w:val="auto"/>
        </w:rPr>
        <w:t>means the Pension Benefit Guaranty Corporation, or any successor agency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entity performing substantially the same functions.</w:t>
      </w:r>
    </w:p>
    <w:p>
      <w:pPr>
        <w:spacing w:after="0" w:line="126" w:lineRule="exact"/>
        <w:rPr>
          <w:sz w:val="20"/>
          <w:szCs w:val="20"/>
          <w:color w:val="auto"/>
        </w:rPr>
      </w:pPr>
    </w:p>
    <w:p>
      <w:pPr>
        <w:ind w:left="1360" w:right="1480" w:firstLine="484"/>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“Percentage” </w:t>
      </w:r>
      <w:r>
        <w:rPr>
          <w:rFonts w:ascii="Times New Roman" w:cs="Times New Roman" w:eastAsia="Times New Roman" w:hAnsi="Times New Roman"/>
          <w:sz w:val="16"/>
          <w:szCs w:val="16"/>
          <w:color w:val="auto"/>
        </w:rPr>
        <w:t>of any Lender means, (a) with respect to any Lender party hereto 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date hereof, the percentage set forth opposite such Lender’s name on Schedule 1 hereto, as such amount is reduced by any Assignment and Acceptance entered into by such Lender with an assignee or increased by any Assignment and Acceptance entered into by such lender with an assignor, or (b) with respect to a Lender that has become a party hereto pursuant to an Assignment and Acceptance, the percentage set forth therein as such Lender’s Percentage, as such amount is reduced by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641350</wp:posOffset>
            </wp:positionV>
            <wp:extent cx="526605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6" w:name="page147"/>
    <w:bookmarkEnd w:id="146"/>
    <w:p>
      <w:pPr>
        <w:spacing w:after="0" w:line="270" w:lineRule="exact"/>
        <w:rPr>
          <w:sz w:val="20"/>
          <w:szCs w:val="20"/>
          <w:color w:val="auto"/>
        </w:rPr>
      </w:pPr>
    </w:p>
    <w:p>
      <w:pPr>
        <w:ind w:left="1360" w:right="1520"/>
        <w:spacing w:after="0" w:line="283" w:lineRule="auto"/>
        <w:rPr>
          <w:sz w:val="20"/>
          <w:szCs w:val="20"/>
          <w:color w:val="auto"/>
        </w:rPr>
      </w:pPr>
      <w:r>
        <w:rPr>
          <w:rFonts w:ascii="Times New Roman" w:cs="Times New Roman" w:eastAsia="Times New Roman" w:hAnsi="Times New Roman"/>
          <w:sz w:val="16"/>
          <w:szCs w:val="16"/>
          <w:color w:val="auto"/>
        </w:rPr>
        <w:t>Assignment and Acceptance entered into between such Lender and an assignee or increased by any Assignment and Acceptance entered into by such lender with an assignor.</w:t>
      </w:r>
    </w:p>
    <w:p>
      <w:pPr>
        <w:spacing w:after="0" w:line="12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“Permitted Agent” </w:t>
      </w:r>
      <w:r>
        <w:rPr>
          <w:rFonts w:ascii="Times New Roman" w:cs="Times New Roman" w:eastAsia="Times New Roman" w:hAnsi="Times New Roman"/>
          <w:sz w:val="16"/>
          <w:szCs w:val="16"/>
          <w:color w:val="auto"/>
        </w:rPr>
        <w:t>means:</w:t>
      </w:r>
    </w:p>
    <w:p>
      <w:pPr>
        <w:spacing w:after="0" w:line="191" w:lineRule="exact"/>
        <w:rPr>
          <w:sz w:val="20"/>
          <w:szCs w:val="20"/>
          <w:color w:val="auto"/>
        </w:rPr>
      </w:pPr>
    </w:p>
    <w:p>
      <w:pPr>
        <w:ind w:left="1840" w:right="1580" w:firstLine="44"/>
        <w:spacing w:after="0" w:line="204" w:lineRule="exact"/>
        <w:tabs>
          <w:tab w:leader="none" w:pos="21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Facility Documents, the Collateral Manager, the Custodian, the Agents, the Independent Accountants and any such party’s sub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agents; and</w:t>
      </w:r>
    </w:p>
    <w:p>
      <w:pPr>
        <w:spacing w:after="0" w:line="158" w:lineRule="exact"/>
        <w:rPr>
          <w:rFonts w:ascii="Times New Roman" w:cs="Times New Roman" w:eastAsia="Times New Roman" w:hAnsi="Times New Roman"/>
          <w:sz w:val="16"/>
          <w:szCs w:val="16"/>
          <w:color w:val="auto"/>
        </w:rPr>
      </w:pPr>
    </w:p>
    <w:p>
      <w:pPr>
        <w:ind w:left="1840" w:right="1500" w:firstLine="44"/>
        <w:spacing w:after="0" w:line="194" w:lineRule="exact"/>
        <w:tabs>
          <w:tab w:leader="none" w:pos="2109"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Collateral Loans, (i) administrative agents, collateral agents, arrangers, trustees and similar agents (and any sub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agents) appointed under the Related Documents, (ii) financial and restructuring advisors, appraisers and evaluators, (iii) foreign agents retained for foreign perfection purposes or other local law requirements, (iv) back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office operations providers and (v) legal counsel, in each case, consistent with the Collateral Manager’s past practice and in the ordinary course of business.</w:t>
      </w:r>
    </w:p>
    <w:p>
      <w:pPr>
        <w:spacing w:after="0" w:line="166" w:lineRule="exact"/>
        <w:rPr>
          <w:sz w:val="20"/>
          <w:szCs w:val="20"/>
          <w:color w:val="auto"/>
        </w:rPr>
      </w:pPr>
    </w:p>
    <w:p>
      <w:pPr>
        <w:ind w:left="1360" w:right="1400" w:firstLine="484"/>
        <w:spacing w:after="0" w:line="19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Permitted Assignee</w:t>
      </w:r>
      <w:r>
        <w:rPr>
          <w:rFonts w:ascii="Times New Roman" w:cs="Times New Roman" w:eastAsia="Times New Roman" w:hAnsi="Times New Roman"/>
          <w:sz w:val="16"/>
          <w:szCs w:val="16"/>
          <w:color w:val="auto"/>
        </w:rPr>
        <w:t>” means, with respect to (i) any CP Conduit, any Liquidity Bank for such CP Conduit and any other multi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seller asset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backed commercial paper conduit administered by the same agent as such CP Conduit, (ii) any Lender other than a CP Conduit, an Affiliate of such Lender that has a short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term unsecured debt rating or certificate of deposit rating of “A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 or better by S&amp;P or “P</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 or better by Moody’s, and (iii) any Lender, any other Lender, and which, in the case of clause (ii) does not require the Borrower to pay any additional or increased costs or is otherwise approved by the Borrower.</w:t>
      </w:r>
    </w:p>
    <w:p>
      <w:pPr>
        <w:spacing w:after="0" w:line="166" w:lineRule="exact"/>
        <w:rPr>
          <w:sz w:val="20"/>
          <w:szCs w:val="20"/>
          <w:color w:val="auto"/>
        </w:rPr>
      </w:pPr>
    </w:p>
    <w:p>
      <w:pPr>
        <w:ind w:left="1360" w:right="1380" w:firstLine="484"/>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“Permitted Liens” </w:t>
      </w:r>
      <w:r>
        <w:rPr>
          <w:rFonts w:ascii="Times New Roman" w:cs="Times New Roman" w:eastAsia="Times New Roman" w:hAnsi="Times New Roman"/>
          <w:sz w:val="16"/>
          <w:szCs w:val="16"/>
          <w:color w:val="auto"/>
        </w:rPr>
        <w:t>means: (a) Liens created in favor of the Collateral Agent hereunder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under the other Facility Documents for the benefit of the Secured Parties; and (b) Liens imposed by any Governmental Authority for taxes, assessments or charges not yet delinquent or which are being contested in good faith and by appropriate proceedings if adequate reserves with respect thereto are maintained on the books of the Borrower in accordance with GAAP.</w:t>
      </w:r>
    </w:p>
    <w:p>
      <w:pPr>
        <w:spacing w:after="0" w:line="147" w:lineRule="exact"/>
        <w:rPr>
          <w:sz w:val="20"/>
          <w:szCs w:val="20"/>
          <w:color w:val="auto"/>
        </w:rPr>
      </w:pPr>
    </w:p>
    <w:p>
      <w:pPr>
        <w:ind w:left="1360" w:right="1380" w:firstLine="484"/>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“Permitted Securitization” </w:t>
      </w:r>
      <w:r>
        <w:rPr>
          <w:rFonts w:ascii="Times New Roman" w:cs="Times New Roman" w:eastAsia="Times New Roman" w:hAnsi="Times New Roman"/>
          <w:sz w:val="16"/>
          <w:szCs w:val="16"/>
          <w:color w:val="auto"/>
        </w:rPr>
        <w:t>means any private or public term or conduit securitization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transaction undertaken by the Borrower or its Affiliates with the prior consent of the Administrative Agent (which consent shall not be unreasonably withheld or delayed) that is secured, directly or indirectly, by any Collateral Loan currently or formerly included in the Collateral or any portion thereof or any interest therein released from the Lien of this Agreement, including, without limitation, any collateralized loan obligation or collateralized debt obligation offering or other asset securitization.</w:t>
      </w:r>
    </w:p>
    <w:p>
      <w:pPr>
        <w:spacing w:after="0" w:line="150" w:lineRule="exact"/>
        <w:rPr>
          <w:sz w:val="20"/>
          <w:szCs w:val="20"/>
          <w:color w:val="auto"/>
        </w:rPr>
      </w:pPr>
    </w:p>
    <w:p>
      <w:pPr>
        <w:ind w:left="1360" w:right="138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“Person” </w:t>
      </w:r>
      <w:r>
        <w:rPr>
          <w:rFonts w:ascii="Times New Roman" w:cs="Times New Roman" w:eastAsia="Times New Roman" w:hAnsi="Times New Roman"/>
          <w:sz w:val="16"/>
          <w:szCs w:val="16"/>
          <w:color w:val="auto"/>
        </w:rPr>
        <w:t>means an individual or a corporation (including a business trust), partnership,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trust, incorporated or unincorporated association, joint stock company, limited liability company, government (or an agency or political subdivision thereof) or other entity of any kind.</w:t>
      </w:r>
    </w:p>
    <w:p>
      <w:pPr>
        <w:spacing w:after="0" w:line="140" w:lineRule="exact"/>
        <w:rPr>
          <w:sz w:val="20"/>
          <w:szCs w:val="20"/>
          <w:color w:val="auto"/>
        </w:rPr>
      </w:pPr>
    </w:p>
    <w:p>
      <w:pPr>
        <w:ind w:left="1360" w:right="196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“PIK Loan” </w:t>
      </w:r>
      <w:r>
        <w:rPr>
          <w:rFonts w:ascii="Times New Roman" w:cs="Times New Roman" w:eastAsia="Times New Roman" w:hAnsi="Times New Roman"/>
          <w:sz w:val="16"/>
          <w:szCs w:val="16"/>
          <w:color w:val="auto"/>
        </w:rPr>
        <w:t>means a Collateral Loan that permits the obligor thereon to defer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capitalize any portion of the accrued interest thereon.</w:t>
      </w:r>
    </w:p>
    <w:p>
      <w:pPr>
        <w:spacing w:after="0" w:line="126" w:lineRule="exact"/>
        <w:rPr>
          <w:sz w:val="20"/>
          <w:szCs w:val="20"/>
          <w:color w:val="auto"/>
        </w:rPr>
      </w:pPr>
    </w:p>
    <w:p>
      <w:pPr>
        <w:jc w:val="both"/>
        <w:ind w:left="1360" w:right="178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“Plan” </w:t>
      </w:r>
      <w:r>
        <w:rPr>
          <w:rFonts w:ascii="Times New Roman" w:cs="Times New Roman" w:eastAsia="Times New Roman" w:hAnsi="Times New Roman"/>
          <w:sz w:val="16"/>
          <w:szCs w:val="16"/>
          <w:color w:val="auto"/>
        </w:rPr>
        <w:t>means an employee pension benefit plan (other than a Multiemployer Plan)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is covered by Title IV of ERISA or subject to the minimum funding standards under Section 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635000</wp:posOffset>
            </wp:positionV>
            <wp:extent cx="526605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7" w:name="page148"/>
    <w:bookmarkEnd w:id="147"/>
    <w:p>
      <w:pPr>
        <w:spacing w:after="0" w:line="270" w:lineRule="exact"/>
        <w:rPr>
          <w:sz w:val="20"/>
          <w:szCs w:val="20"/>
          <w:color w:val="auto"/>
        </w:rPr>
      </w:pPr>
    </w:p>
    <w:p>
      <w:pPr>
        <w:ind w:left="1360" w:right="1480"/>
        <w:spacing w:after="0" w:line="266" w:lineRule="auto"/>
        <w:rPr>
          <w:sz w:val="20"/>
          <w:szCs w:val="20"/>
          <w:color w:val="auto"/>
        </w:rPr>
      </w:pPr>
      <w:r>
        <w:rPr>
          <w:rFonts w:ascii="Times New Roman" w:cs="Times New Roman" w:eastAsia="Times New Roman" w:hAnsi="Times New Roman"/>
          <w:sz w:val="16"/>
          <w:szCs w:val="16"/>
          <w:color w:val="auto"/>
        </w:rPr>
        <w:t>of the Code that is sponsored by the Borrower or a member of its ERISA Group or to which the Borrower or a member of its ERISA Group is obligated to make contributions or has any liability.</w:t>
      </w:r>
    </w:p>
    <w:p>
      <w:pPr>
        <w:spacing w:after="0" w:line="129" w:lineRule="exact"/>
        <w:rPr>
          <w:sz w:val="20"/>
          <w:szCs w:val="20"/>
          <w:color w:val="auto"/>
        </w:rPr>
      </w:pPr>
    </w:p>
    <w:p>
      <w:pPr>
        <w:ind w:left="1360" w:right="1660" w:firstLine="484"/>
        <w:spacing w:after="0" w:line="209" w:lineRule="exact"/>
        <w:rPr>
          <w:sz w:val="20"/>
          <w:szCs w:val="20"/>
          <w:color w:val="auto"/>
        </w:rPr>
      </w:pPr>
      <w:r>
        <w:rPr>
          <w:rFonts w:ascii="Times New Roman" w:cs="Times New Roman" w:eastAsia="Times New Roman" w:hAnsi="Times New Roman"/>
          <w:sz w:val="16"/>
          <w:szCs w:val="16"/>
          <w:i w:val="1"/>
          <w:iCs w:val="1"/>
          <w:color w:val="auto"/>
        </w:rPr>
        <w:t>“Post</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 xml:space="preserve">Default Rate” </w:t>
      </w:r>
      <w:r>
        <w:rPr>
          <w:rFonts w:ascii="Times New Roman" w:cs="Times New Roman" w:eastAsia="Times New Roman" w:hAnsi="Times New Roman"/>
          <w:sz w:val="16"/>
          <w:szCs w:val="16"/>
          <w:color w:val="auto"/>
        </w:rPr>
        <w:t>means a rate per annum equal to the rate of interest otherwise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effect pursuant to this Agreement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2.0% per annum.</w:t>
      </w:r>
    </w:p>
    <w:p>
      <w:pPr>
        <w:spacing w:after="0" w:line="16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“Pounds Sterling” </w:t>
      </w:r>
      <w:r>
        <w:rPr>
          <w:rFonts w:ascii="Times New Roman" w:cs="Times New Roman" w:eastAsia="Times New Roman" w:hAnsi="Times New Roman"/>
          <w:sz w:val="16"/>
          <w:szCs w:val="16"/>
          <w:color w:val="auto"/>
        </w:rPr>
        <w:t>means the lawful currency of the United Kingdom.</w:t>
      </w:r>
    </w:p>
    <w:p>
      <w:pPr>
        <w:spacing w:after="0" w:line="189" w:lineRule="exact"/>
        <w:rPr>
          <w:sz w:val="20"/>
          <w:szCs w:val="20"/>
          <w:color w:val="auto"/>
        </w:rPr>
      </w:pPr>
    </w:p>
    <w:p>
      <w:pPr>
        <w:ind w:left="1360" w:right="1440" w:firstLine="484"/>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“Prime Rate” </w:t>
      </w:r>
      <w:r>
        <w:rPr>
          <w:rFonts w:ascii="Times New Roman" w:cs="Times New Roman" w:eastAsia="Times New Roman" w:hAnsi="Times New Roman"/>
          <w:sz w:val="16"/>
          <w:szCs w:val="16"/>
          <w:color w:val="auto"/>
        </w:rPr>
        <w:t>means the rate announced by Truist Bank from time to time as its prime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rate in the United States, such rate to change as and when such designated rate changes. The Prime Rate is not intended to be the lowest rate of interest charged by Truist Bank in connection with extensions of credit to debtors. Truist Bank may make commercial loans or other loans at rates of interest at, above, or below the Prime Rate.</w:t>
      </w:r>
    </w:p>
    <w:p>
      <w:pPr>
        <w:spacing w:after="0" w:line="147" w:lineRule="exact"/>
        <w:rPr>
          <w:sz w:val="20"/>
          <w:szCs w:val="20"/>
          <w:color w:val="auto"/>
        </w:rPr>
      </w:pPr>
    </w:p>
    <w:p>
      <w:pPr>
        <w:ind w:left="1360" w:right="140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“Principal Balance” </w:t>
      </w:r>
      <w:r>
        <w:rPr>
          <w:rFonts w:ascii="Times New Roman" w:cs="Times New Roman" w:eastAsia="Times New Roman" w:hAnsi="Times New Roman"/>
          <w:sz w:val="16"/>
          <w:szCs w:val="16"/>
          <w:color w:val="auto"/>
        </w:rPr>
        <w:t>means, with respect to any Collateral Loan, as of any date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determination, the Dollar Equivalent of the outstanding principal amount of such Collateral Loan (excluding any capitalized interest).</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“Principal Collection Subaccount” </w:t>
      </w:r>
      <w:r>
        <w:rPr>
          <w:rFonts w:ascii="Times New Roman" w:cs="Times New Roman" w:eastAsia="Times New Roman" w:hAnsi="Times New Roman"/>
          <w:sz w:val="16"/>
          <w:szCs w:val="16"/>
          <w:color w:val="auto"/>
        </w:rPr>
        <w:t>has the meaning specified in Section 8.02(a).</w:t>
      </w:r>
    </w:p>
    <w:p>
      <w:pPr>
        <w:spacing w:after="0" w:line="189" w:lineRule="exact"/>
        <w:rPr>
          <w:sz w:val="20"/>
          <w:szCs w:val="20"/>
          <w:color w:val="auto"/>
        </w:rPr>
      </w:pPr>
    </w:p>
    <w:p>
      <w:pPr>
        <w:ind w:left="1360" w:right="144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“Principal Financial Center” </w:t>
      </w:r>
      <w:r>
        <w:rPr>
          <w:rFonts w:ascii="Times New Roman" w:cs="Times New Roman" w:eastAsia="Times New Roman" w:hAnsi="Times New Roman"/>
          <w:sz w:val="16"/>
          <w:szCs w:val="16"/>
          <w:color w:val="auto"/>
        </w:rPr>
        <w:t>means, in the case of any Currency, the principal financial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center where such Currency is cleared and settled, as determined by the Administrative Agent.</w:t>
      </w:r>
    </w:p>
    <w:p>
      <w:pPr>
        <w:spacing w:after="0" w:line="126" w:lineRule="exact"/>
        <w:rPr>
          <w:sz w:val="20"/>
          <w:szCs w:val="20"/>
          <w:color w:val="auto"/>
        </w:rPr>
      </w:pPr>
    </w:p>
    <w:p>
      <w:pPr>
        <w:ind w:left="1360" w:right="1380" w:firstLine="484"/>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“Principal Proceeds” </w:t>
      </w:r>
      <w:r>
        <w:rPr>
          <w:rFonts w:ascii="Times New Roman" w:cs="Times New Roman" w:eastAsia="Times New Roman" w:hAnsi="Times New Roman"/>
          <w:sz w:val="16"/>
          <w:szCs w:val="16"/>
          <w:color w:val="auto"/>
        </w:rPr>
        <w:t>means, with respect to any Collection Period or the related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Determination Date, all amounts received by the Borrower during such Collection Period that do not constitute Interest Proceeds, including unapplied proceeds of the Advances and any Cash equity contributions (unless specified by the Collateral Manager to constitute Interest Proceeds in accordance with Section 10.05).</w:t>
      </w:r>
    </w:p>
    <w:p>
      <w:pPr>
        <w:spacing w:after="0" w:line="147" w:lineRule="exact"/>
        <w:rPr>
          <w:sz w:val="20"/>
          <w:szCs w:val="20"/>
          <w:color w:val="auto"/>
        </w:rPr>
      </w:pPr>
    </w:p>
    <w:p>
      <w:pPr>
        <w:ind w:left="1360" w:right="1420" w:firstLine="484"/>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“Prior Credit Agreement” </w:t>
      </w:r>
      <w:r>
        <w:rPr>
          <w:rFonts w:ascii="Times New Roman" w:cs="Times New Roman" w:eastAsia="Times New Roman" w:hAnsi="Times New Roman"/>
          <w:sz w:val="16"/>
          <w:szCs w:val="16"/>
          <w:color w:val="auto"/>
        </w:rPr>
        <w:t>means that certain Fourth Amended and Restated Revolving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Credit and Security Agreement dated as of October 30, 2018 among the Borrower, the Collateral Manager, the lenders from time to time party thereto, Truist Bank, as administrative agent and swingline lender, and U.S. Bank National Association, as custodian, collateral administrator and backup collateral manager, as amended, amended and restated or otherwise modified from time to time.</w:t>
      </w:r>
    </w:p>
    <w:p>
      <w:pPr>
        <w:spacing w:after="0" w:line="1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“Priority of Payments” </w:t>
      </w:r>
      <w:r>
        <w:rPr>
          <w:rFonts w:ascii="Times New Roman" w:cs="Times New Roman" w:eastAsia="Times New Roman" w:hAnsi="Times New Roman"/>
          <w:sz w:val="16"/>
          <w:szCs w:val="16"/>
          <w:color w:val="auto"/>
        </w:rPr>
        <w:t>has the meaning specified in Section 9.01(a).</w:t>
      </w:r>
    </w:p>
    <w:p>
      <w:pPr>
        <w:spacing w:after="0" w:line="189" w:lineRule="exact"/>
        <w:rPr>
          <w:sz w:val="20"/>
          <w:szCs w:val="20"/>
          <w:color w:val="auto"/>
        </w:rPr>
      </w:pPr>
    </w:p>
    <w:p>
      <w:pPr>
        <w:jc w:val="both"/>
        <w:ind w:left="1360" w:right="14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“Private Authorizations” </w:t>
      </w:r>
      <w:r>
        <w:rPr>
          <w:rFonts w:ascii="Times New Roman" w:cs="Times New Roman" w:eastAsia="Times New Roman" w:hAnsi="Times New Roman"/>
          <w:sz w:val="16"/>
          <w:szCs w:val="16"/>
          <w:color w:val="auto"/>
        </w:rPr>
        <w:t>means all franchises, permits, licenses, approvals, consents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authorizations of all Persons (other than Governmental Authorities).</w:t>
      </w:r>
    </w:p>
    <w:p>
      <w:pPr>
        <w:spacing w:after="0" w:line="126" w:lineRule="exact"/>
        <w:rPr>
          <w:sz w:val="20"/>
          <w:szCs w:val="20"/>
          <w:color w:val="auto"/>
        </w:rPr>
      </w:pPr>
    </w:p>
    <w:p>
      <w:pPr>
        <w:jc w:val="both"/>
        <w:ind w:left="1360" w:right="140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“Proceeds” </w:t>
      </w:r>
      <w:r>
        <w:rPr>
          <w:rFonts w:ascii="Times New Roman" w:cs="Times New Roman" w:eastAsia="Times New Roman" w:hAnsi="Times New Roman"/>
          <w:sz w:val="16"/>
          <w:szCs w:val="16"/>
          <w:color w:val="auto"/>
        </w:rPr>
        <w:t>has, with reference to any asset or property, the meaning assigned to it under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UCC and, in any event, shall include, but not be limited to, any and all amounts from time to time paid or payable under or in connection with such asset or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635000</wp:posOffset>
            </wp:positionV>
            <wp:extent cx="526605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8" w:name="page149"/>
    <w:bookmarkEnd w:id="148"/>
    <w:p>
      <w:pPr>
        <w:spacing w:after="0" w:line="268" w:lineRule="exact"/>
        <w:rPr>
          <w:sz w:val="20"/>
          <w:szCs w:val="20"/>
          <w:color w:val="auto"/>
        </w:rPr>
      </w:pPr>
    </w:p>
    <w:p>
      <w:pPr>
        <w:ind w:left="1360" w:right="1480" w:firstLine="484"/>
        <w:spacing w:after="0" w:line="197" w:lineRule="exact"/>
        <w:rPr>
          <w:sz w:val="20"/>
          <w:szCs w:val="20"/>
          <w:color w:val="auto"/>
        </w:rPr>
      </w:pPr>
      <w:r>
        <w:rPr>
          <w:rFonts w:ascii="Times New Roman" w:cs="Times New Roman" w:eastAsia="Times New Roman" w:hAnsi="Times New Roman"/>
          <w:sz w:val="16"/>
          <w:szCs w:val="16"/>
          <w:i w:val="1"/>
          <w:iCs w:val="1"/>
          <w:color w:val="auto"/>
        </w:rPr>
        <w:t xml:space="preserve">“Professional Independent Manager” </w:t>
      </w:r>
      <w:r>
        <w:rPr>
          <w:rFonts w:ascii="Times New Roman" w:cs="Times New Roman" w:eastAsia="Times New Roman" w:hAnsi="Times New Roman"/>
          <w:sz w:val="16"/>
          <w:szCs w:val="16"/>
          <w:color w:val="auto"/>
        </w:rPr>
        <w:t>means an individual who is employed by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nationally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recognized company that provides professional independent directors or independent managers for Special Purpose Entities and other corporate services in the ordinary course of its business.</w:t>
      </w:r>
    </w:p>
    <w:p>
      <w:pPr>
        <w:spacing w:after="0" w:line="163" w:lineRule="exact"/>
        <w:rPr>
          <w:sz w:val="20"/>
          <w:szCs w:val="20"/>
          <w:color w:val="auto"/>
        </w:rPr>
      </w:pPr>
    </w:p>
    <w:p>
      <w:pPr>
        <w:ind w:left="1360" w:right="1500" w:firstLine="484"/>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Prohibited Defense Industry</w:t>
      </w:r>
      <w:r>
        <w:rPr>
          <w:rFonts w:ascii="Times New Roman" w:cs="Times New Roman" w:eastAsia="Times New Roman" w:hAnsi="Times New Roman"/>
          <w:sz w:val="16"/>
          <w:szCs w:val="16"/>
          <w:color w:val="auto"/>
        </w:rPr>
        <w:t>” means an industry directly connected (including production and trade) with controversial weapons (anti-personnel landmines, cluster munitions, nuclear/atomic, biological and chemical weapons or depleted uranium munitions).</w:t>
      </w:r>
    </w:p>
    <w:p>
      <w:pPr>
        <w:spacing w:after="0" w:line="140" w:lineRule="exact"/>
        <w:rPr>
          <w:sz w:val="20"/>
          <w:szCs w:val="20"/>
          <w:color w:val="auto"/>
        </w:rPr>
      </w:pPr>
    </w:p>
    <w:p>
      <w:pPr>
        <w:ind w:left="1360" w:right="1440" w:firstLine="484"/>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“Prohibited Industry” </w:t>
      </w:r>
      <w:r>
        <w:rPr>
          <w:rFonts w:ascii="Times New Roman" w:cs="Times New Roman" w:eastAsia="Times New Roman" w:hAnsi="Times New Roman"/>
          <w:sz w:val="16"/>
          <w:szCs w:val="16"/>
          <w:color w:val="auto"/>
        </w:rPr>
        <w:t>means (i) a Prohibited Defense Industry; (ii) assault weapons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firearms manufacturing; (iii) the pornography or adult entertainment industry; (iv) the production, trade or use of drift nets over 2.5 kilometers in length; (v) the production of asbestos fibers; (vi) the trade in any plant or animal species or products governed by the Convention on International Trade in Endangered Species of Wild Fauna or Flora ("CITES") which are not authorized by a CITES permit; (vii) activities mainly related to tobacco; (viii) a Freshwater Industry or Mining and Metals Industry; (ix) pay-day lending; (x) activities mainly related to marijuana related business; or (xi) the Crypto currency industry.</w:t>
      </w:r>
    </w:p>
    <w:p>
      <w:pPr>
        <w:spacing w:after="0" w:line="151" w:lineRule="exact"/>
        <w:rPr>
          <w:sz w:val="20"/>
          <w:szCs w:val="20"/>
          <w:color w:val="auto"/>
        </w:rPr>
      </w:pPr>
    </w:p>
    <w:p>
      <w:pPr>
        <w:jc w:val="both"/>
        <w:ind w:left="1360" w:right="136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“Prohibited Transaction” </w:t>
      </w:r>
      <w:r>
        <w:rPr>
          <w:rFonts w:ascii="Times New Roman" w:cs="Times New Roman" w:eastAsia="Times New Roman" w:hAnsi="Times New Roman"/>
          <w:sz w:val="16"/>
          <w:szCs w:val="16"/>
          <w:color w:val="auto"/>
        </w:rPr>
        <w:t>means a transaction described in Section 406(a) of ERISA,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 not exempted by a statutory or administrative or individual exemption pursuant to Section 408 of ERISA.</w:t>
      </w:r>
    </w:p>
    <w:p>
      <w:pPr>
        <w:spacing w:after="0" w:line="140" w:lineRule="exact"/>
        <w:rPr>
          <w:sz w:val="20"/>
          <w:szCs w:val="20"/>
          <w:color w:val="auto"/>
        </w:rPr>
      </w:pPr>
    </w:p>
    <w:p>
      <w:pPr>
        <w:ind w:left="1360" w:right="1800" w:firstLine="484"/>
        <w:spacing w:after="0" w:line="286" w:lineRule="auto"/>
        <w:rPr>
          <w:sz w:val="20"/>
          <w:szCs w:val="20"/>
          <w:color w:val="auto"/>
        </w:rPr>
      </w:pPr>
      <w:r>
        <w:rPr>
          <w:rFonts w:ascii="Times New Roman" w:cs="Times New Roman" w:eastAsia="Times New Roman" w:hAnsi="Times New Roman"/>
          <w:sz w:val="16"/>
          <w:szCs w:val="16"/>
          <w:i w:val="1"/>
          <w:iCs w:val="1"/>
          <w:color w:val="0000FF"/>
        </w:rPr>
        <w:t xml:space="preserve">“PSSL” </w:t>
      </w:r>
      <w:r>
        <w:rPr>
          <w:rFonts w:ascii="Times New Roman" w:cs="Times New Roman" w:eastAsia="Times New Roman" w:hAnsi="Times New Roman"/>
          <w:sz w:val="16"/>
          <w:szCs w:val="16"/>
          <w:color w:val="0000FF"/>
        </w:rPr>
        <w:t>means PennantPark Senior Secured Loan Fund I, LLC, a Delaware limited</w:t>
      </w:r>
      <w:r>
        <w:rPr>
          <w:rFonts w:ascii="Times New Roman" w:cs="Times New Roman" w:eastAsia="Times New Roman" w:hAnsi="Times New Roman"/>
          <w:sz w:val="16"/>
          <w:szCs w:val="16"/>
          <w:i w:val="1"/>
          <w:iCs w:val="1"/>
          <w:color w:val="0000FF"/>
        </w:rPr>
        <w:t xml:space="preserve"> </w:t>
      </w:r>
      <w:r>
        <w:rPr>
          <w:rFonts w:ascii="Times New Roman" w:cs="Times New Roman" w:eastAsia="Times New Roman" w:hAnsi="Times New Roman"/>
          <w:sz w:val="16"/>
          <w:szCs w:val="16"/>
          <w:color w:val="0000FF"/>
        </w:rPr>
        <w:t>liability company.</w:t>
      </w:r>
    </w:p>
    <w:p>
      <w:pPr>
        <w:spacing w:after="0" w:line="126" w:lineRule="exact"/>
        <w:rPr>
          <w:sz w:val="20"/>
          <w:szCs w:val="20"/>
          <w:color w:val="auto"/>
        </w:rPr>
      </w:pPr>
    </w:p>
    <w:p>
      <w:pPr>
        <w:ind w:left="1360" w:right="1580" w:firstLine="484"/>
        <w:spacing w:after="0" w:line="286" w:lineRule="auto"/>
        <w:rPr>
          <w:sz w:val="20"/>
          <w:szCs w:val="20"/>
          <w:color w:val="auto"/>
        </w:rPr>
      </w:pPr>
      <w:r>
        <w:rPr>
          <w:rFonts w:ascii="Times New Roman" w:cs="Times New Roman" w:eastAsia="Times New Roman" w:hAnsi="Times New Roman"/>
          <w:sz w:val="16"/>
          <w:szCs w:val="16"/>
          <w:i w:val="1"/>
          <w:iCs w:val="1"/>
          <w:color w:val="0000FF"/>
        </w:rPr>
        <w:t xml:space="preserve">“PSSL II” </w:t>
      </w:r>
      <w:r>
        <w:rPr>
          <w:rFonts w:ascii="Times New Roman" w:cs="Times New Roman" w:eastAsia="Times New Roman" w:hAnsi="Times New Roman"/>
          <w:sz w:val="16"/>
          <w:szCs w:val="16"/>
          <w:color w:val="0000FF"/>
        </w:rPr>
        <w:t>means PennantPark Senior Secured Loan Fund II, LLC, a Delaware limited</w:t>
      </w:r>
      <w:r>
        <w:rPr>
          <w:rFonts w:ascii="Times New Roman" w:cs="Times New Roman" w:eastAsia="Times New Roman" w:hAnsi="Times New Roman"/>
          <w:sz w:val="16"/>
          <w:szCs w:val="16"/>
          <w:i w:val="1"/>
          <w:iCs w:val="1"/>
          <w:color w:val="0000FF"/>
        </w:rPr>
        <w:t xml:space="preserve"> </w:t>
      </w:r>
      <w:r>
        <w:rPr>
          <w:rFonts w:ascii="Times New Roman" w:cs="Times New Roman" w:eastAsia="Times New Roman" w:hAnsi="Times New Roman"/>
          <w:sz w:val="16"/>
          <w:szCs w:val="16"/>
          <w:color w:val="0000FF"/>
        </w:rPr>
        <w:t>liability company.</w:t>
      </w:r>
    </w:p>
    <w:p>
      <w:pPr>
        <w:spacing w:after="0" w:line="126" w:lineRule="exact"/>
        <w:rPr>
          <w:sz w:val="20"/>
          <w:szCs w:val="20"/>
          <w:color w:val="auto"/>
        </w:rPr>
      </w:pPr>
    </w:p>
    <w:p>
      <w:pPr>
        <w:ind w:left="1360" w:right="14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“Purchase and Contribution Agreement” </w:t>
      </w:r>
      <w:r>
        <w:rPr>
          <w:rFonts w:ascii="Times New Roman" w:cs="Times New Roman" w:eastAsia="Times New Roman" w:hAnsi="Times New Roman"/>
          <w:sz w:val="16"/>
          <w:szCs w:val="16"/>
          <w:color w:val="auto"/>
        </w:rPr>
        <w:t>means that certain Purchase and Contribution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dated as of the Closing Date between the BDC, as seller, and the Borrower, as buyer.</w:t>
      </w:r>
    </w:p>
    <w:p>
      <w:pPr>
        <w:spacing w:after="0" w:line="126" w:lineRule="exact"/>
        <w:rPr>
          <w:sz w:val="20"/>
          <w:szCs w:val="20"/>
          <w:color w:val="auto"/>
        </w:rPr>
      </w:pPr>
    </w:p>
    <w:p>
      <w:pPr>
        <w:ind w:left="1360" w:right="1440" w:firstLine="4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Purchase Money Lien”</w:t>
      </w:r>
      <w:r>
        <w:rPr>
          <w:rFonts w:ascii="Times New Roman" w:cs="Times New Roman" w:eastAsia="Times New Roman" w:hAnsi="Times New Roman"/>
          <w:sz w:val="16"/>
          <w:szCs w:val="16"/>
          <w:color w:val="auto"/>
        </w:rPr>
        <w:t xml:space="preserve"> means a Lien that secures indebtedness for borrowed money so long as (i) substantially all of the proceeds of the indebtedness for borrowed money that is the subject of such Lien was used to acquire, construct or improve the asset(s) that are the subject of such Lien, and (ii) such Lien does not attach to assets other than those acquired, constructed or improved with such proceeds.</w:t>
      </w:r>
    </w:p>
    <w:p>
      <w:pPr>
        <w:spacing w:after="0" w:line="147" w:lineRule="exact"/>
        <w:rPr>
          <w:sz w:val="20"/>
          <w:szCs w:val="20"/>
          <w:color w:val="auto"/>
        </w:rPr>
      </w:pPr>
    </w:p>
    <w:p>
      <w:pPr>
        <w:ind w:left="1360" w:right="1380" w:firstLine="484"/>
        <w:spacing w:after="0" w:line="194" w:lineRule="exact"/>
        <w:rPr>
          <w:sz w:val="20"/>
          <w:szCs w:val="20"/>
          <w:color w:val="auto"/>
        </w:rPr>
      </w:pPr>
      <w:r>
        <w:rPr>
          <w:rFonts w:ascii="Times New Roman" w:cs="Times New Roman" w:eastAsia="Times New Roman" w:hAnsi="Times New Roman"/>
          <w:sz w:val="16"/>
          <w:szCs w:val="16"/>
          <w:i w:val="1"/>
          <w:iCs w:val="1"/>
          <w:color w:val="auto"/>
        </w:rPr>
        <w:t xml:space="preserve">“Qualified Institution” </w:t>
      </w:r>
      <w:r>
        <w:rPr>
          <w:rFonts w:ascii="Times New Roman" w:cs="Times New Roman" w:eastAsia="Times New Roman" w:hAnsi="Times New Roman"/>
          <w:sz w:val="16"/>
          <w:szCs w:val="16"/>
          <w:color w:val="auto"/>
        </w:rPr>
        <w:t>means a depository institution or trust company organized under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laws of the United States of America or any one of the States thereof or the District of Columbia (or any domestic branch of a foreign bank), (i)(a) that has either (1) a long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unsecured debt rating of “A” or better by S&amp;P and “A2” or better by Moody’s or (2) a short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unsecured debt rating or certificate of deposit rating of “A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 or better by S&amp;P or “P</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 or better by Moody’s, (b) the parent corporation of which has either (1) a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unsecured debt rating of “A” or better by S&amp;P and “A2” or better by Moody’s or (2) a short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unsecured debt rating or certificate of deposit rating of “A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 or better by S&amp;P and “P</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 or better by Moody’s or (c) is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652780</wp:posOffset>
            </wp:positionV>
            <wp:extent cx="526605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9" w:name="page150"/>
    <w:bookmarkEnd w:id="149"/>
    <w:p>
      <w:pPr>
        <w:spacing w:after="0" w:line="270" w:lineRule="exact"/>
        <w:rPr>
          <w:sz w:val="20"/>
          <w:szCs w:val="20"/>
          <w:color w:val="auto"/>
        </w:rPr>
      </w:pPr>
    </w:p>
    <w:p>
      <w:pPr>
        <w:ind w:left="1360" w:right="1500"/>
        <w:spacing w:after="0" w:line="283" w:lineRule="auto"/>
        <w:rPr>
          <w:sz w:val="20"/>
          <w:szCs w:val="20"/>
          <w:color w:val="auto"/>
        </w:rPr>
      </w:pPr>
      <w:r>
        <w:rPr>
          <w:rFonts w:ascii="Times New Roman" w:cs="Times New Roman" w:eastAsia="Times New Roman" w:hAnsi="Times New Roman"/>
          <w:sz w:val="16"/>
          <w:szCs w:val="16"/>
          <w:color w:val="auto"/>
        </w:rPr>
        <w:t>acceptable to the Administrative Agent and (ii) the deposits of which are insured by the Federal Deposit Insurance Corporation.</w:t>
      </w:r>
    </w:p>
    <w:p>
      <w:pPr>
        <w:spacing w:after="0" w:line="12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“QIB” </w:t>
      </w:r>
      <w:r>
        <w:rPr>
          <w:rFonts w:ascii="Times New Roman" w:cs="Times New Roman" w:eastAsia="Times New Roman" w:hAnsi="Times New Roman"/>
          <w:sz w:val="16"/>
          <w:szCs w:val="16"/>
          <w:color w:val="auto"/>
        </w:rPr>
        <w:t>has the meaning specified in Section 15.06(e).</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“Qualified Purchaser” </w:t>
      </w:r>
      <w:r>
        <w:rPr>
          <w:rFonts w:ascii="Times New Roman" w:cs="Times New Roman" w:eastAsia="Times New Roman" w:hAnsi="Times New Roman"/>
          <w:sz w:val="16"/>
          <w:szCs w:val="16"/>
          <w:color w:val="auto"/>
        </w:rPr>
        <w:t>has the meaning specified in Section 15.06(e).</w:t>
      </w:r>
    </w:p>
    <w:p>
      <w:pPr>
        <w:spacing w:after="0" w:line="189" w:lineRule="exact"/>
        <w:rPr>
          <w:sz w:val="20"/>
          <w:szCs w:val="20"/>
          <w:color w:val="auto"/>
        </w:rPr>
      </w:pPr>
    </w:p>
    <w:p>
      <w:pPr>
        <w:ind w:left="1360" w:right="1360" w:firstLine="484"/>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“Rating Agency” </w:t>
      </w:r>
      <w:r>
        <w:rPr>
          <w:rFonts w:ascii="Times New Roman" w:cs="Times New Roman" w:eastAsia="Times New Roman" w:hAnsi="Times New Roman"/>
          <w:sz w:val="16"/>
          <w:szCs w:val="16"/>
          <w:color w:val="auto"/>
        </w:rPr>
        <w:t>means Moody’s, Fitch or S&amp;P (or, if, at any time Moody’s, Fitch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S&amp;P ceases to provide rating services with respect to debt obligations, any other nationally recognized investment rating agency selected by the Borrower or the Collateral Manager on behalf of the Borrower with the consent of the Administrative Agent and the Required Lenders). In the event that at any time any of the rating agencies referred to above ceases to be a “Rating Agency” and a replacement rating agency is selected in accordance with the preceding sentence, then references to rating categories of such replaced rating agency in this Agreement shall be deemed instead to be references to the equivalent categories of such replacement rating agency as of the most recent date on which such replacement rating agency and such replaced rating agency’s published ratings for the type of obligation in respect of which such replacement rating agency is used.</w:t>
      </w:r>
    </w:p>
    <w:p>
      <w:pPr>
        <w:spacing w:after="0" w:line="157" w:lineRule="exact"/>
        <w:rPr>
          <w:sz w:val="20"/>
          <w:szCs w:val="20"/>
          <w:color w:val="auto"/>
        </w:rPr>
      </w:pPr>
    </w:p>
    <w:p>
      <w:pPr>
        <w:ind w:left="1360" w:right="164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“Recovery Rate” </w:t>
      </w:r>
      <w:r>
        <w:rPr>
          <w:rFonts w:ascii="Times New Roman" w:cs="Times New Roman" w:eastAsia="Times New Roman" w:hAnsi="Times New Roman"/>
          <w:sz w:val="16"/>
          <w:szCs w:val="16"/>
          <w:color w:val="auto"/>
        </w:rPr>
        <w:t>means, for Defaulted Collateral Loans, the lesser of (a) the Market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Value of such Collateral Loan (expressed as a percentage of par) and (b) the recovery rate set forth opposite such asset type below:</w:t>
      </w:r>
    </w:p>
    <w:p>
      <w:pPr>
        <w:spacing w:after="0" w:line="14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6"/>
          <w:szCs w:val="16"/>
          <w:color w:val="auto"/>
        </w:rPr>
        <w:t>First Lien Loans—50%</w:t>
      </w:r>
    </w:p>
    <w:p>
      <w:pPr>
        <w:spacing w:after="0" w:line="18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6"/>
          <w:szCs w:val="16"/>
          <w:color w:val="auto"/>
        </w:rPr>
        <w:t>Split First Lien Loans—50%</w:t>
      </w:r>
    </w:p>
    <w:p>
      <w:pPr>
        <w:spacing w:after="0" w:line="18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6"/>
          <w:szCs w:val="16"/>
          <w:color w:val="auto"/>
        </w:rPr>
        <w:t>Split Lien Loans—50%</w:t>
      </w:r>
    </w:p>
    <w:p>
      <w:pPr>
        <w:spacing w:after="0" w:line="18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6"/>
          <w:szCs w:val="16"/>
          <w:color w:val="auto"/>
        </w:rPr>
        <w:t>Second Lien Loans—30%</w:t>
      </w:r>
    </w:p>
    <w:p>
      <w:pPr>
        <w:spacing w:after="0" w:line="18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“Register” </w:t>
      </w:r>
      <w:r>
        <w:rPr>
          <w:rFonts w:ascii="Times New Roman" w:cs="Times New Roman" w:eastAsia="Times New Roman" w:hAnsi="Times New Roman"/>
          <w:sz w:val="16"/>
          <w:szCs w:val="16"/>
          <w:color w:val="auto"/>
        </w:rPr>
        <w:t>has the meaning specified in Section 15.06(d).</w:t>
      </w:r>
    </w:p>
    <w:p>
      <w:pPr>
        <w:spacing w:after="0" w:line="189" w:lineRule="exact"/>
        <w:rPr>
          <w:sz w:val="20"/>
          <w:szCs w:val="20"/>
          <w:color w:val="auto"/>
        </w:rPr>
      </w:pPr>
    </w:p>
    <w:p>
      <w:pPr>
        <w:ind w:left="1360" w:right="146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“Regulation 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“Regulation U”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“Regulation X” </w:t>
      </w:r>
      <w:r>
        <w:rPr>
          <w:rFonts w:ascii="Times New Roman" w:cs="Times New Roman" w:eastAsia="Times New Roman" w:hAnsi="Times New Roman"/>
          <w:sz w:val="16"/>
          <w:szCs w:val="16"/>
          <w:color w:val="auto"/>
        </w:rPr>
        <w:t>mean Regulation T, U and 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respectively, of the Board of Governors of the Federal Reserve System, as in effect from time to time.</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“Regulatory Change” </w:t>
      </w:r>
      <w:r>
        <w:rPr>
          <w:rFonts w:ascii="Times New Roman" w:cs="Times New Roman" w:eastAsia="Times New Roman" w:hAnsi="Times New Roman"/>
          <w:sz w:val="16"/>
          <w:szCs w:val="16"/>
          <w:color w:val="auto"/>
        </w:rPr>
        <w:t>has the meaning specified in Section 2.09(a).</w:t>
      </w:r>
    </w:p>
    <w:p>
      <w:pPr>
        <w:spacing w:after="0" w:line="189" w:lineRule="exact"/>
        <w:rPr>
          <w:sz w:val="20"/>
          <w:szCs w:val="20"/>
          <w:color w:val="auto"/>
        </w:rPr>
      </w:pPr>
    </w:p>
    <w:p>
      <w:pPr>
        <w:ind w:left="1360" w:right="1480" w:firstLine="484"/>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“Reinvestment Agreement” </w:t>
      </w:r>
      <w:r>
        <w:rPr>
          <w:rFonts w:ascii="Times New Roman" w:cs="Times New Roman" w:eastAsia="Times New Roman" w:hAnsi="Times New Roman"/>
          <w:sz w:val="16"/>
          <w:szCs w:val="16"/>
          <w:color w:val="auto"/>
        </w:rPr>
        <w:t>means a guaranteed reinvestment agreement from a bank,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insurance company or other corporation or entity having an Eligible Investment Required Ratings;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agreement provides that it is terminable by the purchaser, without penalty and with the return of all invested funds, if within sixty (60) days after the provider of such agreement no longer satisfies the Eligible Investment Required Ratings, the provider has failed to obtain either (i) a guarantor with an Eligible Investment Required Ratings to guarantee the obligations of such provider under such agreement or (ii) a replacement provider with an Eligible Investment Required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641985</wp:posOffset>
            </wp:positionV>
            <wp:extent cx="526605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0" w:name="page151"/>
    <w:bookmarkEnd w:id="150"/>
    <w:p>
      <w:pPr>
        <w:spacing w:after="0" w:line="268" w:lineRule="exact"/>
        <w:rPr>
          <w:sz w:val="20"/>
          <w:szCs w:val="20"/>
          <w:color w:val="auto"/>
        </w:rPr>
      </w:pPr>
    </w:p>
    <w:p>
      <w:pPr>
        <w:ind w:left="1360" w:right="1400" w:firstLine="484"/>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“Reinvestment Period” </w:t>
      </w:r>
      <w:r>
        <w:rPr>
          <w:rFonts w:ascii="Times New Roman" w:cs="Times New Roman" w:eastAsia="Times New Roman" w:hAnsi="Times New Roman"/>
          <w:sz w:val="16"/>
          <w:szCs w:val="16"/>
          <w:color w:val="auto"/>
        </w:rPr>
        <w:t>means the period from and including the Closing Date to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the earlier of (a) August 14, 2028 (or such later date as may be agreed by the Borrower and each of the Lenders and notified in writing to the Agents) or (b) the date of the termination of the Commitments pursuant to Section 6.01 upon the occurrence and during the continuance of an Event of Default.</w:t>
      </w:r>
    </w:p>
    <w:p>
      <w:pPr>
        <w:spacing w:after="0" w:line="147" w:lineRule="exact"/>
        <w:rPr>
          <w:sz w:val="20"/>
          <w:szCs w:val="20"/>
          <w:color w:val="auto"/>
        </w:rPr>
      </w:pPr>
    </w:p>
    <w:p>
      <w:pPr>
        <w:ind w:left="1360" w:right="148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“Related Documents” </w:t>
      </w:r>
      <w:r>
        <w:rPr>
          <w:rFonts w:ascii="Times New Roman" w:cs="Times New Roman" w:eastAsia="Times New Roman" w:hAnsi="Times New Roman"/>
          <w:sz w:val="16"/>
          <w:szCs w:val="16"/>
          <w:color w:val="auto"/>
        </w:rPr>
        <w:t>means, with respect to any Collateral Loan, all agreements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documents evidencing, guaranteeing, securing, governing or giving rise to such Collateral Loan (as identified on the Loan Checklist).</w:t>
      </w:r>
    </w:p>
    <w:p>
      <w:pPr>
        <w:spacing w:after="0" w:line="140" w:lineRule="exact"/>
        <w:rPr>
          <w:sz w:val="20"/>
          <w:szCs w:val="20"/>
          <w:color w:val="auto"/>
        </w:rPr>
      </w:pPr>
    </w:p>
    <w:p>
      <w:pPr>
        <w:ind w:left="1360" w:right="1380" w:firstLine="484"/>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Relevant Test Period</w:t>
      </w:r>
      <w:r>
        <w:rPr>
          <w:rFonts w:ascii="Times New Roman" w:cs="Times New Roman" w:eastAsia="Times New Roman" w:hAnsi="Times New Roman"/>
          <w:sz w:val="16"/>
          <w:szCs w:val="16"/>
          <w:color w:val="auto"/>
        </w:rPr>
        <w:t xml:space="preserve">” means, with respect to any Collateral Loan, the relevant test period for the calculation of EBITDA, Fixed Charge Coverage Ratio, Senior Leverage Ratio or Total Leverage Ratio, as applicable, for such Loan in the applicable Related Documents or, if no such period is provided for therein, for Obligors delivering monthly financial statements, each period of the last twelve consecutive reported calendar months, and for Obligors delivering quarterly financial statements, each period of the last four consecutive reported fiscal quarters of the principal Obligor on such Loan;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with respect to any Loan for which the relevant test period is not provided for in the applicable Related Documents, if an Obligor is a newly-formed entity as to which twelve consecutive calendar months have not yet elapsed, “Relevant Test Period” shall initially include the period from the date of formation of such Obligor or closing date of the applicable Collateral Loan to the end of the twelfth calendar month or fourth fiscal quarter (as the case may be) from the date of formation or closing, as applicable, and shall subsequently include each period of the last twelve consecutive reported calendar months or four consecutive reported fiscal quarters (as the case may be) of such Obligor.</w:t>
      </w:r>
    </w:p>
    <w:p>
      <w:pPr>
        <w:spacing w:after="0" w:line="16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“Requested Amount” </w:t>
      </w:r>
      <w:r>
        <w:rPr>
          <w:rFonts w:ascii="Times New Roman" w:cs="Times New Roman" w:eastAsia="Times New Roman" w:hAnsi="Times New Roman"/>
          <w:sz w:val="16"/>
          <w:szCs w:val="16"/>
          <w:color w:val="auto"/>
        </w:rPr>
        <w:t>has the meaning assigned to such term in Section 2.02.</w:t>
      </w:r>
    </w:p>
    <w:p>
      <w:pPr>
        <w:spacing w:after="0" w:line="189" w:lineRule="exact"/>
        <w:rPr>
          <w:sz w:val="20"/>
          <w:szCs w:val="20"/>
          <w:color w:val="auto"/>
        </w:rPr>
      </w:pPr>
    </w:p>
    <w:p>
      <w:pPr>
        <w:ind w:left="1360" w:right="1400" w:firstLine="484"/>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“Required Lenders” </w:t>
      </w:r>
      <w:r>
        <w:rPr>
          <w:rFonts w:ascii="Times New Roman" w:cs="Times New Roman" w:eastAsia="Times New Roman" w:hAnsi="Times New Roman"/>
          <w:sz w:val="16"/>
          <w:szCs w:val="16"/>
          <w:color w:val="auto"/>
        </w:rPr>
        <w:t>means, as of any date of determination, one or more Lenders having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aggregate Percentages greater than or equal to 66 2/3%;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at any time there are two</w:t>
      </w:r>
    </w:p>
    <w:p>
      <w:pPr>
        <w:jc w:val="both"/>
        <w:ind w:left="1360" w:right="1440"/>
        <w:spacing w:after="0" w:line="253" w:lineRule="auto"/>
        <w:tabs>
          <w:tab w:leader="none" w:pos="158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or more Lenders, “Required Lenders” must include at least two (2) Lenders (who are not Affiliates of one another) ;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to the extent that any Lender is a Defaulting Lender, the Percentage of such Defaulting Lender shall be excluded for purposes of determining Required Lenders.</w:t>
      </w:r>
    </w:p>
    <w:p>
      <w:pPr>
        <w:spacing w:after="0" w:line="153" w:lineRule="exact"/>
        <w:rPr>
          <w:sz w:val="20"/>
          <w:szCs w:val="20"/>
          <w:color w:val="auto"/>
        </w:rPr>
      </w:pPr>
    </w:p>
    <w:p>
      <w:pPr>
        <w:ind w:left="1360" w:right="1500" w:firstLine="484"/>
        <w:spacing w:after="0" w:line="286" w:lineRule="auto"/>
        <w:rPr>
          <w:sz w:val="20"/>
          <w:szCs w:val="20"/>
          <w:color w:val="auto"/>
        </w:rPr>
      </w:pPr>
      <w:r>
        <w:rPr>
          <w:rFonts w:ascii="Times New Roman" w:cs="Times New Roman" w:eastAsia="Times New Roman" w:hAnsi="Times New Roman"/>
          <w:sz w:val="16"/>
          <w:szCs w:val="16"/>
          <w:i w:val="1"/>
          <w:iCs w:val="1"/>
          <w:color w:val="0000FF"/>
        </w:rPr>
        <w:t xml:space="preserve">“Resolution Authority” </w:t>
      </w:r>
      <w:r>
        <w:rPr>
          <w:rFonts w:ascii="Times New Roman" w:cs="Times New Roman" w:eastAsia="Times New Roman" w:hAnsi="Times New Roman"/>
          <w:sz w:val="16"/>
          <w:szCs w:val="16"/>
          <w:color w:val="0000FF"/>
        </w:rPr>
        <w:t>means an EEA Resolution Authority or, with respect to any UK</w:t>
      </w:r>
      <w:r>
        <w:rPr>
          <w:rFonts w:ascii="Times New Roman" w:cs="Times New Roman" w:eastAsia="Times New Roman" w:hAnsi="Times New Roman"/>
          <w:sz w:val="16"/>
          <w:szCs w:val="16"/>
          <w:i w:val="1"/>
          <w:iCs w:val="1"/>
          <w:color w:val="0000FF"/>
        </w:rPr>
        <w:t xml:space="preserve"> </w:t>
      </w:r>
      <w:r>
        <w:rPr>
          <w:rFonts w:ascii="Times New Roman" w:cs="Times New Roman" w:eastAsia="Times New Roman" w:hAnsi="Times New Roman"/>
          <w:sz w:val="16"/>
          <w:szCs w:val="16"/>
          <w:color w:val="0000FF"/>
        </w:rPr>
        <w:t>Financial Institution, a UK Resolution Authority.</w:t>
      </w:r>
    </w:p>
    <w:p>
      <w:pPr>
        <w:spacing w:after="0" w:line="126" w:lineRule="exact"/>
        <w:rPr>
          <w:sz w:val="20"/>
          <w:szCs w:val="20"/>
          <w:color w:val="auto"/>
        </w:rPr>
      </w:pPr>
    </w:p>
    <w:p>
      <w:pPr>
        <w:ind w:left="1360" w:right="1420" w:firstLine="484"/>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“Responsible Officer” </w:t>
      </w:r>
      <w:r>
        <w:rPr>
          <w:rFonts w:ascii="Times New Roman" w:cs="Times New Roman" w:eastAsia="Times New Roman" w:hAnsi="Times New Roman"/>
          <w:sz w:val="16"/>
          <w:szCs w:val="16"/>
          <w:color w:val="auto"/>
        </w:rPr>
        <w:t>means (a) in the case of a corporation, partnership or limited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liability company that, pursuant to its Constituent Documents, has officers, any chief executive officer, chief financial officer, chief administrative officer, president, senior vice president, vice president, assistant vice president, treasurer, director or manager, and, in any case where two Responsible Officers are acting on behalf of such entity, the second such Responsible Officer may be a secretary or assistant secretary, (b) in the case of a limited partnership, the Responsible Officer of the general partner, acting on behalf of such general partner in its capacity as general partner, (c) in the case of a limited liability company, any Responsible Officer of the sole member or managing member, acting on behalf of the sole member or managing member in its capacity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642620</wp:posOffset>
            </wp:positionV>
            <wp:extent cx="526605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1" w:name="page152"/>
    <w:bookmarkEnd w:id="151"/>
    <w:p>
      <w:pPr>
        <w:spacing w:after="0" w:line="270" w:lineRule="exact"/>
        <w:rPr>
          <w:sz w:val="20"/>
          <w:szCs w:val="20"/>
          <w:color w:val="auto"/>
        </w:rPr>
      </w:pPr>
    </w:p>
    <w:p>
      <w:pPr>
        <w:ind w:left="1360" w:right="1560"/>
        <w:spacing w:after="0" w:line="261" w:lineRule="auto"/>
        <w:rPr>
          <w:sz w:val="20"/>
          <w:szCs w:val="20"/>
          <w:color w:val="auto"/>
        </w:rPr>
      </w:pPr>
      <w:r>
        <w:rPr>
          <w:rFonts w:ascii="Times New Roman" w:cs="Times New Roman" w:eastAsia="Times New Roman" w:hAnsi="Times New Roman"/>
          <w:sz w:val="16"/>
          <w:szCs w:val="16"/>
          <w:color w:val="auto"/>
        </w:rPr>
        <w:t>sole member or managing member, (d) in the case of a trust, the Responsible Officer of the trustee, acting on behalf of such trustee in its capacity as trustee, and (e) in the case of the Collateral Agent or Administrative Agent, an officer of the Collateral Agent or Administrative Agent as applicable responsible for the administration of this Agreement.</w:t>
      </w:r>
    </w:p>
    <w:p>
      <w:pPr>
        <w:spacing w:after="0" w:line="146" w:lineRule="exact"/>
        <w:rPr>
          <w:sz w:val="20"/>
          <w:szCs w:val="20"/>
          <w:color w:val="auto"/>
        </w:rPr>
      </w:pPr>
    </w:p>
    <w:p>
      <w:pPr>
        <w:ind w:left="1360" w:right="1360" w:firstLine="484"/>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“Restricted Payments” </w:t>
      </w:r>
      <w:r>
        <w:rPr>
          <w:rFonts w:ascii="Times New Roman" w:cs="Times New Roman" w:eastAsia="Times New Roman" w:hAnsi="Times New Roman"/>
          <w:sz w:val="16"/>
          <w:szCs w:val="16"/>
          <w:color w:val="auto"/>
        </w:rPr>
        <w:t>means the declaration of any distribution or dividends 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payment of any other amount (including in respect of redemptions permitted by the Constituent Documents of the Borrower) to any shareholder, partner, member or other equity investor in the Borrower on account of any share, membership interest, partnership interest or other equity interest in respect of the Borrower, or the payment on account of, or the setting apart of assets for a sinking or other analogous fund for, or the purchase or other acquisition of any class of stock of or other equity interest in the Borrower or of any warrants, options or other rights to acquire the same (or to make any “phantom stock” or other similar payments in the nature of distributions or dividends in respect of equity to any Person), whether now or hereafter outstanding, either directly or indirectly, whether in cash, property (including marketable securities), or any payment or setting apart of assets for the redemption, withdrawal, retirement, acquisition, cancellation or termination of any share, membership interest, partnership interest or other equity interest in respect of the Borrower.</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“Review Criteria” </w:t>
      </w:r>
      <w:r>
        <w:rPr>
          <w:rFonts w:ascii="Times New Roman" w:cs="Times New Roman" w:eastAsia="Times New Roman" w:hAnsi="Times New Roman"/>
          <w:sz w:val="16"/>
          <w:szCs w:val="16"/>
          <w:color w:val="auto"/>
        </w:rPr>
        <w:t>is defined in Section 14.02(b)(i) hereof.</w:t>
      </w:r>
    </w:p>
    <w:p>
      <w:pPr>
        <w:spacing w:after="0" w:line="189" w:lineRule="exact"/>
        <w:rPr>
          <w:sz w:val="20"/>
          <w:szCs w:val="20"/>
          <w:color w:val="auto"/>
        </w:rPr>
      </w:pPr>
    </w:p>
    <w:p>
      <w:pPr>
        <w:ind w:left="1360" w:right="1420" w:firstLine="484"/>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“Revolving Collateral Loan” </w:t>
      </w:r>
      <w:r>
        <w:rPr>
          <w:rFonts w:ascii="Times New Roman" w:cs="Times New Roman" w:eastAsia="Times New Roman" w:hAnsi="Times New Roman"/>
          <w:sz w:val="16"/>
          <w:szCs w:val="16"/>
          <w:color w:val="auto"/>
        </w:rPr>
        <w:t>means any Collateral Loan (other than a Delayed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Drawdown Collateral Loan) that is a loan (including revolving loans, funded and unfunded portions of revolving credit lines and letter of credit facilities, unfunded commitments under specific facilities and other similar loans and investments) that by its terms may require one or more future advances to be made to the related Obligor by the Borrower and which provides that such borrowed money may be repaid and re-borrowed from time to time;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Collateral Loan will be a Revolving Collateral Loan only until all commitments to make advances to the Obligor expire or are terminated or irrevocably reduced to zero.</w:t>
      </w:r>
    </w:p>
    <w:p>
      <w:pPr>
        <w:spacing w:after="0" w:line="151" w:lineRule="exact"/>
        <w:rPr>
          <w:sz w:val="20"/>
          <w:szCs w:val="20"/>
          <w:color w:val="auto"/>
        </w:rPr>
      </w:pPr>
    </w:p>
    <w:p>
      <w:pPr>
        <w:ind w:left="1360" w:right="1400" w:firstLine="484"/>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Revolving Exposure</w:t>
      </w:r>
      <w:r>
        <w:rPr>
          <w:rFonts w:ascii="Times New Roman" w:cs="Times New Roman" w:eastAsia="Times New Roman" w:hAnsi="Times New Roman"/>
          <w:sz w:val="16"/>
          <w:szCs w:val="16"/>
          <w:color w:val="auto"/>
        </w:rPr>
        <w:t>” means, at any time, the sum of the aggregate Unfunded Amount of each Collateral Loan (including each Ineligible Collateral Loan and each Defaulted Collateral Loan) at such time.</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“Revolving Reserve Account” </w:t>
      </w:r>
      <w:r>
        <w:rPr>
          <w:rFonts w:ascii="Times New Roman" w:cs="Times New Roman" w:eastAsia="Times New Roman" w:hAnsi="Times New Roman"/>
          <w:sz w:val="16"/>
          <w:szCs w:val="16"/>
          <w:color w:val="auto"/>
        </w:rPr>
        <w:t>means the account established pursuant to Section 8.04.</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Revolving Reserve Required Amount</w:t>
      </w:r>
      <w:r>
        <w:rPr>
          <w:rFonts w:ascii="Times New Roman" w:cs="Times New Roman" w:eastAsia="Times New Roman" w:hAnsi="Times New Roman"/>
          <w:sz w:val="16"/>
          <w:szCs w:val="16"/>
          <w:color w:val="auto"/>
        </w:rPr>
        <w:t>” has the meaning assigned to such term in Section</w:t>
      </w:r>
    </w:p>
    <w:p>
      <w:pPr>
        <w:spacing w:after="0" w:line="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8.04.</w:t>
      </w:r>
    </w:p>
    <w:p>
      <w:pPr>
        <w:spacing w:after="0" w:line="169" w:lineRule="exact"/>
        <w:rPr>
          <w:sz w:val="20"/>
          <w:szCs w:val="20"/>
          <w:color w:val="auto"/>
        </w:rPr>
      </w:pPr>
    </w:p>
    <w:p>
      <w:pPr>
        <w:ind w:left="1360" w:right="144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“RFR”</w:t>
      </w:r>
      <w:r>
        <w:rPr>
          <w:rFonts w:ascii="Times New Roman" w:cs="Times New Roman" w:eastAsia="Times New Roman" w:hAnsi="Times New Roman"/>
          <w:sz w:val="16"/>
          <w:szCs w:val="16"/>
          <w:color w:val="auto"/>
        </w:rPr>
        <w:t>, when used in reference to any Advance or Borrowing, refers to whether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Advance, or the Advances constituting such Borrowing, are bearing interest at a rate determined by reference to Daily Simple RFR for the applicable Currency.</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RFR Administrator</w:t>
      </w:r>
      <w:r>
        <w:rPr>
          <w:rFonts w:ascii="Times New Roman" w:cs="Times New Roman" w:eastAsia="Times New Roman" w:hAnsi="Times New Roman"/>
          <w:sz w:val="16"/>
          <w:szCs w:val="16"/>
          <w:color w:val="auto"/>
        </w:rPr>
        <w:t>” means the SONIA Administrator.</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RFR Administrator’s Website</w:t>
      </w:r>
      <w:r>
        <w:rPr>
          <w:rFonts w:ascii="Times New Roman" w:cs="Times New Roman" w:eastAsia="Times New Roman" w:hAnsi="Times New Roman"/>
          <w:sz w:val="16"/>
          <w:szCs w:val="16"/>
          <w:color w:val="auto"/>
        </w:rPr>
        <w:t>” means the SONIA Administrator’s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666115</wp:posOffset>
            </wp:positionV>
            <wp:extent cx="526605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2" w:name="page153"/>
    <w:bookmarkEnd w:id="152"/>
    <w:p>
      <w:pPr>
        <w:spacing w:after="0" w:line="268" w:lineRule="exact"/>
        <w:rPr>
          <w:sz w:val="20"/>
          <w:szCs w:val="20"/>
          <w:color w:val="auto"/>
        </w:rPr>
      </w:pPr>
    </w:p>
    <w:p>
      <w:pPr>
        <w:jc w:val="both"/>
        <w:ind w:left="1360" w:right="1460" w:firstLine="484"/>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RFR Business Day</w:t>
      </w:r>
      <w:r>
        <w:rPr>
          <w:rFonts w:ascii="Times New Roman" w:cs="Times New Roman" w:eastAsia="Times New Roman" w:hAnsi="Times New Roman"/>
          <w:sz w:val="16"/>
          <w:szCs w:val="16"/>
          <w:color w:val="auto"/>
        </w:rPr>
        <w:t>” means, for any Advances, Borrowings, interest, fees, commissions or other amounts denominated in, or calculated with respect to, Sterling, any day except for (i) a Saturday, (ii) a Sunday or (iii) a day on which banks are closed for general business in London.</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RFR Interest Day</w:t>
      </w:r>
      <w:r>
        <w:rPr>
          <w:rFonts w:ascii="Times New Roman" w:cs="Times New Roman" w:eastAsia="Times New Roman" w:hAnsi="Times New Roman"/>
          <w:sz w:val="16"/>
          <w:szCs w:val="16"/>
          <w:color w:val="auto"/>
        </w:rPr>
        <w:t>” has the meaning specified in the definition of “</w:t>
      </w:r>
      <w:r>
        <w:rPr>
          <w:rFonts w:ascii="Times New Roman" w:cs="Times New Roman" w:eastAsia="Times New Roman" w:hAnsi="Times New Roman"/>
          <w:sz w:val="16"/>
          <w:szCs w:val="16"/>
          <w:i w:val="1"/>
          <w:iCs w:val="1"/>
          <w:color w:val="auto"/>
        </w:rPr>
        <w:t>Daily Simple RFR</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left="1360" w:right="152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RFR Rate</w:t>
      </w:r>
      <w:r>
        <w:rPr>
          <w:rFonts w:ascii="Times New Roman" w:cs="Times New Roman" w:eastAsia="Times New Roman" w:hAnsi="Times New Roman"/>
          <w:sz w:val="16"/>
          <w:szCs w:val="16"/>
          <w:color w:val="auto"/>
        </w:rPr>
        <w:t>” means, for any Advances, Borrowings, interest, fees, commissions or other amounts denominated in, or calculated with respect to Sterling, SONIA.</w:t>
      </w:r>
    </w:p>
    <w:p>
      <w:pPr>
        <w:spacing w:after="0" w:line="1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RFR Reference Day</w:t>
      </w:r>
      <w:r>
        <w:rPr>
          <w:rFonts w:ascii="Times New Roman" w:cs="Times New Roman" w:eastAsia="Times New Roman" w:hAnsi="Times New Roman"/>
          <w:sz w:val="16"/>
          <w:szCs w:val="16"/>
          <w:color w:val="auto"/>
        </w:rPr>
        <w:t>” has the meaning specified in the definition of “</w:t>
      </w:r>
      <w:r>
        <w:rPr>
          <w:rFonts w:ascii="Times New Roman" w:cs="Times New Roman" w:eastAsia="Times New Roman" w:hAnsi="Times New Roman"/>
          <w:sz w:val="16"/>
          <w:szCs w:val="16"/>
          <w:i w:val="1"/>
          <w:iCs w:val="1"/>
          <w:color w:val="auto"/>
        </w:rPr>
        <w:t>Daily Simple RFR</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“S&amp;P” </w:t>
      </w:r>
      <w:r>
        <w:rPr>
          <w:rFonts w:ascii="Times New Roman" w:cs="Times New Roman" w:eastAsia="Times New Roman" w:hAnsi="Times New Roman"/>
          <w:sz w:val="16"/>
          <w:szCs w:val="16"/>
          <w:color w:val="auto"/>
        </w:rPr>
        <w:t>means Standard &amp; Poor’s Ratings Group.</w:t>
      </w:r>
    </w:p>
    <w:p>
      <w:pPr>
        <w:spacing w:after="0" w:line="189" w:lineRule="exact"/>
        <w:rPr>
          <w:sz w:val="20"/>
          <w:szCs w:val="20"/>
          <w:color w:val="auto"/>
        </w:rPr>
      </w:pPr>
    </w:p>
    <w:p>
      <w:pPr>
        <w:ind w:left="1360" w:right="1400" w:firstLine="4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S&amp;P Industry Classification</w:t>
      </w:r>
      <w:r>
        <w:rPr>
          <w:rFonts w:ascii="Times New Roman" w:cs="Times New Roman" w:eastAsia="Times New Roman" w:hAnsi="Times New Roman"/>
          <w:sz w:val="16"/>
          <w:szCs w:val="16"/>
          <w:color w:val="auto"/>
        </w:rPr>
        <w:t>” means the industry classifications set forth in Schedule 4 hereto, as such industry classifications shall be updated at the option of the Collateral Manager if S&amp;P publishes revised industry classifications. The determination of which S&amp;P Industry Classification to which an Obligor belongs shall be made in good faith by the Collateral Manager.</w:t>
      </w:r>
    </w:p>
    <w:p>
      <w:pPr>
        <w:spacing w:after="0" w:line="147" w:lineRule="exact"/>
        <w:rPr>
          <w:sz w:val="20"/>
          <w:szCs w:val="20"/>
          <w:color w:val="auto"/>
        </w:rPr>
      </w:pPr>
    </w:p>
    <w:p>
      <w:pPr>
        <w:jc w:val="both"/>
        <w:ind w:left="1360" w:right="138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“Scheduled Distribution” </w:t>
      </w:r>
      <w:r>
        <w:rPr>
          <w:rFonts w:ascii="Times New Roman" w:cs="Times New Roman" w:eastAsia="Times New Roman" w:hAnsi="Times New Roman"/>
          <w:sz w:val="16"/>
          <w:szCs w:val="16"/>
          <w:color w:val="auto"/>
        </w:rPr>
        <w:t>means, with respect to any Collateral Loan, for each Due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scheduled payment of principal and/or interest and/or fees due on such Due Date with respect to such Collateral Loan.</w:t>
      </w:r>
    </w:p>
    <w:p>
      <w:pPr>
        <w:spacing w:after="0" w:line="140" w:lineRule="exact"/>
        <w:rPr>
          <w:sz w:val="20"/>
          <w:szCs w:val="20"/>
          <w:color w:val="auto"/>
        </w:rPr>
      </w:pPr>
    </w:p>
    <w:p>
      <w:pPr>
        <w:ind w:left="1360" w:right="164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“Screen Rate” </w:t>
      </w:r>
      <w:r>
        <w:rPr>
          <w:rFonts w:ascii="Times New Roman" w:cs="Times New Roman" w:eastAsia="Times New Roman" w:hAnsi="Times New Roman"/>
          <w:sz w:val="16"/>
          <w:szCs w:val="16"/>
          <w:color w:val="auto"/>
        </w:rPr>
        <w:t>means each of the SOFR Screen Rate, the EURIBOR Screen Rate,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 CORRA Screen Rate and the BBSY Screen Rate (each as defined in the definition of “Term Benchmark Rate”.</w:t>
      </w:r>
    </w:p>
    <w:p>
      <w:pPr>
        <w:spacing w:after="0" w:line="140" w:lineRule="exact"/>
        <w:rPr>
          <w:sz w:val="20"/>
          <w:szCs w:val="20"/>
          <w:color w:val="auto"/>
        </w:rPr>
      </w:pPr>
    </w:p>
    <w:p>
      <w:pPr>
        <w:jc w:val="both"/>
        <w:ind w:left="1360" w:right="180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“SEC” </w:t>
      </w:r>
      <w:r>
        <w:rPr>
          <w:rFonts w:ascii="Times New Roman" w:cs="Times New Roman" w:eastAsia="Times New Roman" w:hAnsi="Times New Roman"/>
          <w:sz w:val="16"/>
          <w:szCs w:val="16"/>
          <w:color w:val="auto"/>
        </w:rPr>
        <w:t>means the Securities and Exchange Commission or any other governmental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authority of the United States of America at the time administrating the Securities Act, the Investment Company Act or the Exchange Act.</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Second Lien Loan</w:t>
      </w:r>
      <w:r>
        <w:rPr>
          <w:rFonts w:ascii="Times New Roman" w:cs="Times New Roman" w:eastAsia="Times New Roman" w:hAnsi="Times New Roman"/>
          <w:sz w:val="16"/>
          <w:szCs w:val="16"/>
          <w:color w:val="auto"/>
        </w:rPr>
        <w:t>” means any Collateral Loan (for purposes of this definition, a “loan”)</w:t>
      </w:r>
    </w:p>
    <w:p>
      <w:pPr>
        <w:spacing w:after="0" w:line="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that:</w:t>
      </w:r>
    </w:p>
    <w:p>
      <w:pPr>
        <w:spacing w:after="0" w:line="171" w:lineRule="exact"/>
        <w:rPr>
          <w:sz w:val="20"/>
          <w:szCs w:val="20"/>
          <w:color w:val="auto"/>
        </w:rPr>
      </w:pPr>
    </w:p>
    <w:p>
      <w:pPr>
        <w:ind w:left="2540" w:hanging="212"/>
        <w:spacing w:after="0"/>
        <w:tabs>
          <w:tab w:leader="none" w:pos="254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 First Lien/Last Out Loan; or</w:t>
      </w:r>
    </w:p>
    <w:p>
      <w:pPr>
        <w:spacing w:after="0" w:line="189" w:lineRule="exact"/>
        <w:rPr>
          <w:rFonts w:ascii="Times New Roman" w:cs="Times New Roman" w:eastAsia="Times New Roman" w:hAnsi="Times New Roman"/>
          <w:sz w:val="16"/>
          <w:szCs w:val="16"/>
          <w:color w:val="auto"/>
        </w:rPr>
      </w:pPr>
    </w:p>
    <w:p>
      <w:pPr>
        <w:ind w:left="2560" w:hanging="232"/>
        <w:spacing w:after="0"/>
        <w:tabs>
          <w:tab w:leader="none" w:pos="25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meets the following criteria:</w:t>
      </w:r>
    </w:p>
    <w:p>
      <w:pPr>
        <w:spacing w:after="0" w:line="189" w:lineRule="exact"/>
        <w:rPr>
          <w:rFonts w:ascii="Times New Roman" w:cs="Times New Roman" w:eastAsia="Times New Roman" w:hAnsi="Times New Roman"/>
          <w:sz w:val="16"/>
          <w:szCs w:val="16"/>
          <w:color w:val="auto"/>
        </w:rPr>
      </w:pPr>
    </w:p>
    <w:p>
      <w:pPr>
        <w:ind w:left="3000" w:hanging="187"/>
        <w:spacing w:after="0"/>
        <w:tabs>
          <w:tab w:leader="none" w:pos="300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(and is not expressly permitted by its terms to become)</w:t>
      </w:r>
    </w:p>
    <w:p>
      <w:pPr>
        <w:spacing w:after="0" w:line="25" w:lineRule="exact"/>
        <w:rPr>
          <w:rFonts w:ascii="Times New Roman" w:cs="Times New Roman" w:eastAsia="Times New Roman" w:hAnsi="Times New Roman"/>
          <w:sz w:val="16"/>
          <w:szCs w:val="16"/>
          <w:color w:val="auto"/>
        </w:rPr>
      </w:pPr>
    </w:p>
    <w:p>
      <w:pPr>
        <w:ind w:left="2320" w:right="138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subordinate in right of payment to any other obligation for borrowed money of the Obligor of such loan (excluding customary terms applicable to a second lien lender under customary intercreditor provisions, such as after an event of default in connection with a first priority perfected Lien or with respect to the liquidation of the Obligor or of specified collateral);</w:t>
      </w:r>
    </w:p>
    <w:p>
      <w:pPr>
        <w:spacing w:after="0" w:line="156" w:lineRule="exact"/>
        <w:rPr>
          <w:rFonts w:ascii="Times New Roman" w:cs="Times New Roman" w:eastAsia="Times New Roman" w:hAnsi="Times New Roman"/>
          <w:sz w:val="16"/>
          <w:szCs w:val="16"/>
          <w:color w:val="auto"/>
        </w:rPr>
      </w:pPr>
    </w:p>
    <w:p>
      <w:pPr>
        <w:ind w:left="2320" w:right="1380" w:firstLine="493"/>
        <w:spacing w:after="0" w:line="283" w:lineRule="auto"/>
        <w:tabs>
          <w:tab w:leader="none" w:pos="3042"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secured by a valid second priority perfected Lien in, to or on specified collateral securing the Obligor’s obligations under such loan (whether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628015</wp:posOffset>
            </wp:positionV>
            <wp:extent cx="526605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3" w:name="page154"/>
    <w:bookmarkEnd w:id="153"/>
    <w:p>
      <w:pPr>
        <w:spacing w:after="0" w:line="270" w:lineRule="exact"/>
        <w:rPr>
          <w:sz w:val="20"/>
          <w:szCs w:val="20"/>
          <w:color w:val="auto"/>
        </w:rPr>
      </w:pPr>
    </w:p>
    <w:p>
      <w:pPr>
        <w:ind w:left="2320" w:right="1500"/>
        <w:spacing w:after="0" w:line="258" w:lineRule="auto"/>
        <w:rPr>
          <w:sz w:val="20"/>
          <w:szCs w:val="20"/>
          <w:color w:val="auto"/>
        </w:rPr>
      </w:pPr>
      <w:r>
        <w:rPr>
          <w:rFonts w:ascii="Times New Roman" w:cs="Times New Roman" w:eastAsia="Times New Roman" w:hAnsi="Times New Roman"/>
          <w:sz w:val="16"/>
          <w:szCs w:val="16"/>
          <w:color w:val="auto"/>
        </w:rPr>
        <w:t xml:space="preserve">not such loan is also secured by any higher or lower priority Lien on other collateral), but subject to purchase money liens and customary Liens for taxes or regulatory charges not then due and payable and other permitted Liens under the Related Documents;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permitted Liens do not directly secure indebtedness for borrowed money;</w:t>
      </w:r>
    </w:p>
    <w:p>
      <w:pPr>
        <w:spacing w:after="0" w:line="151" w:lineRule="exact"/>
        <w:rPr>
          <w:sz w:val="20"/>
          <w:szCs w:val="20"/>
          <w:color w:val="auto"/>
        </w:rPr>
      </w:pPr>
    </w:p>
    <w:p>
      <w:pPr>
        <w:ind w:left="2320" w:right="1520" w:firstLine="493"/>
        <w:spacing w:after="0" w:line="258" w:lineRule="auto"/>
        <w:tabs>
          <w:tab w:leader="none" w:pos="3087"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secured, pursuant to such second priority perfected Lien, by collateral having a value (determined as set forth below) not less than the Principal Balance of such loan plus the aggregate Principal Balances of all other loans of equal or higher seniority secured by a first or second Lien in the same collateral; and</w:t>
      </w:r>
    </w:p>
    <w:p>
      <w:pPr>
        <w:spacing w:after="0" w:line="151" w:lineRule="exact"/>
        <w:rPr>
          <w:rFonts w:ascii="Times New Roman" w:cs="Times New Roman" w:eastAsia="Times New Roman" w:hAnsi="Times New Roman"/>
          <w:sz w:val="16"/>
          <w:szCs w:val="16"/>
          <w:color w:val="auto"/>
        </w:rPr>
      </w:pPr>
    </w:p>
    <w:p>
      <w:pPr>
        <w:ind w:left="2320" w:right="1740" w:firstLine="493"/>
        <w:spacing w:after="0" w:line="283" w:lineRule="auto"/>
        <w:tabs>
          <w:tab w:leader="none" w:pos="3078"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 loan which is secured solely or primarily by the common stock of its Obligor or any of its Affiliates.</w:t>
      </w:r>
    </w:p>
    <w:p>
      <w:pPr>
        <w:spacing w:after="0" w:line="131" w:lineRule="exact"/>
        <w:rPr>
          <w:sz w:val="20"/>
          <w:szCs w:val="20"/>
          <w:color w:val="auto"/>
        </w:rPr>
      </w:pPr>
    </w:p>
    <w:p>
      <w:pPr>
        <w:ind w:left="1360" w:right="1380" w:firstLine="484"/>
        <w:spacing w:after="0" w:line="256" w:lineRule="auto"/>
        <w:rPr>
          <w:sz w:val="20"/>
          <w:szCs w:val="20"/>
          <w:color w:val="auto"/>
        </w:rPr>
      </w:pPr>
      <w:r>
        <w:rPr>
          <w:rFonts w:ascii="Times New Roman" w:cs="Times New Roman" w:eastAsia="Times New Roman" w:hAnsi="Times New Roman"/>
          <w:sz w:val="16"/>
          <w:szCs w:val="16"/>
          <w:color w:val="auto"/>
        </w:rPr>
        <w:t>The determination as to whether clause (b)(iii) of this definition is satisfied shall be based on both (a) an analysis of the enterprise value of the related Obligor by the Collateral Manager or an Appraisal or other valuation (which may be an internal Appraisal or valuation performed by the Collateral Manager) performed on or about the date of acquisition by the Borrower or of the most recent restructuring of such Collateral Loan, and (b) the Collateral Manager’s judgment at the time such Collateral Loan is acquired by the Borrower.</w:t>
      </w:r>
    </w:p>
    <w:p>
      <w:pPr>
        <w:spacing w:after="0" w:line="152" w:lineRule="exact"/>
        <w:rPr>
          <w:sz w:val="20"/>
          <w:szCs w:val="20"/>
          <w:color w:val="auto"/>
        </w:rPr>
      </w:pPr>
    </w:p>
    <w:p>
      <w:pPr>
        <w:ind w:left="1360" w:right="1460" w:firstLine="484"/>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“Secured Parties” </w:t>
      </w:r>
      <w:r>
        <w:rPr>
          <w:rFonts w:ascii="Times New Roman" w:cs="Times New Roman" w:eastAsia="Times New Roman" w:hAnsi="Times New Roman"/>
          <w:sz w:val="16"/>
          <w:szCs w:val="16"/>
          <w:color w:val="auto"/>
        </w:rPr>
        <w:t>means the Administrative Agent, the Collateral Agent, the Backup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Collateral Manager, the Collateral Administrator, the Custodian, the BDC (in respect of the Senior Collateral Management Fee and the Subordinated Collateral Management Fee payable to the BDC to the extent provided in Section 11.06), the Collateral Manager, the Lenders and their respective permitted successors and assigns.</w:t>
      </w:r>
    </w:p>
    <w:p>
      <w:pPr>
        <w:spacing w:after="0" w:line="147" w:lineRule="exact"/>
        <w:rPr>
          <w:sz w:val="20"/>
          <w:szCs w:val="20"/>
          <w:color w:val="auto"/>
        </w:rPr>
      </w:pPr>
    </w:p>
    <w:p>
      <w:pPr>
        <w:ind w:left="1360" w:right="19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“Securities Act” </w:t>
      </w:r>
      <w:r>
        <w:rPr>
          <w:rFonts w:ascii="Times New Roman" w:cs="Times New Roman" w:eastAsia="Times New Roman" w:hAnsi="Times New Roman"/>
          <w:sz w:val="16"/>
          <w:szCs w:val="16"/>
          <w:color w:val="auto"/>
        </w:rPr>
        <w:t>means the Securities Act of 1933, as amended, and the rules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regulations promulgated thereunder, all as from time to time in effect.</w:t>
      </w:r>
    </w:p>
    <w:p>
      <w:pPr>
        <w:spacing w:after="0" w:line="113" w:lineRule="exact"/>
        <w:rPr>
          <w:sz w:val="20"/>
          <w:szCs w:val="20"/>
          <w:color w:val="auto"/>
        </w:rPr>
      </w:pPr>
    </w:p>
    <w:p>
      <w:pPr>
        <w:ind w:left="1840"/>
        <w:spacing w:after="0" w:line="184" w:lineRule="exact"/>
        <w:rPr>
          <w:sz w:val="20"/>
          <w:szCs w:val="20"/>
          <w:color w:val="auto"/>
        </w:rPr>
      </w:pPr>
      <w:r>
        <w:rPr>
          <w:rFonts w:ascii="Times New Roman" w:cs="Times New Roman" w:eastAsia="Times New Roman" w:hAnsi="Times New Roman"/>
          <w:sz w:val="16"/>
          <w:szCs w:val="16"/>
          <w:i w:val="1"/>
          <w:iCs w:val="1"/>
          <w:color w:val="auto"/>
        </w:rPr>
        <w:t xml:space="preserve">“Securities Intermediary” </w:t>
      </w:r>
      <w:r>
        <w:rPr>
          <w:rFonts w:ascii="Times New Roman" w:cs="Times New Roman" w:eastAsia="Times New Roman" w:hAnsi="Times New Roman"/>
          <w:sz w:val="16"/>
          <w:szCs w:val="16"/>
          <w:color w:val="auto"/>
        </w:rPr>
        <w:t>has the meaning assigned to it in Section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102(a)(14) of the</w:t>
      </w:r>
    </w:p>
    <w:p>
      <w:pPr>
        <w:spacing w:after="0" w:line="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UCC.</w:t>
      </w:r>
    </w:p>
    <w:p>
      <w:pPr>
        <w:spacing w:after="0" w:line="155" w:lineRule="exact"/>
        <w:rPr>
          <w:sz w:val="20"/>
          <w:szCs w:val="20"/>
          <w:color w:val="auto"/>
        </w:rPr>
      </w:pPr>
    </w:p>
    <w:p>
      <w:pPr>
        <w:ind w:left="1840"/>
        <w:spacing w:after="0" w:line="184" w:lineRule="exact"/>
        <w:rPr>
          <w:sz w:val="20"/>
          <w:szCs w:val="20"/>
          <w:color w:val="auto"/>
        </w:rPr>
      </w:pPr>
      <w:r>
        <w:rPr>
          <w:rFonts w:ascii="Times New Roman" w:cs="Times New Roman" w:eastAsia="Times New Roman" w:hAnsi="Times New Roman"/>
          <w:sz w:val="16"/>
          <w:szCs w:val="16"/>
          <w:i w:val="1"/>
          <w:iCs w:val="1"/>
          <w:color w:val="auto"/>
        </w:rPr>
        <w:t xml:space="preserve">“Security Entitlement” </w:t>
      </w:r>
      <w:r>
        <w:rPr>
          <w:rFonts w:ascii="Times New Roman" w:cs="Times New Roman" w:eastAsia="Times New Roman" w:hAnsi="Times New Roman"/>
          <w:sz w:val="16"/>
          <w:szCs w:val="16"/>
          <w:color w:val="auto"/>
        </w:rPr>
        <w:t>has the meaning specified in Section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102(a)(17) of the UCC.</w:t>
      </w:r>
    </w:p>
    <w:p>
      <w:pPr>
        <w:spacing w:after="0" w:line="203" w:lineRule="exact"/>
        <w:rPr>
          <w:sz w:val="20"/>
          <w:szCs w:val="20"/>
          <w:color w:val="auto"/>
        </w:rPr>
      </w:pPr>
    </w:p>
    <w:p>
      <w:pPr>
        <w:ind w:left="1360" w:right="146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“Selling Institution” </w:t>
      </w:r>
      <w:r>
        <w:rPr>
          <w:rFonts w:ascii="Times New Roman" w:cs="Times New Roman" w:eastAsia="Times New Roman" w:hAnsi="Times New Roman"/>
          <w:sz w:val="16"/>
          <w:szCs w:val="16"/>
          <w:color w:val="auto"/>
        </w:rPr>
        <w:t>means an entity obligated to make payments to the Borrower under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terms of a Participation Interest.</w:t>
      </w:r>
    </w:p>
    <w:p>
      <w:pPr>
        <w:spacing w:after="0" w:line="126" w:lineRule="exact"/>
        <w:rPr>
          <w:sz w:val="20"/>
          <w:szCs w:val="20"/>
          <w:color w:val="auto"/>
        </w:rPr>
      </w:pPr>
    </w:p>
    <w:p>
      <w:pPr>
        <w:ind w:left="1360" w:right="1420" w:firstLine="4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“Senior Collateral Management Fee” </w:t>
      </w:r>
      <w:r>
        <w:rPr>
          <w:rFonts w:ascii="Times New Roman" w:cs="Times New Roman" w:eastAsia="Times New Roman" w:hAnsi="Times New Roman"/>
          <w:sz w:val="16"/>
          <w:szCs w:val="16"/>
          <w:color w:val="auto"/>
        </w:rPr>
        <w:t>means the monthly fee, accruing from the Closing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Date, payable in arrears on each Payment Date for the related Interest Accrual Period, in an amount equal to 0.50% </w:t>
      </w:r>
      <w:r>
        <w:rPr>
          <w:rFonts w:ascii="Times New Roman" w:cs="Times New Roman" w:eastAsia="Times New Roman" w:hAnsi="Times New Roman"/>
          <w:sz w:val="16"/>
          <w:szCs w:val="16"/>
          <w:i w:val="1"/>
          <w:iCs w:val="1"/>
          <w:color w:val="auto"/>
        </w:rPr>
        <w:t>per annum</w:t>
      </w:r>
      <w:r>
        <w:rPr>
          <w:rFonts w:ascii="Times New Roman" w:cs="Times New Roman" w:eastAsia="Times New Roman" w:hAnsi="Times New Roman"/>
          <w:sz w:val="16"/>
          <w:szCs w:val="16"/>
          <w:color w:val="auto"/>
        </w:rPr>
        <w:t xml:space="preserve"> (calculated on the basis of a 360 day year and the actual number of days elapsed) of the Monthly Asset Amount.</w:t>
      </w:r>
    </w:p>
    <w:p>
      <w:pPr>
        <w:spacing w:after="0" w:line="145" w:lineRule="exact"/>
        <w:rPr>
          <w:sz w:val="20"/>
          <w:szCs w:val="20"/>
          <w:color w:val="auto"/>
        </w:rPr>
      </w:pPr>
    </w:p>
    <w:p>
      <w:pPr>
        <w:ind w:left="1360" w:right="150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Senior Leverage Ratio</w:t>
      </w:r>
      <w:r>
        <w:rPr>
          <w:rFonts w:ascii="Times New Roman" w:cs="Times New Roman" w:eastAsia="Times New Roman" w:hAnsi="Times New Roman"/>
          <w:sz w:val="16"/>
          <w:szCs w:val="16"/>
          <w:color w:val="auto"/>
        </w:rPr>
        <w:t>” means, with respect to any Collateral Loan for any Relevant Test Period, the meaning of “Senior Leverage Ratio”, “Senior Net Leverage Ratio”,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4" w:name="page155"/>
    <w:bookmarkEnd w:id="154"/>
    <w:p>
      <w:pPr>
        <w:spacing w:after="0" w:line="270" w:lineRule="exact"/>
        <w:rPr>
          <w:sz w:val="20"/>
          <w:szCs w:val="20"/>
          <w:color w:val="auto"/>
        </w:rPr>
      </w:pPr>
    </w:p>
    <w:p>
      <w:pPr>
        <w:ind w:left="1360" w:right="1440"/>
        <w:spacing w:after="0" w:line="253" w:lineRule="auto"/>
        <w:rPr>
          <w:sz w:val="20"/>
          <w:szCs w:val="20"/>
          <w:color w:val="auto"/>
        </w:rPr>
      </w:pPr>
      <w:r>
        <w:rPr>
          <w:rFonts w:ascii="Times New Roman" w:cs="Times New Roman" w:eastAsia="Times New Roman" w:hAnsi="Times New Roman"/>
          <w:sz w:val="16"/>
          <w:szCs w:val="16"/>
          <w:color w:val="auto"/>
        </w:rPr>
        <w:t xml:space="preserve">Leverage Ratio”, “First Lien Net Leverage Ratio” or any comparable term relating to first lien senior secured (or such applicable lien or applicable level within the capital structure) indebtedness defined in the Related Documents for such Collateral Loan, and in any case that “Senior Leverage Ratio”, “Senior Net Leverage Ratio”, “First Lien Leverage Ratio”, “First Lien Net Leverage Ratio” or such comparable term is not defined in such Related Documents, the ratio of (a) first lien senior secured (or such applicable lien or applicable level within the capital structure) indebtedness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Unrestricted Cash to (b) EBITDA as calculated by the Collateral Manager in good faith using information from and calculations consistent with the relevant financial models, pro forma financial statements, compliance statements and financial reporting packages provided by the relevant Obligor as per the requirements of the Related Documents.</w:t>
      </w:r>
    </w:p>
    <w:p>
      <w:pPr>
        <w:spacing w:after="0" w:line="157" w:lineRule="exact"/>
        <w:rPr>
          <w:sz w:val="20"/>
          <w:szCs w:val="20"/>
          <w:color w:val="auto"/>
        </w:rPr>
      </w:pPr>
    </w:p>
    <w:p>
      <w:pPr>
        <w:ind w:left="1360" w:right="1520" w:firstLine="484"/>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Shareholders’ Equity”</w:t>
      </w:r>
      <w:r>
        <w:rPr>
          <w:rFonts w:ascii="Times New Roman" w:cs="Times New Roman" w:eastAsia="Times New Roman" w:hAnsi="Times New Roman"/>
          <w:sz w:val="16"/>
          <w:szCs w:val="16"/>
          <w:color w:val="auto"/>
        </w:rPr>
        <w:t xml:space="preserve"> means, at any date, the amount determined on a consolidated basis, without duplication, in accordance with GAAP, of shareholders’ equity for the Borrower and its Subsidiaries at such date.</w:t>
      </w:r>
    </w:p>
    <w:p>
      <w:pPr>
        <w:spacing w:after="0" w:line="14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i w:val="1"/>
          <w:iCs w:val="1"/>
          <w:color w:val="0000FF"/>
        </w:rPr>
        <w:t>Sixth Amendment Effective Date”</w:t>
      </w:r>
      <w:r>
        <w:rPr>
          <w:rFonts w:ascii="Times New Roman" w:cs="Times New Roman" w:eastAsia="Times New Roman" w:hAnsi="Times New Roman"/>
          <w:sz w:val="16"/>
          <w:szCs w:val="16"/>
          <w:color w:val="0000FF"/>
        </w:rPr>
        <w:t xml:space="preserve"> means, November 13, 2025.</w:t>
      </w:r>
    </w:p>
    <w:p>
      <w:pPr>
        <w:spacing w:after="0" w:line="189" w:lineRule="exact"/>
        <w:rPr>
          <w:sz w:val="20"/>
          <w:szCs w:val="20"/>
          <w:color w:val="auto"/>
        </w:rPr>
      </w:pPr>
    </w:p>
    <w:p>
      <w:pPr>
        <w:ind w:left="1360" w:right="198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SOFR</w:t>
      </w:r>
      <w:r>
        <w:rPr>
          <w:rFonts w:ascii="Times New Roman" w:cs="Times New Roman" w:eastAsia="Times New Roman" w:hAnsi="Times New Roman"/>
          <w:sz w:val="16"/>
          <w:szCs w:val="16"/>
          <w:color w:val="auto"/>
        </w:rPr>
        <w:t>” means a rate per annum equal to the secured overnight financing rate as administered by the SOFR Administrator.</w:t>
      </w:r>
    </w:p>
    <w:p>
      <w:pPr>
        <w:spacing w:after="0" w:line="126" w:lineRule="exact"/>
        <w:rPr>
          <w:sz w:val="20"/>
          <w:szCs w:val="20"/>
          <w:color w:val="auto"/>
        </w:rPr>
      </w:pPr>
    </w:p>
    <w:p>
      <w:pPr>
        <w:ind w:left="1360" w:right="164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SOFR Administrator</w:t>
      </w:r>
      <w:r>
        <w:rPr>
          <w:rFonts w:ascii="Times New Roman" w:cs="Times New Roman" w:eastAsia="Times New Roman" w:hAnsi="Times New Roman"/>
          <w:sz w:val="16"/>
          <w:szCs w:val="16"/>
          <w:color w:val="auto"/>
        </w:rPr>
        <w:t>” means the Federal Reserve Bank of New York (or a successor administrator of the secured overnight financing rate).</w:t>
      </w:r>
    </w:p>
    <w:p>
      <w:pPr>
        <w:spacing w:after="0" w:line="1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“Solvent” </w:t>
      </w:r>
      <w:r>
        <w:rPr>
          <w:rFonts w:ascii="Times New Roman" w:cs="Times New Roman" w:eastAsia="Times New Roman" w:hAnsi="Times New Roman"/>
          <w:sz w:val="16"/>
          <w:szCs w:val="16"/>
          <w:color w:val="auto"/>
        </w:rPr>
        <w:t>means, with respect to any Person, that as of the date of determination, both (i)</w:t>
      </w:r>
    </w:p>
    <w:p>
      <w:pPr>
        <w:spacing w:after="0" w:line="28" w:lineRule="exact"/>
        <w:rPr>
          <w:sz w:val="20"/>
          <w:szCs w:val="20"/>
          <w:color w:val="auto"/>
        </w:rPr>
      </w:pPr>
    </w:p>
    <w:p>
      <w:pPr>
        <w:ind w:left="1360" w:right="1480"/>
        <w:spacing w:after="0" w:line="250" w:lineRule="auto"/>
        <w:tabs>
          <w:tab w:leader="none" w:pos="15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such Person’s debt (including contingent liabilities) does not exceed the present fair saleable value of such Person’s present assets; (b) such Person’s capital is not unreasonably small in relation to its business as contemplated on the Closing Date and reflected in the projections delivered in connection with this Agreement or with respect to any transaction contemplated to be undertaken after the Closing Date; and (c) such Person has not incurred and does not intend to incur, or believe (nor should it reasonably believe) that it will incur, debts beyond its ability to pay such debts as they become due (whether at maturity or otherwise); and</w:t>
      </w:r>
    </w:p>
    <w:p>
      <w:pPr>
        <w:ind w:left="1360" w:right="1380"/>
        <w:spacing w:after="0" w:line="251" w:lineRule="auto"/>
        <w:tabs>
          <w:tab w:leader="none" w:pos="1598"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Person is “solvent” within the meaning given that term and similar terms under Section 101(32) of the Bankruptcy Code, Section 271 of the Debtor and Creditor Law of the State of New York or other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Topic 740 of the Accounting Standards Codification of the Financial Accounting Standards Board).</w:t>
      </w:r>
    </w:p>
    <w:p>
      <w:pPr>
        <w:spacing w:after="0" w:line="156" w:lineRule="exact"/>
        <w:rPr>
          <w:sz w:val="20"/>
          <w:szCs w:val="20"/>
          <w:color w:val="auto"/>
        </w:rPr>
      </w:pPr>
    </w:p>
    <w:p>
      <w:pPr>
        <w:ind w:left="1360" w:right="146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SONIA</w:t>
      </w:r>
      <w:r>
        <w:rPr>
          <w:rFonts w:ascii="Times New Roman" w:cs="Times New Roman" w:eastAsia="Times New Roman" w:hAnsi="Times New Roman"/>
          <w:sz w:val="16"/>
          <w:szCs w:val="16"/>
          <w:color w:val="auto"/>
        </w:rPr>
        <w:t>” means a rate equal to the Sterling Overnight Index Average as administered by the SONIA Administrator.</w:t>
      </w:r>
    </w:p>
    <w:p>
      <w:pPr>
        <w:spacing w:after="0" w:line="126" w:lineRule="exact"/>
        <w:rPr>
          <w:sz w:val="20"/>
          <w:szCs w:val="20"/>
          <w:color w:val="auto"/>
        </w:rPr>
      </w:pPr>
    </w:p>
    <w:p>
      <w:pPr>
        <w:ind w:left="1360" w:right="158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SONIA Administrator</w:t>
      </w:r>
      <w:r>
        <w:rPr>
          <w:rFonts w:ascii="Times New Roman" w:cs="Times New Roman" w:eastAsia="Times New Roman" w:hAnsi="Times New Roman"/>
          <w:sz w:val="16"/>
          <w:szCs w:val="16"/>
          <w:color w:val="auto"/>
        </w:rPr>
        <w:t>” means the Bank of England (or any successor administrator of the Sterling Overnight Index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5" w:name="page156"/>
    <w:bookmarkEnd w:id="155"/>
    <w:p>
      <w:pPr>
        <w:spacing w:after="0" w:line="268" w:lineRule="exact"/>
        <w:rPr>
          <w:sz w:val="20"/>
          <w:szCs w:val="20"/>
          <w:color w:val="auto"/>
        </w:rPr>
      </w:pPr>
    </w:p>
    <w:p>
      <w:pPr>
        <w:ind w:left="1360" w:right="1680" w:firstLine="484"/>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SONIA Administrator’s Website</w:t>
      </w:r>
      <w:r>
        <w:rPr>
          <w:rFonts w:ascii="Times New Roman" w:cs="Times New Roman" w:eastAsia="Times New Roman" w:hAnsi="Times New Roman"/>
          <w:sz w:val="16"/>
          <w:szCs w:val="16"/>
          <w:color w:val="auto"/>
        </w:rPr>
        <w:t>” means the Bank of England’s website, currently at http://www.bankofengland.co.uk, or any successor source for the Sterling Overnight Index Average identified as such by the SONIA Administrator from time to time.</w:t>
      </w:r>
    </w:p>
    <w:p>
      <w:pPr>
        <w:spacing w:after="0" w:line="140" w:lineRule="exact"/>
        <w:rPr>
          <w:sz w:val="20"/>
          <w:szCs w:val="20"/>
          <w:color w:val="auto"/>
        </w:rPr>
      </w:pPr>
    </w:p>
    <w:p>
      <w:pPr>
        <w:ind w:left="1360" w:right="1420" w:firstLine="484"/>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“Special Purpose Entity” </w:t>
      </w:r>
      <w:r>
        <w:rPr>
          <w:rFonts w:ascii="Times New Roman" w:cs="Times New Roman" w:eastAsia="Times New Roman" w:hAnsi="Times New Roman"/>
          <w:sz w:val="16"/>
          <w:szCs w:val="16"/>
          <w:color w:val="auto"/>
        </w:rPr>
        <w:t>means a limited liability company or other business entity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 created with the purpose of being “bankruptcy remote” and whose organizational documents contain restrictions on its activities and impose requirements intended to preserve such entity’s separateness that are substantially similar to the special purpose provisions of the Borrower LLC Agreement.</w:t>
      </w:r>
    </w:p>
    <w:p>
      <w:pPr>
        <w:spacing w:after="0" w:line="147" w:lineRule="exact"/>
        <w:rPr>
          <w:sz w:val="20"/>
          <w:szCs w:val="20"/>
          <w:color w:val="auto"/>
        </w:rPr>
      </w:pPr>
    </w:p>
    <w:p>
      <w:pPr>
        <w:ind w:left="1360" w:right="1400" w:firstLine="484"/>
        <w:spacing w:after="0" w:line="194" w:lineRule="exact"/>
        <w:rPr>
          <w:sz w:val="20"/>
          <w:szCs w:val="20"/>
          <w:color w:val="auto"/>
        </w:rPr>
      </w:pPr>
      <w:r>
        <w:rPr>
          <w:rFonts w:ascii="Times New Roman" w:cs="Times New Roman" w:eastAsia="Times New Roman" w:hAnsi="Times New Roman"/>
          <w:sz w:val="16"/>
          <w:szCs w:val="16"/>
          <w:i w:val="1"/>
          <w:iCs w:val="1"/>
          <w:color w:val="auto"/>
        </w:rPr>
        <w:t xml:space="preserve">“Specified Eligible Investment” </w:t>
      </w:r>
      <w:r>
        <w:rPr>
          <w:rFonts w:ascii="Times New Roman" w:cs="Times New Roman" w:eastAsia="Times New Roman" w:hAnsi="Times New Roman"/>
          <w:sz w:val="16"/>
          <w:szCs w:val="16"/>
          <w:color w:val="auto"/>
        </w:rPr>
        <w:t>means an Eligible Investment meeting the requirements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of Section 8.05(a) and that is available to the Collateral Agent, to be specified by the Collateral Manager to the Collateral Agent (with a copy to the Administrative Agent) on or prior to the initial Borrowing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so long as no Default or Event of Default shall have occurred and then be continuing, at any time with not less than five (5) Business Days’ notice to the Collateral Agent (with a copy to the Administrative Agent) the Collateral Manager may (and, if the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then Specified Eligible Investment is no longer available to the Collateral Agent, shall) designate another Eligible Investment that meets the requirements of Section 8.05(a) and that is available to the Collateral Agent to be the Specified Eligible Investment for purposes hereof.</w:t>
      </w:r>
    </w:p>
    <w:p>
      <w:pPr>
        <w:spacing w:after="0" w:line="16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Specified Rate</w:t>
      </w:r>
      <w:r>
        <w:rPr>
          <w:rFonts w:ascii="Times New Roman" w:cs="Times New Roman" w:eastAsia="Times New Roman" w:hAnsi="Times New Roman"/>
          <w:sz w:val="16"/>
          <w:szCs w:val="16"/>
          <w:color w:val="auto"/>
        </w:rPr>
        <w:t>” means at any time:</w:t>
      </w:r>
    </w:p>
    <w:p>
      <w:pPr>
        <w:spacing w:after="0" w:line="191" w:lineRule="exact"/>
        <w:rPr>
          <w:sz w:val="20"/>
          <w:szCs w:val="20"/>
          <w:color w:val="auto"/>
        </w:rPr>
      </w:pPr>
    </w:p>
    <w:p>
      <w:pPr>
        <w:ind w:left="2100" w:hanging="216"/>
        <w:spacing w:after="0"/>
        <w:tabs>
          <w:tab w:leader="none" w:pos="2100"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no Advances are outstanding, the rate determined by the Administrative Agent as if</w:t>
      </w:r>
    </w:p>
    <w:p>
      <w:pPr>
        <w:spacing w:after="0" w:line="25" w:lineRule="exact"/>
        <w:rPr>
          <w:rFonts w:ascii="Times New Roman" w:cs="Times New Roman" w:eastAsia="Times New Roman" w:hAnsi="Times New Roman"/>
          <w:sz w:val="16"/>
          <w:szCs w:val="16"/>
          <w:color w:val="auto"/>
        </w:rPr>
      </w:pPr>
    </w:p>
    <w:p>
      <w:pPr>
        <w:ind w:left="1840" w:right="1420" w:firstLine="4"/>
        <w:spacing w:after="0" w:line="252" w:lineRule="auto"/>
        <w:tabs>
          <w:tab w:leader="none" w:pos="2069"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Advances having an aggregate principal balance of $10,000,000 were bearing interest at the applicable Adjusted Term Benchmark Rate hereunder and (2) the related Interest Accrual Period were in effect for the period from the immediately preceding Payment Date (or, if prior to the first Payment Date, the Closing Date) through the next following Payment Date;</w:t>
      </w:r>
    </w:p>
    <w:p>
      <w:pPr>
        <w:spacing w:after="0" w:line="156" w:lineRule="exact"/>
        <w:rPr>
          <w:rFonts w:ascii="Times New Roman" w:cs="Times New Roman" w:eastAsia="Times New Roman" w:hAnsi="Times New Roman"/>
          <w:sz w:val="16"/>
          <w:szCs w:val="16"/>
          <w:color w:val="auto"/>
        </w:rPr>
      </w:pPr>
    </w:p>
    <w:p>
      <w:pPr>
        <w:jc w:val="both"/>
        <w:ind w:left="1840" w:right="1820" w:firstLine="44"/>
        <w:spacing w:after="0" w:line="266" w:lineRule="auto"/>
        <w:tabs>
          <w:tab w:leader="none" w:pos="2109"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only one Advance is outstanding at such time, the applicable Adjusted Term Benchmark Rate or Daily Simple RFR, as applicable, in effect with respect to such Advance at such time; and</w:t>
      </w:r>
    </w:p>
    <w:p>
      <w:pPr>
        <w:spacing w:after="0" w:line="144" w:lineRule="exact"/>
        <w:rPr>
          <w:rFonts w:ascii="Times New Roman" w:cs="Times New Roman" w:eastAsia="Times New Roman" w:hAnsi="Times New Roman"/>
          <w:sz w:val="16"/>
          <w:szCs w:val="16"/>
          <w:color w:val="auto"/>
        </w:rPr>
      </w:pPr>
    </w:p>
    <w:p>
      <w:pPr>
        <w:ind w:left="1840" w:right="1480" w:firstLine="44"/>
        <w:spacing w:after="0" w:line="255" w:lineRule="auto"/>
        <w:tabs>
          <w:tab w:leader="none" w:pos="210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more than one Advance is outstanding at such time, a rate per annum equal to (1) the sum of the products, for each such Advance of (A) the applicable Adjusted Term Benchmark Rate or Daily Simple RFR (as determined by the Administrative Agent) in effect with respect to such Advance at such time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(B) the Dollar Equivalent of the principal amount of such Advance,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(2) the Dollar Equivalent of the aggregate principal amount of all Advances outstanding at such time, rounded to the nearest 0.01%.</w:t>
      </w:r>
    </w:p>
    <w:p>
      <w:pPr>
        <w:spacing w:after="0" w:line="153" w:lineRule="exact"/>
        <w:rPr>
          <w:sz w:val="20"/>
          <w:szCs w:val="20"/>
          <w:color w:val="auto"/>
        </w:rPr>
      </w:pPr>
    </w:p>
    <w:p>
      <w:pPr>
        <w:ind w:left="1360" w:right="1420" w:firstLine="48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Split First Lien Loan</w:t>
      </w:r>
      <w:r>
        <w:rPr>
          <w:rFonts w:ascii="Times New Roman" w:cs="Times New Roman" w:eastAsia="Times New Roman" w:hAnsi="Times New Roman"/>
          <w:sz w:val="16"/>
          <w:szCs w:val="16"/>
          <w:color w:val="auto"/>
        </w:rPr>
        <w:t>” means any Collateral Loan that (a) would otherwise satisfy the criteria of a First Lien Loan but which has been structured with a credit facility that is senior in right of payment thereto; and (b) satisfies the following criteria: (i) the aggregate commitment of such senior credit facility is less than or equal to 25.00% of the total first lien indebtedness with respect to such Collateral Loan (including the Split First Lien Loan and such senior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641350</wp:posOffset>
            </wp:positionV>
            <wp:extent cx="526605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6" w:name="page157"/>
    <w:bookmarkEnd w:id="156"/>
    <w:p>
      <w:pPr>
        <w:spacing w:after="0" w:line="270" w:lineRule="exact"/>
        <w:rPr>
          <w:sz w:val="20"/>
          <w:szCs w:val="20"/>
          <w:color w:val="auto"/>
        </w:rPr>
      </w:pPr>
    </w:p>
    <w:p>
      <w:pPr>
        <w:ind w:left="1360" w:right="1640"/>
        <w:spacing w:after="0" w:line="258" w:lineRule="auto"/>
        <w:rPr>
          <w:sz w:val="20"/>
          <w:szCs w:val="20"/>
          <w:color w:val="auto"/>
        </w:rPr>
      </w:pPr>
      <w:r>
        <w:rPr>
          <w:rFonts w:ascii="Times New Roman" w:cs="Times New Roman" w:eastAsia="Times New Roman" w:hAnsi="Times New Roman"/>
          <w:sz w:val="16"/>
          <w:szCs w:val="16"/>
          <w:color w:val="auto"/>
        </w:rPr>
        <w:t>and (ii) the senior credit facility portion (as measured by commitment) has a trailing twelve-month senior debt to EBITDA ratio of less than or equal to 0.5x. For the avoidance of doubt, Collateral Loans not satisfying the criteria set forth in this definition may be deemed by the Collateral Manager in its reasonable judgment to be either (x) Split Lien Loans or (y) Second Lien Loans.</w:t>
      </w:r>
    </w:p>
    <w:p>
      <w:pPr>
        <w:spacing w:after="0" w:line="149" w:lineRule="exact"/>
        <w:rPr>
          <w:sz w:val="20"/>
          <w:szCs w:val="20"/>
          <w:color w:val="auto"/>
        </w:rPr>
      </w:pPr>
    </w:p>
    <w:p>
      <w:pPr>
        <w:ind w:left="1360" w:right="154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Split Lien Loan</w:t>
      </w:r>
      <w:r>
        <w:rPr>
          <w:rFonts w:ascii="Times New Roman" w:cs="Times New Roman" w:eastAsia="Times New Roman" w:hAnsi="Times New Roman"/>
          <w:sz w:val="16"/>
          <w:szCs w:val="16"/>
          <w:color w:val="auto"/>
        </w:rPr>
        <w:t>” means any Collateral Loan that is either a Tier 1 Split Lien Loan or a Tier 2 Split Lien Loan.</w:t>
      </w:r>
    </w:p>
    <w:p>
      <w:pPr>
        <w:spacing w:after="0" w:line="126" w:lineRule="exact"/>
        <w:rPr>
          <w:sz w:val="20"/>
          <w:szCs w:val="20"/>
          <w:color w:val="auto"/>
        </w:rPr>
      </w:pPr>
    </w:p>
    <w:p>
      <w:pPr>
        <w:ind w:left="1360" w:right="1380" w:firstLine="484"/>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Stretch Senior Loan</w:t>
      </w:r>
      <w:r>
        <w:rPr>
          <w:rFonts w:ascii="Times New Roman" w:cs="Times New Roman" w:eastAsia="Times New Roman" w:hAnsi="Times New Roman"/>
          <w:sz w:val="16"/>
          <w:szCs w:val="16"/>
          <w:color w:val="auto"/>
        </w:rPr>
        <w:t xml:space="preserve">” means any Collateral Loan (a) that is secured by a valid and perfected first priority Lien on substantially all of the Obligor’s assets constituting the underlying collateral for such Collateral Loan, subject to Permitted Liens, (b) for which no other secured indebtedness of the Obligor secured by a lien on substantially all of the Obligor’s assets exists or is outstanding (subject to Permitted Liens), and (c) for which the payment obligation of the Obligor on such Collateral Loan is either senior to, or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all other indebtedness of such Obligor. A Stretch Senior Loan shall be considered a First Lien Loan. For purposes of determining the Advance Rate for a Stretch Senior Loan, (i) if the Obligor of such Stretch Senior Loan is a Tier 1 Obligor at the time of acquisition, then (a) that portion of such Stretch Senior Loan which, when included in the total indebtedness of such Obligor, results in a Total Leverage Ratio of 4.50x or less at the time of acquisition shall be treated as a First Lien Loan, and (b) that portion of such Stretch Senior Loan which, when included in the total indebtedness of such Obligor, results in a Total Leverage Ratio greater than 4.50x but less than or equal to 6.50x at the time of acquisition shall be treated as a Second Lien Loan; (ii) if the Obligor of such Stretch Senior Loan is a Tier 2 Obligor at the time of acquisition, then (a) that portion of such Stretch Senior Loan which, when included in the total indebtedness of such Obligor, results in a Total Leverage Ratio of 4.50x or less at the time of acquisition shall be treated as a First Lien Loan, and (b) that portion of such Stretch Senior Loan which, when included in the total indebtedness of such Obligor, results in a Total Leverage Ratio greater than 4.50x but less than or equal to</w:t>
      </w:r>
    </w:p>
    <w:p>
      <w:pPr>
        <w:spacing w:after="0" w:line="6" w:lineRule="exact"/>
        <w:rPr>
          <w:sz w:val="20"/>
          <w:szCs w:val="20"/>
          <w:color w:val="auto"/>
        </w:rPr>
      </w:pPr>
    </w:p>
    <w:p>
      <w:pPr>
        <w:ind w:left="1360" w:right="1360"/>
        <w:spacing w:after="0" w:line="251" w:lineRule="auto"/>
        <w:rPr>
          <w:sz w:val="20"/>
          <w:szCs w:val="20"/>
          <w:color w:val="auto"/>
        </w:rPr>
      </w:pPr>
      <w:r>
        <w:rPr>
          <w:rFonts w:ascii="Times New Roman" w:cs="Times New Roman" w:eastAsia="Times New Roman" w:hAnsi="Times New Roman"/>
          <w:sz w:val="16"/>
          <w:szCs w:val="16"/>
          <w:color w:val="auto"/>
        </w:rPr>
        <w:t>5.75x at the time of acquisition shall be treated as a Second Lien Loan; and (iii) if the Obligor of such Stretch Senior Loan is a Tier 3 Obligor at the time of acquisition, then (a) that portion of such Stretch Senior Loan which, when included in the total indebtedness of such Obligor, results in a Total Leverage Ratio of 4.00x or less at the time of acquisition shall be treated as a First Lien Loan, and (b) that portion of such Stretch Senior Loan which, when included in the total indebtedness of such Obligor, results in a Total Leverage Ratio greater than 4.00x but less than or equal to 5.00x at the time of acquisition shall be treated as a Second Lien Loan.</w:t>
      </w:r>
    </w:p>
    <w:p>
      <w:pPr>
        <w:spacing w:after="0" w:line="157" w:lineRule="exact"/>
        <w:rPr>
          <w:sz w:val="20"/>
          <w:szCs w:val="20"/>
          <w:color w:val="auto"/>
        </w:rPr>
      </w:pPr>
    </w:p>
    <w:p>
      <w:pPr>
        <w:ind w:left="1360" w:right="1420" w:firstLine="484"/>
        <w:spacing w:after="0" w:line="194" w:lineRule="exact"/>
        <w:rPr>
          <w:sz w:val="20"/>
          <w:szCs w:val="20"/>
          <w:color w:val="auto"/>
        </w:rPr>
      </w:pPr>
      <w:r>
        <w:rPr>
          <w:rFonts w:ascii="Times New Roman" w:cs="Times New Roman" w:eastAsia="Times New Roman" w:hAnsi="Times New Roman"/>
          <w:sz w:val="16"/>
          <w:szCs w:val="16"/>
          <w:i w:val="1"/>
          <w:iCs w:val="1"/>
          <w:color w:val="auto"/>
        </w:rPr>
        <w:t xml:space="preserve">“Structured Finance Obligation” </w:t>
      </w:r>
      <w:r>
        <w:rPr>
          <w:rFonts w:ascii="Times New Roman" w:cs="Times New Roman" w:eastAsia="Times New Roman" w:hAnsi="Times New Roman"/>
          <w:sz w:val="16"/>
          <w:szCs w:val="16"/>
          <w:color w:val="auto"/>
        </w:rPr>
        <w:t>means any debt obligation owing by a finance vehicle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is secured directly and primarily by, primarily referenced to, and/or primarily representing ownership of, a pool of receivables or a pool of other assets, including collateralized debt obligations, residential mortgage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backed securities, commercial mortgage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backed securities, other asset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backed securities, “future flow” receivable transactions and other similar obligations;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ABL Facilities, loans to financial service companies, factoring businesses, health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care providers and other genuine operating businesses do not constitute Structured Finance Obligations.</w:t>
      </w:r>
    </w:p>
    <w:p>
      <w:pPr>
        <w:spacing w:after="0" w:line="16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“Subject Laws” </w:t>
      </w:r>
      <w:r>
        <w:rPr>
          <w:rFonts w:ascii="Times New Roman" w:cs="Times New Roman" w:eastAsia="Times New Roman" w:hAnsi="Times New Roman"/>
          <w:sz w:val="16"/>
          <w:szCs w:val="16"/>
          <w:color w:val="auto"/>
        </w:rPr>
        <w:t>has the meaning assigned to such term in Section 4.01(f).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666115</wp:posOffset>
            </wp:positionV>
            <wp:extent cx="526605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7" w:name="page158"/>
    <w:bookmarkEnd w:id="157"/>
    <w:p>
      <w:pPr>
        <w:spacing w:after="0" w:line="268" w:lineRule="exact"/>
        <w:rPr>
          <w:sz w:val="20"/>
          <w:szCs w:val="20"/>
          <w:color w:val="auto"/>
        </w:rPr>
      </w:pPr>
    </w:p>
    <w:p>
      <w:pPr>
        <w:ind w:left="1360" w:right="1420" w:firstLine="4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“Subordinated Collateral Management Fee” </w:t>
      </w:r>
      <w:r>
        <w:rPr>
          <w:rFonts w:ascii="Times New Roman" w:cs="Times New Roman" w:eastAsia="Times New Roman" w:hAnsi="Times New Roman"/>
          <w:sz w:val="16"/>
          <w:szCs w:val="16"/>
          <w:color w:val="auto"/>
        </w:rPr>
        <w:t>means the monthly fee, accruing from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Closing Date, payable in arrears on each Payment Date for the related Interest Accrual Period, in an amount equal to 0.50% </w:t>
      </w:r>
      <w:r>
        <w:rPr>
          <w:rFonts w:ascii="Times New Roman" w:cs="Times New Roman" w:eastAsia="Times New Roman" w:hAnsi="Times New Roman"/>
          <w:sz w:val="16"/>
          <w:szCs w:val="16"/>
          <w:i w:val="1"/>
          <w:iCs w:val="1"/>
          <w:color w:val="auto"/>
        </w:rPr>
        <w:t>per annum</w:t>
      </w:r>
      <w:r>
        <w:rPr>
          <w:rFonts w:ascii="Times New Roman" w:cs="Times New Roman" w:eastAsia="Times New Roman" w:hAnsi="Times New Roman"/>
          <w:sz w:val="16"/>
          <w:szCs w:val="16"/>
          <w:color w:val="auto"/>
        </w:rPr>
        <w:t xml:space="preserve"> (calculated on the basis of a 360 day year and the actual number of days elapsed) of the Monthly Asset Amount.</w:t>
      </w:r>
    </w:p>
    <w:p>
      <w:pPr>
        <w:spacing w:after="0" w:line="145" w:lineRule="exact"/>
        <w:rPr>
          <w:sz w:val="20"/>
          <w:szCs w:val="20"/>
          <w:color w:val="auto"/>
        </w:rPr>
      </w:pPr>
    </w:p>
    <w:p>
      <w:pPr>
        <w:ind w:left="1360" w:right="180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“Successor Collateral Manager” </w:t>
      </w:r>
      <w:r>
        <w:rPr>
          <w:rFonts w:ascii="Times New Roman" w:cs="Times New Roman" w:eastAsia="Times New Roman" w:hAnsi="Times New Roman"/>
          <w:sz w:val="16"/>
          <w:szCs w:val="16"/>
          <w:color w:val="auto"/>
        </w:rPr>
        <w:t>has the meaning assigned to such term in Section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11.09(a).</w:t>
      </w:r>
    </w:p>
    <w:p>
      <w:pPr>
        <w:spacing w:after="0" w:line="1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Swingline Advance</w:t>
      </w:r>
      <w:r>
        <w:rPr>
          <w:rFonts w:ascii="Times New Roman" w:cs="Times New Roman" w:eastAsia="Times New Roman" w:hAnsi="Times New Roman"/>
          <w:sz w:val="16"/>
          <w:szCs w:val="16"/>
          <w:color w:val="auto"/>
        </w:rPr>
        <w:t>” has the meaning assigned to such term in Section 2.01.</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Swingline Borrowing</w:t>
      </w:r>
      <w:r>
        <w:rPr>
          <w:rFonts w:ascii="Times New Roman" w:cs="Times New Roman" w:eastAsia="Times New Roman" w:hAnsi="Times New Roman"/>
          <w:sz w:val="16"/>
          <w:szCs w:val="16"/>
          <w:color w:val="auto"/>
        </w:rPr>
        <w:t>” has the meaning assigned to such term in Section 2.01.</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Swingline Facility End Date</w:t>
      </w:r>
      <w:r>
        <w:rPr>
          <w:rFonts w:ascii="Times New Roman" w:cs="Times New Roman" w:eastAsia="Times New Roman" w:hAnsi="Times New Roman"/>
          <w:sz w:val="16"/>
          <w:szCs w:val="16"/>
          <w:color w:val="auto"/>
        </w:rPr>
        <w:t>” has the meaning assigned to such term in Section 2.01.</w:t>
      </w:r>
    </w:p>
    <w:p>
      <w:pPr>
        <w:spacing w:after="0" w:line="189" w:lineRule="exact"/>
        <w:rPr>
          <w:sz w:val="20"/>
          <w:szCs w:val="20"/>
          <w:color w:val="auto"/>
        </w:rPr>
      </w:pPr>
    </w:p>
    <w:p>
      <w:pPr>
        <w:ind w:left="1360" w:right="150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Swingline Lender</w:t>
      </w:r>
      <w:r>
        <w:rPr>
          <w:rFonts w:ascii="Times New Roman" w:cs="Times New Roman" w:eastAsia="Times New Roman" w:hAnsi="Times New Roman"/>
          <w:sz w:val="16"/>
          <w:szCs w:val="16"/>
          <w:color w:val="auto"/>
        </w:rPr>
        <w:t>” means Truist Bank, in its capacity as lender of Swingline Advances hereunder.</w:t>
      </w:r>
    </w:p>
    <w:p>
      <w:pPr>
        <w:spacing w:after="0" w:line="126" w:lineRule="exact"/>
        <w:rPr>
          <w:sz w:val="20"/>
          <w:szCs w:val="20"/>
          <w:color w:val="auto"/>
        </w:rPr>
      </w:pPr>
    </w:p>
    <w:p>
      <w:pPr>
        <w:ind w:left="1360" w:right="170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Swingline Refinancing Advances</w:t>
      </w:r>
      <w:r>
        <w:rPr>
          <w:rFonts w:ascii="Times New Roman" w:cs="Times New Roman" w:eastAsia="Times New Roman" w:hAnsi="Times New Roman"/>
          <w:sz w:val="16"/>
          <w:szCs w:val="16"/>
          <w:color w:val="auto"/>
        </w:rPr>
        <w:t>” has the meaning assigned to such term in Section 2.02(c).</w:t>
      </w:r>
    </w:p>
    <w:p>
      <w:pPr>
        <w:spacing w:after="0" w:line="1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Swingline Refinancing Date</w:t>
      </w:r>
      <w:r>
        <w:rPr>
          <w:rFonts w:ascii="Times New Roman" w:cs="Times New Roman" w:eastAsia="Times New Roman" w:hAnsi="Times New Roman"/>
          <w:sz w:val="16"/>
          <w:szCs w:val="16"/>
          <w:color w:val="auto"/>
        </w:rPr>
        <w:t>” has the meaning assigned to such term in Section 2.02(c).</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Syndicated Advance</w:t>
      </w:r>
      <w:r>
        <w:rPr>
          <w:rFonts w:ascii="Times New Roman" w:cs="Times New Roman" w:eastAsia="Times New Roman" w:hAnsi="Times New Roman"/>
          <w:sz w:val="16"/>
          <w:szCs w:val="16"/>
          <w:color w:val="auto"/>
        </w:rPr>
        <w:t>” has the meaning assigned to such term in Section 2.01.</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Syndicated Borrowing</w:t>
      </w:r>
      <w:r>
        <w:rPr>
          <w:rFonts w:ascii="Times New Roman" w:cs="Times New Roman" w:eastAsia="Times New Roman" w:hAnsi="Times New Roman"/>
          <w:sz w:val="16"/>
          <w:szCs w:val="16"/>
          <w:color w:val="auto"/>
        </w:rPr>
        <w:t>” has the meaning assigned to such term in Section 2.01.</w:t>
      </w:r>
    </w:p>
    <w:p>
      <w:pPr>
        <w:spacing w:after="0" w:line="189" w:lineRule="exact"/>
        <w:rPr>
          <w:sz w:val="20"/>
          <w:szCs w:val="20"/>
          <w:color w:val="auto"/>
        </w:rPr>
      </w:pPr>
    </w:p>
    <w:p>
      <w:pPr>
        <w:ind w:left="1360" w:right="1480" w:firstLine="4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TARGET Day</w:t>
      </w:r>
      <w:r>
        <w:rPr>
          <w:rFonts w:ascii="Times New Roman" w:cs="Times New Roman" w:eastAsia="Times New Roman" w:hAnsi="Times New Roman"/>
          <w:sz w:val="16"/>
          <w:szCs w:val="16"/>
          <w:color w:val="auto"/>
        </w:rPr>
        <w:t>” means any day on which the Trans- European Automated Real-time Gross Settlement Express Transfer payment system (or any successor settlement system as determined by the Administrative Agent to be a suitable replacement) is open for the settlement of payments in Euros.</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“Taxes” </w:t>
      </w:r>
      <w:r>
        <w:rPr>
          <w:rFonts w:ascii="Times New Roman" w:cs="Times New Roman" w:eastAsia="Times New Roman" w:hAnsi="Times New Roman"/>
          <w:sz w:val="16"/>
          <w:szCs w:val="16"/>
          <w:color w:val="auto"/>
        </w:rPr>
        <w:t>has the meaning assigned to such term in Section 15.03(a).</w:t>
      </w:r>
    </w:p>
    <w:p>
      <w:pPr>
        <w:spacing w:after="0" w:line="189" w:lineRule="exact"/>
        <w:rPr>
          <w:sz w:val="20"/>
          <w:szCs w:val="20"/>
          <w:color w:val="auto"/>
        </w:rPr>
      </w:pPr>
    </w:p>
    <w:p>
      <w:pPr>
        <w:jc w:val="both"/>
        <w:ind w:left="1360" w:right="144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“Term Benchmark” </w:t>
      </w:r>
      <w:r>
        <w:rPr>
          <w:rFonts w:ascii="Times New Roman" w:cs="Times New Roman" w:eastAsia="Times New Roman" w:hAnsi="Times New Roman"/>
          <w:sz w:val="16"/>
          <w:szCs w:val="16"/>
          <w:color w:val="auto"/>
        </w:rPr>
        <w:t>means, when used in reference to any Advance or Borrowing, refers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whether such Advance, or the Advances constituting such Borrowing, are bearing interest at a rate determined by reference to the Adjusted Term Benchmark Rate.</w:t>
      </w:r>
    </w:p>
    <w:p>
      <w:pPr>
        <w:spacing w:after="0" w:line="140" w:lineRule="exact"/>
        <w:rPr>
          <w:sz w:val="20"/>
          <w:szCs w:val="20"/>
          <w:color w:val="auto"/>
        </w:rPr>
      </w:pPr>
    </w:p>
    <w:p>
      <w:pPr>
        <w:ind w:left="1360" w:right="1900" w:firstLine="484"/>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Term Benchmark Banking Day</w:t>
      </w:r>
      <w:r>
        <w:rPr>
          <w:rFonts w:ascii="Times New Roman" w:cs="Times New Roman" w:eastAsia="Times New Roman" w:hAnsi="Times New Roman"/>
          <w:sz w:val="16"/>
          <w:szCs w:val="16"/>
          <w:color w:val="auto"/>
        </w:rPr>
        <w:t>” means for Term Benchmark Advances, Term Benchmark Borrowings, interest, fees, commissions or other amounts denominated in, or calculated with respect to:</w:t>
      </w:r>
    </w:p>
    <w:p>
      <w:pPr>
        <w:spacing w:after="0" w:line="152" w:lineRule="exact"/>
        <w:rPr>
          <w:sz w:val="20"/>
          <w:szCs w:val="20"/>
          <w:color w:val="auto"/>
        </w:rPr>
      </w:pPr>
    </w:p>
    <w:p>
      <w:pPr>
        <w:ind w:left="2320" w:right="1380" w:firstLine="8"/>
        <w:spacing w:after="0" w:line="261" w:lineRule="auto"/>
        <w:tabs>
          <w:tab w:leader="none" w:pos="2539"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741680</wp:posOffset>
            </wp:positionV>
            <wp:extent cx="526605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8" w:name="page159"/>
    <w:bookmarkEnd w:id="158"/>
    <w:p>
      <w:pPr>
        <w:spacing w:after="0" w:line="88" w:lineRule="exact"/>
        <w:rPr>
          <w:sz w:val="20"/>
          <w:szCs w:val="20"/>
          <w:color w:val="auto"/>
        </w:rPr>
      </w:pPr>
    </w:p>
    <w:p>
      <w:pPr>
        <w:ind w:left="2560" w:hanging="232"/>
        <w:spacing w:after="0"/>
        <w:tabs>
          <w:tab w:leader="none" w:pos="25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Euros, a TARGET Day;</w:t>
      </w:r>
    </w:p>
    <w:p>
      <w:pPr>
        <w:spacing w:after="0" w:line="169" w:lineRule="exact"/>
        <w:rPr>
          <w:rFonts w:ascii="Times New Roman" w:cs="Times New Roman" w:eastAsia="Times New Roman" w:hAnsi="Times New Roman"/>
          <w:sz w:val="16"/>
          <w:szCs w:val="16"/>
          <w:color w:val="auto"/>
        </w:rPr>
      </w:pPr>
    </w:p>
    <w:p>
      <w:pPr>
        <w:ind w:left="1360" w:right="1400" w:firstLine="968"/>
        <w:spacing w:after="0" w:line="283" w:lineRule="auto"/>
        <w:tabs>
          <w:tab w:leader="none" w:pos="254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Canadian Dollars, any day except for (i) a Sunday, (ii) a Saturday or (iii) a day on which commercial banks in Toronto are authorized or required by law to remain closed; or</w:t>
      </w:r>
    </w:p>
    <w:p>
      <w:pPr>
        <w:spacing w:after="0" w:line="110" w:lineRule="exact"/>
        <w:rPr>
          <w:rFonts w:ascii="Times New Roman" w:cs="Times New Roman" w:eastAsia="Times New Roman" w:hAnsi="Times New Roman"/>
          <w:sz w:val="16"/>
          <w:szCs w:val="16"/>
          <w:color w:val="auto"/>
        </w:rPr>
      </w:pPr>
    </w:p>
    <w:p>
      <w:pPr>
        <w:ind w:left="1360" w:right="1420" w:firstLine="968"/>
        <w:spacing w:after="0" w:line="283" w:lineRule="auto"/>
        <w:tabs>
          <w:tab w:leader="none" w:pos="2557"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Australian Dollars, any day (other than a Saturday or Sunday) on which banks are open for business in Melbourne, Australia.</w:t>
      </w:r>
    </w:p>
    <w:p>
      <w:pPr>
        <w:spacing w:after="0" w:line="10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“Term Benchmark Rate” </w:t>
      </w:r>
      <w:r>
        <w:rPr>
          <w:rFonts w:ascii="Times New Roman" w:cs="Times New Roman" w:eastAsia="Times New Roman" w:hAnsi="Times New Roman"/>
          <w:sz w:val="16"/>
          <w:szCs w:val="16"/>
          <w:color w:val="auto"/>
        </w:rPr>
        <w:t>means, for any Interest Accrual Period:</w:t>
      </w:r>
    </w:p>
    <w:p>
      <w:pPr>
        <w:spacing w:after="0" w:line="191" w:lineRule="exact"/>
        <w:rPr>
          <w:sz w:val="20"/>
          <w:szCs w:val="20"/>
          <w:color w:val="auto"/>
        </w:rPr>
      </w:pPr>
    </w:p>
    <w:p>
      <w:pPr>
        <w:ind w:left="1360" w:right="1420" w:firstLine="484"/>
        <w:spacing w:after="0" w:line="257" w:lineRule="auto"/>
        <w:tabs>
          <w:tab w:leader="none" w:pos="2064"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Term Benchmark Borrowings denominated in Dollars, the rate per annum equal to the Term SOFR Reference Rate for a tenor comparable to the applicable Interest Accrual Period on the day (such day, the “</w:t>
      </w:r>
      <w:r>
        <w:rPr>
          <w:rFonts w:ascii="Times New Roman" w:cs="Times New Roman" w:eastAsia="Times New Roman" w:hAnsi="Times New Roman"/>
          <w:sz w:val="16"/>
          <w:szCs w:val="16"/>
          <w:i w:val="1"/>
          <w:iCs w:val="1"/>
          <w:color w:val="auto"/>
        </w:rPr>
        <w:t>Periodic Term SOFR Determination Day</w:t>
      </w:r>
      <w:r>
        <w:rPr>
          <w:rFonts w:ascii="Times New Roman" w:cs="Times New Roman" w:eastAsia="Times New Roman" w:hAnsi="Times New Roman"/>
          <w:sz w:val="16"/>
          <w:szCs w:val="16"/>
          <w:color w:val="auto"/>
        </w:rPr>
        <w:t>”) that is two</w:t>
      </w:r>
    </w:p>
    <w:p>
      <w:pPr>
        <w:spacing w:after="0" w:line="2" w:lineRule="exact"/>
        <w:rPr>
          <w:rFonts w:ascii="Times New Roman" w:cs="Times New Roman" w:eastAsia="Times New Roman" w:hAnsi="Times New Roman"/>
          <w:sz w:val="16"/>
          <w:szCs w:val="16"/>
          <w:color w:val="auto"/>
        </w:rPr>
      </w:pPr>
    </w:p>
    <w:p>
      <w:pPr>
        <w:ind w:left="1360" w:right="1380"/>
        <w:spacing w:after="0" w:line="250" w:lineRule="auto"/>
        <w:tabs>
          <w:tab w:leader="none" w:pos="1589"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 Benchmark Banking Days for Dollars prior to the first day of such Interest Accrual Period, as such rate is published by the Term SOFR Administrator (the “</w:t>
      </w:r>
      <w:r>
        <w:rPr>
          <w:rFonts w:ascii="Times New Roman" w:cs="Times New Roman" w:eastAsia="Times New Roman" w:hAnsi="Times New Roman"/>
          <w:sz w:val="16"/>
          <w:szCs w:val="16"/>
          <w:i w:val="1"/>
          <w:iCs w:val="1"/>
          <w:color w:val="auto"/>
        </w:rPr>
        <w:t>SOFR Screen Rate</w:t>
      </w:r>
      <w:r>
        <w:rPr>
          <w:rFonts w:ascii="Times New Roman" w:cs="Times New Roman" w:eastAsia="Times New Roman" w:hAnsi="Times New Roman"/>
          <w:sz w:val="16"/>
          <w:szCs w:val="16"/>
          <w:color w:val="auto"/>
        </w:rPr>
        <w:t>”); provided, that if as of 5:00 p.m. on any Periodic Term SOFR Determination Day the Term SOFR Reference Rate for the applicable tenor has not been published by the Term SOFR Administrator and a Benchmark Replacement Date with respect to the Term SOFR Reference Rate has not occurred, then the Term Benchmark Rate for Term Benchmark Borrowings denominated in Dollars will be the Term SOFR Reference Rate for such tenor as published by the Term SOFR Administrator on the first preceding Term Benchmark Banking Day for Dollars for which such Term SOFR Reference Rate for such tenor was published by the Term SOFR Administrator so long as such first preceding Term Benchmark Banking Day for Dollars is not more than three (3) Term Benchmark Banking Days for Dollars prior to such Periodic Term SOFR Determination Day (the rate under this clause (a) referred to herein as, “</w:t>
      </w:r>
      <w:r>
        <w:rPr>
          <w:rFonts w:ascii="Times New Roman" w:cs="Times New Roman" w:eastAsia="Times New Roman" w:hAnsi="Times New Roman"/>
          <w:sz w:val="16"/>
          <w:szCs w:val="16"/>
          <w:i w:val="1"/>
          <w:iCs w:val="1"/>
          <w:color w:val="auto"/>
        </w:rPr>
        <w:t>Term SOFR</w:t>
      </w:r>
      <w:r>
        <w:rPr>
          <w:rFonts w:ascii="Times New Roman" w:cs="Times New Roman" w:eastAsia="Times New Roman" w:hAnsi="Times New Roman"/>
          <w:sz w:val="16"/>
          <w:szCs w:val="16"/>
          <w:color w:val="auto"/>
        </w:rPr>
        <w:t>”).</w:t>
      </w:r>
    </w:p>
    <w:p>
      <w:pPr>
        <w:spacing w:after="0" w:line="164" w:lineRule="exact"/>
        <w:rPr>
          <w:rFonts w:ascii="Times New Roman" w:cs="Times New Roman" w:eastAsia="Times New Roman" w:hAnsi="Times New Roman"/>
          <w:sz w:val="16"/>
          <w:szCs w:val="16"/>
          <w:color w:val="auto"/>
        </w:rPr>
      </w:pPr>
    </w:p>
    <w:p>
      <w:pPr>
        <w:ind w:left="1360" w:right="1380" w:firstLine="484"/>
        <w:spacing w:after="0" w:line="254" w:lineRule="auto"/>
        <w:tabs>
          <w:tab w:leader="none" w:pos="2073"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Term Benchmark Borrowings denominated in Euros, the rate per annum equal to the Euro Interbank Offered Rate as administered by the European Money Markets Institute (or any other Person that takes over the administration of such rate) for a period equal in length to such Interest Accrual Period, as displayed on the applicable Bloomberg page (or on any successor or substitute page or service providing such quotations as determined by the Administrative Agent from time to time; in each case, the “</w:t>
      </w:r>
      <w:r>
        <w:rPr>
          <w:rFonts w:ascii="Times New Roman" w:cs="Times New Roman" w:eastAsia="Times New Roman" w:hAnsi="Times New Roman"/>
          <w:sz w:val="16"/>
          <w:szCs w:val="16"/>
          <w:i w:val="1"/>
          <w:iCs w:val="1"/>
          <w:color w:val="auto"/>
        </w:rPr>
        <w:t>EURIBOR Screen Rate</w:t>
      </w:r>
      <w:r>
        <w:rPr>
          <w:rFonts w:ascii="Times New Roman" w:cs="Times New Roman" w:eastAsia="Times New Roman" w:hAnsi="Times New Roman"/>
          <w:sz w:val="16"/>
          <w:szCs w:val="16"/>
          <w:color w:val="auto"/>
        </w:rPr>
        <w:t>”) at approximately 11:00 a.m. (Brussels time) two Term Benchmark Banking Days for Euros prior to the first day of such Interest Accrual Period;</w:t>
      </w:r>
    </w:p>
    <w:p>
      <w:pPr>
        <w:spacing w:after="0" w:line="157" w:lineRule="exact"/>
        <w:rPr>
          <w:rFonts w:ascii="Times New Roman" w:cs="Times New Roman" w:eastAsia="Times New Roman" w:hAnsi="Times New Roman"/>
          <w:sz w:val="16"/>
          <w:szCs w:val="16"/>
          <w:color w:val="auto"/>
        </w:rPr>
      </w:pPr>
    </w:p>
    <w:p>
      <w:pPr>
        <w:ind w:left="1360" w:right="1460" w:firstLine="484"/>
        <w:spacing w:after="0" w:line="252" w:lineRule="auto"/>
        <w:tabs>
          <w:tab w:leader="none" w:pos="2064"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Term Benchmark Borrowings denominated in Canadian Dollars, the rate per annum equal to the Term CORRA Reference Rate for a tenor comparable to the applicable Interest Accrual Period on the day (such day, the “</w:t>
      </w:r>
      <w:r>
        <w:rPr>
          <w:rFonts w:ascii="Times New Roman" w:cs="Times New Roman" w:eastAsia="Times New Roman" w:hAnsi="Times New Roman"/>
          <w:sz w:val="16"/>
          <w:szCs w:val="16"/>
          <w:i w:val="1"/>
          <w:iCs w:val="1"/>
          <w:color w:val="auto"/>
        </w:rPr>
        <w:t>Periodic Term CORRA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Determination Day</w:t>
      </w:r>
      <w:r>
        <w:rPr>
          <w:rFonts w:ascii="Times New Roman" w:cs="Times New Roman" w:eastAsia="Times New Roman" w:hAnsi="Times New Roman"/>
          <w:sz w:val="16"/>
          <w:szCs w:val="16"/>
          <w:color w:val="auto"/>
        </w:rPr>
        <w:t>”) that is two (2) Term Benchmark Banking Days for Canadian Dollars prior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the first day of such Interest Accrual Period, as such rate is published by the Term CORRA Administrator and is displayed on a screen or other information service, as identified or selected by the Administrative Agent (the “</w:t>
      </w:r>
      <w:r>
        <w:rPr>
          <w:rFonts w:ascii="Times New Roman" w:cs="Times New Roman" w:eastAsia="Times New Roman" w:hAnsi="Times New Roman"/>
          <w:sz w:val="16"/>
          <w:szCs w:val="16"/>
          <w:i w:val="1"/>
          <w:iCs w:val="1"/>
          <w:color w:val="auto"/>
        </w:rPr>
        <w:t>Term CORRA Screen Rate</w:t>
      </w:r>
      <w:r>
        <w:rPr>
          <w:rFonts w:ascii="Times New Roman" w:cs="Times New Roman" w:eastAsia="Times New Roman" w:hAnsi="Times New Roman"/>
          <w:sz w:val="16"/>
          <w:szCs w:val="16"/>
          <w:color w:val="auto"/>
        </w:rPr>
        <w:t>”);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647700</wp:posOffset>
            </wp:positionV>
            <wp:extent cx="526605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9" w:name="page160"/>
    <w:bookmarkEnd w:id="159"/>
    <w:p>
      <w:pPr>
        <w:spacing w:after="0" w:line="270" w:lineRule="exact"/>
        <w:rPr>
          <w:sz w:val="20"/>
          <w:szCs w:val="20"/>
          <w:color w:val="auto"/>
        </w:rPr>
      </w:pPr>
    </w:p>
    <w:p>
      <w:pPr>
        <w:ind w:left="1360" w:right="1380"/>
        <w:spacing w:after="0" w:line="266" w:lineRule="auto"/>
        <w:rPr>
          <w:sz w:val="20"/>
          <w:szCs w:val="20"/>
          <w:color w:val="auto"/>
        </w:rPr>
      </w:pPr>
      <w:r>
        <w:rPr>
          <w:rFonts w:ascii="Times New Roman" w:cs="Times New Roman" w:eastAsia="Times New Roman" w:hAnsi="Times New Roman"/>
          <w:sz w:val="16"/>
          <w:szCs w:val="16"/>
          <w:color w:val="auto"/>
        </w:rPr>
        <w:t>Reference Rate for such tenor was published by the Term CORRA Administrator so long as such first preceding Business Day is not more than three (3) Business Days prior to such Periodic Term CORRA Determination Day (the rate under this clause (c) referred to as “</w:t>
      </w:r>
      <w:r>
        <w:rPr>
          <w:rFonts w:ascii="Times New Roman" w:cs="Times New Roman" w:eastAsia="Times New Roman" w:hAnsi="Times New Roman"/>
          <w:sz w:val="16"/>
          <w:szCs w:val="16"/>
          <w:i w:val="1"/>
          <w:iCs w:val="1"/>
          <w:color w:val="auto"/>
        </w:rPr>
        <w:t>Term CORRA</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left="1360" w:right="1380" w:firstLine="484"/>
        <w:spacing w:after="0" w:line="253" w:lineRule="auto"/>
        <w:tabs>
          <w:tab w:leader="none" w:pos="207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Term Benchmark Borrowings denominated in Australian Dollars, the rate per annum equal to the Bank Bill Swap Reference Bid rate or a successor thereto approved by the Administrative Agent (“</w:t>
      </w:r>
      <w:r>
        <w:rPr>
          <w:rFonts w:ascii="Times New Roman" w:cs="Times New Roman" w:eastAsia="Times New Roman" w:hAnsi="Times New Roman"/>
          <w:sz w:val="16"/>
          <w:szCs w:val="16"/>
          <w:i w:val="1"/>
          <w:iCs w:val="1"/>
          <w:color w:val="auto"/>
        </w:rPr>
        <w:t>BBSY</w:t>
      </w:r>
      <w:r>
        <w:rPr>
          <w:rFonts w:ascii="Times New Roman" w:cs="Times New Roman" w:eastAsia="Times New Roman" w:hAnsi="Times New Roman"/>
          <w:sz w:val="16"/>
          <w:szCs w:val="16"/>
          <w:color w:val="auto"/>
        </w:rPr>
        <w:t>”) as published by Reuters (or such other page or commercially available source providing BBSY (Bid) quotations as may be designated by the Administrative Agent from time to time) at or about 10:30 a.m. (Melbourne, Australia time) on the day that is two Term Benchmark Banking Days for Australian Dollars prior to the first day of the Interest Accrual Period (or if such day is not an Term Benchmark Banking Day for Australian Dollars, then on the immediately preceding Term Benchmark Banking Day for Australian Dollars) with a term equivalent to such Interest Accrual Period (the “</w:t>
      </w:r>
      <w:r>
        <w:rPr>
          <w:rFonts w:ascii="Times New Roman" w:cs="Times New Roman" w:eastAsia="Times New Roman" w:hAnsi="Times New Roman"/>
          <w:sz w:val="16"/>
          <w:szCs w:val="16"/>
          <w:i w:val="1"/>
          <w:iCs w:val="1"/>
          <w:color w:val="auto"/>
        </w:rPr>
        <w:t>BBSY Screen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Rate</w:t>
      </w:r>
      <w:r>
        <w:rPr>
          <w:rFonts w:ascii="Times New Roman" w:cs="Times New Roman" w:eastAsia="Times New Roman" w:hAnsi="Times New Roman"/>
          <w:sz w:val="16"/>
          <w:szCs w:val="16"/>
          <w:color w:val="auto"/>
        </w:rPr>
        <w:t>”);</w:t>
      </w:r>
    </w:p>
    <w:p>
      <w:pPr>
        <w:spacing w:after="0" w:line="351" w:lineRule="exact"/>
        <w:rPr>
          <w:sz w:val="20"/>
          <w:szCs w:val="20"/>
          <w:color w:val="auto"/>
        </w:rPr>
      </w:pPr>
    </w:p>
    <w:p>
      <w:pPr>
        <w:ind w:left="1360" w:right="152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Term CORRA</w:t>
      </w:r>
      <w:r>
        <w:rPr>
          <w:rFonts w:ascii="Times New Roman" w:cs="Times New Roman" w:eastAsia="Times New Roman" w:hAnsi="Times New Roman"/>
          <w:sz w:val="16"/>
          <w:szCs w:val="16"/>
          <w:color w:val="auto"/>
        </w:rPr>
        <w:t>” has the meaning assigned to such term in clause (c) of the definition of Term Benchmark Rate.</w:t>
      </w:r>
    </w:p>
    <w:p>
      <w:pPr>
        <w:spacing w:after="0" w:line="126" w:lineRule="exact"/>
        <w:rPr>
          <w:sz w:val="20"/>
          <w:szCs w:val="20"/>
          <w:color w:val="auto"/>
        </w:rPr>
      </w:pPr>
    </w:p>
    <w:p>
      <w:pPr>
        <w:ind w:left="1360" w:right="15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“Term CORRA Adjustment” </w:t>
      </w:r>
      <w:r>
        <w:rPr>
          <w:rFonts w:ascii="Times New Roman" w:cs="Times New Roman" w:eastAsia="Times New Roman" w:hAnsi="Times New Roman"/>
          <w:sz w:val="16"/>
          <w:szCs w:val="16"/>
          <w:color w:val="auto"/>
        </w:rPr>
        <w:t>means a percentage equal to .29547% (29.547 basis points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 annum.</w:t>
      </w:r>
    </w:p>
    <w:p>
      <w:pPr>
        <w:spacing w:after="0" w:line="126" w:lineRule="exact"/>
        <w:rPr>
          <w:sz w:val="20"/>
          <w:szCs w:val="20"/>
          <w:color w:val="auto"/>
        </w:rPr>
      </w:pPr>
    </w:p>
    <w:p>
      <w:pPr>
        <w:ind w:left="1360" w:right="14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“Term CORRA Administrator” </w:t>
      </w:r>
      <w:r>
        <w:rPr>
          <w:rFonts w:ascii="Times New Roman" w:cs="Times New Roman" w:eastAsia="Times New Roman" w:hAnsi="Times New Roman"/>
          <w:sz w:val="16"/>
          <w:szCs w:val="16"/>
          <w:color w:val="auto"/>
        </w:rPr>
        <w:t>means Candeal Benchmark Administration Services Inc.,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TSX Inc., or any successor administrator.</w:t>
      </w:r>
    </w:p>
    <w:p>
      <w:pPr>
        <w:spacing w:after="0" w:line="1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 xml:space="preserve">“Term CORRA Reference Rate” </w:t>
      </w:r>
      <w:r>
        <w:rPr>
          <w:rFonts w:ascii="Times New Roman" w:cs="Times New Roman" w:eastAsia="Times New Roman" w:hAnsi="Times New Roman"/>
          <w:sz w:val="16"/>
          <w:szCs w:val="16"/>
          <w:color w:val="auto"/>
        </w:rPr>
        <w:t>means the forward-looking term rate based on CORRA</w:t>
      </w:r>
    </w:p>
    <w:p>
      <w:pPr>
        <w:spacing w:after="0" w:line="189" w:lineRule="exact"/>
        <w:rPr>
          <w:sz w:val="20"/>
          <w:szCs w:val="20"/>
          <w:color w:val="auto"/>
        </w:rPr>
      </w:pPr>
    </w:p>
    <w:p>
      <w:pPr>
        <w:ind w:left="1360" w:right="16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“Term SOFR” </w:t>
      </w:r>
      <w:r>
        <w:rPr>
          <w:rFonts w:ascii="Times New Roman" w:cs="Times New Roman" w:eastAsia="Times New Roman" w:hAnsi="Times New Roman"/>
          <w:sz w:val="16"/>
          <w:szCs w:val="16"/>
          <w:color w:val="auto"/>
        </w:rPr>
        <w:t>has the meaning assigned to such term in clause (a) of the definition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 Benchmark Rate.</w:t>
      </w:r>
    </w:p>
    <w:p>
      <w:pPr>
        <w:spacing w:after="0" w:line="126" w:lineRule="exact"/>
        <w:rPr>
          <w:sz w:val="20"/>
          <w:szCs w:val="20"/>
          <w:color w:val="auto"/>
        </w:rPr>
      </w:pPr>
    </w:p>
    <w:p>
      <w:pPr>
        <w:ind w:left="1360" w:right="140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“Term SOFR Administrator” </w:t>
      </w:r>
      <w:r>
        <w:rPr>
          <w:rFonts w:ascii="Times New Roman" w:cs="Times New Roman" w:eastAsia="Times New Roman" w:hAnsi="Times New Roman"/>
          <w:sz w:val="16"/>
          <w:szCs w:val="16"/>
          <w:color w:val="auto"/>
        </w:rPr>
        <w:t>means the CME Group Benchmark Administration Limited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(CBA) (or a successor administrator of the Term SOFR Reference Rate selected by the Administrative Agent in its reasonable discretion).</w:t>
      </w:r>
    </w:p>
    <w:p>
      <w:pPr>
        <w:spacing w:after="0" w:line="140" w:lineRule="exact"/>
        <w:rPr>
          <w:sz w:val="20"/>
          <w:szCs w:val="20"/>
          <w:color w:val="auto"/>
        </w:rPr>
      </w:pPr>
    </w:p>
    <w:p>
      <w:pPr>
        <w:ind w:left="1360" w:right="23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“Term SOFR Reference Rate</w:t>
      </w:r>
      <w:r>
        <w:rPr>
          <w:rFonts w:ascii="Times New Roman" w:cs="Times New Roman" w:eastAsia="Times New Roman" w:hAnsi="Times New Roman"/>
          <w:sz w:val="16"/>
          <w:szCs w:val="16"/>
          <w:color w:val="auto"/>
        </w:rPr>
        <w:t>” means the rate per annum determined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Administrative Agent as the forward-looking term rate based on SOFR.</w:t>
      </w:r>
    </w:p>
    <w:p>
      <w:pPr>
        <w:spacing w:after="0" w:line="126" w:lineRule="exact"/>
        <w:rPr>
          <w:sz w:val="20"/>
          <w:szCs w:val="20"/>
          <w:color w:val="auto"/>
        </w:rPr>
      </w:pPr>
    </w:p>
    <w:p>
      <w:pPr>
        <w:ind w:left="1360" w:right="1480" w:firstLine="4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Tier 1 Obligor</w:t>
      </w:r>
      <w:r>
        <w:rPr>
          <w:rFonts w:ascii="Times New Roman" w:cs="Times New Roman" w:eastAsia="Times New Roman" w:hAnsi="Times New Roman"/>
          <w:sz w:val="16"/>
          <w:szCs w:val="16"/>
          <w:color w:val="auto"/>
        </w:rPr>
        <w:t>” means an Obligor of any Collateral Loan with EBITDA greater than or equal to $50,000,000 (determined at the most recent to occur of such Collateral Loan’s original date of acquisition by the Borrower or the date of any subsequent increase or modification to such Collateral Loan resulting from a material acquisition by the Obligor).</w:t>
      </w:r>
    </w:p>
    <w:p>
      <w:pPr>
        <w:spacing w:after="0" w:line="145" w:lineRule="exact"/>
        <w:rPr>
          <w:sz w:val="20"/>
          <w:szCs w:val="20"/>
          <w:color w:val="auto"/>
        </w:rPr>
      </w:pPr>
    </w:p>
    <w:p>
      <w:pPr>
        <w:ind w:left="1360" w:right="1440" w:firstLine="484"/>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Tier 1 Split Lien Loan</w:t>
      </w:r>
      <w:r>
        <w:rPr>
          <w:rFonts w:ascii="Times New Roman" w:cs="Times New Roman" w:eastAsia="Times New Roman" w:hAnsi="Times New Roman"/>
          <w:sz w:val="16"/>
          <w:szCs w:val="16"/>
          <w:color w:val="auto"/>
        </w:rPr>
        <w:t>” means any Collateral Loan that (a) would otherwise satisfy the criteria of a First Lien Loan but which has been structured with a credit facility that is senior in right of payment with respect to current assets; and (b) satisfies the following criteria: (i) the aggregate commitment of such senior credit facility is less than or equal to 25.00% of the total first lien indebtedness with respect to such Collateral Loan (including the Tier 1 Split Lien Loan and such senior credit facility), and (ii) the senior credit facility portion (as measured by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641350</wp:posOffset>
            </wp:positionV>
            <wp:extent cx="526605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0" w:name="page161"/>
    <w:bookmarkEnd w:id="160"/>
    <w:p>
      <w:pPr>
        <w:spacing w:after="0" w:line="270" w:lineRule="exact"/>
        <w:rPr>
          <w:sz w:val="20"/>
          <w:szCs w:val="20"/>
          <w:color w:val="auto"/>
        </w:rPr>
      </w:pPr>
    </w:p>
    <w:p>
      <w:pPr>
        <w:ind w:left="1360" w:right="1360"/>
        <w:spacing w:after="0" w:line="257" w:lineRule="auto"/>
        <w:rPr>
          <w:sz w:val="20"/>
          <w:szCs w:val="20"/>
          <w:color w:val="auto"/>
        </w:rPr>
      </w:pPr>
      <w:r>
        <w:rPr>
          <w:rFonts w:ascii="Times New Roman" w:cs="Times New Roman" w:eastAsia="Times New Roman" w:hAnsi="Times New Roman"/>
          <w:sz w:val="16"/>
          <w:szCs w:val="16"/>
          <w:color w:val="auto"/>
        </w:rPr>
        <w:t>has a trailing twelve -month senior debt to EBITDA ratio of less than or equal to 1.0x. For the avoidance of doubt, Collateral Loans not satisfying the criteria set forth in this definition or in the Tier 2 Split Lien Loan definition may be deemed by the Collateral Manager in its reasonable judgment to be Second Lien Loans. Such Collateral Loans that meet the criteria set forth in the Tier 2 Split Lien Loan definition and this definition shall be deemed to be Tier 1 Split Lien Loans.</w:t>
      </w:r>
    </w:p>
    <w:p>
      <w:pPr>
        <w:spacing w:after="0" w:line="3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Tier 2 Obligor</w:t>
      </w:r>
      <w:r>
        <w:rPr>
          <w:rFonts w:ascii="Times New Roman" w:cs="Times New Roman" w:eastAsia="Times New Roman" w:hAnsi="Times New Roman"/>
          <w:sz w:val="16"/>
          <w:szCs w:val="16"/>
          <w:color w:val="auto"/>
        </w:rPr>
        <w:t>” means an Obligor of any Collateral Loan with either (a) EBITDA</w:t>
      </w:r>
    </w:p>
    <w:p>
      <w:pPr>
        <w:spacing w:after="0" w:line="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greater than or equal to $20,000,000 or (b)(i) EBITDA greater than $5,000,000 and less than</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$20,000,000 and (ii) a Fixed Charge Coverage Ratio of greater than or equal to 1.25x and a Debt</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to Capitalization Ratio of no more than 65.0% (in each case, determined at the most recent to</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occur of such Collateral Loan’s original date of acquisition by the Borrower or the date of any</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subsequent increase or modification to such Collateral Loan resulting from a material acquisition</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by the Obligor).</w:t>
      </w:r>
    </w:p>
    <w:p>
      <w:pPr>
        <w:spacing w:after="0" w:line="169" w:lineRule="exact"/>
        <w:rPr>
          <w:sz w:val="20"/>
          <w:szCs w:val="20"/>
          <w:color w:val="auto"/>
        </w:rPr>
      </w:pPr>
    </w:p>
    <w:p>
      <w:pPr>
        <w:ind w:left="1360" w:right="1400" w:firstLine="48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Tier 2 Split Lien Loan</w:t>
      </w:r>
      <w:r>
        <w:rPr>
          <w:rFonts w:ascii="Times New Roman" w:cs="Times New Roman" w:eastAsia="Times New Roman" w:hAnsi="Times New Roman"/>
          <w:sz w:val="16"/>
          <w:szCs w:val="16"/>
          <w:color w:val="auto"/>
        </w:rPr>
        <w:t>” means any Collateral Loan that (a) would otherwise satisfy the criteria of a First Lien Loan but which has been structured with a credit facility that is senior in right of payment with respect to current assets; and (b) satisfies the following criteria: (i) the aggregate commitment of such senior credit facility is less than or equal to 25.00% of the total first lien indebtedness with respect to such Collateral Loan (including the Tier 2 Split Lien Loan and such senior credit facility), and (ii) the senior credit facility portion (as measured by commitment) has a trailing twelve -month senior debt to EBITDA ratio of less than or equal to 1.5x. For the avoidance of doubt, Collateral Loans not satisfying the criteria set forth in this definition or in the Tier 1 Split Lien Loan definition may be deemed by the Collateral Manager in its reasonable judgment to be Second Lien Loans. Such Collateral Loans that meet the criteria set forth in the Tier 1 Split Lien Loan definition and this definition shall be deemed to be Tier 1 Split Lien Loans.</w:t>
      </w:r>
    </w:p>
    <w:p>
      <w:pPr>
        <w:spacing w:after="0" w:line="155" w:lineRule="exact"/>
        <w:rPr>
          <w:sz w:val="20"/>
          <w:szCs w:val="20"/>
          <w:color w:val="auto"/>
        </w:rPr>
      </w:pPr>
    </w:p>
    <w:p>
      <w:pPr>
        <w:ind w:left="1360" w:right="140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Tier 3 Obligor</w:t>
      </w:r>
      <w:r>
        <w:rPr>
          <w:rFonts w:ascii="Times New Roman" w:cs="Times New Roman" w:eastAsia="Times New Roman" w:hAnsi="Times New Roman"/>
          <w:sz w:val="16"/>
          <w:szCs w:val="16"/>
          <w:color w:val="auto"/>
        </w:rPr>
        <w:t>” means an Obligor that does not meet the criteria of a Tier 1 Obligor or a Tier 2 Obligor.</w:t>
      </w:r>
    </w:p>
    <w:p>
      <w:pPr>
        <w:spacing w:after="0" w:line="126" w:lineRule="exact"/>
        <w:rPr>
          <w:sz w:val="20"/>
          <w:szCs w:val="20"/>
          <w:color w:val="auto"/>
        </w:rPr>
      </w:pPr>
    </w:p>
    <w:p>
      <w:pPr>
        <w:ind w:left="1360" w:right="1380" w:firstLine="484"/>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Total Leverage Ratio</w:t>
      </w:r>
      <w:r>
        <w:rPr>
          <w:rFonts w:ascii="Times New Roman" w:cs="Times New Roman" w:eastAsia="Times New Roman" w:hAnsi="Times New Roman"/>
          <w:sz w:val="16"/>
          <w:szCs w:val="16"/>
          <w:color w:val="auto"/>
        </w:rPr>
        <w:t xml:space="preserve"> ” means, with respect to any Collateral Loan for any Relevant Test Period, the meaning of “Total Leverage Ratio”, “Total Net Leverage Ratio” or any comparable term relating to total indebtedness defined in the Related Documents for such Loan, and in any case that “Total Leverage Ratio”, “Total Net Leverage Ratio” or such comparable term is not defined in such Related Documents, the ratio of (a) total indebtedness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Unrestricted Cash to</w:t>
      </w:r>
    </w:p>
    <w:p>
      <w:pPr>
        <w:spacing w:after="0" w:line="1" w:lineRule="exact"/>
        <w:rPr>
          <w:sz w:val="20"/>
          <w:szCs w:val="20"/>
          <w:color w:val="auto"/>
        </w:rPr>
      </w:pPr>
    </w:p>
    <w:p>
      <w:pPr>
        <w:ind w:left="1360" w:right="1480"/>
        <w:spacing w:after="0" w:line="253" w:lineRule="auto"/>
        <w:tabs>
          <w:tab w:leader="none" w:pos="158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EBITDA as calculated by the Collateral Manager in good faith using information from and calculations consistent with the relevant financial models, pro forma financial statements, compliance statements and financial reporting packages provided by the relevant Obligor as per the requirements of the Related Documents.</w:t>
      </w:r>
    </w:p>
    <w:p>
      <w:pPr>
        <w:spacing w:after="0" w:line="153" w:lineRule="exact"/>
        <w:rPr>
          <w:sz w:val="20"/>
          <w:szCs w:val="20"/>
          <w:color w:val="auto"/>
        </w:rPr>
      </w:pPr>
    </w:p>
    <w:p>
      <w:pPr>
        <w:ind w:left="1360" w:right="1400" w:firstLine="484"/>
        <w:spacing w:after="0" w:line="195" w:lineRule="exact"/>
        <w:rPr>
          <w:sz w:val="20"/>
          <w:szCs w:val="20"/>
          <w:color w:val="auto"/>
        </w:rPr>
      </w:pPr>
      <w:r>
        <w:rPr>
          <w:rFonts w:ascii="Times New Roman" w:cs="Times New Roman" w:eastAsia="Times New Roman" w:hAnsi="Times New Roman"/>
          <w:sz w:val="16"/>
          <w:szCs w:val="16"/>
          <w:i w:val="1"/>
          <w:iCs w:val="1"/>
          <w:color w:val="auto"/>
        </w:rPr>
        <w:t xml:space="preserve">“UCC” </w:t>
      </w:r>
      <w:r>
        <w:rPr>
          <w:rFonts w:ascii="Times New Roman" w:cs="Times New Roman" w:eastAsia="Times New Roman" w:hAnsi="Times New Roman"/>
          <w:sz w:val="16"/>
          <w:szCs w:val="16"/>
          <w:color w:val="auto"/>
        </w:rPr>
        <w:t>means the Uniform Commercial Code, as from time to time in effect in the State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of New York;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by reason of any mandatory provisions of law, the perfection, the effect of perfection or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perfection or priority of the security interests granted to the Collateral Agent pursuant to this Agreement are governed by the Uniform Commercial Code as in effect in a jurisdiction of the United States of America other than the State of New York, then “UCC” means the Uniform Commercial Code as in effect from time to time in such other jurisdiction for purposes of such perfection, effect of perfection or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perfection or priority.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648335</wp:posOffset>
            </wp:positionV>
            <wp:extent cx="526605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1" w:name="page162"/>
    <w:bookmarkEnd w:id="161"/>
    <w:p>
      <w:pPr>
        <w:spacing w:after="0" w:line="268" w:lineRule="exact"/>
        <w:rPr>
          <w:sz w:val="20"/>
          <w:szCs w:val="20"/>
          <w:color w:val="auto"/>
        </w:rPr>
      </w:pPr>
    </w:p>
    <w:p>
      <w:pPr>
        <w:ind w:left="1360" w:right="1360" w:firstLine="484"/>
        <w:spacing w:after="0" w:line="257" w:lineRule="auto"/>
        <w:rPr>
          <w:sz w:val="20"/>
          <w:szCs w:val="20"/>
          <w:color w:val="auto"/>
        </w:rPr>
      </w:pPr>
      <w:r>
        <w:rPr>
          <w:rFonts w:ascii="Times New Roman" w:cs="Times New Roman" w:eastAsia="Times New Roman" w:hAnsi="Times New Roman"/>
          <w:sz w:val="16"/>
          <w:szCs w:val="16"/>
          <w:i w:val="1"/>
          <w:iCs w:val="1"/>
          <w:color w:val="0000FF"/>
        </w:rPr>
        <w:t xml:space="preserve">“UK Financial Institution” </w:t>
      </w:r>
      <w:r>
        <w:rPr>
          <w:rFonts w:ascii="Times New Roman" w:cs="Times New Roman" w:eastAsia="Times New Roman" w:hAnsi="Times New Roman"/>
          <w:sz w:val="16"/>
          <w:szCs w:val="16"/>
          <w:color w:val="0000FF"/>
        </w:rPr>
        <w:t>means any BRRD Undertaking (as such term is defined under</w:t>
      </w:r>
      <w:r>
        <w:rPr>
          <w:rFonts w:ascii="Times New Roman" w:cs="Times New Roman" w:eastAsia="Times New Roman" w:hAnsi="Times New Roman"/>
          <w:sz w:val="16"/>
          <w:szCs w:val="16"/>
          <w:i w:val="1"/>
          <w:iCs w:val="1"/>
          <w:color w:val="0000FF"/>
        </w:rPr>
        <w:t xml:space="preserve"> </w:t>
      </w:r>
      <w:r>
        <w:rPr>
          <w:rFonts w:ascii="Times New Roman" w:cs="Times New Roman" w:eastAsia="Times New Roman" w:hAnsi="Times New Roman"/>
          <w:sz w:val="16"/>
          <w:szCs w:val="16"/>
          <w:color w:val="0000FF"/>
        </w:rPr>
        <w:t>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0" w:lineRule="exact"/>
        <w:rPr>
          <w:sz w:val="20"/>
          <w:szCs w:val="20"/>
          <w:color w:val="auto"/>
        </w:rPr>
      </w:pPr>
    </w:p>
    <w:p>
      <w:pPr>
        <w:ind w:left="1360" w:right="1460" w:firstLine="484"/>
        <w:spacing w:after="0" w:line="286" w:lineRule="auto"/>
        <w:rPr>
          <w:sz w:val="20"/>
          <w:szCs w:val="20"/>
          <w:color w:val="auto"/>
        </w:rPr>
      </w:pPr>
      <w:r>
        <w:rPr>
          <w:rFonts w:ascii="Times New Roman" w:cs="Times New Roman" w:eastAsia="Times New Roman" w:hAnsi="Times New Roman"/>
          <w:sz w:val="16"/>
          <w:szCs w:val="16"/>
          <w:i w:val="1"/>
          <w:iCs w:val="1"/>
          <w:color w:val="0000FF"/>
        </w:rPr>
        <w:t xml:space="preserve">“UK Resolution Authority” </w:t>
      </w:r>
      <w:r>
        <w:rPr>
          <w:rFonts w:ascii="Times New Roman" w:cs="Times New Roman" w:eastAsia="Times New Roman" w:hAnsi="Times New Roman"/>
          <w:sz w:val="16"/>
          <w:szCs w:val="16"/>
          <w:color w:val="0000FF"/>
        </w:rPr>
        <w:t>means the Bank of England or any other public</w:t>
      </w:r>
      <w:r>
        <w:rPr>
          <w:rFonts w:ascii="Times New Roman" w:cs="Times New Roman" w:eastAsia="Times New Roman" w:hAnsi="Times New Roman"/>
          <w:sz w:val="16"/>
          <w:szCs w:val="16"/>
          <w:i w:val="1"/>
          <w:iCs w:val="1"/>
          <w:color w:val="0000FF"/>
        </w:rPr>
        <w:t xml:space="preserve"> </w:t>
      </w:r>
      <w:r>
        <w:rPr>
          <w:rFonts w:ascii="Times New Roman" w:cs="Times New Roman" w:eastAsia="Times New Roman" w:hAnsi="Times New Roman"/>
          <w:sz w:val="16"/>
          <w:szCs w:val="16"/>
          <w:color w:val="0000FF"/>
        </w:rPr>
        <w:t>administrative authority having responsibility for the resolution of any UK Financial Institution.</w:t>
      </w:r>
    </w:p>
    <w:p>
      <w:pPr>
        <w:spacing w:after="0" w:line="113" w:lineRule="exact"/>
        <w:rPr>
          <w:sz w:val="20"/>
          <w:szCs w:val="20"/>
          <w:color w:val="auto"/>
        </w:rPr>
      </w:pPr>
    </w:p>
    <w:p>
      <w:pPr>
        <w:ind w:left="1840"/>
        <w:spacing w:after="0" w:line="184" w:lineRule="exact"/>
        <w:rPr>
          <w:sz w:val="20"/>
          <w:szCs w:val="20"/>
          <w:color w:val="auto"/>
        </w:rPr>
      </w:pPr>
      <w:r>
        <w:rPr>
          <w:rFonts w:ascii="Times New Roman" w:cs="Times New Roman" w:eastAsia="Times New Roman" w:hAnsi="Times New Roman"/>
          <w:sz w:val="16"/>
          <w:szCs w:val="16"/>
          <w:i w:val="1"/>
          <w:iCs w:val="1"/>
          <w:color w:val="auto"/>
        </w:rPr>
        <w:t xml:space="preserve">“Uncertificated Security” </w:t>
      </w:r>
      <w:r>
        <w:rPr>
          <w:rFonts w:ascii="Times New Roman" w:cs="Times New Roman" w:eastAsia="Times New Roman" w:hAnsi="Times New Roman"/>
          <w:sz w:val="16"/>
          <w:szCs w:val="16"/>
          <w:color w:val="auto"/>
        </w:rPr>
        <w:t>has the meaning specified in Section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102(a)(18) of the UCC.</w:t>
      </w:r>
    </w:p>
    <w:p>
      <w:pPr>
        <w:spacing w:after="0" w:line="203" w:lineRule="exact"/>
        <w:rPr>
          <w:sz w:val="20"/>
          <w:szCs w:val="20"/>
          <w:color w:val="auto"/>
        </w:rPr>
      </w:pPr>
    </w:p>
    <w:p>
      <w:pPr>
        <w:ind w:left="1360" w:right="168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Underlying Note</w:t>
      </w:r>
      <w:r>
        <w:rPr>
          <w:rFonts w:ascii="Times New Roman" w:cs="Times New Roman" w:eastAsia="Times New Roman" w:hAnsi="Times New Roman"/>
          <w:sz w:val="16"/>
          <w:szCs w:val="16"/>
          <w:color w:val="auto"/>
        </w:rPr>
        <w:t>” means, with respect to a Collateral Loan, one or more promissory notes executed by an Obligor to evidence such Collateral Loan.</w:t>
      </w:r>
    </w:p>
    <w:p>
      <w:pPr>
        <w:spacing w:after="0" w:line="126" w:lineRule="exact"/>
        <w:rPr>
          <w:sz w:val="20"/>
          <w:szCs w:val="20"/>
          <w:color w:val="auto"/>
        </w:rPr>
      </w:pPr>
    </w:p>
    <w:p>
      <w:pPr>
        <w:ind w:left="1360" w:right="1480" w:firstLine="484"/>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Unfunded Amount</w:t>
      </w:r>
      <w:r>
        <w:rPr>
          <w:rFonts w:ascii="Times New Roman" w:cs="Times New Roman" w:eastAsia="Times New Roman" w:hAnsi="Times New Roman"/>
          <w:sz w:val="16"/>
          <w:szCs w:val="16"/>
          <w:color w:val="auto"/>
        </w:rPr>
        <w:t>” means, with respect to any Collateral Loan, as of any date of determination, the Dollar Equivalent of the unfunded commitment of the Borrower with respect to such Collateral Loan as of such date.</w:t>
      </w:r>
    </w:p>
    <w:p>
      <w:pPr>
        <w:spacing w:after="0" w:line="140" w:lineRule="exact"/>
        <w:rPr>
          <w:sz w:val="20"/>
          <w:szCs w:val="20"/>
          <w:color w:val="auto"/>
        </w:rPr>
      </w:pPr>
    </w:p>
    <w:p>
      <w:pPr>
        <w:ind w:left="1360" w:right="1420" w:firstLine="484"/>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“Unrestricted Cash” </w:t>
      </w:r>
      <w:r>
        <w:rPr>
          <w:rFonts w:ascii="Times New Roman" w:cs="Times New Roman" w:eastAsia="Times New Roman" w:hAnsi="Times New Roman"/>
          <w:sz w:val="16"/>
          <w:szCs w:val="16"/>
          <w:color w:val="auto"/>
        </w:rPr>
        <w:t>means the meaning of “Unrestricted Cash” or any comparable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definition in the related loan agreement for each Collateral Loan, and in any case that “Unrestricted Cash” or such comparable definition is not defined in such loan agreements, all cash (i) available for use for general corporate purposes and (ii) not held in any reserve account or legally or contractually restricted for any particular purposes inconsistent with the payment of the indebtedness for borrowed money of the relevant Obligor or subject to any lien (other than blanket liens permitted under or granted in accordance with such loan agreement).</w:t>
      </w:r>
    </w:p>
    <w:p>
      <w:pPr>
        <w:spacing w:after="0" w:line="150" w:lineRule="exact"/>
        <w:rPr>
          <w:sz w:val="20"/>
          <w:szCs w:val="20"/>
          <w:color w:val="auto"/>
        </w:rPr>
      </w:pPr>
    </w:p>
    <w:p>
      <w:pPr>
        <w:ind w:left="1360" w:right="1480" w:firstLine="4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“Voting Shares” </w:t>
      </w:r>
      <w:r>
        <w:rPr>
          <w:rFonts w:ascii="Times New Roman" w:cs="Times New Roman" w:eastAsia="Times New Roman" w:hAnsi="Times New Roman"/>
          <w:sz w:val="16"/>
          <w:szCs w:val="16"/>
          <w:color w:val="auto"/>
        </w:rPr>
        <w:t>of any Person means capital stock or other equity interests of any class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classes (however designated) having ordinary power for the election of directors or other similar governing body of such Person, other than stock or other equity interests having such power only by reason of the happening of a contingency.</w:t>
      </w:r>
    </w:p>
    <w:p>
      <w:pPr>
        <w:spacing w:after="0" w:line="145" w:lineRule="exact"/>
        <w:rPr>
          <w:sz w:val="20"/>
          <w:szCs w:val="20"/>
          <w:color w:val="auto"/>
        </w:rPr>
      </w:pPr>
    </w:p>
    <w:p>
      <w:pPr>
        <w:ind w:left="1360" w:right="1480" w:firstLine="4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Weighted Average Advance Rate</w:t>
      </w:r>
      <w:r>
        <w:rPr>
          <w:rFonts w:ascii="Times New Roman" w:cs="Times New Roman" w:eastAsia="Times New Roman" w:hAnsi="Times New Roman"/>
          <w:sz w:val="16"/>
          <w:szCs w:val="16"/>
          <w:color w:val="auto"/>
        </w:rPr>
        <w:t>” means, as of any date of determination, the weighted average of the Advance Rates applicable to the Eligible Collateral Loans on such day, weighted according to the proportion of the Borrowing Base that each such Eligible Collateral Loan included in the Collateral represents.</w:t>
      </w:r>
    </w:p>
    <w:p>
      <w:pPr>
        <w:spacing w:after="0" w:line="145" w:lineRule="exact"/>
        <w:rPr>
          <w:sz w:val="20"/>
          <w:szCs w:val="20"/>
          <w:color w:val="auto"/>
        </w:rPr>
      </w:pPr>
    </w:p>
    <w:p>
      <w:pPr>
        <w:ind w:left="1360" w:right="172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“Weighted Average Coupon” </w:t>
      </w:r>
      <w:r>
        <w:rPr>
          <w:rFonts w:ascii="Times New Roman" w:cs="Times New Roman" w:eastAsia="Times New Roman" w:hAnsi="Times New Roman"/>
          <w:sz w:val="16"/>
          <w:szCs w:val="16"/>
          <w:color w:val="auto"/>
        </w:rPr>
        <w:t>means, as of any date, an amount equal to the number,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expressed as a percentage, obtained by dividing:</w:t>
      </w:r>
    </w:p>
    <w:p>
      <w:pPr>
        <w:spacing w:after="0" w:line="128" w:lineRule="exact"/>
        <w:rPr>
          <w:sz w:val="20"/>
          <w:szCs w:val="20"/>
          <w:color w:val="auto"/>
        </w:rPr>
      </w:pPr>
    </w:p>
    <w:p>
      <w:pPr>
        <w:ind w:left="1840" w:right="1400" w:firstLine="44"/>
        <w:spacing w:after="0" w:line="266" w:lineRule="auto"/>
        <w:tabs>
          <w:tab w:leader="none" w:pos="210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sum, for each Fixed Rate Obligation, of the stated interest coupon on such Collateral Loan </w:t>
      </w:r>
      <w:r>
        <w:rPr>
          <w:rFonts w:ascii="Times New Roman" w:cs="Times New Roman" w:eastAsia="Times New Roman" w:hAnsi="Times New Roman"/>
          <w:sz w:val="16"/>
          <w:szCs w:val="16"/>
          <w:i w:val="1"/>
          <w:iCs w:val="1"/>
          <w:color w:val="auto"/>
        </w:rPr>
        <w:t>times</w:t>
      </w:r>
      <w:r>
        <w:rPr>
          <w:rFonts w:ascii="Times New Roman" w:cs="Times New Roman" w:eastAsia="Times New Roman" w:hAnsi="Times New Roman"/>
          <w:sz w:val="16"/>
          <w:szCs w:val="16"/>
          <w:color w:val="auto"/>
        </w:rPr>
        <w:t xml:space="preserve"> the portion of the Aggregate Collateral Balance attributable to such Collateral Loan; by</w:t>
      </w:r>
    </w:p>
    <w:p>
      <w:pPr>
        <w:spacing w:after="0" w:line="144" w:lineRule="exact"/>
        <w:rPr>
          <w:rFonts w:ascii="Times New Roman" w:cs="Times New Roman" w:eastAsia="Times New Roman" w:hAnsi="Times New Roman"/>
          <w:sz w:val="16"/>
          <w:szCs w:val="16"/>
          <w:color w:val="auto"/>
        </w:rPr>
      </w:pPr>
    </w:p>
    <w:p>
      <w:pPr>
        <w:ind w:left="2120" w:hanging="236"/>
        <w:spacing w:after="0"/>
        <w:tabs>
          <w:tab w:leader="none" w:pos="21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Collateral Balance of all Fixed Rate Obligations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664845</wp:posOffset>
            </wp:positionV>
            <wp:extent cx="526605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2" w:name="page163"/>
    <w:bookmarkEnd w:id="162"/>
    <w:p>
      <w:pPr>
        <w:spacing w:after="0" w:line="268" w:lineRule="exact"/>
        <w:rPr>
          <w:sz w:val="20"/>
          <w:szCs w:val="20"/>
          <w:color w:val="auto"/>
        </w:rPr>
      </w:pPr>
    </w:p>
    <w:p>
      <w:pPr>
        <w:ind w:left="1360" w:right="168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“Weighted Average Floating Spread” </w:t>
      </w:r>
      <w:r>
        <w:rPr>
          <w:rFonts w:ascii="Times New Roman" w:cs="Times New Roman" w:eastAsia="Times New Roman" w:hAnsi="Times New Roman"/>
          <w:sz w:val="16"/>
          <w:szCs w:val="16"/>
          <w:color w:val="auto"/>
        </w:rPr>
        <w:t>means, as of any date, the number obtained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dividing:</w:t>
      </w:r>
    </w:p>
    <w:p>
      <w:pPr>
        <w:spacing w:after="0" w:line="128" w:lineRule="exact"/>
        <w:rPr>
          <w:sz w:val="20"/>
          <w:szCs w:val="20"/>
          <w:color w:val="auto"/>
        </w:rPr>
      </w:pPr>
    </w:p>
    <w:p>
      <w:pPr>
        <w:ind w:left="1840" w:right="1580" w:firstLine="44"/>
        <w:spacing w:after="0" w:line="283" w:lineRule="auto"/>
        <w:tabs>
          <w:tab w:leader="none" w:pos="210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 equal to (A) the Aggregate Funded Spread (with respect to all Floating Rate Obligations),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(B) the Aggregate Unfunded Spread, by</w:t>
      </w:r>
    </w:p>
    <w:p>
      <w:pPr>
        <w:spacing w:after="0" w:line="131" w:lineRule="exact"/>
        <w:rPr>
          <w:rFonts w:ascii="Times New Roman" w:cs="Times New Roman" w:eastAsia="Times New Roman" w:hAnsi="Times New Roman"/>
          <w:sz w:val="16"/>
          <w:szCs w:val="16"/>
          <w:color w:val="auto"/>
        </w:rPr>
      </w:pPr>
    </w:p>
    <w:p>
      <w:pPr>
        <w:ind w:left="2120" w:hanging="236"/>
        <w:spacing w:after="0"/>
        <w:tabs>
          <w:tab w:leader="none" w:pos="21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Collateral Balance of all Floating Rate Obligations as of such date.</w:t>
      </w:r>
    </w:p>
    <w:p>
      <w:pPr>
        <w:spacing w:after="0" w:line="187" w:lineRule="exact"/>
        <w:rPr>
          <w:sz w:val="20"/>
          <w:szCs w:val="20"/>
          <w:color w:val="auto"/>
        </w:rPr>
      </w:pPr>
    </w:p>
    <w:p>
      <w:pPr>
        <w:ind w:left="1360" w:right="168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“Weighted Average Life” </w:t>
      </w:r>
      <w:r>
        <w:rPr>
          <w:rFonts w:ascii="Times New Roman" w:cs="Times New Roman" w:eastAsia="Times New Roman" w:hAnsi="Times New Roman"/>
          <w:sz w:val="16"/>
          <w:szCs w:val="16"/>
          <w:color w:val="auto"/>
        </w:rPr>
        <w:t>means, as of any date of determination with respect to 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Eligible Collateral Loans, the number of years following such date obtained by summing the products obtained by multiplying:</w:t>
      </w:r>
    </w:p>
    <w:p>
      <w:pPr>
        <w:sectPr>
          <w:pgSz w:w="11900" w:h="16840" w:orient="portrait"/>
          <w:cols w:equalWidth="0" w:num="1">
            <w:col w:w="9020"/>
          </w:cols>
          <w:pgMar w:left="1440" w:top="1440" w:right="1440" w:bottom="1440" w:gutter="0" w:footer="0" w:header="0"/>
        </w:sectPr>
      </w:pPr>
    </w:p>
    <w:p>
      <w:pPr>
        <w:spacing w:after="0" w:line="163" w:lineRule="exact"/>
        <w:rPr>
          <w:sz w:val="20"/>
          <w:szCs w:val="20"/>
          <w:color w:val="auto"/>
        </w:rPr>
      </w:pPr>
    </w:p>
    <w:p>
      <w:pPr>
        <w:ind w:left="1780"/>
        <w:spacing w:after="0" w:line="286" w:lineRule="auto"/>
        <w:rPr>
          <w:sz w:val="20"/>
          <w:szCs w:val="20"/>
          <w:color w:val="auto"/>
        </w:rPr>
      </w:pPr>
      <w:r>
        <w:rPr>
          <w:rFonts w:ascii="Times New Roman" w:cs="Times New Roman" w:eastAsia="Times New Roman" w:hAnsi="Times New Roman"/>
          <w:sz w:val="15"/>
          <w:szCs w:val="15"/>
          <w:color w:val="auto"/>
        </w:rPr>
        <w:t>The Average Life at such time of each such Collateral Loan</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1920"/>
        <w:spacing w:after="0"/>
        <w:rPr>
          <w:sz w:val="20"/>
          <w:szCs w:val="20"/>
          <w:color w:val="auto"/>
        </w:rPr>
      </w:pPr>
      <w:r>
        <w:rPr>
          <w:rFonts w:ascii="Times New Roman" w:cs="Times New Roman" w:eastAsia="Times New Roman" w:hAnsi="Times New Roman"/>
          <w:sz w:val="15"/>
          <w:szCs w:val="15"/>
          <w:color w:val="auto"/>
        </w:rPr>
        <w:t>The portion of the Aggregate Collateral</w:t>
      </w:r>
    </w:p>
    <w:p>
      <w:pPr>
        <w:spacing w:after="0" w:line="24" w:lineRule="exact"/>
        <w:rPr>
          <w:sz w:val="20"/>
          <w:szCs w:val="20"/>
          <w:color w:val="auto"/>
        </w:rPr>
      </w:pPr>
    </w:p>
    <w:p>
      <w:pPr>
        <w:ind w:left="300" w:right="2000" w:hanging="298"/>
        <w:spacing w:after="0" w:line="265" w:lineRule="auto"/>
        <w:tabs>
          <w:tab w:leader="none" w:pos="30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Balance attributable to such Collateral Loan</w:t>
      </w:r>
    </w:p>
    <w:p>
      <w:pPr>
        <w:spacing w:after="0" w:line="148" w:lineRule="exact"/>
        <w:rPr>
          <w:sz w:val="20"/>
          <w:szCs w:val="20"/>
          <w:color w:val="auto"/>
        </w:rPr>
      </w:pPr>
    </w:p>
    <w:p>
      <w:pPr>
        <w:sectPr>
          <w:pgSz w:w="11900" w:h="16840" w:orient="portrait"/>
          <w:cols w:equalWidth="0" w:num="2">
            <w:col w:w="4100" w:space="300"/>
            <w:col w:w="4620"/>
          </w:cols>
          <w:pgMar w:left="1440" w:top="1440" w:right="1440"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6"/>
          <w:szCs w:val="16"/>
          <w:color w:val="auto"/>
        </w:rPr>
        <w:t>and dividing such sum by:</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The Aggregate Collateral Balance at such time of all Eligible Collateral Loans.</w:t>
      </w:r>
    </w:p>
    <w:p>
      <w:pPr>
        <w:spacing w:after="0" w:line="189" w:lineRule="exact"/>
        <w:rPr>
          <w:sz w:val="20"/>
          <w:szCs w:val="20"/>
          <w:color w:val="auto"/>
        </w:rPr>
      </w:pPr>
    </w:p>
    <w:p>
      <w:pPr>
        <w:ind w:left="1360" w:right="1460" w:firstLine="484"/>
        <w:spacing w:after="0" w:line="255" w:lineRule="auto"/>
        <w:rPr>
          <w:sz w:val="20"/>
          <w:szCs w:val="20"/>
          <w:color w:val="auto"/>
        </w:rPr>
      </w:pPr>
      <w:r>
        <w:rPr>
          <w:rFonts w:ascii="Times New Roman" w:cs="Times New Roman" w:eastAsia="Times New Roman" w:hAnsi="Times New Roman"/>
          <w:sz w:val="16"/>
          <w:szCs w:val="16"/>
          <w:color w:val="auto"/>
        </w:rPr>
        <w:t>For the purposes of the foregoing, the “Average Life” is, on any date of determination with respect to any Eligible Collateral Loan, the quotient obtained by dividing (i) the sum of the products of (a) the number of years (rounded to the nearest one hundredth thereof) from such date of determination to the respective dates of each successive Scheduled Distribution of principal of such Collateral Loan and (b) the respective amounts of principal of such Scheduled Distributions by (ii) the sum of all successive Scheduled Distributions of principal on such Collateral Loan.</w:t>
      </w:r>
    </w:p>
    <w:p>
      <w:pPr>
        <w:spacing w:after="0" w:line="153" w:lineRule="exact"/>
        <w:rPr>
          <w:sz w:val="20"/>
          <w:szCs w:val="20"/>
          <w:color w:val="auto"/>
        </w:rPr>
      </w:pPr>
    </w:p>
    <w:p>
      <w:pPr>
        <w:ind w:left="1360" w:right="1440" w:firstLine="484"/>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“Withdrawal Liability” </w:t>
      </w:r>
      <w:r>
        <w:rPr>
          <w:rFonts w:ascii="Times New Roman" w:cs="Times New Roman" w:eastAsia="Times New Roman" w:hAnsi="Times New Roman"/>
          <w:sz w:val="16"/>
          <w:szCs w:val="16"/>
          <w:color w:val="auto"/>
        </w:rPr>
        <w:t>means liability to a Multiemployer Plan as a result of a complete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partial withdrawal from such Multiemployer Plan, as such terms are defined in Part I of Subtitle E of Title IV of ERISA.</w:t>
      </w:r>
    </w:p>
    <w:p>
      <w:pPr>
        <w:spacing w:after="0" w:line="140" w:lineRule="exact"/>
        <w:rPr>
          <w:sz w:val="20"/>
          <w:szCs w:val="20"/>
          <w:color w:val="auto"/>
        </w:rPr>
      </w:pPr>
    </w:p>
    <w:p>
      <w:pPr>
        <w:ind w:left="1360" w:right="1360" w:firstLine="48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Write -Down and Conversion Powers</w:t>
      </w:r>
      <w:r>
        <w:rPr>
          <w:rFonts w:ascii="Times New Roman" w:cs="Times New Roman" w:eastAsia="Times New Roman" w:hAnsi="Times New Roman"/>
          <w:sz w:val="16"/>
          <w:szCs w:val="16"/>
          <w:color w:val="auto"/>
        </w:rPr>
        <w:t xml:space="preserve">” means, </w:t>
      </w:r>
      <w:r>
        <w:rPr>
          <w:rFonts w:ascii="Times New Roman" w:cs="Times New Roman" w:eastAsia="Times New Roman" w:hAnsi="Times New Roman"/>
          <w:sz w:val="16"/>
          <w:szCs w:val="16"/>
          <w:color w:val="0000FF"/>
        </w:rPr>
        <w:t>(a)</w:t>
      </w:r>
      <w:r>
        <w:rPr>
          <w:rFonts w:ascii="Times New Roman" w:cs="Times New Roman" w:eastAsia="Times New Roman" w:hAnsi="Times New Roman"/>
          <w:sz w:val="16"/>
          <w:szCs w:val="16"/>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Times New Roman" w:cs="Times New Roman" w:eastAsia="Times New Roman" w:hAnsi="Times New Roman"/>
          <w:sz w:val="16"/>
          <w:szCs w:val="16"/>
          <w:color w:val="0000FF"/>
        </w:rPr>
        <w:t>, and (b) with respect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r>
        <w:rPr>
          <w:rFonts w:ascii="Times New Roman" w:cs="Times New Roman" w:eastAsia="Times New Roman" w:hAnsi="Times New Roman"/>
          <w:sz w:val="16"/>
          <w:szCs w:val="16"/>
          <w:color w:val="000000"/>
        </w:rPr>
        <w:t>.</w:t>
      </w:r>
    </w:p>
    <w:p>
      <w:pPr>
        <w:spacing w:after="0" w:line="157" w:lineRule="exact"/>
        <w:rPr>
          <w:sz w:val="20"/>
          <w:szCs w:val="20"/>
          <w:color w:val="auto"/>
        </w:rPr>
      </w:pPr>
    </w:p>
    <w:p>
      <w:pPr>
        <w:ind w:left="1360" w:right="1600" w:firstLine="484"/>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“Zero Coupon Obligation” </w:t>
      </w:r>
      <w:r>
        <w:rPr>
          <w:rFonts w:ascii="Times New Roman" w:cs="Times New Roman" w:eastAsia="Times New Roman" w:hAnsi="Times New Roman"/>
          <w:sz w:val="16"/>
          <w:szCs w:val="16"/>
          <w:color w:val="auto"/>
        </w:rPr>
        <w:t>means a Collateral Loan that does not provide for periodic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payments of interest in Cash or that pays interest only at its stated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type w:val="continuous"/>
        </w:sectPr>
      </w:pPr>
    </w:p>
    <w:bookmarkStart w:id="163" w:name="page164"/>
    <w:bookmarkEnd w:id="163"/>
    <w:p>
      <w:pPr>
        <w:spacing w:after="0" w:line="268" w:lineRule="exact"/>
        <w:rPr>
          <w:sz w:val="20"/>
          <w:szCs w:val="20"/>
          <w:color w:val="auto"/>
        </w:rPr>
      </w:pPr>
    </w:p>
    <w:p>
      <w:pPr>
        <w:ind w:left="1360" w:right="1360" w:firstLine="40"/>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Section 1.02. Rules of Construction. </w:t>
      </w:r>
      <w:r>
        <w:rPr>
          <w:rFonts w:ascii="Times New Roman" w:cs="Times New Roman" w:eastAsia="Times New Roman" w:hAnsi="Times New Roman"/>
          <w:sz w:val="16"/>
          <w:szCs w:val="16"/>
          <w:color w:val="auto"/>
        </w:rPr>
        <w:t>For all purposes of this Agreement, except as otherwise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expressly provided or unless the context otherwise requires (i) singular words shall connote the plural as well as the singular, and vice versa (except as indicated), as may be appropriate, (ii) the words “herein,” “hereof” and “hereunder” and other words of similar import used in this Agreement refer to this Agreement as a whole and not to any particular article, schedule, section, paragraph, clause, exhibit or other subdivision, (iii) the headings, subheadings and table of contents set forth in this Agreement are solely for convenience of reference and shall not constitute a part of this Agreement nor shall they affect the meaning, construction or effect of any provision hereof, (iv) references in this Agreement to “include” or “including” shall mean include or including, as applicable,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 (v) each of the parties to this Agreement and its counsel have reviewed and revised, or requested revisions to, this Agreement, and the rule of construction that any ambiguities are to be resolved against the drafting party shall be inapplicable in the construction and interpretation of this Agreement, (vi) any definition of or reference to any Facility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(vii) any reference herein to any Person shall be construed to include such Person’s successors and assigns (subject to any restrictions set forth herein or in any other applicable agreement), (viii) any reference to any law or regulation herein shall refer to such law or regulation as amended, modified or supplemented from time to time,</w:t>
      </w:r>
    </w:p>
    <w:p>
      <w:pPr>
        <w:spacing w:after="0" w:line="3" w:lineRule="exact"/>
        <w:rPr>
          <w:sz w:val="20"/>
          <w:szCs w:val="20"/>
          <w:color w:val="auto"/>
        </w:rPr>
      </w:pPr>
    </w:p>
    <w:p>
      <w:pPr>
        <w:ind w:left="1360" w:right="1500"/>
        <w:spacing w:after="0" w:line="252" w:lineRule="auto"/>
        <w:tabs>
          <w:tab w:leader="none" w:pos="1633"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specified herein, any use of “material” or “materially” or words of similar meaning in this Agreement shall mean material, as determined by the Lenders, the Administrative Agent, the Collateral Agent, the Collateral Manager, and the Secured Parties, in each respective Person’s reasonable discretion, and (x) unless otherwise indicated herein, all references to time of day refer to Eastern standard time or Eastern daylight saving time, as in effect in Charlotte, North Carolina on such day.</w:t>
      </w:r>
    </w:p>
    <w:p>
      <w:pPr>
        <w:spacing w:after="0" w:line="153" w:lineRule="exact"/>
        <w:rPr>
          <w:sz w:val="20"/>
          <w:szCs w:val="20"/>
          <w:color w:val="auto"/>
        </w:rPr>
      </w:pPr>
    </w:p>
    <w:p>
      <w:pPr>
        <w:jc w:val="both"/>
        <w:ind w:left="1360" w:right="1540" w:firstLine="40"/>
        <w:spacing w:after="0" w:line="258" w:lineRule="auto"/>
        <w:rPr>
          <w:sz w:val="20"/>
          <w:szCs w:val="20"/>
          <w:color w:val="auto"/>
        </w:rPr>
      </w:pPr>
      <w:r>
        <w:rPr>
          <w:rFonts w:ascii="Times New Roman" w:cs="Times New Roman" w:eastAsia="Times New Roman" w:hAnsi="Times New Roman"/>
          <w:sz w:val="16"/>
          <w:szCs w:val="16"/>
          <w:i w:val="1"/>
          <w:iCs w:val="1"/>
          <w:color w:val="auto"/>
        </w:rPr>
        <w:t>Section 1.03. Computation of Time Periods</w:t>
      </w:r>
      <w:r>
        <w:rPr>
          <w:rFonts w:ascii="Times New Roman" w:cs="Times New Roman" w:eastAsia="Times New Roman" w:hAnsi="Times New Roman"/>
          <w:sz w:val="16"/>
          <w:szCs w:val="16"/>
          <w:color w:val="auto"/>
        </w:rPr>
        <w:t>. Unless otherwise stated in this Agreement,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computation of a period of time from a specified date to a later specified date, the word “from” means “from and including” and the words “to” and “until” both mean “to but excluding”.</w:t>
      </w:r>
    </w:p>
    <w:p>
      <w:pPr>
        <w:spacing w:after="0" w:line="2" w:lineRule="exact"/>
        <w:rPr>
          <w:sz w:val="20"/>
          <w:szCs w:val="20"/>
          <w:color w:val="auto"/>
        </w:rPr>
      </w:pPr>
    </w:p>
    <w:p>
      <w:pPr>
        <w:jc w:val="both"/>
        <w:ind w:left="1360" w:right="1520"/>
        <w:spacing w:after="0" w:line="260" w:lineRule="auto"/>
        <w:rPr>
          <w:sz w:val="20"/>
          <w:szCs w:val="20"/>
          <w:color w:val="auto"/>
        </w:rPr>
      </w:pPr>
      <w:r>
        <w:rPr>
          <w:rFonts w:ascii="Times New Roman" w:cs="Times New Roman" w:eastAsia="Times New Roman" w:hAnsi="Times New Roman"/>
          <w:sz w:val="16"/>
          <w:szCs w:val="16"/>
          <w:color w:val="auto"/>
        </w:rPr>
        <w:t>Periods of days referred to in this Agreement shall be counted in calendar days unless Business Days are expressly prescribed.</w:t>
      </w:r>
    </w:p>
    <w:p>
      <w:pPr>
        <w:spacing w:after="0" w:line="146" w:lineRule="exact"/>
        <w:rPr>
          <w:sz w:val="20"/>
          <w:szCs w:val="20"/>
          <w:color w:val="auto"/>
        </w:rPr>
      </w:pPr>
    </w:p>
    <w:p>
      <w:pPr>
        <w:ind w:left="1360" w:right="1480" w:firstLine="40"/>
        <w:spacing w:after="0" w:line="254" w:lineRule="auto"/>
        <w:rPr>
          <w:sz w:val="20"/>
          <w:szCs w:val="20"/>
          <w:color w:val="auto"/>
        </w:rPr>
      </w:pPr>
      <w:r>
        <w:rPr>
          <w:rFonts w:ascii="Times New Roman" w:cs="Times New Roman" w:eastAsia="Times New Roman" w:hAnsi="Times New Roman"/>
          <w:sz w:val="16"/>
          <w:szCs w:val="16"/>
          <w:i w:val="1"/>
          <w:iCs w:val="1"/>
          <w:color w:val="auto"/>
        </w:rPr>
        <w:t>Section 1.04</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Collateral Value Calculation Procedures</w:t>
      </w:r>
      <w:r>
        <w:rPr>
          <w:rFonts w:ascii="Times New Roman" w:cs="Times New Roman" w:eastAsia="Times New Roman" w:hAnsi="Times New Roman"/>
          <w:sz w:val="16"/>
          <w:szCs w:val="16"/>
          <w:color w:val="auto"/>
        </w:rPr>
        <w:t>. In connection with all calculations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required to be made pursuant to this Agreement with respect to Scheduled Distributions on any Collateral Loans, or any payments on any other assets included in the Collateral, with respect to the sale of and reinvestment in Collateral Loans, and with respect to the income that can be earned on Scheduled Distributions on such Collateral Loans and on any other amounts that may be received for deposit in the Collection Account, the provisions set forth in this Section 1.04 shall be applied. The provisions of this Section 1.04 shall be applicable to any determination or calculation that is covered by this Section 1.04, whether or not reference is specifically made to Section 1.04, unless some other method of calculation or determination is expressly specified in the particular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642620</wp:posOffset>
            </wp:positionV>
            <wp:extent cx="526605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4" w:name="page165"/>
    <w:bookmarkEnd w:id="164"/>
    <w:p>
      <w:pPr>
        <w:spacing w:after="0" w:line="270" w:lineRule="exact"/>
        <w:rPr>
          <w:sz w:val="20"/>
          <w:szCs w:val="20"/>
          <w:color w:val="auto"/>
        </w:rPr>
      </w:pPr>
    </w:p>
    <w:p>
      <w:pPr>
        <w:ind w:left="1840" w:right="1420" w:firstLine="44"/>
        <w:spacing w:after="0" w:line="256" w:lineRule="auto"/>
        <w:tabs>
          <w:tab w:leader="none" w:pos="21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calculations with respect to Scheduled Distributions on the Collateral Loans shall be made on the basis of information as to the terms of each such Collateral Loan and upon reports of payments, if any, received on such Collateral Loans that are furnished by or on behalf of the Obligor of such Collateral Loans and, to the extent they are not manifestly in error, such information or reports may be conclusively relied upon in making such calculations.</w:t>
      </w:r>
    </w:p>
    <w:p>
      <w:pPr>
        <w:spacing w:after="0" w:line="154" w:lineRule="exact"/>
        <w:rPr>
          <w:rFonts w:ascii="Times New Roman" w:cs="Times New Roman" w:eastAsia="Times New Roman" w:hAnsi="Times New Roman"/>
          <w:sz w:val="16"/>
          <w:szCs w:val="16"/>
          <w:color w:val="auto"/>
        </w:rPr>
      </w:pPr>
    </w:p>
    <w:p>
      <w:pPr>
        <w:ind w:left="1840" w:right="1480" w:firstLine="44"/>
        <w:spacing w:after="0" w:line="258" w:lineRule="auto"/>
        <w:tabs>
          <w:tab w:leader="none" w:pos="210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calculating the Coverage Tests, except as otherwise specified in the Coverage Tests, such calculations will not include (i) scheduled interest and principal payments on Defaulted Collateral Loans and Ineligible Collateral Loans unless or until such payments are actually made and (ii) ticking fees in respect of Collateral Loans, and other similar fees, unless or until such fees are actually paid.</w:t>
      </w:r>
    </w:p>
    <w:p>
      <w:pPr>
        <w:spacing w:after="0" w:line="151" w:lineRule="exact"/>
        <w:rPr>
          <w:rFonts w:ascii="Times New Roman" w:cs="Times New Roman" w:eastAsia="Times New Roman" w:hAnsi="Times New Roman"/>
          <w:sz w:val="16"/>
          <w:szCs w:val="16"/>
          <w:color w:val="auto"/>
        </w:rPr>
      </w:pPr>
    </w:p>
    <w:p>
      <w:pPr>
        <w:ind w:left="1840" w:right="1400" w:firstLine="44"/>
        <w:spacing w:after="0" w:line="256" w:lineRule="auto"/>
        <w:tabs>
          <w:tab w:leader="none" w:pos="21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Collection Period and as of any date of determination, the Scheduled Distribution on any Collateral Loans (other than Defaulted Collateral Loans and Ineligible Collateral Loans, which, except as otherwise provided herein, shall be assumed to have Scheduled Distributions of zero) shall be the total amount of payments and collections to be received during such Collection Period in respect of such Collateral Loans.</w:t>
      </w:r>
    </w:p>
    <w:p>
      <w:pPr>
        <w:spacing w:after="0" w:line="154" w:lineRule="exact"/>
        <w:rPr>
          <w:rFonts w:ascii="Times New Roman" w:cs="Times New Roman" w:eastAsia="Times New Roman" w:hAnsi="Times New Roman"/>
          <w:sz w:val="16"/>
          <w:szCs w:val="16"/>
          <w:color w:val="auto"/>
        </w:rPr>
      </w:pPr>
    </w:p>
    <w:p>
      <w:pPr>
        <w:ind w:left="1840" w:right="1660" w:firstLine="44"/>
        <w:spacing w:after="0" w:line="283" w:lineRule="auto"/>
        <w:tabs>
          <w:tab w:leader="none" w:pos="210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Scheduled Distribution receivable with respect to a Collateral Loan shall be assumed to be received on the applicable Due Date.</w:t>
      </w:r>
    </w:p>
    <w:p>
      <w:pPr>
        <w:spacing w:after="0" w:line="131" w:lineRule="exact"/>
        <w:rPr>
          <w:rFonts w:ascii="Times New Roman" w:cs="Times New Roman" w:eastAsia="Times New Roman" w:hAnsi="Times New Roman"/>
          <w:sz w:val="16"/>
          <w:szCs w:val="16"/>
          <w:color w:val="auto"/>
        </w:rPr>
      </w:pPr>
    </w:p>
    <w:p>
      <w:pPr>
        <w:jc w:val="both"/>
        <w:ind w:left="1840" w:right="1440" w:firstLine="44"/>
        <w:spacing w:after="0" w:line="261" w:lineRule="auto"/>
        <w:tabs>
          <w:tab w:leader="none" w:pos="21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in the Priority of Payments to calculations made on a “pro forma basis” shall mean such calculations after giving effect to all payments, in accordance with the Priority of Payments, that precede (in priority of payment) or include the clause in which such calculation is made.</w:t>
      </w:r>
    </w:p>
    <w:p>
      <w:pPr>
        <w:spacing w:after="0" w:line="148" w:lineRule="exact"/>
        <w:rPr>
          <w:rFonts w:ascii="Times New Roman" w:cs="Times New Roman" w:eastAsia="Times New Roman" w:hAnsi="Times New Roman"/>
          <w:sz w:val="16"/>
          <w:szCs w:val="16"/>
          <w:color w:val="auto"/>
        </w:rPr>
      </w:pPr>
    </w:p>
    <w:p>
      <w:pPr>
        <w:ind w:left="1840" w:right="1400" w:firstLine="44"/>
        <w:spacing w:after="0" w:line="261" w:lineRule="auto"/>
        <w:tabs>
          <w:tab w:leader="none" w:pos="2082"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calculating all Concentration Limitations, in both the numerator and the denominator of any component of the Concentration Limitations, Ineligible Collateral Loans (including any unfunded commitments with respect to such Collateral Loans) will be treated as having a value equal to zero.</w:t>
      </w:r>
    </w:p>
    <w:p>
      <w:pPr>
        <w:spacing w:after="0" w:line="148" w:lineRule="exact"/>
        <w:rPr>
          <w:rFonts w:ascii="Times New Roman" w:cs="Times New Roman" w:eastAsia="Times New Roman" w:hAnsi="Times New Roman"/>
          <w:sz w:val="16"/>
          <w:szCs w:val="16"/>
          <w:color w:val="auto"/>
        </w:rPr>
      </w:pPr>
    </w:p>
    <w:p>
      <w:pPr>
        <w:ind w:left="1840" w:right="1380" w:firstLine="44"/>
        <w:spacing w:after="0" w:line="256" w:lineRule="auto"/>
        <w:tabs>
          <w:tab w:leader="none" w:pos="210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Determinations of the Collateral Loans, or portions thereof, that constitute Excess Concentration Amounts will be determined in the way that produces the highest Borrowing Base at the time of determination, it being understood that a Collateral Loan (or portion thereof) that falls into more than one such category of Collateral Loans will be deemed, solely for purposes of such determinations, to fall only into the category that produces the highest such Borrowing Base at such time (without duplication).</w:t>
      </w:r>
    </w:p>
    <w:p>
      <w:pPr>
        <w:spacing w:after="0" w:line="154" w:lineRule="exact"/>
        <w:rPr>
          <w:rFonts w:ascii="Times New Roman" w:cs="Times New Roman" w:eastAsia="Times New Roman" w:hAnsi="Times New Roman"/>
          <w:sz w:val="16"/>
          <w:szCs w:val="16"/>
          <w:color w:val="auto"/>
        </w:rPr>
      </w:pPr>
    </w:p>
    <w:p>
      <w:pPr>
        <w:ind w:left="1840" w:right="1580" w:firstLine="44"/>
        <w:spacing w:after="0" w:line="261" w:lineRule="auto"/>
        <w:tabs>
          <w:tab w:leader="none" w:pos="210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herein, the Defaulted Collateral Loan Balance for Defaulted Collateral Loans will be included in the calculation of the Collateral Quality Tests and Ineligible Collateral Loans will not be included in the calculation of the Collateral Quality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638810</wp:posOffset>
            </wp:positionV>
            <wp:extent cx="526605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5" w:name="page166"/>
    <w:bookmarkEnd w:id="165"/>
    <w:p>
      <w:pPr>
        <w:spacing w:after="0" w:line="270" w:lineRule="exact"/>
        <w:rPr>
          <w:sz w:val="20"/>
          <w:szCs w:val="20"/>
          <w:color w:val="auto"/>
        </w:rPr>
      </w:pPr>
    </w:p>
    <w:p>
      <w:pPr>
        <w:ind w:left="1840" w:right="1360" w:firstLine="44"/>
        <w:spacing w:after="0" w:line="256" w:lineRule="auto"/>
        <w:tabs>
          <w:tab w:leader="none" w:pos="2073"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determining the Weighted Average Floating Spread and the Weighted Average Coupon (and related computations of stated interest coupons and Aggregate Funded Spread), capitalized or deferred interest (and any other interest that is not required to be paid in cash) will be excluded, regardless of whether, in the case of the calculation of the Weighted Average Floating Spread, such interest is currently being capitalized or deferred.</w:t>
      </w:r>
    </w:p>
    <w:p>
      <w:pPr>
        <w:spacing w:after="0" w:line="154" w:lineRule="exact"/>
        <w:rPr>
          <w:rFonts w:ascii="Times New Roman" w:cs="Times New Roman" w:eastAsia="Times New Roman" w:hAnsi="Times New Roman"/>
          <w:sz w:val="16"/>
          <w:szCs w:val="16"/>
          <w:color w:val="auto"/>
        </w:rPr>
      </w:pPr>
    </w:p>
    <w:p>
      <w:pPr>
        <w:ind w:left="1840" w:right="1380" w:firstLine="44"/>
        <w:spacing w:after="0" w:line="253" w:lineRule="auto"/>
        <w:tabs>
          <w:tab w:leader="none" w:pos="2073"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in this Agreement to the Borrower’s “purchase” or “acquisition” of a Collateral Loan include references to the Borrower’s acquisition of such Collateral Loan by way of a sale and/or contribution from the BDC and the Borrower’s making or origination of such Collateral Loan. Portions of the same Collateral Loan acquired by the Borrower on different dates (whether through purchase, receipt by contribution or the making or origination thereof, but excluding subsequent draws under Revolving Collateral Loans or Delayed Drawdown Collateral Loans) will, for purposes of determining the purchase price of such Collateral Loan, be treated as separate purchases on separate dates (and not a weighted average purchase price for any particular Collateral Loan).</w:t>
      </w:r>
    </w:p>
    <w:p>
      <w:pPr>
        <w:spacing w:after="0" w:line="352" w:lineRule="exact"/>
        <w:rPr>
          <w:rFonts w:ascii="Times New Roman" w:cs="Times New Roman" w:eastAsia="Times New Roman" w:hAnsi="Times New Roman"/>
          <w:sz w:val="16"/>
          <w:szCs w:val="16"/>
          <w:color w:val="auto"/>
        </w:rPr>
      </w:pPr>
    </w:p>
    <w:p>
      <w:pPr>
        <w:ind w:left="1840" w:right="2100" w:firstLine="44"/>
        <w:spacing w:after="0" w:line="283" w:lineRule="auto"/>
        <w:tabs>
          <w:tab w:leader="none" w:pos="210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purposes of calculating compliance with each of the Concentration Limitations all calculations will be rounded to the nearest 0.01%.</w:t>
      </w:r>
    </w:p>
    <w:p>
      <w:pPr>
        <w:spacing w:after="0" w:line="131" w:lineRule="exact"/>
        <w:rPr>
          <w:rFonts w:ascii="Times New Roman" w:cs="Times New Roman" w:eastAsia="Times New Roman" w:hAnsi="Times New Roman"/>
          <w:sz w:val="16"/>
          <w:szCs w:val="16"/>
          <w:color w:val="auto"/>
        </w:rPr>
      </w:pPr>
    </w:p>
    <w:p>
      <w:pPr>
        <w:ind w:left="1840" w:right="1420" w:firstLine="44"/>
        <w:spacing w:after="0" w:line="256" w:lineRule="auto"/>
        <w:tabs>
          <w:tab w:leader="none" w:pos="2073"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indicated herein, all monetary calculations under this Agreement shall be in Dollars (and any amounts denominated in an Agreed Foreign Currency shall be converted to the Dollar Equivalent of such Agreed Foreign Currency for such calculations, as applicable). For purposes of this Agreement, calculations with respect to all amounts received or required to be paid in a currency other than Dollars or an Agreed Foreign Currency shall be valued at zero.</w:t>
      </w:r>
    </w:p>
    <w:p>
      <w:pPr>
        <w:spacing w:after="0" w:line="154" w:lineRule="exact"/>
        <w:rPr>
          <w:rFonts w:ascii="Times New Roman" w:cs="Times New Roman" w:eastAsia="Times New Roman" w:hAnsi="Times New Roman"/>
          <w:sz w:val="16"/>
          <w:szCs w:val="16"/>
          <w:color w:val="auto"/>
        </w:rPr>
      </w:pPr>
    </w:p>
    <w:p>
      <w:pPr>
        <w:ind w:left="1840" w:right="1380" w:firstLine="44"/>
        <w:spacing w:after="0" w:line="258" w:lineRule="auto"/>
        <w:tabs>
          <w:tab w:leader="none" w:pos="2154"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calculating all Concentration Limitations, (i) at all times during the Reinvestment Period, unfunded commitments shall be included in both the numerator and the denominator of any component of the Concentration Limitations, and (ii) at all other times, unfunded commitments shall not be included in either the numerator or the denominator of any component of the Concentration Limitations.</w:t>
      </w:r>
    </w:p>
    <w:p>
      <w:pPr>
        <w:spacing w:after="0" w:line="149" w:lineRule="exact"/>
        <w:rPr>
          <w:sz w:val="20"/>
          <w:szCs w:val="20"/>
          <w:color w:val="auto"/>
        </w:rPr>
      </w:pPr>
    </w:p>
    <w:p>
      <w:pPr>
        <w:jc w:val="both"/>
        <w:ind w:left="1360" w:right="1640" w:firstLine="40"/>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Section 1.05. Classification of Advances and Borrowings. </w:t>
      </w:r>
      <w:r>
        <w:rPr>
          <w:rFonts w:ascii="Times New Roman" w:cs="Times New Roman" w:eastAsia="Times New Roman" w:hAnsi="Times New Roman"/>
          <w:sz w:val="16"/>
          <w:szCs w:val="16"/>
          <w:color w:val="auto"/>
        </w:rPr>
        <w:t>For purposes of this Agreement,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Advances may be classified and referred to by Class (e.g., a “Syndicated Dollar Advance” or “Syndicated Multicurrency Advance”). Borrowings also may be classified and referred to by Class (e.g., a “Dollar Borrowing”, “Multicurrency Borrowing” or “Syndicated Borrowing”). Advances and Borrowings may also be identified by Currency.</w:t>
      </w:r>
    </w:p>
    <w:p>
      <w:pPr>
        <w:spacing w:after="0" w:line="147" w:lineRule="exact"/>
        <w:rPr>
          <w:sz w:val="20"/>
          <w:szCs w:val="20"/>
          <w:color w:val="auto"/>
        </w:rPr>
      </w:pPr>
    </w:p>
    <w:p>
      <w:pPr>
        <w:ind w:left="1360" w:right="1440" w:firstLine="40"/>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Section 1.06. Currencies Generally. </w:t>
      </w:r>
      <w:r>
        <w:rPr>
          <w:rFonts w:ascii="Times New Roman" w:cs="Times New Roman" w:eastAsia="Times New Roman" w:hAnsi="Times New Roman"/>
          <w:sz w:val="16"/>
          <w:szCs w:val="16"/>
          <w:color w:val="auto"/>
        </w:rPr>
        <w:t>At any time, any reference in the definition of the term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“Agreed Foreign Currency” or in any other provision of this Agreement to the Currency of any particular nation means the lawful currency of such nation at such time whether or not the name of such Currency is the same as it was on the date hereof. The outstanding principal amount of any Borrowing that is denominated in any Agreed Foreign Currency shall be deemed to be the Dollar Equivalent of the amount of the Agreed Foreign Currency of such Borrowing determined as of the date of such Borrowing. Wherever in this Agreement (x) in connection with a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641985</wp:posOffset>
            </wp:positionV>
            <wp:extent cx="526605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6" w:name="page167"/>
    <w:bookmarkEnd w:id="166"/>
    <w:p>
      <w:pPr>
        <w:spacing w:after="0" w:line="270" w:lineRule="exact"/>
        <w:rPr>
          <w:sz w:val="20"/>
          <w:szCs w:val="20"/>
          <w:color w:val="auto"/>
        </w:rPr>
      </w:pPr>
    </w:p>
    <w:p>
      <w:pPr>
        <w:ind w:left="1360" w:right="1440"/>
        <w:spacing w:after="0" w:line="255" w:lineRule="auto"/>
        <w:rPr>
          <w:sz w:val="20"/>
          <w:szCs w:val="20"/>
          <w:color w:val="auto"/>
        </w:rPr>
      </w:pPr>
      <w:r>
        <w:rPr>
          <w:rFonts w:ascii="Times New Roman" w:cs="Times New Roman" w:eastAsia="Times New Roman" w:hAnsi="Times New Roman"/>
          <w:sz w:val="16"/>
          <w:szCs w:val="16"/>
          <w:color w:val="auto"/>
        </w:rPr>
        <w:t>an amount, such as a required minimum or multiple amount, is expressed in Dollars, but such Borrowing is denominated in an Agreed Foreign Currency or (y) in connection with a Collateral Loan, any applicable criteria including, but not limited to, the Concentration Limitations and the definition of Eligible Collateral Loan, is expressed in Dollars, but such Collateral Loan is denominated in an Agreed Foreign Currency, in each case such amount shall be the relevant Foreign Currency Equivalent of such Dollar amount (rounded to the nearest 1,000 units of such Agreed Foreign Currency).</w:t>
      </w:r>
    </w:p>
    <w:p>
      <w:pPr>
        <w:spacing w:after="0" w:line="153" w:lineRule="exact"/>
        <w:rPr>
          <w:sz w:val="20"/>
          <w:szCs w:val="20"/>
          <w:color w:val="auto"/>
        </w:rPr>
      </w:pPr>
    </w:p>
    <w:p>
      <w:pPr>
        <w:ind w:left="1360" w:right="1520" w:firstLine="40"/>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Section 1.07. Calculation of Borrowing Base. </w:t>
      </w:r>
      <w:r>
        <w:rPr>
          <w:rFonts w:ascii="Times New Roman" w:cs="Times New Roman" w:eastAsia="Times New Roman" w:hAnsi="Times New Roman"/>
          <w:sz w:val="16"/>
          <w:szCs w:val="16"/>
          <w:color w:val="auto"/>
        </w:rPr>
        <w:t>In connection with amounts to be calculated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purposes of determining the Borrowing Base and generally preparing the Borrowing Base Calculation Statement, all amounts shall be expressed in Dollars. If any such amount is denominated in an Agreed Foreign Currency, such amount shall be the relevant Foreign Currency Equivalent of such Dollar amount (rounded to the nearest 1,000 units of such Agreed Foreign Currency).</w:t>
      </w:r>
    </w:p>
    <w:p>
      <w:pPr>
        <w:spacing w:after="0" w:line="150" w:lineRule="exact"/>
        <w:rPr>
          <w:sz w:val="20"/>
          <w:szCs w:val="20"/>
          <w:color w:val="auto"/>
        </w:rPr>
      </w:pPr>
    </w:p>
    <w:p>
      <w:pPr>
        <w:ind w:left="1360" w:right="1400" w:firstLine="40"/>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Section 1.08. Rates. </w:t>
      </w:r>
      <w:r>
        <w:rPr>
          <w:rFonts w:ascii="Times New Roman" w:cs="Times New Roman" w:eastAsia="Times New Roman" w:hAnsi="Times New Roman"/>
          <w:sz w:val="16"/>
          <w:szCs w:val="16"/>
          <w:color w:val="auto"/>
        </w:rPr>
        <w:t>Upon the occurrence of a Benchmark Transition Event or an Early Opt-in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Election, Section 2.11(b)(i) provides the mechanism for determining an alternative rate of interest. The Administrative Agent will promptly notify the Borrower, pursuant to Section 2.11(b)(iv), of any change to the reference rates upon which the interest rates on Term Benchmark Advances and RFR Advances are based. However, the Administrative Agent does not warrant or accept any responsibility for, and shall not have any liability with respect to, the administration, submission or any other matter related to LIBOR, the Base Rate, the Term SOFR Reference Rate, Term SOFR, the Term CORRA Reference Rate, Term CORRA or other rates in the definitions of “Adjusted Term Benchmark Rate”, “Term Benchmark Rate”, “Term SOFR”, “Term CORRA” and “RFR Rate” or with respect to any alternative or successor rate thereto, or replacement rate thereof (including, without limitation, (i) any such alternative, successor or replacement rate implemented pursuant to Section 2.11(b)(i), whether upon the occurrence of a Benchmark Transition Event or an Early Opt-in Election, as applicable, and (ii) the implementation of any Benchmark Replacement Conforming Changes pursuant to Section</w:t>
      </w:r>
    </w:p>
    <w:p>
      <w:pPr>
        <w:spacing w:after="0" w:line="10" w:lineRule="exact"/>
        <w:rPr>
          <w:sz w:val="20"/>
          <w:szCs w:val="20"/>
          <w:color w:val="auto"/>
        </w:rPr>
      </w:pPr>
    </w:p>
    <w:p>
      <w:pPr>
        <w:ind w:left="1360" w:right="1400"/>
        <w:spacing w:after="0" w:line="251" w:lineRule="auto"/>
        <w:rPr>
          <w:sz w:val="20"/>
          <w:szCs w:val="20"/>
          <w:color w:val="auto"/>
        </w:rPr>
      </w:pPr>
      <w:r>
        <w:rPr>
          <w:rFonts w:ascii="Times New Roman" w:cs="Times New Roman" w:eastAsia="Times New Roman" w:hAnsi="Times New Roman"/>
          <w:sz w:val="16"/>
          <w:szCs w:val="16"/>
          <w:color w:val="auto"/>
        </w:rPr>
        <w:t>2.11(b)(iii)), including without limitation, whether the composition or characteristics of any such alternative, successor or replacement reference rate will be similar to, or produce the same value or economic equivalence of, the Base Rate, the Term SOFR Reference Rate, Term SOFR, Term CORRA Reference Rate, Term CORRA, Adjusted Term Benchmark Rate, or RFR Rate, as applicable, or have the same volume or liquidity as did the the Base Rate, the Term SOFR Reference Rate, Term SOFR, Term CORRA Reference Rate, Term CORRA, Adjusted Term Benchmark Rate, or RFR Rate, as applicable, prior to its discontinuance or unavailability.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II</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Advances</w:t>
      </w:r>
    </w:p>
    <w:p>
      <w:pPr>
        <w:spacing w:after="0" w:line="187" w:lineRule="exact"/>
        <w:rPr>
          <w:sz w:val="20"/>
          <w:szCs w:val="20"/>
          <w:color w:val="auto"/>
        </w:rPr>
      </w:pPr>
    </w:p>
    <w:p>
      <w:pPr>
        <w:ind w:left="1360" w:right="1520" w:firstLine="40"/>
        <w:spacing w:after="0" w:line="286" w:lineRule="auto"/>
        <w:rPr>
          <w:sz w:val="20"/>
          <w:szCs w:val="20"/>
          <w:color w:val="auto"/>
        </w:rPr>
      </w:pPr>
      <w:r>
        <w:rPr>
          <w:rFonts w:ascii="Times New Roman" w:cs="Times New Roman" w:eastAsia="Times New Roman" w:hAnsi="Times New Roman"/>
          <w:sz w:val="16"/>
          <w:szCs w:val="16"/>
          <w:i w:val="1"/>
          <w:iCs w:val="1"/>
          <w:color w:val="auto"/>
        </w:rPr>
        <w:t>Section 2.01. Revolving Credit Facility</w:t>
      </w:r>
      <w:r>
        <w:rPr>
          <w:rFonts w:ascii="Times New Roman" w:cs="Times New Roman" w:eastAsia="Times New Roman" w:hAnsi="Times New Roman"/>
          <w:sz w:val="16"/>
          <w:szCs w:val="16"/>
          <w:color w:val="auto"/>
        </w:rPr>
        <w:t>. On the terms and subject to the conditions hereinafter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set forth, including Article III:</w:t>
      </w:r>
    </w:p>
    <w:p>
      <w:pPr>
        <w:spacing w:after="0" w:line="128" w:lineRule="exact"/>
        <w:rPr>
          <w:sz w:val="20"/>
          <w:szCs w:val="20"/>
          <w:color w:val="auto"/>
        </w:rPr>
      </w:pPr>
    </w:p>
    <w:p>
      <w:pPr>
        <w:jc w:val="both"/>
        <w:ind w:left="1840" w:right="1920" w:firstLine="44"/>
        <w:spacing w:after="0" w:line="283" w:lineRule="auto"/>
        <w:tabs>
          <w:tab w:leader="none" w:pos="21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Lender severally agrees to make loans in Dollars and in Agreed Foreign Currencies to the Borrower (each, a </w:t>
      </w:r>
      <w:r>
        <w:rPr>
          <w:rFonts w:ascii="Times New Roman" w:cs="Times New Roman" w:eastAsia="Times New Roman" w:hAnsi="Times New Roman"/>
          <w:sz w:val="16"/>
          <w:szCs w:val="16"/>
          <w:i w:val="1"/>
          <w:iCs w:val="1"/>
          <w:color w:val="auto"/>
        </w:rPr>
        <w:t>“Syndicated Advance”</w:t>
      </w:r>
      <w:r>
        <w:rPr>
          <w:rFonts w:ascii="Times New Roman" w:cs="Times New Roman" w:eastAsia="Times New Roman" w:hAnsi="Times New Roman"/>
          <w:sz w:val="16"/>
          <w:szCs w:val="16"/>
          <w:color w:val="auto"/>
        </w:rPr>
        <w:t>) from time to time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628015</wp:posOffset>
            </wp:positionV>
            <wp:extent cx="526605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7" w:name="page168"/>
    <w:bookmarkEnd w:id="167"/>
    <w:p>
      <w:pPr>
        <w:spacing w:after="0" w:line="270" w:lineRule="exact"/>
        <w:rPr>
          <w:sz w:val="20"/>
          <w:szCs w:val="20"/>
          <w:color w:val="auto"/>
        </w:rPr>
      </w:pPr>
    </w:p>
    <w:p>
      <w:pPr>
        <w:ind w:left="1840" w:right="1440"/>
        <w:spacing w:after="0" w:line="256" w:lineRule="auto"/>
        <w:rPr>
          <w:sz w:val="20"/>
          <w:szCs w:val="20"/>
          <w:color w:val="auto"/>
        </w:rPr>
      </w:pPr>
      <w:r>
        <w:rPr>
          <w:rFonts w:ascii="Times New Roman" w:cs="Times New Roman" w:eastAsia="Times New Roman" w:hAnsi="Times New Roman"/>
          <w:sz w:val="16"/>
          <w:szCs w:val="16"/>
          <w:color w:val="auto"/>
        </w:rPr>
        <w:t xml:space="preserve">any Business Day during the period from the Funding Effective Date until the Commitment Termination Date (or thereafter pursuant to Section 8.04),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in each case in an aggregate principal amount at any one time outstanding up to but not exceeding such Lender’s Commitment and, as to all Lenders, in an aggregate principal amount up to but not exceeding the Maximum Available Amount as then in effect.</w:t>
      </w:r>
    </w:p>
    <w:p>
      <w:pPr>
        <w:spacing w:after="0" w:line="152" w:lineRule="exact"/>
        <w:rPr>
          <w:sz w:val="20"/>
          <w:szCs w:val="20"/>
          <w:color w:val="auto"/>
        </w:rPr>
      </w:pPr>
    </w:p>
    <w:p>
      <w:pPr>
        <w:ind w:left="1840" w:right="1360" w:firstLine="44"/>
        <w:spacing w:after="0" w:line="252" w:lineRule="auto"/>
        <w:tabs>
          <w:tab w:leader="none" w:pos="2109"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Swingline Lender agrees to make loans in Dollars (each, a “</w:t>
      </w:r>
      <w:r>
        <w:rPr>
          <w:rFonts w:ascii="Times New Roman" w:cs="Times New Roman" w:eastAsia="Times New Roman" w:hAnsi="Times New Roman"/>
          <w:sz w:val="16"/>
          <w:szCs w:val="16"/>
          <w:i w:val="1"/>
          <w:iCs w:val="1"/>
          <w:color w:val="auto"/>
        </w:rPr>
        <w:t>Swingline Advance</w:t>
      </w:r>
      <w:r>
        <w:rPr>
          <w:rFonts w:ascii="Times New Roman" w:cs="Times New Roman" w:eastAsia="Times New Roman" w:hAnsi="Times New Roman"/>
          <w:sz w:val="16"/>
          <w:szCs w:val="16"/>
          <w:color w:val="auto"/>
        </w:rPr>
        <w:t>” and, together with the Syndicated Advances, the “</w:t>
      </w:r>
      <w:r>
        <w:rPr>
          <w:rFonts w:ascii="Times New Roman" w:cs="Times New Roman" w:eastAsia="Times New Roman" w:hAnsi="Times New Roman"/>
          <w:sz w:val="16"/>
          <w:szCs w:val="16"/>
          <w:i w:val="1"/>
          <w:iCs w:val="1"/>
          <w:color w:val="auto"/>
        </w:rPr>
        <w:t>Advances</w:t>
      </w:r>
      <w:r>
        <w:rPr>
          <w:rFonts w:ascii="Times New Roman" w:cs="Times New Roman" w:eastAsia="Times New Roman" w:hAnsi="Times New Roman"/>
          <w:sz w:val="16"/>
          <w:szCs w:val="16"/>
          <w:color w:val="auto"/>
        </w:rPr>
        <w:t>”) to the Borrower from time to time on any Business Day during the period from the Funding Effective Date until the date that is five (5) Business Days prior to the Commitment Termination Date (the “</w:t>
      </w:r>
      <w:r>
        <w:rPr>
          <w:rFonts w:ascii="Times New Roman" w:cs="Times New Roman" w:eastAsia="Times New Roman" w:hAnsi="Times New Roman"/>
          <w:sz w:val="16"/>
          <w:szCs w:val="16"/>
          <w:i w:val="1"/>
          <w:iCs w:val="1"/>
          <w:color w:val="auto"/>
        </w:rPr>
        <w:t>Swingline Facility End Date</w:t>
      </w:r>
      <w:r>
        <w:rPr>
          <w:rFonts w:ascii="Times New Roman" w:cs="Times New Roman" w:eastAsia="Times New Roman" w:hAnsi="Times New Roman"/>
          <w:sz w:val="16"/>
          <w:szCs w:val="16"/>
          <w:color w:val="auto"/>
        </w:rPr>
        <w:t xml:space="preserve">”) in an aggregate principal amount at any one time outstanding up to but not exceeding the lesser of (i) $20,000,000 and (ii) the aggregate unused Commitment of the Swingline Lender. Anything contained in the foregoing to the contrary notwithstanding, the undertaking of the Swingline Lender to make Swingline Advances shall be subject to all of the terms and conditions of this Agreement, and Swingline Lender shall not make any Swingline Advances if any of the conditions precedent in Section 3.02 are not satisfied;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Swingline Lender shall be entitled to assume that the conditions precedent to an advance of any Swingline Advance have been satisfied unless notified to the contrary by the Administrative Agent, the Collateral Agent, the Majority Lenders, the Borrower or the Collateral Manager on the Borrower’s behalf.</w:t>
      </w:r>
    </w:p>
    <w:p>
      <w:pPr>
        <w:spacing w:after="0" w:line="161" w:lineRule="exact"/>
        <w:rPr>
          <w:sz w:val="20"/>
          <w:szCs w:val="20"/>
          <w:color w:val="auto"/>
        </w:rPr>
      </w:pPr>
    </w:p>
    <w:p>
      <w:pPr>
        <w:ind w:left="1360" w:right="1380" w:firstLine="484"/>
        <w:spacing w:after="0" w:line="261" w:lineRule="auto"/>
        <w:rPr>
          <w:sz w:val="20"/>
          <w:szCs w:val="20"/>
          <w:color w:val="auto"/>
        </w:rPr>
      </w:pPr>
      <w:r>
        <w:rPr>
          <w:rFonts w:ascii="Times New Roman" w:cs="Times New Roman" w:eastAsia="Times New Roman" w:hAnsi="Times New Roman"/>
          <w:sz w:val="16"/>
          <w:szCs w:val="16"/>
          <w:color w:val="auto"/>
        </w:rPr>
        <w:t>Each such borrowing of a Syndicated Advance on any single day is referred to herein as a “</w:t>
      </w:r>
      <w:r>
        <w:rPr>
          <w:rFonts w:ascii="Times New Roman" w:cs="Times New Roman" w:eastAsia="Times New Roman" w:hAnsi="Times New Roman"/>
          <w:sz w:val="16"/>
          <w:szCs w:val="16"/>
          <w:i w:val="1"/>
          <w:iCs w:val="1"/>
          <w:color w:val="auto"/>
        </w:rPr>
        <w:t>Syndicated Borrowing</w:t>
      </w:r>
      <w:r>
        <w:rPr>
          <w:rFonts w:ascii="Times New Roman" w:cs="Times New Roman" w:eastAsia="Times New Roman" w:hAnsi="Times New Roman"/>
          <w:sz w:val="16"/>
          <w:szCs w:val="16"/>
          <w:color w:val="auto"/>
        </w:rPr>
        <w:t>”; each such borrowing of a Swingline Advance on any single day is referred to herein as a “</w:t>
      </w:r>
      <w:r>
        <w:rPr>
          <w:rFonts w:ascii="Times New Roman" w:cs="Times New Roman" w:eastAsia="Times New Roman" w:hAnsi="Times New Roman"/>
          <w:sz w:val="16"/>
          <w:szCs w:val="16"/>
          <w:i w:val="1"/>
          <w:iCs w:val="1"/>
          <w:color w:val="auto"/>
        </w:rPr>
        <w:t>Swingline Borrowing</w:t>
      </w:r>
      <w:r>
        <w:rPr>
          <w:rFonts w:ascii="Times New Roman" w:cs="Times New Roman" w:eastAsia="Times New Roman" w:hAnsi="Times New Roman"/>
          <w:sz w:val="16"/>
          <w:szCs w:val="16"/>
          <w:color w:val="auto"/>
        </w:rPr>
        <w:t>”; and Syndicated Borrowings and Swingline Borrowings are referred to herein collectively as “</w:t>
      </w:r>
      <w:r>
        <w:rPr>
          <w:rFonts w:ascii="Times New Roman" w:cs="Times New Roman" w:eastAsia="Times New Roman" w:hAnsi="Times New Roman"/>
          <w:sz w:val="16"/>
          <w:szCs w:val="16"/>
          <w:i w:val="1"/>
          <w:iCs w:val="1"/>
          <w:color w:val="auto"/>
        </w:rPr>
        <w:t>Borrowings</w:t>
      </w:r>
      <w:r>
        <w:rPr>
          <w:rFonts w:ascii="Times New Roman" w:cs="Times New Roman" w:eastAsia="Times New Roman" w:hAnsi="Times New Roman"/>
          <w:sz w:val="16"/>
          <w:szCs w:val="16"/>
          <w:color w:val="auto"/>
        </w:rPr>
        <w:t>”.</w:t>
      </w:r>
    </w:p>
    <w:p>
      <w:pPr>
        <w:spacing w:after="0" w:line="146" w:lineRule="exact"/>
        <w:rPr>
          <w:sz w:val="20"/>
          <w:szCs w:val="20"/>
          <w:color w:val="auto"/>
        </w:rPr>
      </w:pPr>
    </w:p>
    <w:p>
      <w:pPr>
        <w:ind w:left="1360" w:right="1520" w:firstLine="40"/>
        <w:spacing w:after="0" w:line="286" w:lineRule="auto"/>
        <w:tabs>
          <w:tab w:leader="none" w:pos="1622"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Type of Advances. </w:t>
      </w:r>
      <w:r>
        <w:rPr>
          <w:rFonts w:ascii="Times New Roman" w:cs="Times New Roman" w:eastAsia="Times New Roman" w:hAnsi="Times New Roman"/>
          <w:sz w:val="16"/>
          <w:szCs w:val="16"/>
          <w:color w:val="auto"/>
        </w:rPr>
        <w:t>Each Syndicated Borrowing of a Class shall be denominated in a single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Currency as the Borrower may request in accordance herewith.</w:t>
      </w:r>
    </w:p>
    <w:p>
      <w:pPr>
        <w:spacing w:after="0" w:line="126" w:lineRule="exact"/>
        <w:rPr>
          <w:rFonts w:ascii="Times New Roman" w:cs="Times New Roman" w:eastAsia="Times New Roman" w:hAnsi="Times New Roman"/>
          <w:sz w:val="16"/>
          <w:szCs w:val="16"/>
          <w:color w:val="auto"/>
        </w:rPr>
      </w:pPr>
    </w:p>
    <w:p>
      <w:pPr>
        <w:ind w:left="1360" w:right="1460" w:firstLine="40"/>
        <w:spacing w:after="0" w:line="268" w:lineRule="auto"/>
        <w:tabs>
          <w:tab w:leader="none" w:pos="1633"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Maximum Multicurrency Advances</w:t>
      </w:r>
      <w:r>
        <w:rPr>
          <w:rFonts w:ascii="Times New Roman" w:cs="Times New Roman" w:eastAsia="Times New Roman" w:hAnsi="Times New Roman"/>
          <w:sz w:val="16"/>
          <w:szCs w:val="16"/>
          <w:color w:val="auto"/>
        </w:rPr>
        <w:t>. With respect to Borrowings denominated in an Agreed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Foreign Currency, (i) no more than two (2) Borrowings per week shall be permitted hereunder and (ii) no more than eight (8) Borrowings shall be outstanding hereunder at any one time.</w:t>
      </w:r>
    </w:p>
    <w:p>
      <w:pPr>
        <w:spacing w:after="0" w:line="142" w:lineRule="exact"/>
        <w:rPr>
          <w:sz w:val="20"/>
          <w:szCs w:val="20"/>
          <w:color w:val="auto"/>
        </w:rPr>
      </w:pPr>
    </w:p>
    <w:p>
      <w:pPr>
        <w:ind w:left="1360" w:right="1360" w:firstLine="484"/>
        <w:spacing w:after="0" w:line="261" w:lineRule="auto"/>
        <w:rPr>
          <w:sz w:val="20"/>
          <w:szCs w:val="20"/>
          <w:color w:val="auto"/>
        </w:rPr>
      </w:pPr>
      <w:r>
        <w:rPr>
          <w:rFonts w:ascii="Times New Roman" w:cs="Times New Roman" w:eastAsia="Times New Roman" w:hAnsi="Times New Roman"/>
          <w:sz w:val="16"/>
          <w:szCs w:val="16"/>
          <w:color w:val="auto"/>
        </w:rPr>
        <w:t>Within such limits and subject to the other terms and conditions of this Agreement, the Borrower may borrow (and re-borrow) Advances under this Section 2.01 and prepay Advances under Section 2.05; provided that the Swingline Lender shall not be required to make a Swingline Advance to refinance an outstanding Swingline Advance.</w:t>
      </w:r>
    </w:p>
    <w:p>
      <w:pPr>
        <w:spacing w:after="0" w:line="146" w:lineRule="exact"/>
        <w:rPr>
          <w:sz w:val="20"/>
          <w:szCs w:val="20"/>
          <w:color w:val="auto"/>
        </w:rPr>
      </w:pPr>
    </w:p>
    <w:p>
      <w:pPr>
        <w:ind w:left="1360" w:right="1460" w:firstLine="40"/>
        <w:spacing w:after="0" w:line="262" w:lineRule="auto"/>
        <w:rPr>
          <w:sz w:val="20"/>
          <w:szCs w:val="20"/>
          <w:color w:val="auto"/>
        </w:rPr>
      </w:pPr>
      <w:r>
        <w:rPr>
          <w:rFonts w:ascii="Times New Roman" w:cs="Times New Roman" w:eastAsia="Times New Roman" w:hAnsi="Times New Roman"/>
          <w:sz w:val="16"/>
          <w:szCs w:val="16"/>
          <w:i w:val="1"/>
          <w:iCs w:val="1"/>
          <w:color w:val="auto"/>
        </w:rPr>
        <w:t>Section 2.02. Making of the Advances</w:t>
      </w:r>
      <w:r>
        <w:rPr>
          <w:rFonts w:ascii="Times New Roman" w:cs="Times New Roman" w:eastAsia="Times New Roman" w:hAnsi="Times New Roman"/>
          <w:sz w:val="16"/>
          <w:szCs w:val="16"/>
          <w:color w:val="auto"/>
        </w:rPr>
        <w:t>. (a) If the Borrower desires to make a Borrowing under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this Agreement, the Borrower, or the Collateral Manager on its behalf, shall give the Administrative Agent and the Collateral Agent a written notice (each, a “</w:t>
      </w:r>
      <w:r>
        <w:rPr>
          <w:rFonts w:ascii="Times New Roman" w:cs="Times New Roman" w:eastAsia="Times New Roman" w:hAnsi="Times New Roman"/>
          <w:sz w:val="16"/>
          <w:szCs w:val="16"/>
          <w:i w:val="1"/>
          <w:iCs w:val="1"/>
          <w:color w:val="auto"/>
        </w:rPr>
        <w:t>Notice of Borrowing</w:t>
      </w:r>
      <w:r>
        <w:rPr>
          <w:rFonts w:ascii="Times New Roman" w:cs="Times New Roman" w:eastAsia="Times New Roman" w:hAnsi="Times New Roman"/>
          <w:sz w:val="16"/>
          <w:szCs w:val="16"/>
          <w:color w:val="auto"/>
        </w:rPr>
        <w:t>”) for such Borrowing (which notice shall be irrevocable and effective upon receipt) not later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638175</wp:posOffset>
            </wp:positionV>
            <wp:extent cx="526605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8" w:name="page169"/>
    <w:bookmarkEnd w:id="168"/>
    <w:p>
      <w:pPr>
        <w:spacing w:after="0" w:line="270" w:lineRule="exact"/>
        <w:rPr>
          <w:sz w:val="20"/>
          <w:szCs w:val="20"/>
          <w:color w:val="auto"/>
        </w:rPr>
      </w:pPr>
    </w:p>
    <w:p>
      <w:pPr>
        <w:ind w:left="2080" w:hanging="196"/>
        <w:spacing w:after="0"/>
        <w:tabs>
          <w:tab w:leader="none" w:pos="2080"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Syndicated Borrowings denominated in Dollars, 2:00 p.m. at least one</w:t>
      </w:r>
    </w:p>
    <w:p>
      <w:pPr>
        <w:spacing w:after="0" w:line="25" w:lineRule="exact"/>
        <w:rPr>
          <w:rFonts w:ascii="Times New Roman" w:cs="Times New Roman" w:eastAsia="Times New Roman" w:hAnsi="Times New Roman"/>
          <w:sz w:val="16"/>
          <w:szCs w:val="16"/>
          <w:color w:val="auto"/>
        </w:rPr>
      </w:pPr>
    </w:p>
    <w:p>
      <w:pPr>
        <w:ind w:left="1840" w:right="1600" w:firstLine="4"/>
        <w:spacing w:after="0" w:line="260" w:lineRule="auto"/>
        <w:tabs>
          <w:tab w:leader="none" w:pos="2069"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Day prior to the day of the requested Borrowing. A Notice of Borrowing received after 2:00 p.m. shall be deemed received on the following Business Day;</w:t>
      </w:r>
    </w:p>
    <w:p>
      <w:pPr>
        <w:spacing w:after="0" w:line="148" w:lineRule="exact"/>
        <w:rPr>
          <w:rFonts w:ascii="Times New Roman" w:cs="Times New Roman" w:eastAsia="Times New Roman" w:hAnsi="Times New Roman"/>
          <w:sz w:val="16"/>
          <w:szCs w:val="16"/>
          <w:color w:val="auto"/>
        </w:rPr>
      </w:pPr>
    </w:p>
    <w:p>
      <w:pPr>
        <w:ind w:left="1840" w:right="1420" w:firstLine="44"/>
        <w:spacing w:after="0" w:line="261" w:lineRule="auto"/>
        <w:tabs>
          <w:tab w:leader="none" w:pos="2118"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Syndicated Borrowings denominated in an Agreed Foreign Currency, 2:00 p.m. at least three (3) Business Days prior to the day of the requested Borrowing. A Notice of Borrowing received after 2:00 p.m. shall be deemed received on the following Business Day; and</w:t>
      </w:r>
    </w:p>
    <w:p>
      <w:pPr>
        <w:spacing w:after="0" w:line="148" w:lineRule="exact"/>
        <w:rPr>
          <w:rFonts w:ascii="Times New Roman" w:cs="Times New Roman" w:eastAsia="Times New Roman" w:hAnsi="Times New Roman"/>
          <w:sz w:val="16"/>
          <w:szCs w:val="16"/>
          <w:color w:val="auto"/>
        </w:rPr>
      </w:pPr>
    </w:p>
    <w:p>
      <w:pPr>
        <w:ind w:left="1840" w:right="1500" w:firstLine="44"/>
        <w:spacing w:after="0" w:line="283" w:lineRule="auto"/>
        <w:tabs>
          <w:tab w:leader="none" w:pos="2163"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Swingline Borrowings denominated in Dollars, 2:00 p.m. on the date of the requested Swingline Borrowing.</w:t>
      </w:r>
    </w:p>
    <w:p>
      <w:pPr>
        <w:spacing w:after="0" w:line="131" w:lineRule="exact"/>
        <w:rPr>
          <w:sz w:val="20"/>
          <w:szCs w:val="20"/>
          <w:color w:val="auto"/>
        </w:rPr>
      </w:pPr>
    </w:p>
    <w:p>
      <w:pPr>
        <w:ind w:left="1360" w:right="1360" w:firstLine="484"/>
        <w:spacing w:after="0" w:line="252" w:lineRule="auto"/>
        <w:rPr>
          <w:sz w:val="20"/>
          <w:szCs w:val="20"/>
          <w:color w:val="auto"/>
        </w:rPr>
      </w:pPr>
      <w:r>
        <w:rPr>
          <w:rFonts w:ascii="Times New Roman" w:cs="Times New Roman" w:eastAsia="Times New Roman" w:hAnsi="Times New Roman"/>
          <w:sz w:val="16"/>
          <w:szCs w:val="16"/>
          <w:color w:val="auto"/>
        </w:rPr>
        <w:t xml:space="preserve">Promptly following receipt of a Notice of Borrowing in accordance with this Section, the Administrative Agent shall advise each applicable Lender of the details thereof and of the amounts of such Lender’s Advance to be made as part of the requested Borrowing. Each Notice of Borrowing shall be substantially in the form of Exhibit B hereto, dated the date the request for the related Borrowing is being made, signed by a Responsible Officer of the Borrower or the Collateral Manager, as applicable, shall attach a Borrowing Base Calculation Statement, and shall otherwise be appropriately completed. If no election as to the Currency of a Syndicated Borrowing is specified, then the requested Syndicated Borrowing shall be denominated in Dollars. The proposed Borrowing Date specified in each Notice of Borrowing shall be a Business Day falling on or prior to (in the case of Syndicated Borrowings) the Commitment Termination Date and (in the case of Swingline Borrowings) the Swingline Facility End Date, and the amount of the Borrowing requested in such Notice of Borrowing (the </w:t>
      </w:r>
      <w:r>
        <w:rPr>
          <w:rFonts w:ascii="Times New Roman" w:cs="Times New Roman" w:eastAsia="Times New Roman" w:hAnsi="Times New Roman"/>
          <w:sz w:val="16"/>
          <w:szCs w:val="16"/>
          <w:i w:val="1"/>
          <w:iCs w:val="1"/>
          <w:color w:val="auto"/>
        </w:rPr>
        <w:t>“Requested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Amount”</w:t>
      </w:r>
      <w:r>
        <w:rPr>
          <w:rFonts w:ascii="Times New Roman" w:cs="Times New Roman" w:eastAsia="Times New Roman" w:hAnsi="Times New Roman"/>
          <w:sz w:val="16"/>
          <w:szCs w:val="16"/>
          <w:color w:val="auto"/>
        </w:rPr>
        <w:t>) shall be equal to at least $250,000 or an integral multiple of $100,000 in excess thereof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if less, the remaining unfunded Commitments hereunder). Borrowings of more than one Class and Currency may be outstanding at the same time.</w:t>
      </w:r>
    </w:p>
    <w:p>
      <w:pPr>
        <w:spacing w:after="0" w:line="157" w:lineRule="exact"/>
        <w:rPr>
          <w:sz w:val="20"/>
          <w:szCs w:val="20"/>
          <w:color w:val="auto"/>
        </w:rPr>
      </w:pPr>
    </w:p>
    <w:p>
      <w:pPr>
        <w:ind w:left="1360" w:right="1440" w:firstLine="40"/>
        <w:spacing w:after="0" w:line="253" w:lineRule="auto"/>
        <w:tabs>
          <w:tab w:leader="none" w:pos="1633"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Funding by Lenders. </w:t>
      </w:r>
      <w:r>
        <w:rPr>
          <w:rFonts w:ascii="Times New Roman" w:cs="Times New Roman" w:eastAsia="Times New Roman" w:hAnsi="Times New Roman"/>
          <w:sz w:val="16"/>
          <w:szCs w:val="16"/>
          <w:color w:val="auto"/>
        </w:rPr>
        <w:t>Each Lender, in respect of Syndicated Advances, shall make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Percentage of the applicable Requested Amount on each Borrowing Date by wire transfer of immediately available funds by 11:00 a.m. to the account of the Administrative Agent most recently designated by it for such purpose by notice to the Lenders. The Administrative Agent will make such Advances available to the Borrower by promptly crediting the amounts so received, in like funds, to the Principal Collection Subaccount. The Swingline Lender shall not later than 4:00 p.m. on each Borrowing Date, in respect of Swingline Advances, make the applicable Requested Amount available to the Borrower by disbursing such funds to the Principal Collection Subaccount;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the Swingline Lender shall have no obligation hereunder to make any Swingline Advance at any time if, at such time, one or more Lenders has announced that it is not obligated (or has disputed, in good faith or otherwise, whether it is obligated) to make additional Advances hereunder (including its portion of any Swingline Refinancing Advance).</w:t>
      </w:r>
    </w:p>
    <w:p>
      <w:pPr>
        <w:spacing w:after="0" w:line="154" w:lineRule="exact"/>
        <w:rPr>
          <w:rFonts w:ascii="Times New Roman" w:cs="Times New Roman" w:eastAsia="Times New Roman" w:hAnsi="Times New Roman"/>
          <w:sz w:val="16"/>
          <w:szCs w:val="16"/>
          <w:color w:val="auto"/>
        </w:rPr>
      </w:pPr>
    </w:p>
    <w:p>
      <w:pPr>
        <w:ind w:left="1360" w:right="1620" w:firstLine="40"/>
        <w:spacing w:after="0" w:line="261" w:lineRule="auto"/>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Notice of Borrowing for a Swingline Advance shall also be deemed to constitute a Notice of Borrowing for Syndicated Advances (such Advances, “</w:t>
      </w:r>
      <w:r>
        <w:rPr>
          <w:rFonts w:ascii="Times New Roman" w:cs="Times New Roman" w:eastAsia="Times New Roman" w:hAnsi="Times New Roman"/>
          <w:sz w:val="16"/>
          <w:szCs w:val="16"/>
          <w:i w:val="1"/>
          <w:iCs w:val="1"/>
          <w:color w:val="auto"/>
        </w:rPr>
        <w:t>Swingline Refinancing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Advances</w:t>
      </w:r>
      <w:r>
        <w:rPr>
          <w:rFonts w:ascii="Times New Roman" w:cs="Times New Roman" w:eastAsia="Times New Roman" w:hAnsi="Times New Roman"/>
          <w:sz w:val="16"/>
          <w:szCs w:val="16"/>
          <w:color w:val="auto"/>
        </w:rPr>
        <w:t>”), in an amount equal to (1) the same Requested Amount or (2) if the Borrower has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submitted a Notice of Prepayment in tandem with the Notice of Borrowing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638810</wp:posOffset>
            </wp:positionV>
            <wp:extent cx="526605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9" w:name="page170"/>
    <w:bookmarkEnd w:id="169"/>
    <w:p>
      <w:pPr>
        <w:spacing w:after="0" w:line="270" w:lineRule="exact"/>
        <w:rPr>
          <w:sz w:val="20"/>
          <w:szCs w:val="20"/>
          <w:color w:val="auto"/>
        </w:rPr>
      </w:pPr>
    </w:p>
    <w:p>
      <w:pPr>
        <w:ind w:left="1360" w:right="1520"/>
        <w:spacing w:after="0" w:line="256" w:lineRule="auto"/>
        <w:rPr>
          <w:sz w:val="20"/>
          <w:szCs w:val="20"/>
          <w:color w:val="auto"/>
        </w:rPr>
      </w:pPr>
      <w:r>
        <w:rPr>
          <w:rFonts w:ascii="Times New Roman" w:cs="Times New Roman" w:eastAsia="Times New Roman" w:hAnsi="Times New Roman"/>
          <w:sz w:val="16"/>
          <w:szCs w:val="16"/>
          <w:color w:val="auto"/>
        </w:rPr>
        <w:t>Swingline Borrowing, such portion of the Requested Amount that will not be repaid by the Borrower on the next Business Day. The Borrowing Date for the Swingline Refinancing Advance shall fall on the day (the “</w:t>
      </w:r>
      <w:r>
        <w:rPr>
          <w:rFonts w:ascii="Times New Roman" w:cs="Times New Roman" w:eastAsia="Times New Roman" w:hAnsi="Times New Roman"/>
          <w:sz w:val="16"/>
          <w:szCs w:val="16"/>
          <w:i w:val="1"/>
          <w:iCs w:val="1"/>
          <w:color w:val="auto"/>
        </w:rPr>
        <w:t>Swingline Refinancing Date</w:t>
      </w:r>
      <w:r>
        <w:rPr>
          <w:rFonts w:ascii="Times New Roman" w:cs="Times New Roman" w:eastAsia="Times New Roman" w:hAnsi="Times New Roman"/>
          <w:sz w:val="16"/>
          <w:szCs w:val="16"/>
          <w:color w:val="auto"/>
        </w:rPr>
        <w:t>”) that is one (1) Business Day after the date on which such Swingline Borrowing is made (and the applicable Notice of Borrowing shall specify both applicable information for the Swingline Advance and the related Swingline Refinancing Advance). Notwithstanding anything to the contrary contained herein:</w:t>
      </w:r>
    </w:p>
    <w:p>
      <w:pPr>
        <w:spacing w:after="0" w:line="152" w:lineRule="exact"/>
        <w:rPr>
          <w:sz w:val="20"/>
          <w:szCs w:val="20"/>
          <w:color w:val="auto"/>
        </w:rPr>
      </w:pPr>
    </w:p>
    <w:p>
      <w:pPr>
        <w:ind w:left="1840" w:right="1400" w:firstLine="44"/>
        <w:spacing w:after="0" w:line="257" w:lineRule="auto"/>
        <w:tabs>
          <w:tab w:leader="none" w:pos="2073"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it is understood and agreed that each Lender shall acquire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risk participation in each Swingline Advance upon the date such Swingline Advance is made and each Lender shall make Syndicated Advances on each Swingline Refinancing Date in an amount equal to its Percentage of such Requested Amount and (unless it is the Swingline Lender) shall disburse such funds in Dollars to the Principal Collection Subaccount for the exclusive benefit of the Swingline Lender; and</w:t>
      </w:r>
    </w:p>
    <w:p>
      <w:pPr>
        <w:spacing w:after="0" w:line="151" w:lineRule="exact"/>
        <w:rPr>
          <w:rFonts w:ascii="Times New Roman" w:cs="Times New Roman" w:eastAsia="Times New Roman" w:hAnsi="Times New Roman"/>
          <w:sz w:val="16"/>
          <w:szCs w:val="16"/>
          <w:color w:val="auto"/>
        </w:rPr>
      </w:pPr>
    </w:p>
    <w:p>
      <w:pPr>
        <w:ind w:left="1840" w:right="1360" w:firstLine="44"/>
        <w:spacing w:after="0" w:line="266" w:lineRule="auto"/>
        <w:tabs>
          <w:tab w:leader="none" w:pos="2118"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shall immediately apply all amounts received from the Lenders under clause (i) above to the repayment of the outstanding Swingline Advances by paying the same to the Swingline Lender.</w:t>
      </w:r>
    </w:p>
    <w:p>
      <w:pPr>
        <w:spacing w:after="0" w:line="145" w:lineRule="exact"/>
        <w:rPr>
          <w:sz w:val="20"/>
          <w:szCs w:val="20"/>
          <w:color w:val="auto"/>
        </w:rPr>
      </w:pPr>
    </w:p>
    <w:p>
      <w:pPr>
        <w:ind w:left="1360" w:right="1380"/>
        <w:spacing w:after="0" w:line="253" w:lineRule="auto"/>
        <w:rPr>
          <w:sz w:val="20"/>
          <w:szCs w:val="20"/>
          <w:color w:val="auto"/>
        </w:rPr>
      </w:pPr>
      <w:r>
        <w:rPr>
          <w:rFonts w:ascii="Times New Roman" w:cs="Times New Roman" w:eastAsia="Times New Roman" w:hAnsi="Times New Roman"/>
          <w:sz w:val="16"/>
          <w:szCs w:val="16"/>
          <w:color w:val="auto"/>
        </w:rPr>
        <w:t>If the Swingline Lender is also a Lender, it will be deemed to have automatically funded its portion of each Swingline Refinancing Advance on the relevant Swingline Refinancing Date. The obligations of the Lenders under clause (i) above, and the obligations of the Collateral Agent to apply amounts received from the Lenders under clause (ii) above, shall be absolute and unconditional, shall not be affected by any event or circumstance whatsoever, including the occurrence and continuance of a Default or reduction or termination of the Commitments, shall be made without any offset, abatement, withholding or reduction whatsoever, and shall survive the termination of this Agreement. For the avoidance of doubt, at no time will the Administrative Agent have any duty (express or implied) to fund (or front or advance) any Lender’s Percentage of a Requested Amount.</w:t>
      </w:r>
    </w:p>
    <w:p>
      <w:pPr>
        <w:spacing w:after="0" w:line="157" w:lineRule="exact"/>
        <w:rPr>
          <w:sz w:val="20"/>
          <w:szCs w:val="20"/>
          <w:color w:val="auto"/>
        </w:rPr>
      </w:pPr>
    </w:p>
    <w:p>
      <w:pPr>
        <w:ind w:left="1360" w:right="1360" w:firstLine="40"/>
        <w:spacing w:after="0" w:line="252" w:lineRule="auto"/>
        <w:tabs>
          <w:tab w:leader="none" w:pos="1633"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Presumption by the Administrative Agent. </w:t>
      </w:r>
      <w:r>
        <w:rPr>
          <w:rFonts w:ascii="Times New Roman" w:cs="Times New Roman" w:eastAsia="Times New Roman" w:hAnsi="Times New Roman"/>
          <w:sz w:val="16"/>
          <w:szCs w:val="16"/>
          <w:color w:val="auto"/>
        </w:rPr>
        <w:t>Unless the Administrative Agent shall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received notice from a Lender prior to the applicable proposed Borrowing Date that such Lender will not make available to the Administrative Agent such Lender’s Percentage of the applicable Requested Amount, the Administrative Agent may assume that such Lender has made such Percentage of the applicable Requested Amount available on the Borrowing Date in accordance with paragraph (b) of this Section and may, in reliance upon such assumption, make available to the Borrower a corresponding amount. In such event, if a Lender has not in fact made its Percentage of the applicable Requested Amount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Rate or (ii) in the case of the Borrower, the Interest Rate applicable to Advances not funded through the issuance of commercial paper. If such Lender pays such amount to the Administrative Agent, then such amount shall constitute such Lender’s Advance included in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647065</wp:posOffset>
            </wp:positionV>
            <wp:extent cx="526605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0" w:name="page171"/>
    <w:bookmarkEnd w:id="170"/>
    <w:p>
      <w:pPr>
        <w:spacing w:after="0" w:line="268" w:lineRule="exact"/>
        <w:rPr>
          <w:sz w:val="20"/>
          <w:szCs w:val="20"/>
          <w:color w:val="auto"/>
        </w:rPr>
      </w:pPr>
    </w:p>
    <w:p>
      <w:pPr>
        <w:ind w:left="1360" w:right="1440" w:firstLine="40"/>
        <w:spacing w:after="0" w:line="259" w:lineRule="auto"/>
        <w:rPr>
          <w:sz w:val="20"/>
          <w:szCs w:val="20"/>
          <w:color w:val="auto"/>
        </w:rPr>
      </w:pPr>
      <w:r>
        <w:rPr>
          <w:rFonts w:ascii="Times New Roman" w:cs="Times New Roman" w:eastAsia="Times New Roman" w:hAnsi="Times New Roman"/>
          <w:sz w:val="16"/>
          <w:szCs w:val="16"/>
          <w:i w:val="1"/>
          <w:iCs w:val="1"/>
          <w:color w:val="auto"/>
        </w:rPr>
        <w:t>Section 2.03. Evidence of Indebtedness</w:t>
      </w:r>
      <w:r>
        <w:rPr>
          <w:rFonts w:ascii="Times New Roman" w:cs="Times New Roman" w:eastAsia="Times New Roman" w:hAnsi="Times New Roman"/>
          <w:sz w:val="16"/>
          <w:szCs w:val="16"/>
          <w:color w:val="auto"/>
        </w:rPr>
        <w:t>. (a)</w:t>
      </w:r>
      <w:r>
        <w:rPr>
          <w:rFonts w:ascii="Times New Roman" w:cs="Times New Roman" w:eastAsia="Times New Roman" w:hAnsi="Times New Roman"/>
          <w:sz w:val="16"/>
          <w:szCs w:val="16"/>
          <w:i w:val="1"/>
          <w:iCs w:val="1"/>
          <w:color w:val="auto"/>
        </w:rPr>
        <w:t xml:space="preserve"> Maintenance of Records by Lenders. </w:t>
      </w:r>
      <w:r>
        <w:rPr>
          <w:rFonts w:ascii="Times New Roman" w:cs="Times New Roman" w:eastAsia="Times New Roman" w:hAnsi="Times New Roman"/>
          <w:sz w:val="16"/>
          <w:szCs w:val="16"/>
          <w:color w:val="auto"/>
        </w:rPr>
        <w:t>Each Lender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maintain in accordance with its usual practice an account or accounts evidencing the indebtedness of the Borrower to it and resulting from the Advances made by such Lender to the Borrower, from time to time, including the amounts of principal and interest thereon and paid to it, from time to time hereunder.</w:t>
      </w:r>
    </w:p>
    <w:p>
      <w:pPr>
        <w:spacing w:after="0" w:line="147" w:lineRule="exact"/>
        <w:rPr>
          <w:sz w:val="20"/>
          <w:szCs w:val="20"/>
          <w:color w:val="auto"/>
        </w:rPr>
      </w:pPr>
    </w:p>
    <w:p>
      <w:pPr>
        <w:ind w:left="1360" w:right="1440" w:firstLine="40"/>
        <w:spacing w:after="0" w:line="259" w:lineRule="auto"/>
        <w:tabs>
          <w:tab w:leader="none" w:pos="1633"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Maintenance of Records by Administrative Agent. </w:t>
      </w:r>
      <w:r>
        <w:rPr>
          <w:rFonts w:ascii="Times New Roman" w:cs="Times New Roman" w:eastAsia="Times New Roman" w:hAnsi="Times New Roman"/>
          <w:sz w:val="16"/>
          <w:szCs w:val="16"/>
          <w:color w:val="auto"/>
        </w:rPr>
        <w:t>The Administrative Agent shall maintain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records in which it shall record (i) the amount of each Advance made hereunder,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47" w:lineRule="exact"/>
        <w:rPr>
          <w:rFonts w:ascii="Times New Roman" w:cs="Times New Roman" w:eastAsia="Times New Roman" w:hAnsi="Times New Roman"/>
          <w:sz w:val="16"/>
          <w:szCs w:val="16"/>
          <w:color w:val="auto"/>
        </w:rPr>
      </w:pPr>
    </w:p>
    <w:p>
      <w:pPr>
        <w:ind w:left="1360" w:right="1380" w:firstLine="40"/>
        <w:spacing w:after="0" w:line="259" w:lineRule="auto"/>
        <w:tabs>
          <w:tab w:leader="none" w:pos="1622"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Effect of Entries. </w:t>
      </w:r>
      <w:r>
        <w:rPr>
          <w:rFonts w:ascii="Times New Roman" w:cs="Times New Roman" w:eastAsia="Times New Roman" w:hAnsi="Times New Roman"/>
          <w:sz w:val="16"/>
          <w:szCs w:val="16"/>
          <w:color w:val="auto"/>
        </w:rPr>
        <w:t>The entries made in the records maintained pursuant to paragraph (a) or (b)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of this Section shall be prima facie evidence, absent obvious error, of the existence and amounts of the obligations recorded therein;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failure of any Lender or the Administrative Agent to maintain such records or any error therein shall not in any manner affect the obligation of the Borrower to repay the Advances in accordance with the terms of this Agreement.</w:t>
      </w:r>
    </w:p>
    <w:p>
      <w:pPr>
        <w:spacing w:after="0" w:line="147" w:lineRule="exact"/>
        <w:rPr>
          <w:sz w:val="20"/>
          <w:szCs w:val="20"/>
          <w:color w:val="auto"/>
        </w:rPr>
      </w:pPr>
    </w:p>
    <w:p>
      <w:pPr>
        <w:ind w:left="1360" w:right="1480" w:firstLine="40"/>
        <w:spacing w:after="0" w:line="286" w:lineRule="auto"/>
        <w:rPr>
          <w:sz w:val="20"/>
          <w:szCs w:val="20"/>
          <w:color w:val="auto"/>
        </w:rPr>
      </w:pPr>
      <w:r>
        <w:rPr>
          <w:rFonts w:ascii="Times New Roman" w:cs="Times New Roman" w:eastAsia="Times New Roman" w:hAnsi="Times New Roman"/>
          <w:sz w:val="16"/>
          <w:szCs w:val="16"/>
          <w:i w:val="1"/>
          <w:iCs w:val="1"/>
          <w:color w:val="auto"/>
        </w:rPr>
        <w:t>Section 2.04. Payment of Principal and Interest</w:t>
      </w:r>
      <w:r>
        <w:rPr>
          <w:rFonts w:ascii="Times New Roman" w:cs="Times New Roman" w:eastAsia="Times New Roman" w:hAnsi="Times New Roman"/>
          <w:sz w:val="16"/>
          <w:szCs w:val="16"/>
          <w:color w:val="auto"/>
        </w:rPr>
        <w:t>. The Borrower shall pay principal and Interest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the Advances as follows:</w:t>
      </w:r>
    </w:p>
    <w:p>
      <w:pPr>
        <w:spacing w:after="0" w:line="128" w:lineRule="exact"/>
        <w:rPr>
          <w:sz w:val="20"/>
          <w:szCs w:val="20"/>
          <w:color w:val="auto"/>
        </w:rPr>
      </w:pPr>
    </w:p>
    <w:p>
      <w:pPr>
        <w:ind w:left="1840" w:right="1400" w:firstLine="44"/>
        <w:spacing w:after="0" w:line="283" w:lineRule="auto"/>
        <w:tabs>
          <w:tab w:leader="none" w:pos="21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the outstanding principal amount of each Advance, together with all accrued and unpaid Interest thereon, shall be payable on the Final Maturity Date.</w:t>
      </w:r>
    </w:p>
    <w:p>
      <w:pPr>
        <w:spacing w:after="0" w:line="131" w:lineRule="exact"/>
        <w:rPr>
          <w:rFonts w:ascii="Times New Roman" w:cs="Times New Roman" w:eastAsia="Times New Roman" w:hAnsi="Times New Roman"/>
          <w:sz w:val="16"/>
          <w:szCs w:val="16"/>
          <w:color w:val="auto"/>
        </w:rPr>
      </w:pPr>
    </w:p>
    <w:p>
      <w:pPr>
        <w:ind w:left="1840" w:right="1420" w:firstLine="44"/>
        <w:spacing w:after="0" w:line="253" w:lineRule="auto"/>
        <w:tabs>
          <w:tab w:leader="none" w:pos="2109"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shall accrue at the applicable Interest Rate on the unpaid principal amount of each Advance from the date of such Advance until such principal amount is paid in full. The Administrative Agent shall determine the unpaid Interest and Commitment Fees payable thereto prior to each Payment Date (using the applicable Interest Rate for each day during the related Interest Accrual Period) to be paid by the Borrower with respect to each Advance on each Payment Date for the related Interest Accrual Period and shall advise the Collateral Manager and the Collateral Administrator thereof on the sixth Business Day prior to such Payment Date. The Administrative Agent shall send a consolidated invoice of all such Interest and Commitment Fees to the Borrower on the Business Day following the Administrative Agent’s receipt of all such information from the Lenders.</w:t>
      </w:r>
    </w:p>
    <w:p>
      <w:pPr>
        <w:spacing w:after="0" w:line="156" w:lineRule="exact"/>
        <w:rPr>
          <w:rFonts w:ascii="Times New Roman" w:cs="Times New Roman" w:eastAsia="Times New Roman" w:hAnsi="Times New Roman"/>
          <w:sz w:val="16"/>
          <w:szCs w:val="16"/>
          <w:color w:val="auto"/>
        </w:rPr>
      </w:pPr>
    </w:p>
    <w:p>
      <w:pPr>
        <w:ind w:left="1840" w:right="1400" w:firstLine="44"/>
        <w:spacing w:after="0" w:line="254" w:lineRule="auto"/>
        <w:tabs>
          <w:tab w:leader="none" w:pos="21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Interest on each Advance shall be payable in arrears (x) on each Payment Date, and (y) in connection with any prepayment in full of the Advances pursuant to Section 2.05(a); provided that (i) with respect to any prepayment in full of the Advances outstanding, accrued Interest on such amount to but excluding the date of prepayment may be payable on such date or as otherwise agreed to between the Lenders and the Borrower and (ii) with respect to any partial prepayment of the Advances outstanding, accrued Interest on such amount to but excluding the date of prepayment shall be payable following such prepayment on the applicable Payment Date for the Collection Period in which such prepayment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643255</wp:posOffset>
            </wp:positionV>
            <wp:extent cx="526605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1" w:name="page172"/>
    <w:bookmarkEnd w:id="171"/>
    <w:p>
      <w:pPr>
        <w:spacing w:after="0" w:line="270" w:lineRule="exact"/>
        <w:rPr>
          <w:sz w:val="20"/>
          <w:szCs w:val="20"/>
          <w:color w:val="auto"/>
        </w:rPr>
      </w:pPr>
    </w:p>
    <w:p>
      <w:pPr>
        <w:ind w:left="1840" w:right="1460" w:firstLine="44"/>
        <w:spacing w:after="0" w:line="255" w:lineRule="auto"/>
        <w:tabs>
          <w:tab w:leader="none" w:pos="2109"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in all cases to Section 2.04(f), the obligation of the Borrower to pay the Obligations, including the obligation of the Borrower to pay the Lenders the outstanding principal amount of the Advances and accrued interest thereon, shall be absolute, unconditional and irrevocable, and shall be paid strictly in accordance with the terms hereof (including Section 2.14), under any and all circumstances and irrespective of any setoff, counterclaim or defense to payment which the Borrower or any other Person may have or have had against any Secured Party or any other Person.</w:t>
      </w:r>
    </w:p>
    <w:p>
      <w:pPr>
        <w:spacing w:after="0" w:line="155" w:lineRule="exact"/>
        <w:rPr>
          <w:rFonts w:ascii="Times New Roman" w:cs="Times New Roman" w:eastAsia="Times New Roman" w:hAnsi="Times New Roman"/>
          <w:sz w:val="16"/>
          <w:szCs w:val="16"/>
          <w:color w:val="auto"/>
        </w:rPr>
      </w:pPr>
    </w:p>
    <w:p>
      <w:pPr>
        <w:ind w:left="1840" w:right="1380" w:firstLine="44"/>
        <w:spacing w:after="0" w:line="254" w:lineRule="auto"/>
        <w:tabs>
          <w:tab w:leader="none" w:pos="21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in all cases to Section 15.03, as a condition to the payment of principal of and Interest on any Advance without the imposition of withholding tax, the Borrower or either Agent may require certification acceptable to it to enable the Borrower and the Agents to determine their duties and liabilities with respect to any taxes or other charges that they may be required to deduct or withhold from payments in respect of such Advance under any present or future law or regulation of the United States and any other applicable jurisdiction, or any present or future law or regulation of any political subdivision thereof or taxing authority therein or to comply with any reporting or other requirements under any such law or regulation.</w:t>
      </w:r>
    </w:p>
    <w:p>
      <w:pPr>
        <w:spacing w:after="0" w:line="154" w:lineRule="exact"/>
        <w:rPr>
          <w:rFonts w:ascii="Times New Roman" w:cs="Times New Roman" w:eastAsia="Times New Roman" w:hAnsi="Times New Roman"/>
          <w:sz w:val="16"/>
          <w:szCs w:val="16"/>
          <w:color w:val="auto"/>
        </w:rPr>
      </w:pPr>
    </w:p>
    <w:p>
      <w:pPr>
        <w:ind w:left="1840" w:right="1380" w:firstLine="44"/>
        <w:spacing w:after="0" w:line="252" w:lineRule="auto"/>
        <w:tabs>
          <w:tab w:leader="none" w:pos="2082"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 of this Agreement, the obligations of the Borrower under this Agreement are limited recourse obligations of the Borrower payable solely from the Collateral and, following realization of the Collateral, and application of the proceeds thereof in accordance with the Priority of Payments and, subject to Section 2.12, all obligations of and any claims against the Borrower hereunder or in connection herewith after such realization shall be extinguished and shall not thereafter revive. No recourse shall be had against any officer, director, employee, shareholder, Affiliate, member, manager, agent, partner, principal or incorporator of the Borrower or their respective successors or assigns for any amounts payable under this Agreement. It is understood that the foregoing provisions of this clause (f) shall not (i) prevent recourse to the Collateral for the sums due or to become due under any security, instrument or agreement which is part of the Collateral or (ii) constitute a waiver, release or discharge of any indebtedness or obligation evidenced by this Agreement until such Collateral has been realized. It is further understood that the foregoing provisions of this clause (f) shall not limit the right of any Person to name the Borrower as a party defendant in any proceeding or in the exercise of any other remedy under this Agreement, so long as no judgment in the nature of a deficiency judgment or seeking personal liability shall be asked for or (if obtained) enforced against the Borrower.</w:t>
      </w:r>
    </w:p>
    <w:p>
      <w:pPr>
        <w:spacing w:after="0" w:line="153" w:lineRule="exact"/>
        <w:rPr>
          <w:sz w:val="20"/>
          <w:szCs w:val="20"/>
          <w:color w:val="auto"/>
        </w:rPr>
      </w:pPr>
    </w:p>
    <w:p>
      <w:pPr>
        <w:ind w:left="1360" w:right="1400" w:firstLine="40"/>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Section 2.05. Prepayment of Advances </w:t>
      </w:r>
      <w:r>
        <w:rPr>
          <w:rFonts w:ascii="Times New Roman" w:cs="Times New Roman" w:eastAsia="Times New Roman" w:hAnsi="Times New Roman"/>
          <w:sz w:val="16"/>
          <w:szCs w:val="16"/>
          <w:color w:val="auto"/>
        </w:rPr>
        <w:t>. (a)</w:t>
      </w:r>
      <w:r>
        <w:rPr>
          <w:rFonts w:ascii="Times New Roman" w:cs="Times New Roman" w:eastAsia="Times New Roman" w:hAnsi="Times New Roman"/>
          <w:sz w:val="16"/>
          <w:szCs w:val="16"/>
          <w:i w:val="1"/>
          <w:iCs w:val="1"/>
          <w:color w:val="auto"/>
        </w:rPr>
        <w:t xml:space="preserve"> Optional Prepayments. </w:t>
      </w:r>
      <w:r>
        <w:rPr>
          <w:rFonts w:ascii="Times New Roman" w:cs="Times New Roman" w:eastAsia="Times New Roman" w:hAnsi="Times New Roman"/>
          <w:sz w:val="16"/>
          <w:szCs w:val="16"/>
          <w:color w:val="auto"/>
        </w:rPr>
        <w:t>The Borrower may,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time to time on any Business Day (and with respect to Advances denominated in Agreed Foreign Currencies, no more than twice per week on any Business Day), voluntarily prepay Advances in whole or in part, without penalty or premium;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Borrower shall have delivered to the Administrative Agent written notice of such prepayment (such notice, a </w:t>
      </w:r>
      <w:r>
        <w:rPr>
          <w:rFonts w:ascii="Times New Roman" w:cs="Times New Roman" w:eastAsia="Times New Roman" w:hAnsi="Times New Roman"/>
          <w:sz w:val="16"/>
          <w:szCs w:val="16"/>
          <w:i w:val="1"/>
          <w:iCs w:val="1"/>
          <w:color w:val="auto"/>
        </w:rPr>
        <w:t>“Notice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Prepayment”</w:t>
      </w:r>
      <w:r>
        <w:rPr>
          <w:rFonts w:ascii="Times New Roman" w:cs="Times New Roman" w:eastAsia="Times New Roman" w:hAnsi="Times New Roman"/>
          <w:sz w:val="16"/>
          <w:szCs w:val="16"/>
          <w:color w:val="auto"/>
        </w:rPr>
        <w:t>) in the form of Exhibit C hereto (i) in the case of a prepayment of a Syndicated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Advance denominated in Dollars, by no later than 2:00 p.m. at least one (1) Business Day prior to the day of such prepayment, (ii) in the case of a prepayment of a Syndicated Advance denominated in an Agreed Foreign Currency, by no later than 2:00 p.m. at least three (3) Business Days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642620</wp:posOffset>
            </wp:positionV>
            <wp:extent cx="526605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2" w:name="page173"/>
    <w:bookmarkEnd w:id="172"/>
    <w:p>
      <w:pPr>
        <w:spacing w:after="0" w:line="270" w:lineRule="exact"/>
        <w:rPr>
          <w:sz w:val="20"/>
          <w:szCs w:val="20"/>
          <w:color w:val="auto"/>
        </w:rPr>
      </w:pPr>
    </w:p>
    <w:p>
      <w:pPr>
        <w:ind w:left="1360" w:right="1360"/>
        <w:spacing w:after="0" w:line="251" w:lineRule="auto"/>
        <w:rPr>
          <w:sz w:val="20"/>
          <w:szCs w:val="20"/>
          <w:color w:val="auto"/>
        </w:rPr>
      </w:pPr>
      <w:r>
        <w:rPr>
          <w:rFonts w:ascii="Times New Roman" w:cs="Times New Roman" w:eastAsia="Times New Roman" w:hAnsi="Times New Roman"/>
          <w:sz w:val="16"/>
          <w:szCs w:val="16"/>
          <w:color w:val="auto"/>
        </w:rPr>
        <w:t xml:space="preserve">the day of such prepayment, and (iii) in the case of a prepayment of a Swingline Advance denominated in Dollars, by no later than 2:00 p.m. on the date of such prepayment,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there shall not be more than two (2) such prepayments during any calendar month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are made in whole or in part with any Interest Proceeds. Any Notice of Prepayment received by the Administrative Agent after 2:00 p.m. shall be deemed received on the next Business Day. Upon receipt of such Notice of Prepayment, the Administrative Agent shall promptly notify each Lender. Each such Notice of Prepayment shall be irrevocable and effective upon the date received and shall be dated the date such notice is given, signed by a Responsible Officer of the Borrower and otherwise appropriately completed. Each prepayment of any Advance by the Borrower pursuant to this Section 2.05(a) shall in each case be in a principal amount of at least $ 500,000 or, if less, the entire outstanding principal amount of the Advances of the Borrower. If a Notice of Prepayment is given by the Borrower, the Borrower shall make such prepayment and the payment amount specified in such notice shall be due and payable on the date specified therein. The Borrower shall make the payment amount specified in such notice by wire transfer of immediately available funds by 11:00 a.m. to the Agent’s Account. The Administrative Agent promptly will make such payment amount specified in such notice available to each Lender in the amount of each Lender’s Percentage of the payment amount by wire transfer to such Lender’s account. Any funds for purposes of a voluntary prepayment received by the Administrative Agent after 11:00 a.m. shall be deemed received on the next Business Day. The Borrower (or the Collateral Manager on its behalf) shall have discretion to determine whether any such prepayment is paid from available Interest Proceeds and/or from available Principal Proceeds. If any such prepayment is to be paid, in whole or in part, from available Interest Proceeds, the aggregate amount of Interest Proceeds which are used to make such prepayment shall not exceed the Excess Interest Proceeds Amount and the Borrower (or the Collateral Manager on its behalf) shall deliver to the Agents an Excess Interest Proceeds Estimate together with the related Notice of Prepayment. For the avoidance of any doubt, the Borrower may only provide a Notice of Prepayment to prepay Advances that are outstanding on the date such Notice of Prepayment is delivered and may not provide a Notice of Prepayment to prepay any future Advances.</w:t>
      </w:r>
    </w:p>
    <w:p>
      <w:pPr>
        <w:spacing w:after="0" w:line="159" w:lineRule="exact"/>
        <w:rPr>
          <w:sz w:val="20"/>
          <w:szCs w:val="20"/>
          <w:color w:val="auto"/>
        </w:rPr>
      </w:pPr>
    </w:p>
    <w:p>
      <w:pPr>
        <w:ind w:left="1360" w:right="1360" w:firstLine="40"/>
        <w:spacing w:after="0" w:line="262" w:lineRule="auto"/>
        <w:tabs>
          <w:tab w:leader="none" w:pos="1633"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Mandatory Prepayments. </w:t>
      </w:r>
      <w:r>
        <w:rPr>
          <w:rFonts w:ascii="Times New Roman" w:cs="Times New Roman" w:eastAsia="Times New Roman" w:hAnsi="Times New Roman"/>
          <w:sz w:val="16"/>
          <w:szCs w:val="16"/>
          <w:color w:val="auto"/>
        </w:rPr>
        <w:t>The Borrower shall prepay the Advances on each Payment Date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manner and to the extent provided in the Priority of Payments. The Borrower shall provide, in each Payment Date Report, notice of the aggregate amounts of Advances that are to be prepaid on the related Payment Date in accordance with the Priority of Payments.</w:t>
      </w:r>
    </w:p>
    <w:p>
      <w:pPr>
        <w:spacing w:after="0" w:line="144" w:lineRule="exact"/>
        <w:rPr>
          <w:rFonts w:ascii="Times New Roman" w:cs="Times New Roman" w:eastAsia="Times New Roman" w:hAnsi="Times New Roman"/>
          <w:sz w:val="16"/>
          <w:szCs w:val="16"/>
          <w:color w:val="auto"/>
        </w:rPr>
      </w:pPr>
    </w:p>
    <w:p>
      <w:pPr>
        <w:ind w:left="1360" w:right="1380" w:firstLine="40"/>
        <w:spacing w:after="0" w:line="259" w:lineRule="auto"/>
        <w:tabs>
          <w:tab w:leader="none" w:pos="1622"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Additional Prepayment Provisions. </w:t>
      </w:r>
      <w:r>
        <w:rPr>
          <w:rFonts w:ascii="Times New Roman" w:cs="Times New Roman" w:eastAsia="Times New Roman" w:hAnsi="Times New Roman"/>
          <w:sz w:val="16"/>
          <w:szCs w:val="16"/>
          <w:color w:val="auto"/>
        </w:rPr>
        <w:t>Each prepayment pursuant to this Section 2.05 shall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subject to Sections 2.04(c) and 2.10 and applied to the Syndicated Advances in accordance with the Lenders’ respective Percentages (unless a Notice of Prepayment is submitted in tandem with a Notice of Borrowing for a Swingline Borrowing, in which case the prepayment shall be applied first to the Swingline Advance).</w:t>
      </w:r>
    </w:p>
    <w:p>
      <w:pPr>
        <w:spacing w:after="0" w:line="147" w:lineRule="exact"/>
        <w:rPr>
          <w:rFonts w:ascii="Times New Roman" w:cs="Times New Roman" w:eastAsia="Times New Roman" w:hAnsi="Times New Roman"/>
          <w:sz w:val="16"/>
          <w:szCs w:val="16"/>
          <w:color w:val="auto"/>
        </w:rPr>
      </w:pPr>
    </w:p>
    <w:p>
      <w:pPr>
        <w:ind w:left="1360" w:right="1420" w:firstLine="40"/>
        <w:spacing w:after="0" w:line="286" w:lineRule="auto"/>
        <w:tabs>
          <w:tab w:leader="none" w:pos="1633"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Interest on Prepaid Advances. </w:t>
      </w:r>
      <w:r>
        <w:rPr>
          <w:rFonts w:ascii="Times New Roman" w:cs="Times New Roman" w:eastAsia="Times New Roman" w:hAnsi="Times New Roman"/>
          <w:sz w:val="16"/>
          <w:szCs w:val="16"/>
          <w:color w:val="auto"/>
        </w:rPr>
        <w:t>If requested by the Administrative Agent, the Borrower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 all accrued and unpaid Interest on Advances prepaid on the date of such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3" w:name="page174"/>
    <w:bookmarkEnd w:id="173"/>
    <w:p>
      <w:pPr>
        <w:spacing w:after="0" w:line="26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i w:val="1"/>
          <w:iCs w:val="1"/>
          <w:color w:val="auto"/>
        </w:rPr>
        <w:t>Section 2.06. Changes of Commitments</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left="1360" w:right="1900" w:firstLine="40"/>
        <w:spacing w:after="0" w:line="268" w:lineRule="auto"/>
        <w:tabs>
          <w:tab w:leader="none" w:pos="1622"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Automatic Reduction and Termination. </w:t>
      </w:r>
      <w:r>
        <w:rPr>
          <w:rFonts w:ascii="Times New Roman" w:cs="Times New Roman" w:eastAsia="Times New Roman" w:hAnsi="Times New Roman"/>
          <w:sz w:val="16"/>
          <w:szCs w:val="16"/>
          <w:color w:val="auto"/>
        </w:rPr>
        <w:t>Subject to the provisions of Section 8.04,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Commitments of all Lenders shall be automatically reduced to zero at 5:00 p.m. on the Commitment Termination Date.</w:t>
      </w:r>
    </w:p>
    <w:p>
      <w:pPr>
        <w:spacing w:after="0" w:line="140" w:lineRule="exact"/>
        <w:rPr>
          <w:rFonts w:ascii="Times New Roman" w:cs="Times New Roman" w:eastAsia="Times New Roman" w:hAnsi="Times New Roman"/>
          <w:sz w:val="16"/>
          <w:szCs w:val="16"/>
          <w:color w:val="auto"/>
        </w:rPr>
      </w:pPr>
    </w:p>
    <w:p>
      <w:pPr>
        <w:ind w:left="1360" w:right="1380" w:firstLine="40"/>
        <w:spacing w:after="0" w:line="253" w:lineRule="auto"/>
        <w:tabs>
          <w:tab w:leader="none" w:pos="1633"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Optional Reductions. </w:t>
      </w:r>
      <w:r>
        <w:rPr>
          <w:rFonts w:ascii="Times New Roman" w:cs="Times New Roman" w:eastAsia="Times New Roman" w:hAnsi="Times New Roman"/>
          <w:sz w:val="16"/>
          <w:szCs w:val="16"/>
          <w:color w:val="auto"/>
        </w:rPr>
        <w:t>Prior to the Commitment Termination Date, the Borrower shall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right to terminate or reduce the unused amount of the Facility Amount at any time or from time to time without any fee or penalty upon not less than five (5) Business Days’ prior notice to the Lenders, Collateral Agent and the Administrative Agent of each such termination or reduction, which notice shall specify the effective date of such termination or reduction and the amount of any such reduction;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the amount of any such reduction of the Facility Amount shall be equal to at least $500,000 or an integral multiple of $100,000 in excess thereof or, if less, the remaining unused portion thereof, and (ii) no such reduction will reduce the Facility Amount below the sum of (x) aggregate principal amount of Advances outstanding (including Swingline Advances) at such time and (y) the Revolving Exposure at such time. Such notice of termination or reduction shall be irrevocable and effective only upon receipt and shall be applied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to reduce the respective Commitments of each Lender.</w:t>
      </w:r>
    </w:p>
    <w:p>
      <w:pPr>
        <w:spacing w:after="0" w:line="154" w:lineRule="exact"/>
        <w:rPr>
          <w:rFonts w:ascii="Times New Roman" w:cs="Times New Roman" w:eastAsia="Times New Roman" w:hAnsi="Times New Roman"/>
          <w:sz w:val="16"/>
          <w:szCs w:val="16"/>
          <w:color w:val="auto"/>
        </w:rPr>
      </w:pPr>
    </w:p>
    <w:p>
      <w:pPr>
        <w:jc w:val="both"/>
        <w:ind w:left="1360" w:right="1560" w:firstLine="40"/>
        <w:spacing w:after="0" w:line="262" w:lineRule="auto"/>
        <w:tabs>
          <w:tab w:leader="none" w:pos="1622"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Effect of Termination or Reduction. </w:t>
      </w:r>
      <w:r>
        <w:rPr>
          <w:rFonts w:ascii="Times New Roman" w:cs="Times New Roman" w:eastAsia="Times New Roman" w:hAnsi="Times New Roman"/>
          <w:sz w:val="16"/>
          <w:szCs w:val="16"/>
          <w:color w:val="auto"/>
        </w:rPr>
        <w:t>The Commitments of the Lenders once terminated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reduced may not be reinstated. Each reduction of the Facility Amount pursuant to this Section 2.06 shall be applied ratably among the Lenders in accordance with their respective Commitments.</w:t>
      </w:r>
    </w:p>
    <w:p>
      <w:pPr>
        <w:spacing w:after="0" w:line="145" w:lineRule="exact"/>
        <w:rPr>
          <w:sz w:val="20"/>
          <w:szCs w:val="20"/>
          <w:color w:val="auto"/>
        </w:rPr>
      </w:pPr>
    </w:p>
    <w:p>
      <w:pPr>
        <w:ind w:left="1360" w:right="1380" w:firstLine="40"/>
        <w:spacing w:after="0" w:line="254" w:lineRule="auto"/>
        <w:rPr>
          <w:sz w:val="20"/>
          <w:szCs w:val="20"/>
          <w:color w:val="auto"/>
        </w:rPr>
      </w:pPr>
      <w:r>
        <w:rPr>
          <w:rFonts w:ascii="Times New Roman" w:cs="Times New Roman" w:eastAsia="Times New Roman" w:hAnsi="Times New Roman"/>
          <w:sz w:val="16"/>
          <w:szCs w:val="16"/>
          <w:i w:val="1"/>
          <w:iCs w:val="1"/>
          <w:color w:val="auto"/>
        </w:rPr>
        <w:t>Section 2.07. Maximum Lawful Rate</w:t>
      </w:r>
      <w:r>
        <w:rPr>
          <w:rFonts w:ascii="Times New Roman" w:cs="Times New Roman" w:eastAsia="Times New Roman" w:hAnsi="Times New Roman"/>
          <w:sz w:val="16"/>
          <w:szCs w:val="16"/>
          <w:color w:val="auto"/>
        </w:rPr>
        <w:t>. It is the intention of the parties hereto that the interest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Advances shall not exceed the maximum rate permissible under Applicable Law. Accordingly, anything herein to the contrary notwithstanding, in the event any interest is charged to, collected from or received from or on behalf of the Borrower by the Lenders pursuant hereto or thereto in excess of such maximum lawful rate, then the excess of such payment over that maximum shall be applied first to the payment of amounts then due and owing by the Borrower to the Secured Parties under this Agreement (other than in respect of principal of and interest on the Advances) and then to the reduction of the outstanding principal amount of the Advances of the Borrower.</w:t>
      </w:r>
    </w:p>
    <w:p>
      <w:pPr>
        <w:spacing w:after="0" w:line="154" w:lineRule="exact"/>
        <w:rPr>
          <w:sz w:val="20"/>
          <w:szCs w:val="20"/>
          <w:color w:val="auto"/>
        </w:rPr>
      </w:pPr>
    </w:p>
    <w:p>
      <w:pPr>
        <w:ind w:left="1360" w:right="1420" w:firstLine="40"/>
        <w:spacing w:after="0" w:line="259" w:lineRule="auto"/>
        <w:rPr>
          <w:sz w:val="20"/>
          <w:szCs w:val="20"/>
          <w:color w:val="auto"/>
        </w:rPr>
      </w:pPr>
      <w:r>
        <w:rPr>
          <w:rFonts w:ascii="Times New Roman" w:cs="Times New Roman" w:eastAsia="Times New Roman" w:hAnsi="Times New Roman"/>
          <w:sz w:val="16"/>
          <w:szCs w:val="16"/>
          <w:i w:val="1"/>
          <w:iCs w:val="1"/>
          <w:color w:val="auto"/>
        </w:rPr>
        <w:t>Section 2.08. Several Obligations</w:t>
      </w:r>
      <w:r>
        <w:rPr>
          <w:rFonts w:ascii="Times New Roman" w:cs="Times New Roman" w:eastAsia="Times New Roman" w:hAnsi="Times New Roman"/>
          <w:sz w:val="16"/>
          <w:szCs w:val="16"/>
          <w:color w:val="auto"/>
        </w:rPr>
        <w:t>. The failure of any Lender to make any Advance to be made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it on the date specified therefor shall not relieve any other Lender of its obligation to make its Advance on such date, neither Agent shall be responsible for the failure of any Lender to make any Advance, and no Lender shall be responsible for the failure of any other Lender to make an Advance to be made by such other Lender.</w:t>
      </w:r>
    </w:p>
    <w:p>
      <w:pPr>
        <w:spacing w:after="0" w:line="147" w:lineRule="exact"/>
        <w:rPr>
          <w:sz w:val="20"/>
          <w:szCs w:val="20"/>
          <w:color w:val="auto"/>
        </w:rPr>
      </w:pPr>
    </w:p>
    <w:p>
      <w:pPr>
        <w:ind w:left="1360" w:right="1460" w:firstLine="40"/>
        <w:spacing w:after="0" w:line="256" w:lineRule="auto"/>
        <w:rPr>
          <w:sz w:val="20"/>
          <w:szCs w:val="20"/>
          <w:color w:val="auto"/>
        </w:rPr>
      </w:pPr>
      <w:r>
        <w:rPr>
          <w:rFonts w:ascii="Times New Roman" w:cs="Times New Roman" w:eastAsia="Times New Roman" w:hAnsi="Times New Roman"/>
          <w:sz w:val="16"/>
          <w:szCs w:val="16"/>
          <w:i w:val="1"/>
          <w:iCs w:val="1"/>
          <w:color w:val="auto"/>
        </w:rPr>
        <w:t>Section 2.09. Increased Costs</w:t>
      </w:r>
      <w:r>
        <w:rPr>
          <w:rFonts w:ascii="Times New Roman" w:cs="Times New Roman" w:eastAsia="Times New Roman" w:hAnsi="Times New Roman"/>
          <w:sz w:val="16"/>
          <w:szCs w:val="16"/>
          <w:color w:val="auto"/>
        </w:rPr>
        <w:t>. (a) Except with respect to taxes, which shall be governed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exclusively by Section 15.03, if, due to either (i) the introduction of or any change in or in the interpretation, application or implementation of any Applicable Law or GAAP or other applicable accounting policy after the date hereof, or (ii) the compliance with any guideline or change in the interpretation, application or implementation of any guideline or request from any central bank or other Governmental Authority (whether or not having the force of law) after the date hereof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641350</wp:posOffset>
            </wp:positionV>
            <wp:extent cx="526605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4" w:name="page175"/>
    <w:bookmarkEnd w:id="174"/>
    <w:p>
      <w:pPr>
        <w:spacing w:after="0" w:line="26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i w:val="1"/>
          <w:iCs w:val="1"/>
          <w:color w:val="auto"/>
        </w:rPr>
        <w:t>“Regulatory Change”</w:t>
      </w:r>
      <w:r>
        <w:rPr>
          <w:rFonts w:ascii="Times New Roman" w:cs="Times New Roman" w:eastAsia="Times New Roman" w:hAnsi="Times New Roman"/>
          <w:sz w:val="16"/>
          <w:szCs w:val="16"/>
          <w:color w:val="auto"/>
        </w:rPr>
        <w:t>), there shall be any increase in the cost to any Affected Person of agreeing</w:t>
      </w:r>
    </w:p>
    <w:p>
      <w:pPr>
        <w:spacing w:after="0" w:line="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to make or making, funding or maintaining Advances to the Borrower, then the Borrower shall</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from time to time, on the Payment Dates, following such Affected Person’s demand, pay in</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accordance with the Priority of Payments such Affected Person such additional amounts as may</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be sufficient to compensate such Affected Person for such increased cost. A certificate setting</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forth in reasonable detail the amount of such increased cost, submitted to the Borrower by an</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Affected Person (with a copy to the Agents), shall be conclusive and binding for all purposes,</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absent manifest error. Notwithstanding anything herein to the contrary, each of (i) the</w:t>
      </w:r>
    </w:p>
    <w:p>
      <w:pPr>
        <w:spacing w:after="0" w:line="8" w:lineRule="exact"/>
        <w:rPr>
          <w:sz w:val="20"/>
          <w:szCs w:val="20"/>
          <w:color w:val="auto"/>
        </w:rPr>
      </w:pPr>
    </w:p>
    <w:p>
      <w:pPr>
        <w:ind w:left="1360"/>
        <w:spacing w:after="0" w:line="184" w:lineRule="exact"/>
        <w:rPr>
          <w:sz w:val="20"/>
          <w:szCs w:val="20"/>
          <w:color w:val="auto"/>
        </w:rPr>
      </w:pPr>
      <w:r>
        <w:rPr>
          <w:rFonts w:ascii="Times New Roman" w:cs="Times New Roman" w:eastAsia="Times New Roman" w:hAnsi="Times New Roman"/>
          <w:sz w:val="16"/>
          <w:szCs w:val="16"/>
          <w:color w:val="auto"/>
        </w:rPr>
        <w:t>Dodd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Frank Wall Street Reform and Consumer Protection Act, as amended, and all rules and</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regulations promulgated thereunder or issued in connection therewith and (ii) all requests, rules,</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guidelines or directives promulgated by the Bank for International Settlements, the Basel</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Committee on Banking Supervision (or any successor or similar authority) or the United States of</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America or foreign regulatory authorities, in each case pursuant to Basel II or Basel III, and in</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each case all rules and regulations promulgated thereunder or issued in connection therewith shall</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be deemed to have been introduced after the Closing Date, thereby constituting a Regulatory</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Change hereunder with respect to the Affected Parties as of the Closing Date, regardless of the</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date enacted, adopted or issued.</w:t>
      </w:r>
    </w:p>
    <w:p>
      <w:pPr>
        <w:spacing w:after="0" w:line="171" w:lineRule="exact"/>
        <w:rPr>
          <w:sz w:val="20"/>
          <w:szCs w:val="20"/>
          <w:color w:val="auto"/>
        </w:rPr>
      </w:pPr>
    </w:p>
    <w:p>
      <w:pPr>
        <w:ind w:left="1360" w:right="1360" w:firstLine="40"/>
        <w:spacing w:after="0" w:line="252" w:lineRule="auto"/>
        <w:tabs>
          <w:tab w:leader="none" w:pos="1629"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 Affected Person determines that compliance with any Applicable Law or request from any central bank or other Governmental Authority charged with the interpretation or administration thereof (whether or not having the force of law), in each case, introduced or made after the date hereof (i) affects the amount of capital or liquidity required to be maintained by such Affected Person and that the amount of such capital or liquidity is increased by or based upon the existence of such Affected Person’s Commitment under this Agreement or upon such Affected Person’s making, funding or maintaining Advances or (ii) reduces the rate of return of an Affected Person to a level below that which such Affected Person could have achieved but for such compliance (taking into consideration such Affected Person’s policies with respect to capital adequacy and liquidity), then the Borrower shall from time to time, on the Payment Dates, following such Affected Person’s demand, pay in accordance with the Priority of Payments such additional amounts which are sufficient to compensate such Affected Person for such increase in capital or liquidity or reduced return. If any Affected Person becomes entitled to claim any additional amounts pursuant to this Section 2.09(b), it shall promptly notify the Borrower (with a copy to the Agents) of the event by reason of which it has become so entitled. A certificate setting forth in reasonable detail such amounts submitted to the Borrower by an Affected Person shall be conclusive and binding for all purposes, absent manifest error.</w:t>
      </w:r>
    </w:p>
    <w:p>
      <w:pPr>
        <w:spacing w:after="0" w:line="156" w:lineRule="exact"/>
        <w:rPr>
          <w:rFonts w:ascii="Times New Roman" w:cs="Times New Roman" w:eastAsia="Times New Roman" w:hAnsi="Times New Roman"/>
          <w:sz w:val="16"/>
          <w:szCs w:val="16"/>
          <w:color w:val="auto"/>
        </w:rPr>
      </w:pPr>
    </w:p>
    <w:p>
      <w:pPr>
        <w:ind w:left="1360" w:right="1480" w:firstLine="40"/>
        <w:spacing w:after="0" w:line="254" w:lineRule="auto"/>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occurrence of any event giving rise to the Borrower’s obligation to pay additional amounts to a Lender pursuant to clauses (a) or (b) of this Section 2.09, such Lender will, if requested by the Borrower, use reasonable efforts (subject to overall policy considerations of such Lender) to designate a different lending office if such designation would reduce or obviate the obligations of the Borrower to make future payments of such additional amounts;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643255</wp:posOffset>
            </wp:positionV>
            <wp:extent cx="526605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5" w:name="page176"/>
    <w:bookmarkEnd w:id="175"/>
    <w:p>
      <w:pPr>
        <w:spacing w:after="0" w:line="270" w:lineRule="exact"/>
        <w:rPr>
          <w:sz w:val="20"/>
          <w:szCs w:val="20"/>
          <w:color w:val="auto"/>
        </w:rPr>
      </w:pPr>
    </w:p>
    <w:p>
      <w:pPr>
        <w:ind w:left="1360" w:right="1920" w:firstLine="40"/>
        <w:spacing w:after="0" w:line="283" w:lineRule="auto"/>
        <w:tabs>
          <w:tab w:leader="none" w:pos="1629"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payment of amounts under this Section 2.09 shall be free and clear of any Taxes determined in accordance with Section 15.03.</w:t>
      </w:r>
    </w:p>
    <w:p>
      <w:pPr>
        <w:spacing w:after="0" w:line="12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i w:val="1"/>
          <w:iCs w:val="1"/>
          <w:color w:val="auto"/>
        </w:rPr>
        <w:t>Section 2.10. Compensation; Breakage Payments</w:t>
      </w:r>
      <w:r>
        <w:rPr>
          <w:rFonts w:ascii="Times New Roman" w:cs="Times New Roman" w:eastAsia="Times New Roman" w:hAnsi="Times New Roman"/>
          <w:sz w:val="16"/>
          <w:szCs w:val="16"/>
          <w:color w:val="auto"/>
        </w:rPr>
        <w:t>. The Borrower agrees to compensate each</w:t>
      </w:r>
    </w:p>
    <w:p>
      <w:pPr>
        <w:spacing w:after="0" w:line="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Affected Person from time to time, on the Payment Dates, following such Affected Person’s</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written request (which request shall set forth the basis for requesting such amounts), in</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accordance with the Priority of Payments for all reasonable losses, expenses and liabilities</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(including any interest paid by such Affected Person to lenders of funds borrowed to make or</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carry an Advance and any loss sustained by such Affected Person in connection with the</w:t>
      </w:r>
    </w:p>
    <w:p>
      <w:pPr>
        <w:spacing w:after="0" w:line="8" w:lineRule="exact"/>
        <w:rPr>
          <w:sz w:val="20"/>
          <w:szCs w:val="20"/>
          <w:color w:val="auto"/>
        </w:rPr>
      </w:pPr>
    </w:p>
    <w:p>
      <w:pPr>
        <w:ind w:left="1360"/>
        <w:spacing w:after="0" w:line="184" w:lineRule="exact"/>
        <w:rPr>
          <w:sz w:val="20"/>
          <w:szCs w:val="20"/>
          <w:color w:val="auto"/>
        </w:rPr>
      </w:pPr>
      <w:r>
        <w:rPr>
          <w:rFonts w:ascii="Times New Roman" w:cs="Times New Roman" w:eastAsia="Times New Roman" w:hAnsi="Times New Roman"/>
          <w:sz w:val="16"/>
          <w:szCs w:val="16"/>
          <w:color w:val="auto"/>
        </w:rPr>
        <w:t>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employment of such funds but excluding loss of anticipated profits), which such Affected</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Person may sustain: (i) if for any reason (including any failure of a condition precedent set forth</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in Article III but excluding a default by the applicable Lender) a Borrowing of any Advance by</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the Borrower does not occur on the Borrowing Date specified therefor in the applicable Notice of</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Borrowing delivered by the Borrower, (ii) if any payment, prepayment or conversion of any of</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the Borrower’s Advances occurs on a date that is not the last day of the relevant Interest Accrual</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Period, (iii) if any payment or prepayment of any Advance is not made on any date specified in a</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Notice of Prepayment given by the Borrower or (iv) as a consequence of any other default by the</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Borrower to repay its Advances when required by the terms of this Agreement. In the case of a</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Term Benchmark Advance, the loss to any Lender attributable to such event shall be deemed to</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include an amount determined by such Lender to be equal to the excess, if any, of</w:t>
      </w:r>
    </w:p>
    <w:p>
      <w:pPr>
        <w:spacing w:after="0" w:line="171" w:lineRule="exact"/>
        <w:rPr>
          <w:sz w:val="20"/>
          <w:szCs w:val="20"/>
          <w:color w:val="auto"/>
        </w:rPr>
      </w:pPr>
    </w:p>
    <w:p>
      <w:pPr>
        <w:ind w:left="1360" w:right="1360" w:firstLine="80"/>
        <w:spacing w:after="0" w:line="255" w:lineRule="auto"/>
        <w:tabs>
          <w:tab w:leader="none" w:pos="163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 of interest that such Lender would pay for a deposit equal to the principal amount of such Advance denominated in the Currency of such Advance for the period from the date of such payment, conversion, failure or assignment to the last day of the then current Interest Accrual Period for such Advance (or, in the case of a failure to borrow, convert or continue, the duration of the Interest Accrual Period that would have resulted from such borrowing, conversion or continuation) if the interest rate payable on such deposit were equal to the Adjusted Term Benchmark Rate for such Currency for such Interest Accrual Period, </w:t>
      </w:r>
      <w:r>
        <w:rPr>
          <w:rFonts w:ascii="Times New Roman" w:cs="Times New Roman" w:eastAsia="Times New Roman" w:hAnsi="Times New Roman"/>
          <w:sz w:val="16"/>
          <w:szCs w:val="16"/>
          <w:i w:val="1"/>
          <w:iCs w:val="1"/>
          <w:color w:val="auto"/>
        </w:rPr>
        <w:t>over</w:t>
      </w:r>
    </w:p>
    <w:p>
      <w:pPr>
        <w:spacing w:after="0" w:line="155" w:lineRule="exact"/>
        <w:rPr>
          <w:rFonts w:ascii="Times New Roman" w:cs="Times New Roman" w:eastAsia="Times New Roman" w:hAnsi="Times New Roman"/>
          <w:sz w:val="16"/>
          <w:szCs w:val="16"/>
          <w:color w:val="auto"/>
        </w:rPr>
      </w:pPr>
    </w:p>
    <w:p>
      <w:pPr>
        <w:ind w:left="1360" w:right="1360" w:firstLine="80"/>
        <w:spacing w:after="0" w:line="258" w:lineRule="auto"/>
        <w:tabs>
          <w:tab w:leader="none" w:pos="1678"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market for the applicable Term Benchmark Rate at the commencement of such period.</w:t>
      </w:r>
    </w:p>
    <w:p>
      <w:pPr>
        <w:spacing w:after="0" w:line="151" w:lineRule="exact"/>
        <w:rPr>
          <w:sz w:val="20"/>
          <w:szCs w:val="20"/>
          <w:color w:val="auto"/>
        </w:rPr>
      </w:pPr>
    </w:p>
    <w:p>
      <w:pPr>
        <w:jc w:val="both"/>
        <w:ind w:left="1360" w:right="1420"/>
        <w:spacing w:after="0" w:line="261" w:lineRule="auto"/>
        <w:rPr>
          <w:sz w:val="20"/>
          <w:szCs w:val="20"/>
          <w:color w:val="auto"/>
        </w:rPr>
      </w:pPr>
      <w:r>
        <w:rPr>
          <w:rFonts w:ascii="Times New Roman" w:cs="Times New Roman" w:eastAsia="Times New Roman" w:hAnsi="Times New Roman"/>
          <w:sz w:val="16"/>
          <w:szCs w:val="16"/>
          <w:color w:val="auto"/>
        </w:rPr>
        <w:t>A certificate as to any amounts payable pursuant to this Section 2.10 submitted to the Borrower by any Lender (with a copy to the Agents, and accompanied by a reasonably detailed calculation of such amounts and a description of the basis for requesting such amounts) shall be conclusive in the absence of manifest error.</w:t>
      </w:r>
    </w:p>
    <w:p>
      <w:pPr>
        <w:spacing w:after="0" w:line="1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i w:val="1"/>
          <w:iCs w:val="1"/>
          <w:color w:val="auto"/>
        </w:rPr>
        <w:t>Section 2.11. Illegality; Inability to Determine Rates</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left="1360" w:right="1560" w:firstLine="40"/>
        <w:spacing w:after="0" w:line="268" w:lineRule="auto"/>
        <w:tabs>
          <w:tab w:leader="none" w:pos="1622"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Temporary Inability</w:t>
      </w:r>
      <w:r>
        <w:rPr>
          <w:rFonts w:ascii="Times New Roman" w:cs="Times New Roman" w:eastAsia="Times New Roman" w:hAnsi="Times New Roman"/>
          <w:sz w:val="16"/>
          <w:szCs w:val="16"/>
          <w:color w:val="auto"/>
        </w:rPr>
        <w:t>. If prior to the commencement of any Interest Accrual Period for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 Benchmark Borrowing of a Class or at any time for a RFR Borrowing (the Currency of such Borrowing herein called the “</w:t>
      </w:r>
      <w:r>
        <w:rPr>
          <w:rFonts w:ascii="Times New Roman" w:cs="Times New Roman" w:eastAsia="Times New Roman" w:hAnsi="Times New Roman"/>
          <w:sz w:val="16"/>
          <w:szCs w:val="16"/>
          <w:i w:val="1"/>
          <w:iCs w:val="1"/>
          <w:color w:val="auto"/>
        </w:rPr>
        <w:t>Affected Currency</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635000</wp:posOffset>
            </wp:positionV>
            <wp:extent cx="526605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6" w:name="page177"/>
    <w:bookmarkEnd w:id="176"/>
    <w:p>
      <w:pPr>
        <w:spacing w:after="0" w:line="270" w:lineRule="exact"/>
        <w:rPr>
          <w:sz w:val="20"/>
          <w:szCs w:val="20"/>
          <w:color w:val="auto"/>
        </w:rPr>
      </w:pPr>
    </w:p>
    <w:p>
      <w:pPr>
        <w:ind w:left="1980" w:right="1480" w:firstLine="46"/>
        <w:spacing w:after="0" w:line="258" w:lineRule="auto"/>
        <w:tabs>
          <w:tab w:leader="none" w:pos="2213"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or Liquidity Bank shall have notified the Administrative Agent of a determination by such Lender or Liquidity Bank or any of its assignees or participants that it would be contrary to law or to the directive of any central bank or other governmental authority (whether or not having the force of law) to obtain such Affected Currency to fund any Advance;</w:t>
      </w:r>
    </w:p>
    <w:p>
      <w:pPr>
        <w:spacing w:after="0" w:line="151" w:lineRule="exact"/>
        <w:rPr>
          <w:rFonts w:ascii="Times New Roman" w:cs="Times New Roman" w:eastAsia="Times New Roman" w:hAnsi="Times New Roman"/>
          <w:sz w:val="16"/>
          <w:szCs w:val="16"/>
          <w:color w:val="auto"/>
        </w:rPr>
      </w:pPr>
    </w:p>
    <w:p>
      <w:pPr>
        <w:ind w:left="1980" w:right="1440" w:firstLine="46"/>
        <w:spacing w:after="0" w:line="254" w:lineRule="auto"/>
        <w:tabs>
          <w:tab w:leader="none" w:pos="2258"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in the case of a Term Benchmark Borrowing, the Administrative Agent shall have determined (which determination shall be conclusive and binding upon the Borrower absent manifest error) that adequate and reasonable means do not exist for ascertaining the Adjusted Term Benchmark Rate for the Affected Currency (including, without limitation, because the applicable Screen Rate is not available or published on a current basis) for such Interest Accrual Period, or (B) in the case of a RFR Borrowing, the Administrative Agent determines that adequate and reasonable means do not exist for ascertaining the Daily Simple RFR for the Affected Currency; or</w:t>
      </w:r>
    </w:p>
    <w:p>
      <w:pPr>
        <w:spacing w:after="0" w:line="157" w:lineRule="exact"/>
        <w:rPr>
          <w:rFonts w:ascii="Times New Roman" w:cs="Times New Roman" w:eastAsia="Times New Roman" w:hAnsi="Times New Roman"/>
          <w:sz w:val="16"/>
          <w:szCs w:val="16"/>
          <w:color w:val="auto"/>
        </w:rPr>
      </w:pPr>
    </w:p>
    <w:p>
      <w:pPr>
        <w:ind w:left="1980" w:right="1380" w:firstLine="46"/>
        <w:spacing w:after="0" w:line="254" w:lineRule="auto"/>
        <w:tabs>
          <w:tab w:leader="none" w:pos="2303"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in the case of a Term Benchmark Borrowing, the Administrative Agent shall have received notice from the Required Lenders of such Class of Commitments that the Adjusted Term Benchmark Rate for the Affected Currency for such Interest Accrual Period will not adequately and fairly reflect the cost to such Lenders of making or maintaining their respective Advances included in such Borrowing for such Interest Accrual Period or (B) in the case of a RFR Borrowing, the Administrative Agent shall have received notice from the Required Lenders that the Daily Simple RFR for the Affected Currency will not adequately and fairly reflect the cost to such Lenders of making or maintaining the Advances included in such RFR Borrowing;</w:t>
      </w:r>
    </w:p>
    <w:p>
      <w:pPr>
        <w:spacing w:after="0" w:line="154" w:lineRule="exact"/>
        <w:rPr>
          <w:sz w:val="20"/>
          <w:szCs w:val="20"/>
          <w:color w:val="auto"/>
        </w:rPr>
      </w:pPr>
    </w:p>
    <w:p>
      <w:pPr>
        <w:ind w:left="1360" w:right="1380" w:firstLine="81"/>
        <w:spacing w:after="0" w:line="252" w:lineRule="auto"/>
        <w:rPr>
          <w:sz w:val="20"/>
          <w:szCs w:val="20"/>
          <w:color w:val="auto"/>
        </w:rPr>
      </w:pPr>
      <w:r>
        <w:rPr>
          <w:rFonts w:ascii="Times New Roman" w:cs="Times New Roman" w:eastAsia="Times New Roman" w:hAnsi="Times New Roman"/>
          <w:sz w:val="16"/>
          <w:szCs w:val="16"/>
          <w:color w:val="auto"/>
        </w:rPr>
        <w:t>then the Administrative Agent shall give written notice thereof (or telephonic notice, promptly confirmed in writing) to the Borrower and the affected Lenders as promptly as practicable thereafter. Until the Administrative Agent shall notify the Borrower and the Lenders that the circumstances giving rise to such notice no longer exist, (i) if the Affected Currency is Dollars and any Notice of Borrowing requests a Term Benchmark Borrowing denominated in Dollars, such Borrowing shall be made as a Base Rate Syndicated Borrowing and (ii) if the Affected Currency is an Agreed Foreign Currency, then either, at the Borrower’s election, (A) any Notice of Borrowing that requests a Term Benchmark Borrowing or RFR Borrowing denominated in the Affected Currency shall be ineffective, or (B) the Term Benchmark Rate for such Term Benchmark Borrowing or the Daily Simple RFR for such RFR Borrowing shall be a rate quoted as being representative of the cost to each Lender to fund its pro rata share of such Borrowing (from whatever source and using whatever representative methodologies as such Lender may select in its reasonable discretion), which each Lender shall provide to the Administrative Agent, and the Administrative Agent shall provide to the Borrower, within five (5) Business Days of the Borrower’s request to the Administrative Agent therefor; provided that any rate provided under this clause (B) shall expire, to the extent the Borrower has not elected to use such rate, on the date that is five (5) Business Days after the delivery by the Administrative Agent thereof.</w:t>
      </w:r>
    </w:p>
    <w:p>
      <w:pPr>
        <w:spacing w:after="0" w:line="154" w:lineRule="exact"/>
        <w:rPr>
          <w:sz w:val="20"/>
          <w:szCs w:val="20"/>
          <w:color w:val="auto"/>
        </w:rPr>
      </w:pPr>
    </w:p>
    <w:p>
      <w:pPr>
        <w:ind w:left="1360" w:right="1380" w:firstLine="40"/>
        <w:spacing w:after="0" w:line="268" w:lineRule="auto"/>
        <w:tabs>
          <w:tab w:leader="none" w:pos="1669"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w:t>
      </w:r>
      <w:r>
        <w:rPr>
          <w:rFonts w:ascii="Times New Roman" w:cs="Times New Roman" w:eastAsia="Times New Roman" w:hAnsi="Times New Roman"/>
          <w:sz w:val="16"/>
          <w:szCs w:val="16"/>
          <w:i w:val="1"/>
          <w:iCs w:val="1"/>
          <w:color w:val="auto"/>
        </w:rPr>
        <w:t>Benchmark Replacement</w:t>
      </w:r>
      <w:r>
        <w:rPr>
          <w:rFonts w:ascii="Times New Roman" w:cs="Times New Roman" w:eastAsia="Times New Roman" w:hAnsi="Times New Roman"/>
          <w:sz w:val="16"/>
          <w:szCs w:val="16"/>
          <w:color w:val="auto"/>
        </w:rPr>
        <w:t>. Notwithstanding anything to the contrary herein or in any other Facility Document, if a Benchmark Transition Event or an Early Opt-in Election, as applicable, and its related Benchmark Replacement Date have occurred prior to any setting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635000</wp:posOffset>
            </wp:positionV>
            <wp:extent cx="526605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7" w:name="page178"/>
    <w:bookmarkEnd w:id="177"/>
    <w:p>
      <w:pPr>
        <w:spacing w:after="0" w:line="270" w:lineRule="exact"/>
        <w:rPr>
          <w:sz w:val="20"/>
          <w:szCs w:val="20"/>
          <w:color w:val="auto"/>
        </w:rPr>
      </w:pPr>
    </w:p>
    <w:p>
      <w:pPr>
        <w:ind w:left="1360" w:right="1400"/>
        <w:spacing w:after="0" w:line="252" w:lineRule="auto"/>
        <w:rPr>
          <w:sz w:val="20"/>
          <w:szCs w:val="20"/>
          <w:color w:val="auto"/>
        </w:rPr>
      </w:pPr>
      <w:r>
        <w:rPr>
          <w:rFonts w:ascii="Times New Roman" w:cs="Times New Roman" w:eastAsia="Times New Roman" w:hAnsi="Times New Roman"/>
          <w:sz w:val="16"/>
          <w:szCs w:val="16"/>
          <w:color w:val="auto"/>
        </w:rPr>
        <w:t>then-current Benchmark for a Currency, then (x) if a Benchmark Replacement for such Currency is determined in accordance with clause (1) of the definition of “Benchmark Replacement” for such Benchmark Replacement Date, such Benchmark Replacement will replace such Benchmark for all purposes hereunder and under any Facility Document in respect of such Benchmark setting and subsequent Benchmark settings without any amendment to, or further action or consent of any other party to, this Agreement or any other Facility Document and (y) if a Benchmark Replacement is determined in accordance with clause (2) of the definition of “Benchmark Replacement” for such Benchmark Replacement Date, such Benchmark Replacement will replace such Benchmark for such Currency for all purposes hereunder and under any Facility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Facility Document so long as the Administrative Agent has not received, by such time, written notice of objection to such Benchmark Replacement from Lenders comprising the Required Lenders.</w:t>
      </w:r>
    </w:p>
    <w:p>
      <w:pPr>
        <w:spacing w:after="0" w:line="157" w:lineRule="exact"/>
        <w:rPr>
          <w:sz w:val="20"/>
          <w:szCs w:val="20"/>
          <w:color w:val="auto"/>
        </w:rPr>
      </w:pPr>
    </w:p>
    <w:p>
      <w:pPr>
        <w:ind w:left="1640" w:hanging="240"/>
        <w:spacing w:after="0"/>
        <w:tabs>
          <w:tab w:leader="none" w:pos="164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Reserved</w:t>
      </w:r>
      <w:r>
        <w:rPr>
          <w:rFonts w:ascii="Times New Roman" w:cs="Times New Roman" w:eastAsia="Times New Roman" w:hAnsi="Times New Roman"/>
          <w:sz w:val="16"/>
          <w:szCs w:val="16"/>
          <w:color w:val="auto"/>
        </w:rPr>
        <w:t>.</w:t>
      </w:r>
    </w:p>
    <w:p>
      <w:pPr>
        <w:spacing w:after="0" w:line="189" w:lineRule="exact"/>
        <w:rPr>
          <w:rFonts w:ascii="Times New Roman" w:cs="Times New Roman" w:eastAsia="Times New Roman" w:hAnsi="Times New Roman"/>
          <w:sz w:val="16"/>
          <w:szCs w:val="16"/>
          <w:color w:val="auto"/>
        </w:rPr>
      </w:pPr>
    </w:p>
    <w:p>
      <w:pPr>
        <w:ind w:left="1360" w:right="1420" w:firstLine="40"/>
        <w:spacing w:after="0" w:line="256" w:lineRule="auto"/>
        <w:tabs>
          <w:tab w:leader="none" w:pos="1683"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Benchmark Replacement Conforming Changes</w:t>
      </w:r>
      <w:r>
        <w:rPr>
          <w:rFonts w:ascii="Times New Roman" w:cs="Times New Roman" w:eastAsia="Times New Roman" w:hAnsi="Times New Roman"/>
          <w:sz w:val="16"/>
          <w:szCs w:val="16"/>
          <w:color w:val="auto"/>
        </w:rPr>
        <w:t>. In connection with the use, administration,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adoption, or implementation of a Benchmark Replacement, the Administrative Agent will have the right to make Benchmark Replacement Conforming Changes from time to time and, notwithstanding anything to the contrary herein or in any other Facility Document, any amendments implementing such Benchmark Replacement Conforming Changes will become effective without any further action or consent of any other party to this Agreement or any other Facility Document.</w:t>
      </w:r>
    </w:p>
    <w:p>
      <w:pPr>
        <w:spacing w:after="0" w:line="149" w:lineRule="exact"/>
        <w:rPr>
          <w:rFonts w:ascii="Times New Roman" w:cs="Times New Roman" w:eastAsia="Times New Roman" w:hAnsi="Times New Roman"/>
          <w:sz w:val="16"/>
          <w:szCs w:val="16"/>
          <w:color w:val="auto"/>
        </w:rPr>
      </w:pPr>
    </w:p>
    <w:p>
      <w:pPr>
        <w:ind w:left="1360" w:right="1380" w:firstLine="40"/>
        <w:spacing w:after="0" w:line="252" w:lineRule="auto"/>
        <w:tabs>
          <w:tab w:leader="none" w:pos="1673"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Notices; Standards for Decisions and Determinations</w:t>
      </w:r>
      <w:r>
        <w:rPr>
          <w:rFonts w:ascii="Times New Roman" w:cs="Times New Roman" w:eastAsia="Times New Roman" w:hAnsi="Times New Roman"/>
          <w:sz w:val="16"/>
          <w:szCs w:val="16"/>
          <w:color w:val="auto"/>
        </w:rPr>
        <w:t>. The Administrative Agent will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promptly notify the Borrower and the Lenders of (a) the implementation of any Benchmark Replacement, and (b) the effectiveness of any Benchmark Replacement Conforming Changes in connection with the use, administration, adoption or implementation of a Benchmark Replacement. The Administrative Agent will notify the Borrower of (x) the removal or reinstatement of any tenor of a Benchmark pursuant to clause (v) below and (y) the commencement of any Benchmark Unavailability Period. Any determination, decision or election that may be made by the Administrative Agent or, if applicable, any Lender (or group of Lenders) pursuant to this Section 2.11,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Facility Document, except, in each case, as expressly required pursuant to this Section.</w:t>
      </w:r>
    </w:p>
    <w:p>
      <w:pPr>
        <w:spacing w:after="0" w:line="160" w:lineRule="exact"/>
        <w:rPr>
          <w:rFonts w:ascii="Times New Roman" w:cs="Times New Roman" w:eastAsia="Times New Roman" w:hAnsi="Times New Roman"/>
          <w:sz w:val="16"/>
          <w:szCs w:val="16"/>
          <w:color w:val="auto"/>
        </w:rPr>
      </w:pPr>
    </w:p>
    <w:p>
      <w:pPr>
        <w:ind w:left="1360" w:right="1360" w:firstLine="40"/>
        <w:spacing w:after="0" w:line="259" w:lineRule="auto"/>
        <w:tabs>
          <w:tab w:leader="none" w:pos="1633"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Unavailability of Tenor of Benchmark</w:t>
      </w:r>
      <w:r>
        <w:rPr>
          <w:rFonts w:ascii="Times New Roman" w:cs="Times New Roman" w:eastAsia="Times New Roman" w:hAnsi="Times New Roman"/>
          <w:sz w:val="16"/>
          <w:szCs w:val="16"/>
          <w:color w:val="auto"/>
        </w:rPr>
        <w:t>. Notwithstanding anything to the contrary herein or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other Facility Document, at any time (including in connection with the implementation of a Benchmark Replacement), (i) if the then-current Benchmark for a Currency is a term rate (including Term SOFR Reference Rate, the Term CORRA Reference Rate or the applicable Adjusted Term Benchmark Rate) and either (A) any tenor for such Benchmark 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639445</wp:posOffset>
            </wp:positionV>
            <wp:extent cx="526605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8" w:name="page179"/>
    <w:bookmarkEnd w:id="178"/>
    <w:p>
      <w:pPr>
        <w:spacing w:after="0" w:line="270" w:lineRule="exact"/>
        <w:rPr>
          <w:sz w:val="20"/>
          <w:szCs w:val="20"/>
          <w:color w:val="auto"/>
        </w:rPr>
      </w:pPr>
    </w:p>
    <w:p>
      <w:pPr>
        <w:ind w:left="1360" w:right="1360"/>
        <w:spacing w:after="0" w:line="252" w:lineRule="auto"/>
        <w:rPr>
          <w:sz w:val="20"/>
          <w:szCs w:val="20"/>
          <w:color w:val="auto"/>
        </w:rPr>
      </w:pPr>
      <w:r>
        <w:rPr>
          <w:rFonts w:ascii="Times New Roman" w:cs="Times New Roman" w:eastAsia="Times New Roman" w:hAnsi="Times New Roman"/>
          <w:sz w:val="16"/>
          <w:szCs w:val="16"/>
          <w:color w:val="auto"/>
        </w:rPr>
        <w:t>Currency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for such Currency is or will be no longer representative, then the Administrative Agent may modify the definition of “Interest Accrual Period” for any Benchmark settings for such Currency at or after such time to remove such unavailable or non-representative tenor and (ii) if a tenor that was removed pursuant to clause (i) above either (A) is subsequently displayed on a screen or information service for a Benchmark for such Currency (including a Benchmark Replacement) or (B) is not, or is no longer, subject to an announcement that it is or will no longer be representative for a Benchmark for such Currency (including a Benchmark Replacement), then the Administrative Agent may modify the definition of “Interest Accrual Period” for all Benchmark settings for such Currency at or after such time to reinstate such previously removed tenor.</w:t>
      </w:r>
    </w:p>
    <w:p>
      <w:pPr>
        <w:spacing w:after="0" w:line="160" w:lineRule="exact"/>
        <w:rPr>
          <w:sz w:val="20"/>
          <w:szCs w:val="20"/>
          <w:color w:val="auto"/>
        </w:rPr>
      </w:pPr>
    </w:p>
    <w:p>
      <w:pPr>
        <w:ind w:left="1360" w:right="1380" w:firstLine="40"/>
        <w:spacing w:after="0" w:line="252" w:lineRule="auto"/>
        <w:tabs>
          <w:tab w:leader="none" w:pos="1673"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Benchmark Unavailability Period</w:t>
      </w:r>
      <w:r>
        <w:rPr>
          <w:rFonts w:ascii="Times New Roman" w:cs="Times New Roman" w:eastAsia="Times New Roman" w:hAnsi="Times New Roman"/>
          <w:sz w:val="16"/>
          <w:szCs w:val="16"/>
          <w:color w:val="auto"/>
        </w:rPr>
        <w:t>. Upon the Borrower’s receipt of notice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commencement of a Benchmark Unavailability Period, the Borrower may revoke any request for a Term Benchmark Borrowing or RFR Borrowing of, conversion to or continuation of Term Benchmark Advances or RFR Advances, as applicable, in each affected Currency to be made, converted or continued during any Benchmark Unavailability Period and, failing that, (i) in the case of a request for a Dollar Borrowing, the Borrower will be deemed to have converted such request into a request for a Borrowing of or conversion to a Base Rate Loan, and (ii) in the case of a request for a Term Benchmark Borrowing other than in Dollars or a RFR Borrowing, the Term Benchmark Rate for such Term Benchmark Borrowing or Daily Simple RFR for such RFR Borrowing shall be a rate quoted as being representative of the cost to each Lender to fund its pro rata share of such Term Benchmark Borrowing or RFR Borrowing, as applicable (from whatever source and using whatever representative methodologies as such Lender may select in its reasonable discretion), which each Lender shall provide to the Administrative Agent, and the Administrative Agent shall provide to the Borrower, within five (5) Business Days of the Borrower’s request to the Administrative Agent therefor.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54" w:lineRule="exact"/>
        <w:rPr>
          <w:rFonts w:ascii="Times New Roman" w:cs="Times New Roman" w:eastAsia="Times New Roman" w:hAnsi="Times New Roman"/>
          <w:sz w:val="16"/>
          <w:szCs w:val="16"/>
          <w:color w:val="auto"/>
        </w:rPr>
      </w:pPr>
    </w:p>
    <w:p>
      <w:pPr>
        <w:ind w:left="1720" w:hanging="320"/>
        <w:spacing w:after="0"/>
        <w:tabs>
          <w:tab w:leader="none" w:pos="17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left="1360" w:right="1460" w:firstLine="484"/>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Available Tenor</w:t>
      </w:r>
      <w:r>
        <w:rPr>
          <w:rFonts w:ascii="Times New Roman" w:cs="Times New Roman" w:eastAsia="Times New Roman" w:hAnsi="Times New Roman"/>
          <w:sz w:val="16"/>
          <w:szCs w:val="16"/>
          <w:color w:val="auto"/>
        </w:rPr>
        <w:t>” means, as of any date of determination and with respect to the then-current Benchmark for any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Accrual Period” pursuant to clause (v)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644525</wp:posOffset>
            </wp:positionV>
            <wp:extent cx="526605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9" w:name="page180"/>
    <w:bookmarkEnd w:id="179"/>
    <w:p>
      <w:pPr>
        <w:spacing w:after="0" w:line="268" w:lineRule="exact"/>
        <w:rPr>
          <w:sz w:val="20"/>
          <w:szCs w:val="20"/>
          <w:color w:val="auto"/>
        </w:rPr>
      </w:pPr>
    </w:p>
    <w:p>
      <w:pPr>
        <w:ind w:left="1360" w:right="1460" w:firstLine="484"/>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Benchmark</w:t>
      </w:r>
      <w:r>
        <w:rPr>
          <w:rFonts w:ascii="Times New Roman" w:cs="Times New Roman" w:eastAsia="Times New Roman" w:hAnsi="Times New Roman"/>
          <w:sz w:val="16"/>
          <w:szCs w:val="16"/>
          <w:color w:val="auto"/>
        </w:rPr>
        <w:t>” means, initially, with respect to Advances denominated in (a) Pounds Sterling, the Daily Simple RFR for such Currency, (b) Dollars, the Term SOFR Reference Rate,</w:t>
      </w:r>
    </w:p>
    <w:p>
      <w:pPr>
        <w:ind w:left="1360" w:right="1440"/>
        <w:spacing w:after="0" w:line="251" w:lineRule="auto"/>
        <w:tabs>
          <w:tab w:leader="none" w:pos="15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Canadian Dollars, the Term CORRA Reference Rate, and (d) each other Agreed Foreign Currency, the Term Benchmark Rate for such Currency; provided that, if a Benchmark Transition Event or an Early Opt-in Election, as applicable, and its related Benchmark Replacement Date have occurred with respect to the Daily Simple RFR or the Term Benchmark Rate, as applicable, for such Currency or the then-current Benchmark, then “Benchmark” means the applicable Benchmark Replacement to the extent that such Benchmark Replacement has replaced such prior benchmark rate pursuant to clause (b)(i) of this Section 2.11.</w:t>
      </w:r>
    </w:p>
    <w:p>
      <w:pPr>
        <w:spacing w:after="0" w:line="157" w:lineRule="exact"/>
        <w:rPr>
          <w:sz w:val="20"/>
          <w:szCs w:val="20"/>
          <w:color w:val="auto"/>
        </w:rPr>
      </w:pPr>
    </w:p>
    <w:p>
      <w:pPr>
        <w:ind w:left="1360" w:right="1480" w:firstLine="48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Benchmark Replacement</w:t>
      </w:r>
      <w:r>
        <w:rPr>
          <w:rFonts w:ascii="Times New Roman" w:cs="Times New Roman" w:eastAsia="Times New Roman" w:hAnsi="Times New Roman"/>
          <w:sz w:val="16"/>
          <w:szCs w:val="16"/>
          <w:color w:val="auto"/>
        </w:rPr>
        <w:t>” means, for any Available Tenor, the first alternative set forth in the order below that can be determined by the Administrative Agent for the applicable Benchmark Replacement Date provided that, in the case of a Benchmark with respect to any obligations, interest, fees, commissions or other amounts owing hereunder denominated in any currency other than Dollars or calculated with respect thereto, the alternative set forth in clause (2) below:</w:t>
      </w:r>
    </w:p>
    <w:p>
      <w:pPr>
        <w:spacing w:after="0" w:line="152" w:lineRule="exact"/>
        <w:rPr>
          <w:sz w:val="20"/>
          <w:szCs w:val="20"/>
          <w:color w:val="auto"/>
        </w:rPr>
      </w:pPr>
    </w:p>
    <w:p>
      <w:pPr>
        <w:ind w:left="2320" w:right="2140" w:firstLine="49"/>
        <w:spacing w:after="0" w:line="283" w:lineRule="auto"/>
        <w:tabs>
          <w:tab w:leader="none" w:pos="2589"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(a) Daily Simple SOFR and (b) the related Benchmark Replacement Adjustment; and</w:t>
      </w:r>
    </w:p>
    <w:p>
      <w:pPr>
        <w:spacing w:after="0" w:line="131" w:lineRule="exact"/>
        <w:rPr>
          <w:rFonts w:ascii="Times New Roman" w:cs="Times New Roman" w:eastAsia="Times New Roman" w:hAnsi="Times New Roman"/>
          <w:sz w:val="16"/>
          <w:szCs w:val="16"/>
          <w:color w:val="auto"/>
        </w:rPr>
      </w:pPr>
    </w:p>
    <w:p>
      <w:pPr>
        <w:ind w:left="2320" w:right="1480" w:firstLine="49"/>
        <w:spacing w:after="0" w:line="254" w:lineRule="auto"/>
        <w:tabs>
          <w:tab w:leader="none" w:pos="2589"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(a) the alternate benchmark rate that has been selected by the Administrative Agent and the Borrower as the replacement for the then-current Benchmark for the applicable Currency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at such time and (b) the related Benchmark Replacement Adjustment;</w:t>
      </w:r>
    </w:p>
    <w:p>
      <w:pPr>
        <w:spacing w:after="0" w:line="154" w:lineRule="exact"/>
        <w:rPr>
          <w:sz w:val="20"/>
          <w:szCs w:val="20"/>
          <w:color w:val="auto"/>
        </w:rPr>
      </w:pPr>
    </w:p>
    <w:p>
      <w:pPr>
        <w:jc w:val="both"/>
        <w:ind w:left="1360" w:right="1520"/>
        <w:spacing w:after="0" w:line="266" w:lineRule="auto"/>
        <w:rPr>
          <w:sz w:val="20"/>
          <w:szCs w:val="20"/>
          <w:color w:val="auto"/>
        </w:rPr>
      </w:pPr>
      <w:r>
        <w:rPr>
          <w:rFonts w:ascii="Times New Roman" w:cs="Times New Roman" w:eastAsia="Times New Roman" w:hAnsi="Times New Roman"/>
          <w:sz w:val="16"/>
          <w:szCs w:val="16"/>
          <w:color w:val="auto"/>
        </w:rPr>
        <w:t>If the Benchmark Replacement as determined pursuant to clause (1) or (2) above would be less than the Floor, the Benchmark Replacement will be deemed to be the Floor for the purposes of this Agreement and the other Facility Documents</w:t>
      </w:r>
      <w:r>
        <w:rPr>
          <w:rFonts w:ascii="Times New Roman" w:cs="Times New Roman" w:eastAsia="Times New Roman" w:hAnsi="Times New Roman"/>
          <w:sz w:val="16"/>
          <w:szCs w:val="16"/>
          <w:i w:val="1"/>
          <w:iCs w:val="1"/>
          <w:color w:val="auto"/>
        </w:rPr>
        <w:t>.</w:t>
      </w:r>
    </w:p>
    <w:p>
      <w:pPr>
        <w:spacing w:after="0" w:line="143" w:lineRule="exact"/>
        <w:rPr>
          <w:sz w:val="20"/>
          <w:szCs w:val="20"/>
          <w:color w:val="auto"/>
        </w:rPr>
      </w:pPr>
    </w:p>
    <w:p>
      <w:pPr>
        <w:ind w:left="1360" w:right="1400" w:firstLine="46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Benchmark Replacement Adjustment</w:t>
      </w:r>
      <w:r>
        <w:rPr>
          <w:rFonts w:ascii="Times New Roman" w:cs="Times New Roman" w:eastAsia="Times New Roman" w:hAnsi="Times New Roman"/>
          <w:sz w:val="16"/>
          <w:szCs w:val="16"/>
          <w:color w:val="auto"/>
        </w:rPr>
        <w:t>” means, with respect to any replacement of the then-current Benchmark for a Currency with an Unadjusted Benchmark Replacement, the spread adjustment, or method for calculating or determining such spread adjustment (which may be a positive or negative value or zero) that has been selected by the Administrative Agent and the Borrower for the applicable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in the U.S. syndicated loan market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644525</wp:posOffset>
            </wp:positionV>
            <wp:extent cx="526605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0" w:name="page181"/>
    <w:bookmarkEnd w:id="180"/>
    <w:p>
      <w:pPr>
        <w:spacing w:after="0" w:line="268" w:lineRule="exact"/>
        <w:rPr>
          <w:sz w:val="20"/>
          <w:szCs w:val="20"/>
          <w:color w:val="auto"/>
        </w:rPr>
      </w:pPr>
    </w:p>
    <w:p>
      <w:pPr>
        <w:ind w:left="1360" w:right="1420" w:firstLine="484"/>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Benchmark Replacement Conforming Changes</w:t>
      </w:r>
      <w:r>
        <w:rPr>
          <w:rFonts w:ascii="Times New Roman" w:cs="Times New Roman" w:eastAsia="Times New Roman" w:hAnsi="Times New Roman"/>
          <w:sz w:val="16"/>
          <w:szCs w:val="16"/>
          <w:color w:val="auto"/>
        </w:rPr>
        <w:t>” means, with respect to any Benchmark Replacement, any technical, administrative or operational changes (including changes to the definition of “Term Benchmark Rate”, the definition of “Base Rate”, the definition of “Business Day”, the definition of “Term Benchmark Banking Day”, the definition of “Daily Simple RFR”, the definition of “Interest Accrual Period”, the definition of “RFR Business Day”, the definition of “RFR Interest Day”, the definition of “RFR Reference Day”,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Facility Documents).</w:t>
      </w:r>
    </w:p>
    <w:p>
      <w:pPr>
        <w:spacing w:after="0" w:line="156" w:lineRule="exact"/>
        <w:rPr>
          <w:sz w:val="20"/>
          <w:szCs w:val="20"/>
          <w:color w:val="auto"/>
        </w:rPr>
      </w:pPr>
    </w:p>
    <w:p>
      <w:pPr>
        <w:ind w:left="1360" w:right="146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Benchmark Replacement Date</w:t>
      </w:r>
      <w:r>
        <w:rPr>
          <w:rFonts w:ascii="Times New Roman" w:cs="Times New Roman" w:eastAsia="Times New Roman" w:hAnsi="Times New Roman"/>
          <w:sz w:val="16"/>
          <w:szCs w:val="16"/>
          <w:color w:val="auto"/>
        </w:rPr>
        <w:t>” means the earliest to occur of the following events with respect to the then-current Benchmark:</w:t>
      </w:r>
    </w:p>
    <w:p>
      <w:pPr>
        <w:spacing w:after="0" w:line="128" w:lineRule="exact"/>
        <w:rPr>
          <w:sz w:val="20"/>
          <w:szCs w:val="20"/>
          <w:color w:val="auto"/>
        </w:rPr>
      </w:pPr>
    </w:p>
    <w:p>
      <w:pPr>
        <w:ind w:left="2320" w:right="1640" w:firstLine="49"/>
        <w:spacing w:after="0" w:line="283" w:lineRule="auto"/>
        <w:tabs>
          <w:tab w:leader="none" w:pos="2629"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clause (1) or (2) of the definition of “Benchmark Transition Event,” the later of:</w:t>
      </w:r>
    </w:p>
    <w:p>
      <w:pPr>
        <w:spacing w:after="0" w:line="131" w:lineRule="exact"/>
        <w:rPr>
          <w:rFonts w:ascii="Times New Roman" w:cs="Times New Roman" w:eastAsia="Times New Roman" w:hAnsi="Times New Roman"/>
          <w:sz w:val="16"/>
          <w:szCs w:val="16"/>
          <w:color w:val="auto"/>
        </w:rPr>
      </w:pPr>
    </w:p>
    <w:p>
      <w:pPr>
        <w:ind w:left="2820" w:right="2060" w:hanging="7"/>
        <w:spacing w:after="0" w:line="283" w:lineRule="auto"/>
        <w:tabs>
          <w:tab w:leader="none" w:pos="3039"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of the public statement or publication of information referenced therein; and</w:t>
      </w:r>
    </w:p>
    <w:p>
      <w:pPr>
        <w:spacing w:after="0" w:line="131" w:lineRule="exact"/>
        <w:rPr>
          <w:rFonts w:ascii="Times New Roman" w:cs="Times New Roman" w:eastAsia="Times New Roman" w:hAnsi="Times New Roman"/>
          <w:sz w:val="16"/>
          <w:szCs w:val="16"/>
          <w:color w:val="auto"/>
        </w:rPr>
      </w:pPr>
    </w:p>
    <w:p>
      <w:pPr>
        <w:ind w:left="2820" w:right="1440" w:hanging="7"/>
        <w:spacing w:after="0" w:line="261" w:lineRule="auto"/>
        <w:tabs>
          <w:tab w:leader="none" w:pos="3049"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administrator of such Benchmark (or the published component used in the calculation thereof) permanently or indefinitely ceases to provide all Available Tenors of such Benchmark (or such component thereof);</w:t>
      </w:r>
    </w:p>
    <w:p>
      <w:pPr>
        <w:spacing w:after="0" w:line="148" w:lineRule="exact"/>
        <w:rPr>
          <w:rFonts w:ascii="Times New Roman" w:cs="Times New Roman" w:eastAsia="Times New Roman" w:hAnsi="Times New Roman"/>
          <w:sz w:val="16"/>
          <w:szCs w:val="16"/>
          <w:color w:val="auto"/>
        </w:rPr>
      </w:pPr>
    </w:p>
    <w:p>
      <w:pPr>
        <w:jc w:val="both"/>
        <w:ind w:left="2320" w:right="1500" w:firstLine="49"/>
        <w:spacing w:after="0" w:line="266" w:lineRule="auto"/>
        <w:tabs>
          <w:tab w:leader="none" w:pos="2589"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clause (3) of the definition of “Benchmark Transition Event,” the date of the public statement or publication of information referenced therein; or</w:t>
      </w:r>
    </w:p>
    <w:p>
      <w:pPr>
        <w:spacing w:after="0" w:line="144" w:lineRule="exact"/>
        <w:rPr>
          <w:rFonts w:ascii="Times New Roman" w:cs="Times New Roman" w:eastAsia="Times New Roman" w:hAnsi="Times New Roman"/>
          <w:sz w:val="16"/>
          <w:szCs w:val="16"/>
          <w:color w:val="auto"/>
        </w:rPr>
      </w:pPr>
    </w:p>
    <w:p>
      <w:pPr>
        <w:ind w:left="2600" w:hanging="231"/>
        <w:spacing w:after="0"/>
        <w:tabs>
          <w:tab w:leader="none" w:pos="260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 or</w:t>
      </w:r>
    </w:p>
    <w:p>
      <w:pPr>
        <w:spacing w:after="0" w:line="189" w:lineRule="exact"/>
        <w:rPr>
          <w:rFonts w:ascii="Times New Roman" w:cs="Times New Roman" w:eastAsia="Times New Roman" w:hAnsi="Times New Roman"/>
          <w:sz w:val="16"/>
          <w:szCs w:val="16"/>
          <w:color w:val="auto"/>
        </w:rPr>
      </w:pPr>
    </w:p>
    <w:p>
      <w:pPr>
        <w:ind w:left="2320" w:right="1360" w:firstLine="49"/>
        <w:spacing w:after="0" w:line="256" w:lineRule="auto"/>
        <w:tabs>
          <w:tab w:leader="none" w:pos="2589"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642620</wp:posOffset>
            </wp:positionV>
            <wp:extent cx="526605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1" w:name="page182"/>
    <w:bookmarkEnd w:id="181"/>
    <w:p>
      <w:pPr>
        <w:spacing w:after="0" w:line="270" w:lineRule="exact"/>
        <w:rPr>
          <w:sz w:val="20"/>
          <w:szCs w:val="20"/>
          <w:color w:val="auto"/>
        </w:rPr>
      </w:pPr>
    </w:p>
    <w:p>
      <w:pPr>
        <w:ind w:left="1360" w:right="1460" w:firstLine="484"/>
        <w:spacing w:after="0" w:line="258" w:lineRule="auto"/>
        <w:rPr>
          <w:sz w:val="20"/>
          <w:szCs w:val="20"/>
          <w:color w:val="auto"/>
        </w:rPr>
      </w:pPr>
      <w:r>
        <w:rPr>
          <w:rFonts w:ascii="Times New Roman" w:cs="Times New Roman" w:eastAsia="Times New Roman" w:hAnsi="Times New Roman"/>
          <w:sz w:val="16"/>
          <w:szCs w:val="16"/>
          <w:color w:val="auto"/>
        </w:rPr>
        <w:t>For the avoidance of doubt, if such Benchmark is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49" w:lineRule="exact"/>
        <w:rPr>
          <w:sz w:val="20"/>
          <w:szCs w:val="20"/>
          <w:color w:val="auto"/>
        </w:rPr>
      </w:pPr>
    </w:p>
    <w:p>
      <w:pPr>
        <w:ind w:left="1360" w:right="144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Benchmark Transition Event</w:t>
      </w:r>
      <w:r>
        <w:rPr>
          <w:rFonts w:ascii="Times New Roman" w:cs="Times New Roman" w:eastAsia="Times New Roman" w:hAnsi="Times New Roman"/>
          <w:sz w:val="16"/>
          <w:szCs w:val="16"/>
          <w:color w:val="auto"/>
        </w:rPr>
        <w:t>” means, with respect to any Benchmark, the occurrence of one or more of the following events with respect to the then-current Benchmark:</w:t>
      </w:r>
    </w:p>
    <w:p>
      <w:pPr>
        <w:spacing w:after="0" w:line="128" w:lineRule="exact"/>
        <w:rPr>
          <w:sz w:val="20"/>
          <w:szCs w:val="20"/>
          <w:color w:val="auto"/>
        </w:rPr>
      </w:pPr>
    </w:p>
    <w:p>
      <w:pPr>
        <w:ind w:left="2320" w:right="1380" w:firstLine="8"/>
        <w:spacing w:after="0" w:line="255" w:lineRule="auto"/>
        <w:tabs>
          <w:tab w:leader="none" w:pos="2549"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55" w:lineRule="exact"/>
        <w:rPr>
          <w:rFonts w:ascii="Times New Roman" w:cs="Times New Roman" w:eastAsia="Times New Roman" w:hAnsi="Times New Roman"/>
          <w:sz w:val="16"/>
          <w:szCs w:val="16"/>
          <w:color w:val="auto"/>
        </w:rPr>
      </w:pPr>
    </w:p>
    <w:p>
      <w:pPr>
        <w:ind w:left="2320" w:right="1400" w:firstLine="8"/>
        <w:spacing w:after="0" w:line="252" w:lineRule="auto"/>
        <w:tabs>
          <w:tab w:leader="none" w:pos="2549"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public statement or publication of information by the regulatory supervisor for the administrator of such Benchmark (or the published component used in the calculation thereof), including the Federal Reserve Board, the Federal Reserve Bank of New York, or the Bank of Canada, as applicable,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62" w:lineRule="exact"/>
        <w:rPr>
          <w:rFonts w:ascii="Times New Roman" w:cs="Times New Roman" w:eastAsia="Times New Roman" w:hAnsi="Times New Roman"/>
          <w:sz w:val="16"/>
          <w:szCs w:val="16"/>
          <w:color w:val="auto"/>
        </w:rPr>
      </w:pPr>
    </w:p>
    <w:p>
      <w:pPr>
        <w:ind w:left="2320" w:right="1440" w:firstLine="8"/>
        <w:spacing w:after="0" w:line="258" w:lineRule="auto"/>
        <w:tabs>
          <w:tab w:leader="none" w:pos="2549"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51" w:lineRule="exact"/>
        <w:rPr>
          <w:sz w:val="20"/>
          <w:szCs w:val="20"/>
          <w:color w:val="auto"/>
        </w:rPr>
      </w:pPr>
    </w:p>
    <w:p>
      <w:pPr>
        <w:ind w:left="1360" w:right="1520" w:firstLine="484"/>
        <w:spacing w:after="0" w:line="261" w:lineRule="auto"/>
        <w:rPr>
          <w:sz w:val="20"/>
          <w:szCs w:val="20"/>
          <w:color w:val="auto"/>
        </w:rPr>
      </w:pPr>
      <w:r>
        <w:rPr>
          <w:rFonts w:ascii="Times New Roman" w:cs="Times New Roman" w:eastAsia="Times New Roman" w:hAnsi="Times New Roman"/>
          <w:sz w:val="16"/>
          <w:szCs w:val="16"/>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6" w:lineRule="exact"/>
        <w:rPr>
          <w:sz w:val="20"/>
          <w:szCs w:val="20"/>
          <w:color w:val="auto"/>
        </w:rPr>
      </w:pPr>
    </w:p>
    <w:p>
      <w:pPr>
        <w:ind w:left="1360" w:right="1420" w:firstLine="484"/>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Benchmark Unavailability Period</w:t>
      </w:r>
      <w:r>
        <w:rPr>
          <w:rFonts w:ascii="Times New Roman" w:cs="Times New Roman" w:eastAsia="Times New Roman" w:hAnsi="Times New Roman"/>
          <w:sz w:val="16"/>
          <w:szCs w:val="16"/>
          <w:color w:val="auto"/>
        </w:rPr>
        <w:t>” means, with respect to any then -current Benchmark, the period (if any) (x) beginning at the time that a Benchmark Replacement Date pursuant to clauses (1) or (2) of that definition has occurred if, at such time, no Benchmark Replacement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635000</wp:posOffset>
            </wp:positionV>
            <wp:extent cx="526605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2" w:name="page183"/>
    <w:bookmarkEnd w:id="182"/>
    <w:p>
      <w:pPr>
        <w:spacing w:after="0" w:line="270" w:lineRule="exact"/>
        <w:rPr>
          <w:sz w:val="20"/>
          <w:szCs w:val="20"/>
          <w:color w:val="auto"/>
        </w:rPr>
      </w:pPr>
    </w:p>
    <w:p>
      <w:pPr>
        <w:ind w:left="1360" w:right="1540"/>
        <w:spacing w:after="0" w:line="261" w:lineRule="auto"/>
        <w:rPr>
          <w:sz w:val="20"/>
          <w:szCs w:val="20"/>
          <w:color w:val="auto"/>
        </w:rPr>
      </w:pPr>
      <w:r>
        <w:rPr>
          <w:rFonts w:ascii="Times New Roman" w:cs="Times New Roman" w:eastAsia="Times New Roman" w:hAnsi="Times New Roman"/>
          <w:sz w:val="16"/>
          <w:szCs w:val="16"/>
          <w:color w:val="auto"/>
        </w:rPr>
        <w:t>replaced such then-current Benchmark for all purposes hereunder and under any Facility Document in accordance with this Section 2.11(b) and (y) ending at the time that a Benchmark Replacement has replaced such then-current Benchmark for all purposes hereunder and under any Facility Document in accordance with this Section 2.11(b).</w:t>
      </w:r>
    </w:p>
    <w:p>
      <w:pPr>
        <w:spacing w:after="0" w:line="146" w:lineRule="exact"/>
        <w:rPr>
          <w:sz w:val="20"/>
          <w:szCs w:val="20"/>
          <w:color w:val="auto"/>
        </w:rPr>
      </w:pPr>
    </w:p>
    <w:p>
      <w:pPr>
        <w:ind w:left="1360" w:right="1440" w:firstLine="484"/>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Daily Simple SOFR</w:t>
      </w:r>
      <w:r>
        <w:rPr>
          <w:rFonts w:ascii="Times New Roman" w:cs="Times New Roman" w:eastAsia="Times New Roman" w:hAnsi="Times New Roman"/>
          <w:sz w:val="16"/>
          <w:szCs w:val="16"/>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Early Opt-in Election</w:t>
      </w:r>
      <w:r>
        <w:rPr>
          <w:rFonts w:ascii="Times New Roman" w:cs="Times New Roman" w:eastAsia="Times New Roman" w:hAnsi="Times New Roman"/>
          <w:sz w:val="16"/>
          <w:szCs w:val="16"/>
          <w:color w:val="auto"/>
        </w:rPr>
        <w:t>” means, if the then-current Benchmark for any Currency is the</w:t>
      </w:r>
    </w:p>
    <w:p>
      <w:pPr>
        <w:spacing w:after="0" w:line="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Adjusted Term Benchmark Rate, the occurrence of:</w:t>
      </w:r>
    </w:p>
    <w:p>
      <w:pPr>
        <w:spacing w:after="0" w:line="171" w:lineRule="exact"/>
        <w:rPr>
          <w:sz w:val="20"/>
          <w:szCs w:val="20"/>
          <w:color w:val="auto"/>
        </w:rPr>
      </w:pPr>
    </w:p>
    <w:p>
      <w:pPr>
        <w:ind w:left="2320" w:right="1360" w:firstLine="49"/>
        <w:spacing w:after="0" w:line="256" w:lineRule="auto"/>
        <w:tabs>
          <w:tab w:leader="none" w:pos="25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notification by the Administrative Agent to (or the request by the Borrower to the Administrative Agent to notify) each of the other parties hereto that at least five currently outstanding syndicated credit facilities denominated in such Currency at such time contain (as a result of amendment or as originally executed) any applicable replacement benchmark (and such syndicated credit facilities are identified in such notice and are publicly available for review), and</w:t>
      </w:r>
    </w:p>
    <w:p>
      <w:pPr>
        <w:spacing w:after="0" w:line="154" w:lineRule="exact"/>
        <w:rPr>
          <w:rFonts w:ascii="Times New Roman" w:cs="Times New Roman" w:eastAsia="Times New Roman" w:hAnsi="Times New Roman"/>
          <w:sz w:val="16"/>
          <w:szCs w:val="16"/>
          <w:color w:val="auto"/>
        </w:rPr>
      </w:pPr>
    </w:p>
    <w:p>
      <w:pPr>
        <w:ind w:left="2320" w:right="1380" w:firstLine="472"/>
        <w:spacing w:after="0" w:line="261" w:lineRule="auto"/>
        <w:tabs>
          <w:tab w:leader="none" w:pos="3013"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joint election by the Administrative Agent and the Borrower to trigger a fallback from the Adjusted Term Benchmark Rate for such Currency and the provision by the Administrative Agent of written notice of such election to the Lenders.</w:t>
      </w:r>
    </w:p>
    <w:p>
      <w:pPr>
        <w:spacing w:after="0" w:line="146" w:lineRule="exact"/>
        <w:rPr>
          <w:sz w:val="20"/>
          <w:szCs w:val="20"/>
          <w:color w:val="auto"/>
        </w:rPr>
      </w:pPr>
    </w:p>
    <w:p>
      <w:pPr>
        <w:jc w:val="both"/>
        <w:ind w:left="1360" w:right="1500" w:firstLine="484"/>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Floor</w:t>
      </w:r>
      <w:r>
        <w:rPr>
          <w:rFonts w:ascii="Times New Roman" w:cs="Times New Roman" w:eastAsia="Times New Roman" w:hAnsi="Times New Roman"/>
          <w:sz w:val="16"/>
          <w:szCs w:val="16"/>
          <w:color w:val="auto"/>
        </w:rPr>
        <w:t>” means the benchmark rate floor, if any, provided in this Agreement initially (as of the execution of this Agreement, the modification, amendment or renewal of this Agreement or otherwise) with respect to any applicable Benchmark.</w:t>
      </w:r>
    </w:p>
    <w:p>
      <w:pPr>
        <w:spacing w:after="0" w:line="140" w:lineRule="exact"/>
        <w:rPr>
          <w:sz w:val="20"/>
          <w:szCs w:val="20"/>
          <w:color w:val="auto"/>
        </w:rPr>
      </w:pPr>
    </w:p>
    <w:p>
      <w:pPr>
        <w:ind w:left="1360" w:right="1400" w:firstLine="4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ISDA Definitions</w:t>
      </w:r>
      <w:r>
        <w:rPr>
          <w:rFonts w:ascii="Times New Roman" w:cs="Times New Roman" w:eastAsia="Times New Roman" w:hAnsi="Times New Roman"/>
          <w:sz w:val="16"/>
          <w:szCs w:val="16"/>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47" w:lineRule="exact"/>
        <w:rPr>
          <w:sz w:val="20"/>
          <w:szCs w:val="20"/>
          <w:color w:val="auto"/>
        </w:rPr>
      </w:pPr>
    </w:p>
    <w:p>
      <w:pPr>
        <w:ind w:left="1360" w:right="1480" w:firstLine="484"/>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Relevant Governmental Body</w:t>
      </w:r>
      <w:r>
        <w:rPr>
          <w:rFonts w:ascii="Times New Roman" w:cs="Times New Roman" w:eastAsia="Times New Roman" w:hAnsi="Times New Roman"/>
          <w:sz w:val="16"/>
          <w:szCs w:val="16"/>
          <w:color w:val="auto"/>
        </w:rPr>
        <w:t>” means (a) with respect to a Benchmark Replacement in respect of obligations, interest, fees, commissions or other amounts owing hereunder denominated in Dollars, the Federal Reserve Board and/or the Federal Reserve Bank of New York, or a committee officially endorsed or convened by the Federal Reserve Board and/or the Federal Reserve Bank of New York or any successor thereto, and (b) with respect to a Benchmark Replacement in respect of obligations, interest, fees, commissions or other amounts owing hereunder denominated in any Currency other than Dollars, (1) the central bank for the Currency in which such obligations, interest, fees, commissions or other amounts are denominated or any central bank or other supervisor which is responsible for supervising either</w:t>
      </w:r>
    </w:p>
    <w:p>
      <w:pPr>
        <w:spacing w:after="0" w:line="7" w:lineRule="exact"/>
        <w:rPr>
          <w:sz w:val="20"/>
          <w:szCs w:val="20"/>
          <w:color w:val="auto"/>
        </w:rPr>
      </w:pPr>
    </w:p>
    <w:p>
      <w:pPr>
        <w:ind w:left="1620" w:hanging="260"/>
        <w:spacing w:after="0"/>
        <w:tabs>
          <w:tab w:leader="none" w:pos="162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Benchmark Replacement or (B) the administrator of such Benchmark Replacement or</w:t>
      </w:r>
    </w:p>
    <w:p>
      <w:pPr>
        <w:spacing w:after="0" w:line="7"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any working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653415</wp:posOffset>
            </wp:positionV>
            <wp:extent cx="526605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3" w:name="page184"/>
    <w:bookmarkEnd w:id="183"/>
    <w:p>
      <w:pPr>
        <w:spacing w:after="0" w:line="270" w:lineRule="exact"/>
        <w:rPr>
          <w:sz w:val="20"/>
          <w:szCs w:val="20"/>
          <w:color w:val="auto"/>
        </w:rPr>
      </w:pPr>
    </w:p>
    <w:p>
      <w:pPr>
        <w:ind w:left="1360" w:right="1480"/>
        <w:spacing w:after="0" w:line="258" w:lineRule="auto"/>
        <w:rPr>
          <w:sz w:val="20"/>
          <w:szCs w:val="20"/>
          <w:color w:val="auto"/>
        </w:rPr>
      </w:pPr>
      <w:r>
        <w:rPr>
          <w:rFonts w:ascii="Times New Roman" w:cs="Times New Roman" w:eastAsia="Times New Roman" w:hAnsi="Times New Roman"/>
          <w:sz w:val="16"/>
          <w:szCs w:val="16"/>
          <w:color w:val="auto"/>
        </w:rPr>
        <w:t>or committee officially endorsed or convened by (A) the central bank for the Currency in which such obligations, interest, fees, commissions or other amounts are denominated,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49" w:lineRule="exact"/>
        <w:rPr>
          <w:sz w:val="20"/>
          <w:szCs w:val="20"/>
          <w:color w:val="auto"/>
        </w:rPr>
      </w:pPr>
    </w:p>
    <w:p>
      <w:pPr>
        <w:ind w:left="1360" w:right="1580" w:firstLine="484"/>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Unadjusted Benchmark Replacement</w:t>
      </w:r>
      <w:r>
        <w:rPr>
          <w:rFonts w:ascii="Times New Roman" w:cs="Times New Roman" w:eastAsia="Times New Roman" w:hAnsi="Times New Roman"/>
          <w:sz w:val="16"/>
          <w:szCs w:val="16"/>
          <w:color w:val="auto"/>
        </w:rPr>
        <w:t>” means the applicable Benchmark Replacement excluding the related Benchmark Replacement Adjustment.</w:t>
      </w:r>
    </w:p>
    <w:p>
      <w:pPr>
        <w:spacing w:after="0" w:line="126" w:lineRule="exact"/>
        <w:rPr>
          <w:sz w:val="20"/>
          <w:szCs w:val="20"/>
          <w:color w:val="auto"/>
        </w:rPr>
      </w:pPr>
    </w:p>
    <w:p>
      <w:pPr>
        <w:ind w:left="1360" w:right="1440" w:firstLine="40"/>
        <w:spacing w:after="0" w:line="254" w:lineRule="auto"/>
        <w:rPr>
          <w:sz w:val="20"/>
          <w:szCs w:val="20"/>
          <w:color w:val="auto"/>
        </w:rPr>
      </w:pPr>
      <w:r>
        <w:rPr>
          <w:rFonts w:ascii="Times New Roman" w:cs="Times New Roman" w:eastAsia="Times New Roman" w:hAnsi="Times New Roman"/>
          <w:sz w:val="16"/>
          <w:szCs w:val="16"/>
          <w:i w:val="1"/>
          <w:iCs w:val="1"/>
          <w:color w:val="auto"/>
        </w:rPr>
        <w:t>Section 2.12. Rescission or Return of Payment</w:t>
      </w:r>
      <w:r>
        <w:rPr>
          <w:rFonts w:ascii="Times New Roman" w:cs="Times New Roman" w:eastAsia="Times New Roman" w:hAnsi="Times New Roman"/>
          <w:sz w:val="16"/>
          <w:szCs w:val="16"/>
          <w:color w:val="auto"/>
        </w:rPr>
        <w:t>. The Borrower agrees that, if at any time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after the occurrence of the Final Maturity Date) all or 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shall continue to be effective or be reinstated, as the case maybe, as to such obligations, all as though such payment had not been made.</w:t>
      </w:r>
    </w:p>
    <w:p>
      <w:pPr>
        <w:spacing w:after="0" w:line="140" w:lineRule="exact"/>
        <w:rPr>
          <w:sz w:val="20"/>
          <w:szCs w:val="20"/>
          <w:color w:val="auto"/>
        </w:rPr>
      </w:pPr>
    </w:p>
    <w:p>
      <w:pPr>
        <w:ind w:left="1360" w:right="1480" w:firstLine="40"/>
        <w:spacing w:after="0" w:line="198" w:lineRule="exact"/>
        <w:rPr>
          <w:sz w:val="20"/>
          <w:szCs w:val="20"/>
          <w:color w:val="auto"/>
        </w:rPr>
      </w:pPr>
      <w:r>
        <w:rPr>
          <w:rFonts w:ascii="Times New Roman" w:cs="Times New Roman" w:eastAsia="Times New Roman" w:hAnsi="Times New Roman"/>
          <w:sz w:val="16"/>
          <w:szCs w:val="16"/>
          <w:i w:val="1"/>
          <w:iCs w:val="1"/>
          <w:color w:val="auto"/>
        </w:rPr>
        <w:t>Section 2.13. Post</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Default Interest</w:t>
      </w:r>
      <w:r>
        <w:rPr>
          <w:rFonts w:ascii="Times New Roman" w:cs="Times New Roman" w:eastAsia="Times New Roman" w:hAnsi="Times New Roman"/>
          <w:sz w:val="16"/>
          <w:szCs w:val="16"/>
          <w:color w:val="auto"/>
        </w:rPr>
        <w:t>. The Borrower shall pay interest on all Obligations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than principal and interest on the Advances, where the default rate is reflected in the Applicable Margin) that are not paid when due for the period from the due date thereof until the date the same is paid in full at the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Default Rate. Interest payable at the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Default Rate shall be payable on each Payment Date in accordance with the Priority of Payments.</w:t>
      </w:r>
    </w:p>
    <w:p>
      <w:pPr>
        <w:spacing w:after="0" w:line="165" w:lineRule="exact"/>
        <w:rPr>
          <w:sz w:val="20"/>
          <w:szCs w:val="20"/>
          <w:color w:val="auto"/>
        </w:rPr>
      </w:pPr>
    </w:p>
    <w:p>
      <w:pPr>
        <w:ind w:left="1360" w:right="1360" w:firstLine="40"/>
        <w:spacing w:after="0" w:line="252" w:lineRule="auto"/>
        <w:rPr>
          <w:sz w:val="20"/>
          <w:szCs w:val="20"/>
          <w:color w:val="auto"/>
        </w:rPr>
      </w:pPr>
      <w:r>
        <w:rPr>
          <w:rFonts w:ascii="Times New Roman" w:cs="Times New Roman" w:eastAsia="Times New Roman" w:hAnsi="Times New Roman"/>
          <w:sz w:val="16"/>
          <w:szCs w:val="16"/>
          <w:i w:val="1"/>
          <w:iCs w:val="1"/>
          <w:color w:val="auto"/>
        </w:rPr>
        <w:t>Section 2.14. Payments Generally</w:t>
      </w:r>
      <w:r>
        <w:rPr>
          <w:rFonts w:ascii="Times New Roman" w:cs="Times New Roman" w:eastAsia="Times New Roman" w:hAnsi="Times New Roman"/>
          <w:sz w:val="16"/>
          <w:szCs w:val="16"/>
          <w:color w:val="auto"/>
        </w:rPr>
        <w:t>. (a) Principal and interest on any Advance denominated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any Agreed Foreign Currency and payments relating to any such Advance required under Section 2.10 shall be payable in the applicable Agreed Foreign Currency. All other amounts owing and payable to any Secured Party, any Affected Person or any Indemnified Party, in respect of the Advances and other Obligations, including the principal thereof, interest, fees, indemnities, expenses or other amount payable under this Agreement, shall be paid by the Borrower to the Administrative Agent for the account of the applicable recipient in Dollars, in immediately available funds, in accordance with the Priority of Payments, and all without counterclaim, setoff, deduction, defense, abatement, suspension or deferment. The Administrative Agent and each Lender shall provide wire instructions to the Borrower, the Administrative Agent and the Collateral Agent. Payments must be received by the Administrative Agent for account of the Lenders on or prior to 12:00 noon on a Business Day;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payments received by the Administrative Agent after 12:00 noon on a Business Day will be deemed to have been paid on the next following Business Day.</w:t>
      </w:r>
    </w:p>
    <w:p>
      <w:pPr>
        <w:spacing w:after="0" w:line="163" w:lineRule="exact"/>
        <w:rPr>
          <w:sz w:val="20"/>
          <w:szCs w:val="20"/>
          <w:color w:val="auto"/>
        </w:rPr>
      </w:pPr>
    </w:p>
    <w:p>
      <w:pPr>
        <w:ind w:left="1360" w:right="1560" w:firstLine="525"/>
        <w:spacing w:after="0" w:line="255" w:lineRule="auto"/>
        <w:rPr>
          <w:sz w:val="20"/>
          <w:szCs w:val="20"/>
          <w:color w:val="auto"/>
        </w:rPr>
      </w:pPr>
      <w:r>
        <w:rPr>
          <w:rFonts w:ascii="Times New Roman" w:cs="Times New Roman" w:eastAsia="Times New Roman" w:hAnsi="Times New Roman"/>
          <w:sz w:val="16"/>
          <w:szCs w:val="16"/>
          <w:color w:val="auto"/>
        </w:rPr>
        <w:t xml:space="preserve">Notwithstanding the foregoing provisions of this Section, if, after the making of any Borrowing in any Agreed Foreign Currency, currency control or exchange regulations are imposed in the country which issues such currency with the result that the type of currency in which the Borrowing was made (the </w:t>
      </w:r>
      <w:r>
        <w:rPr>
          <w:rFonts w:ascii="Times New Roman" w:cs="Times New Roman" w:eastAsia="Times New Roman" w:hAnsi="Times New Roman"/>
          <w:sz w:val="16"/>
          <w:szCs w:val="16"/>
          <w:i w:val="1"/>
          <w:iCs w:val="1"/>
          <w:color w:val="auto"/>
        </w:rPr>
        <w:t>“Original Currency”</w:t>
      </w:r>
      <w:r>
        <w:rPr>
          <w:rFonts w:ascii="Times New Roman" w:cs="Times New Roman" w:eastAsia="Times New Roman" w:hAnsi="Times New Roman"/>
          <w:sz w:val="16"/>
          <w:szCs w:val="16"/>
          <w:color w:val="auto"/>
        </w:rPr>
        <w:t>) no longer exists or the Borrower is not able to make payment to the Administrative Agent for the account of the Lenders in such Original Currency, then all payments to be made by the Borrower hereunder in such currency shall instead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643255</wp:posOffset>
            </wp:positionV>
            <wp:extent cx="526605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4" w:name="page185"/>
    <w:bookmarkEnd w:id="184"/>
    <w:p>
      <w:pPr>
        <w:spacing w:after="0" w:line="270" w:lineRule="exact"/>
        <w:rPr>
          <w:sz w:val="20"/>
          <w:szCs w:val="20"/>
          <w:color w:val="auto"/>
        </w:rPr>
      </w:pPr>
    </w:p>
    <w:p>
      <w:pPr>
        <w:ind w:left="1360" w:right="1620"/>
        <w:spacing w:after="0" w:line="266" w:lineRule="auto"/>
        <w:rPr>
          <w:sz w:val="20"/>
          <w:szCs w:val="20"/>
          <w:color w:val="auto"/>
        </w:rPr>
      </w:pPr>
      <w:r>
        <w:rPr>
          <w:rFonts w:ascii="Times New Roman" w:cs="Times New Roman" w:eastAsia="Times New Roman" w:hAnsi="Times New Roman"/>
          <w:sz w:val="16"/>
          <w:szCs w:val="16"/>
          <w:color w:val="auto"/>
        </w:rPr>
        <w:t>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45" w:lineRule="exact"/>
        <w:rPr>
          <w:sz w:val="20"/>
          <w:szCs w:val="20"/>
          <w:color w:val="auto"/>
        </w:rPr>
      </w:pPr>
    </w:p>
    <w:p>
      <w:pPr>
        <w:ind w:left="1360" w:right="1420" w:firstLine="40"/>
        <w:spacing w:after="0" w:line="253" w:lineRule="auto"/>
        <w:tabs>
          <w:tab w:leader="none" w:pos="1629"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expressly provided herein, all computations of interest, fees and other Obligations shall be made on the basis of a year of 360 days for the actual number of days elapsed in computing interest on any Advance (except that interest computed (i) by reference to the Base Rate at times when the Base Rate is based on the Prime Rate and (ii) on Multicurrency Advances denominated in Pounds Sterling shall be computed on the basis of a year of 365 (or 366 days in a leap year), the date of the making of the Advance shall be included and the date of payment shall be excluded;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 Advance is repaid on the same day on which it is made, one day’s Interest shall be paid on such Advance. All computations made by a Lender, the Collateral Agent or the Administrative Agent under this Agreement shall be conclusive absent manifest error.</w:t>
      </w:r>
    </w:p>
    <w:p>
      <w:pPr>
        <w:spacing w:after="0" w:line="157" w:lineRule="exact"/>
        <w:rPr>
          <w:sz w:val="20"/>
          <w:szCs w:val="20"/>
          <w:color w:val="auto"/>
        </w:rPr>
      </w:pPr>
    </w:p>
    <w:p>
      <w:pPr>
        <w:ind w:left="1360" w:right="1380" w:firstLine="40"/>
        <w:spacing w:after="0" w:line="251" w:lineRule="auto"/>
        <w:rPr>
          <w:sz w:val="20"/>
          <w:szCs w:val="20"/>
          <w:color w:val="auto"/>
        </w:rPr>
      </w:pPr>
      <w:r>
        <w:rPr>
          <w:rFonts w:ascii="Times New Roman" w:cs="Times New Roman" w:eastAsia="Times New Roman" w:hAnsi="Times New Roman"/>
          <w:sz w:val="16"/>
          <w:szCs w:val="16"/>
          <w:i w:val="1"/>
          <w:iCs w:val="1"/>
          <w:color w:val="auto"/>
        </w:rPr>
        <w:t>Section 2.15. Increase in Facility Amount</w:t>
      </w:r>
      <w:r>
        <w:rPr>
          <w:rFonts w:ascii="Times New Roman" w:cs="Times New Roman" w:eastAsia="Times New Roman" w:hAnsi="Times New Roman"/>
          <w:sz w:val="16"/>
          <w:szCs w:val="16"/>
          <w:color w:val="auto"/>
        </w:rPr>
        <w:t>. The Borrower may, on any Business Day prior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Commitment Termination Date, increase the Facility Amount by delivering a request substantially in the form attached hereto as Exhibit F (each, a </w:t>
      </w:r>
      <w:r>
        <w:rPr>
          <w:rFonts w:ascii="Times New Roman" w:cs="Times New Roman" w:eastAsia="Times New Roman" w:hAnsi="Times New Roman"/>
          <w:sz w:val="16"/>
          <w:szCs w:val="16"/>
          <w:i w:val="1"/>
          <w:iCs w:val="1"/>
          <w:color w:val="auto"/>
        </w:rPr>
        <w:t>“Facility Amount Increase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Request”</w:t>
      </w:r>
      <w:r>
        <w:rPr>
          <w:rFonts w:ascii="Times New Roman" w:cs="Times New Roman" w:eastAsia="Times New Roman" w:hAnsi="Times New Roman"/>
          <w:sz w:val="16"/>
          <w:szCs w:val="16"/>
          <w:color w:val="auto"/>
        </w:rPr>
        <w:t>) or in such other form acceptable to the Administrative Agent at least five (5) Business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Days prior to the desired effective date of such increase (the </w:t>
      </w:r>
      <w:r>
        <w:rPr>
          <w:rFonts w:ascii="Times New Roman" w:cs="Times New Roman" w:eastAsia="Times New Roman" w:hAnsi="Times New Roman"/>
          <w:sz w:val="16"/>
          <w:szCs w:val="16"/>
          <w:i w:val="1"/>
          <w:iCs w:val="1"/>
          <w:color w:val="auto"/>
        </w:rPr>
        <w:t>“Facility Amount Increase”</w:t>
      </w:r>
      <w:r>
        <w:rPr>
          <w:rFonts w:ascii="Times New Roman" w:cs="Times New Roman" w:eastAsia="Times New Roman" w:hAnsi="Times New Roman"/>
          <w:sz w:val="16"/>
          <w:szCs w:val="16"/>
          <w:color w:val="auto"/>
        </w:rPr>
        <w:t xml:space="preserve">) identifying an additional Lender that is a Permitted Assignee (or additional Commitments for existing Lender(s)), and the amount of its Commitment (or additional amount of its Commitment(s));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(i) any increase of the Facility Amount to an amount in excess of $900,000,000 will require the approval of all Lenders, (ii) any increase of the aggregate amount of the Facility Amount shall be in an amount not less than $10,000,000, (iii) no Default or Event of Default shall have occurred and be continuing at the time of the request or the effective date of the Facility Amount Increase, (iv) all representations and warranties contained in Article IV hereof (as the same may be amended from time to time) shall be true and correct in all material respects (except for representations and warranties already qualified by materiality or Material Adverse Effect, which shall be true and correct) at the time of such request and on the effective date of such Facility Amount Increase, and (v) unless such increase is increasing the Commitment of an existing Lender, the Administrative Agent shall have provided its written consent to such increase (which consent shall not be unreasonably withheld or delayed). The effective date of the Facility Amount Increase shall be agreed upon by the Borrower and the Administrative Agent. Upon the effectiveness thereof, the new Lender(s) (or, if applicable, existing Lender(s)) shall make Advances in an amount sufficient such that after giving effect to its advance each Lender shall have outstanding its Percentage of Advances. It shall be a condition to such effectiveness that (i) if any Advances are bearing interest at the Adjusted Term Benchmark Rate on the date of such effectiveness, such Advances shall be deemed to be prepaid on such date and the Borrower shall pay any amounts owing to the Lenders pursuant to Section 2.10 hereof,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if a Facility Amount Increase is made among the existing Lenders and the amount of the increase in each such Lender’s Commitment is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in accordance with the existing Commitments of such Lenders on the date of such Facility Amount Increase, such Advances bearing interest at the Adjusted Term Benchmark Rate shall not be deemed to be prepaid on such date and (ii) the Borrower shall not have terminated any portion of the Commitments pursuant to Section 2.06 hereof. The Borrower agrees to pay any reasonable expenses of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647065</wp:posOffset>
            </wp:positionV>
            <wp:extent cx="526605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5" w:name="page186"/>
    <w:bookmarkEnd w:id="185"/>
    <w:p>
      <w:pPr>
        <w:spacing w:after="0" w:line="270" w:lineRule="exact"/>
        <w:rPr>
          <w:sz w:val="20"/>
          <w:szCs w:val="20"/>
          <w:color w:val="auto"/>
        </w:rPr>
      </w:pPr>
    </w:p>
    <w:p>
      <w:pPr>
        <w:ind w:left="1360" w:right="1500"/>
        <w:spacing w:after="0" w:line="256" w:lineRule="auto"/>
        <w:rPr>
          <w:sz w:val="20"/>
          <w:szCs w:val="20"/>
          <w:color w:val="auto"/>
        </w:rPr>
      </w:pPr>
      <w:r>
        <w:rPr>
          <w:rFonts w:ascii="Times New Roman" w:cs="Times New Roman" w:eastAsia="Times New Roman" w:hAnsi="Times New Roman"/>
          <w:sz w:val="16"/>
          <w:szCs w:val="16"/>
          <w:color w:val="auto"/>
        </w:rPr>
        <w:t>Agent relating to any Facility Amount Increase. Notwithstanding anything herein to the contrary, no Lender shall have any obligation to increase its Commitment and no Lender’s Commitment shall be increased without its consent thereto, and each Lender may at its option, unconditionally and without cause, decline to increase its Commitment. For the avoidance of doubt, each Advance made under a Facility Amount Increase shall be subject to the same terms (including pricing) as Advances under the existing Facility Amount.</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i w:val="1"/>
          <w:iCs w:val="1"/>
          <w:color w:val="auto"/>
        </w:rPr>
        <w:t>Section 2.16. Defaulting Lenders</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jc w:val="both"/>
        <w:ind w:left="1360" w:right="1460" w:firstLine="40"/>
        <w:spacing w:after="0" w:line="268" w:lineRule="auto"/>
        <w:tabs>
          <w:tab w:leader="none" w:pos="1663"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Defaulting Lender Adjustments</w:t>
      </w:r>
      <w:r>
        <w:rPr>
          <w:rFonts w:ascii="Times New Roman" w:cs="Times New Roman" w:eastAsia="Times New Roman" w:hAnsi="Times New Roman"/>
          <w:sz w:val="16"/>
          <w:szCs w:val="16"/>
          <w:color w:val="auto"/>
        </w:rPr>
        <w:t>. Notwithstanding anything to the contrary contained in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if any Lender becomes a Defaulting Lender, then, until such time as such Lender is no longer a Defaulting Lender, to the extent permitted by applicable law:</w:t>
      </w:r>
    </w:p>
    <w:p>
      <w:pPr>
        <w:spacing w:after="0" w:line="142" w:lineRule="exact"/>
        <w:rPr>
          <w:rFonts w:ascii="Times New Roman" w:cs="Times New Roman" w:eastAsia="Times New Roman" w:hAnsi="Times New Roman"/>
          <w:sz w:val="16"/>
          <w:szCs w:val="16"/>
          <w:color w:val="auto"/>
        </w:rPr>
      </w:pPr>
    </w:p>
    <w:p>
      <w:pPr>
        <w:jc w:val="both"/>
        <w:ind w:left="1840" w:right="1680" w:firstLine="529"/>
        <w:spacing w:after="0" w:line="266" w:lineRule="auto"/>
        <w:tabs>
          <w:tab w:leader="none" w:pos="2557"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Defaulting Lender’s right to approve or disapprove any amendment, waiver or consent with respect to this Agreement shall be restricted as set forth in the definition of Required Lenders and in Section 15.01.</w:t>
      </w:r>
    </w:p>
    <w:p>
      <w:pPr>
        <w:spacing w:after="0" w:line="144" w:lineRule="exact"/>
        <w:rPr>
          <w:rFonts w:ascii="Times New Roman" w:cs="Times New Roman" w:eastAsia="Times New Roman" w:hAnsi="Times New Roman"/>
          <w:sz w:val="16"/>
          <w:szCs w:val="16"/>
          <w:color w:val="auto"/>
        </w:rPr>
      </w:pPr>
    </w:p>
    <w:p>
      <w:pPr>
        <w:ind w:left="1840" w:right="1340" w:firstLine="529"/>
        <w:spacing w:after="0" w:line="251" w:lineRule="auto"/>
        <w:tabs>
          <w:tab w:leader="none" w:pos="2602"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payment of principal, interest, fees or other amounts received by the Administrative Agent for the account of such Defaulting Lender (whether voluntary or mandatory, at maturity, pursuant to Article VI or otherwise) or received by the Administrative Agent from a Defaulting Lender pursuant to Section 15.23 shall be applied at such time or times as may be determined by the Administrative Agent as follows: </w:t>
      </w:r>
      <w:r>
        <w:rPr>
          <w:rFonts w:ascii="Times New Roman" w:cs="Times New Roman" w:eastAsia="Times New Roman" w:hAnsi="Times New Roman"/>
          <w:sz w:val="16"/>
          <w:szCs w:val="16"/>
          <w:i w:val="1"/>
          <w:iCs w:val="1"/>
          <w:color w:val="auto"/>
        </w:rPr>
        <w:t>first</w:t>
      </w:r>
      <w:r>
        <w:rPr>
          <w:rFonts w:ascii="Times New Roman" w:cs="Times New Roman" w:eastAsia="Times New Roman" w:hAnsi="Times New Roman"/>
          <w:sz w:val="16"/>
          <w:szCs w:val="16"/>
          <w:color w:val="auto"/>
        </w:rPr>
        <w:t xml:space="preserve">, to the payment of any amounts owing by such Defaulting Lender to the Administrative Agent hereunder; </w:t>
      </w:r>
      <w:r>
        <w:rPr>
          <w:rFonts w:ascii="Times New Roman" w:cs="Times New Roman" w:eastAsia="Times New Roman" w:hAnsi="Times New Roman"/>
          <w:sz w:val="16"/>
          <w:szCs w:val="16"/>
          <w:i w:val="1"/>
          <w:iCs w:val="1"/>
          <w:color w:val="auto"/>
        </w:rPr>
        <w:t>second</w:t>
      </w:r>
      <w:r>
        <w:rPr>
          <w:rFonts w:ascii="Times New Roman" w:cs="Times New Roman" w:eastAsia="Times New Roman" w:hAnsi="Times New Roman"/>
          <w:sz w:val="16"/>
          <w:szCs w:val="16"/>
          <w:color w:val="auto"/>
        </w:rPr>
        <w:t xml:space="preserve">, to the payment on a pro rata basis of any amounts owing by such Defaulting Lender to the Swingline Lender hereunder; </w:t>
      </w:r>
      <w:r>
        <w:rPr>
          <w:rFonts w:ascii="Times New Roman" w:cs="Times New Roman" w:eastAsia="Times New Roman" w:hAnsi="Times New Roman"/>
          <w:sz w:val="16"/>
          <w:szCs w:val="16"/>
          <w:i w:val="1"/>
          <w:iCs w:val="1"/>
          <w:color w:val="auto"/>
        </w:rPr>
        <w:t>third</w:t>
      </w:r>
      <w:r>
        <w:rPr>
          <w:rFonts w:ascii="Times New Roman" w:cs="Times New Roman" w:eastAsia="Times New Roman" w:hAnsi="Times New Roman"/>
          <w:sz w:val="16"/>
          <w:szCs w:val="16"/>
          <w:color w:val="auto"/>
        </w:rPr>
        <w:t xml:space="preserve">, as the Borrower may request (so long as no Default or Event of Default exists), to the funding of any Advance in respect of which such Defaulting Lender has failed to fund its portion thereof as required by this Agreement, as determined by the Administrative Agent; </w:t>
      </w:r>
      <w:r>
        <w:rPr>
          <w:rFonts w:ascii="Times New Roman" w:cs="Times New Roman" w:eastAsia="Times New Roman" w:hAnsi="Times New Roman"/>
          <w:sz w:val="16"/>
          <w:szCs w:val="16"/>
          <w:i w:val="1"/>
          <w:iCs w:val="1"/>
          <w:color w:val="auto"/>
        </w:rPr>
        <w:t>fourth</w:t>
      </w:r>
      <w:r>
        <w:rPr>
          <w:rFonts w:ascii="Times New Roman" w:cs="Times New Roman" w:eastAsia="Times New Roman" w:hAnsi="Times New Roman"/>
          <w:sz w:val="16"/>
          <w:szCs w:val="16"/>
          <w:color w:val="auto"/>
        </w:rPr>
        <w:t xml:space="preserve">, if so determined by the Administrative Agent and the Borrower, to be held in a deposit account and released pro rata in order to satisfy such Defaulting Lender’s potential future funding obligations with respect to Advances under this Agreement; </w:t>
      </w:r>
      <w:r>
        <w:rPr>
          <w:rFonts w:ascii="Times New Roman" w:cs="Times New Roman" w:eastAsia="Times New Roman" w:hAnsi="Times New Roman"/>
          <w:sz w:val="16"/>
          <w:szCs w:val="16"/>
          <w:i w:val="1"/>
          <w:iCs w:val="1"/>
          <w:color w:val="auto"/>
        </w:rPr>
        <w:t>fifth</w:t>
      </w:r>
      <w:r>
        <w:rPr>
          <w:rFonts w:ascii="Times New Roman" w:cs="Times New Roman" w:eastAsia="Times New Roman" w:hAnsi="Times New Roman"/>
          <w:sz w:val="16"/>
          <w:szCs w:val="16"/>
          <w:color w:val="auto"/>
        </w:rPr>
        <w:t xml:space="preserve">, to the payment of any amounts owing to the Lenders or Swingline Lender as a result of any judgment of a court of competent jurisdiction obtained by any Lender or Swingline Lender against such Defaulting Lender as a result of such Defaulting Lender’s breach of its obligations under this Agreement; </w:t>
      </w:r>
      <w:r>
        <w:rPr>
          <w:rFonts w:ascii="Times New Roman" w:cs="Times New Roman" w:eastAsia="Times New Roman" w:hAnsi="Times New Roman"/>
          <w:sz w:val="16"/>
          <w:szCs w:val="16"/>
          <w:i w:val="1"/>
          <w:iCs w:val="1"/>
          <w:color w:val="auto"/>
        </w:rPr>
        <w:t>sixth</w:t>
      </w:r>
      <w:r>
        <w:rPr>
          <w:rFonts w:ascii="Times New Roman" w:cs="Times New Roman" w:eastAsia="Times New Roman" w:hAnsi="Times New Roman"/>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6"/>
          <w:szCs w:val="16"/>
          <w:i w:val="1"/>
          <w:iCs w:val="1"/>
          <w:color w:val="auto"/>
        </w:rPr>
        <w:t>seventh</w:t>
      </w:r>
      <w:r>
        <w:rPr>
          <w:rFonts w:ascii="Times New Roman" w:cs="Times New Roman" w:eastAsia="Times New Roman" w:hAnsi="Times New Roman"/>
          <w:sz w:val="16"/>
          <w:szCs w:val="16"/>
          <w:color w:val="auto"/>
        </w:rPr>
        <w:t>, to such Defaulting Lender or as otherwise directed by a court of competent jurisdiction; provided that if (x) such payment is a payment of the principal amount of any Advances in respect of which such Defaulting Lender has not fully funded its appropriate share, and (y) such Advances were made at a time when the conditions set forth in Section 3.02 were satisfied or waived, such payment shall be applied solely to pay the Advances of all Non-Defaulting Lenders on a pro rata basis prior to being applied to the payment of any Advances of such Defaulting Lender until such time as all Advances and funded and unfunded participations in Swingline Advances are held by the Lenders pro rata in accordance with the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646430</wp:posOffset>
            </wp:positionV>
            <wp:extent cx="526605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6" w:name="page187"/>
    <w:bookmarkEnd w:id="186"/>
    <w:p>
      <w:pPr>
        <w:spacing w:after="0" w:line="270" w:lineRule="exact"/>
        <w:rPr>
          <w:sz w:val="20"/>
          <w:szCs w:val="20"/>
          <w:color w:val="auto"/>
        </w:rPr>
      </w:pPr>
    </w:p>
    <w:p>
      <w:pPr>
        <w:ind w:left="1840" w:right="1420"/>
        <w:spacing w:after="0" w:line="261" w:lineRule="auto"/>
        <w:rPr>
          <w:sz w:val="20"/>
          <w:szCs w:val="20"/>
          <w:color w:val="auto"/>
        </w:rPr>
      </w:pPr>
      <w:r>
        <w:rPr>
          <w:rFonts w:ascii="Times New Roman" w:cs="Times New Roman" w:eastAsia="Times New Roman" w:hAnsi="Times New Roman"/>
          <w:sz w:val="16"/>
          <w:szCs w:val="16"/>
          <w:color w:val="auto"/>
        </w:rPr>
        <w:t>without giving effect to sub -section (iv) below. Any payments, prepayments or other amounts paid or payable to a Defaulting Lender that are applied (or held) to pay amounts owed by a Defaulting Lender pursuant to this Section 2.16(a)(ii) shall be deemed paid to and redirected by such Defaulting Lender, and each Lender irrevocably consents hereto.</w:t>
      </w:r>
    </w:p>
    <w:p>
      <w:pPr>
        <w:spacing w:after="0" w:line="148" w:lineRule="exact"/>
        <w:rPr>
          <w:sz w:val="20"/>
          <w:szCs w:val="20"/>
          <w:color w:val="auto"/>
        </w:rPr>
      </w:pPr>
    </w:p>
    <w:p>
      <w:pPr>
        <w:ind w:left="1840" w:right="1400" w:firstLine="529"/>
        <w:spacing w:after="0" w:line="261" w:lineRule="auto"/>
        <w:tabs>
          <w:tab w:leader="none" w:pos="2647"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Defaulting Lender shall be entitled to receive any Commitment Fee pursuant to the Lender Fee Letter for any period during which that Lender is a Defaulting Lender (and the Borrower shall not be required to pay any such fee that otherwise would have been required to have been paid to that Defaulting Lender).</w:t>
      </w:r>
    </w:p>
    <w:p>
      <w:pPr>
        <w:spacing w:after="0" w:line="148" w:lineRule="exact"/>
        <w:rPr>
          <w:rFonts w:ascii="Times New Roman" w:cs="Times New Roman" w:eastAsia="Times New Roman" w:hAnsi="Times New Roman"/>
          <w:sz w:val="16"/>
          <w:szCs w:val="16"/>
          <w:color w:val="auto"/>
        </w:rPr>
      </w:pPr>
    </w:p>
    <w:p>
      <w:pPr>
        <w:ind w:left="1840" w:right="1360" w:firstLine="529"/>
        <w:spacing w:after="0" w:line="252" w:lineRule="auto"/>
        <w:tabs>
          <w:tab w:leader="none" w:pos="2638"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or any part of such Defaulting Lender’s participation in Swingline Advances shall be reallocated among the Non-Defaulting Lenders in accordance with their respective Percentages of the Commitments (calculated without regard to such Defaulting Lender’s Commitment) but only to the extent that (x) the conditions set forth in Section 3.02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sum of the outstanding Advances of any Non-Defaulting Lender plus such Non-Defaulting Lender’s pro rata risk participation in each Swingline Advance to exceed such Non-Defaulting Lender’s Commitment. Subject to Section 15.25,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0" w:lineRule="exact"/>
        <w:rPr>
          <w:rFonts w:ascii="Times New Roman" w:cs="Times New Roman" w:eastAsia="Times New Roman" w:hAnsi="Times New Roman"/>
          <w:sz w:val="16"/>
          <w:szCs w:val="16"/>
          <w:color w:val="auto"/>
        </w:rPr>
      </w:pPr>
    </w:p>
    <w:p>
      <w:pPr>
        <w:ind w:left="1840" w:right="1380" w:firstLine="529"/>
        <w:spacing w:after="0" w:line="261" w:lineRule="auto"/>
        <w:tabs>
          <w:tab w:leader="none" w:pos="2593"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reallocation described in clause (iv) above cannot, or can only partially, be effected, the Borrower shall, without prejudice to any right or remedy available to it hereunder or under law, prepay Swingline Advances in an amount equal to the Defaulting Lender’s Percentage of such Swingline Advances.</w:t>
      </w:r>
    </w:p>
    <w:p>
      <w:pPr>
        <w:spacing w:after="0" w:line="146" w:lineRule="exact"/>
        <w:rPr>
          <w:rFonts w:ascii="Times New Roman" w:cs="Times New Roman" w:eastAsia="Times New Roman" w:hAnsi="Times New Roman"/>
          <w:sz w:val="16"/>
          <w:szCs w:val="16"/>
          <w:color w:val="auto"/>
        </w:rPr>
      </w:pPr>
    </w:p>
    <w:p>
      <w:pPr>
        <w:ind w:left="1360" w:right="1400" w:firstLine="40"/>
        <w:spacing w:after="0" w:line="252" w:lineRule="auto"/>
        <w:tabs>
          <w:tab w:leader="none" w:pos="1633"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Defaulting Lender Cure</w:t>
      </w:r>
      <w:r>
        <w:rPr>
          <w:rFonts w:ascii="Times New Roman" w:cs="Times New Roman" w:eastAsia="Times New Roman" w:hAnsi="Times New Roman"/>
          <w:sz w:val="16"/>
          <w:szCs w:val="16"/>
          <w:color w:val="auto"/>
        </w:rPr>
        <w:t>. If the Borrower, the Administrative Agent and Swingline Lender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the Administrative Agent may determine to be necessary to cause the Advances and funded and unfunded participations in Swingline Advances to be held pro rata by the Lenders in accordance with the applicable Commitments (without giving effect to Section 2.16(a)(iv), whereupon such Lender will cease to be a Defaulting Lender;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647065</wp:posOffset>
            </wp:positionV>
            <wp:extent cx="526605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7" w:name="page188"/>
    <w:bookmarkEnd w:id="187"/>
    <w:p>
      <w:pPr>
        <w:spacing w:after="0" w:line="268" w:lineRule="exact"/>
        <w:rPr>
          <w:sz w:val="20"/>
          <w:szCs w:val="20"/>
          <w:color w:val="auto"/>
        </w:rPr>
      </w:pPr>
    </w:p>
    <w:p>
      <w:pPr>
        <w:ind w:left="1360" w:right="1760" w:firstLine="40"/>
        <w:spacing w:after="0" w:line="286" w:lineRule="auto"/>
        <w:tabs>
          <w:tab w:leader="none" w:pos="1622"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New Swingline Advances</w:t>
      </w:r>
      <w:r>
        <w:rPr>
          <w:rFonts w:ascii="Times New Roman" w:cs="Times New Roman" w:eastAsia="Times New Roman" w:hAnsi="Times New Roman"/>
          <w:sz w:val="16"/>
          <w:szCs w:val="16"/>
          <w:color w:val="auto"/>
        </w:rPr>
        <w:t>. So long as any Lender is a Defaulting Lender, the Swingline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Lender shall not be required to fund any Swingline Advances.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III</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Conditions Precedent</w:t>
      </w:r>
    </w:p>
    <w:p>
      <w:pPr>
        <w:spacing w:after="0" w:line="187" w:lineRule="exact"/>
        <w:rPr>
          <w:sz w:val="20"/>
          <w:szCs w:val="20"/>
          <w:color w:val="auto"/>
        </w:rPr>
      </w:pPr>
    </w:p>
    <w:p>
      <w:pPr>
        <w:ind w:left="1360" w:right="1360" w:firstLine="40"/>
        <w:spacing w:after="0" w:line="262" w:lineRule="auto"/>
        <w:rPr>
          <w:sz w:val="20"/>
          <w:szCs w:val="20"/>
          <w:color w:val="auto"/>
        </w:rPr>
      </w:pPr>
      <w:r>
        <w:rPr>
          <w:rFonts w:ascii="Times New Roman" w:cs="Times New Roman" w:eastAsia="Times New Roman" w:hAnsi="Times New Roman"/>
          <w:sz w:val="16"/>
          <w:szCs w:val="16"/>
          <w:i w:val="1"/>
          <w:iCs w:val="1"/>
          <w:color w:val="auto"/>
        </w:rPr>
        <w:t>Section 3.01. Conditions Precedent to Initial Borrowing</w:t>
      </w:r>
      <w:r>
        <w:rPr>
          <w:rFonts w:ascii="Times New Roman" w:cs="Times New Roman" w:eastAsia="Times New Roman" w:hAnsi="Times New Roman"/>
          <w:sz w:val="16"/>
          <w:szCs w:val="16"/>
          <w:color w:val="auto"/>
        </w:rPr>
        <w:t>. The obligation of each Lender to make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its initial Advance hereunder shall be subject to the conditions precedent that the Administrative Agent shall have received on or before the Closing Date the following, each in form and substance reasonably satisfactory to the Administrative Agent:</w:t>
      </w:r>
    </w:p>
    <w:p>
      <w:pPr>
        <w:spacing w:after="0" w:line="147" w:lineRule="exact"/>
        <w:rPr>
          <w:sz w:val="20"/>
          <w:szCs w:val="20"/>
          <w:color w:val="auto"/>
        </w:rPr>
      </w:pPr>
    </w:p>
    <w:p>
      <w:pPr>
        <w:ind w:left="1840" w:right="1600" w:firstLine="44"/>
        <w:spacing w:after="0" w:line="283" w:lineRule="auto"/>
        <w:tabs>
          <w:tab w:leader="none" w:pos="21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Facility Documents duly executed and delivered by the parties thereto, which shall each be in full force and effect;</w:t>
      </w:r>
    </w:p>
    <w:p>
      <w:pPr>
        <w:spacing w:after="0" w:line="131" w:lineRule="exact"/>
        <w:rPr>
          <w:rFonts w:ascii="Times New Roman" w:cs="Times New Roman" w:eastAsia="Times New Roman" w:hAnsi="Times New Roman"/>
          <w:sz w:val="16"/>
          <w:szCs w:val="16"/>
          <w:color w:val="auto"/>
        </w:rPr>
      </w:pPr>
    </w:p>
    <w:p>
      <w:pPr>
        <w:ind w:left="1840" w:right="1740" w:firstLine="44"/>
        <w:spacing w:after="0" w:line="283" w:lineRule="auto"/>
        <w:tabs>
          <w:tab w:leader="none" w:pos="2109"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and complete copies of the Constituent Documents of the Borrower and the Collateral Manager as in effect on the Funding Effective Date;</w:t>
      </w:r>
    </w:p>
    <w:p>
      <w:pPr>
        <w:spacing w:after="0" w:line="131" w:lineRule="exact"/>
        <w:rPr>
          <w:rFonts w:ascii="Times New Roman" w:cs="Times New Roman" w:eastAsia="Times New Roman" w:hAnsi="Times New Roman"/>
          <w:sz w:val="16"/>
          <w:szCs w:val="16"/>
          <w:color w:val="auto"/>
        </w:rPr>
      </w:pPr>
    </w:p>
    <w:p>
      <w:pPr>
        <w:ind w:left="1840" w:right="1500" w:firstLine="44"/>
        <w:spacing w:after="0" w:line="266" w:lineRule="auto"/>
        <w:tabs>
          <w:tab w:leader="none" w:pos="21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and complete copies certified by a Responsible Officer of the Borrower of all Governmental Authorizations, Private Authorizations and Governmental Filings, if any, required in connection with the transactions contemplated by this Agreement;</w:t>
      </w:r>
    </w:p>
    <w:p>
      <w:pPr>
        <w:spacing w:after="0" w:line="144" w:lineRule="exact"/>
        <w:rPr>
          <w:rFonts w:ascii="Times New Roman" w:cs="Times New Roman" w:eastAsia="Times New Roman" w:hAnsi="Times New Roman"/>
          <w:sz w:val="16"/>
          <w:szCs w:val="16"/>
          <w:color w:val="auto"/>
        </w:rPr>
      </w:pPr>
    </w:p>
    <w:p>
      <w:pPr>
        <w:ind w:left="1840" w:right="1420" w:firstLine="44"/>
        <w:spacing w:after="0" w:line="253" w:lineRule="auto"/>
        <w:tabs>
          <w:tab w:leader="none" w:pos="2109"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of a Responsible Officer of the Borrower and of the Collateral Manager certifying (i) as to its Constituent Documents, (ii) its certificate of good standing issued by the jurisdiction of its organization, (iii) as to its resolutions or other action of its board of directors or members approving this Agreement and the other Facility Documents to which it is a party and the transactions contemplated thereby, (iv) 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(v) no Default or Event of Default has occurred and is continuing, and (vi) as to the incumbency and specimen signature of each of its Responsible Officers authorized to execute the Facility Documents to which it is a party;</w:t>
      </w:r>
    </w:p>
    <w:p>
      <w:pPr>
        <w:spacing w:after="0" w:line="154" w:lineRule="exact"/>
        <w:rPr>
          <w:rFonts w:ascii="Times New Roman" w:cs="Times New Roman" w:eastAsia="Times New Roman" w:hAnsi="Times New Roman"/>
          <w:sz w:val="16"/>
          <w:szCs w:val="16"/>
          <w:color w:val="auto"/>
        </w:rPr>
      </w:pPr>
    </w:p>
    <w:p>
      <w:pPr>
        <w:ind w:left="1840" w:right="1360" w:firstLine="44"/>
        <w:spacing w:after="0" w:line="266" w:lineRule="auto"/>
        <w:tabs>
          <w:tab w:leader="none" w:pos="21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 financing statements, duly filed on or before the Funding Effective Date, under the UCC in all jurisdictions that the Administrative Agent deems necessary or desirable in order to perfect the interests in the Collateral contemplated by this Agreement;</w:t>
      </w:r>
    </w:p>
    <w:p>
      <w:pPr>
        <w:spacing w:after="0" w:line="144" w:lineRule="exact"/>
        <w:rPr>
          <w:rFonts w:ascii="Times New Roman" w:cs="Times New Roman" w:eastAsia="Times New Roman" w:hAnsi="Times New Roman"/>
          <w:sz w:val="16"/>
          <w:szCs w:val="16"/>
          <w:color w:val="auto"/>
        </w:rPr>
      </w:pPr>
    </w:p>
    <w:p>
      <w:pPr>
        <w:ind w:left="1840" w:right="1500" w:firstLine="44"/>
        <w:spacing w:after="0" w:line="258" w:lineRule="auto"/>
        <w:tabs>
          <w:tab w:leader="none" w:pos="2082"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payoff or release letters evidencing the termination of, and repayment in full of obligations under, the Prior Credit Agreement, and copies of proper financing statement filings necessary to release or assign (in the discretion of the Administrative Agent) all security interests and other rights of any Person in the Collateral previously granted by the Borrower or any transferor in connection with the Prior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640715</wp:posOffset>
            </wp:positionV>
            <wp:extent cx="526605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8" w:name="page189"/>
    <w:bookmarkEnd w:id="188"/>
    <w:p>
      <w:pPr>
        <w:spacing w:after="0" w:line="270" w:lineRule="exact"/>
        <w:rPr>
          <w:sz w:val="20"/>
          <w:szCs w:val="20"/>
          <w:color w:val="auto"/>
        </w:rPr>
      </w:pPr>
    </w:p>
    <w:p>
      <w:pPr>
        <w:jc w:val="both"/>
        <w:ind w:left="1840" w:right="1440" w:firstLine="44"/>
        <w:spacing w:after="0" w:line="261" w:lineRule="auto"/>
        <w:tabs>
          <w:tab w:leader="none" w:pos="2109"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opinions (addressed to each of the Secured Parties) of Dechert LLP, New York counsel to the Borrower and the Collateral Manager and Nixon Peabody LLP, counsel to the Collateral Agent, covering such matters as the Administrative Agent and its counsel shall reasonably request;</w:t>
      </w:r>
    </w:p>
    <w:p>
      <w:pPr>
        <w:spacing w:after="0" w:line="148" w:lineRule="exact"/>
        <w:rPr>
          <w:rFonts w:ascii="Times New Roman" w:cs="Times New Roman" w:eastAsia="Times New Roman" w:hAnsi="Times New Roman"/>
          <w:sz w:val="16"/>
          <w:szCs w:val="16"/>
          <w:color w:val="auto"/>
        </w:rPr>
      </w:pPr>
    </w:p>
    <w:p>
      <w:pPr>
        <w:ind w:left="1840" w:right="1640" w:firstLine="44"/>
        <w:spacing w:after="0" w:line="261" w:lineRule="auto"/>
        <w:tabs>
          <w:tab w:leader="none" w:pos="2109"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 reasonably satisfactory to it that all of the Covered Accounts shall have been established; and the Account Control Agreement shall have been executed and delivered by the Borrower, the Collateral Agent and the Custodian and shall be in full force and effect;</w:t>
      </w:r>
    </w:p>
    <w:p>
      <w:pPr>
        <w:spacing w:after="0" w:line="148" w:lineRule="exact"/>
        <w:rPr>
          <w:rFonts w:ascii="Times New Roman" w:cs="Times New Roman" w:eastAsia="Times New Roman" w:hAnsi="Times New Roman"/>
          <w:sz w:val="16"/>
          <w:szCs w:val="16"/>
          <w:color w:val="auto"/>
        </w:rPr>
      </w:pPr>
    </w:p>
    <w:p>
      <w:pPr>
        <w:ind w:left="1840" w:right="1360" w:firstLine="44"/>
        <w:spacing w:after="0" w:line="258" w:lineRule="auto"/>
        <w:tabs>
          <w:tab w:leader="none" w:pos="2073"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 that (x) all fees to be received by each Lender on or prior to the Closing Date have been received; and (y) the accrued fees and expenses of Chapman and Cutler, counsel to the Administrative Agent, in connection with the transactions contemplated hereby (to the extent invoiced prior to the Closing Date), shall have been paid by the Borrower;</w:t>
      </w:r>
    </w:p>
    <w:p>
      <w:pPr>
        <w:spacing w:after="0" w:line="151" w:lineRule="exact"/>
        <w:rPr>
          <w:rFonts w:ascii="Times New Roman" w:cs="Times New Roman" w:eastAsia="Times New Roman" w:hAnsi="Times New Roman"/>
          <w:sz w:val="16"/>
          <w:szCs w:val="16"/>
          <w:color w:val="auto"/>
        </w:rPr>
      </w:pPr>
    </w:p>
    <w:p>
      <w:pPr>
        <w:ind w:left="2080" w:hanging="196"/>
        <w:spacing w:after="0"/>
        <w:tabs>
          <w:tab w:leader="none" w:pos="20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executed counterpart of the Collateral Agent Fee Letter;</w:t>
      </w:r>
    </w:p>
    <w:p>
      <w:pPr>
        <w:spacing w:after="0" w:line="189" w:lineRule="exact"/>
        <w:rPr>
          <w:rFonts w:ascii="Times New Roman" w:cs="Times New Roman" w:eastAsia="Times New Roman" w:hAnsi="Times New Roman"/>
          <w:sz w:val="16"/>
          <w:szCs w:val="16"/>
          <w:color w:val="auto"/>
        </w:rPr>
      </w:pPr>
    </w:p>
    <w:p>
      <w:pPr>
        <w:ind w:left="1840" w:right="1680" w:firstLine="44"/>
        <w:spacing w:after="0" w:line="261" w:lineRule="auto"/>
        <w:tabs>
          <w:tab w:leader="none" w:pos="2109"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of such Collateral (including any promissory note, executed assignment agreements and word or pdf copies of the principal credit agreement for each initial Collateral Loan, to the extent received by the Borrower) in accordance with the provisions of Article XIV shall have been effected;</w:t>
      </w:r>
    </w:p>
    <w:p>
      <w:pPr>
        <w:spacing w:after="0" w:line="148" w:lineRule="exact"/>
        <w:rPr>
          <w:rFonts w:ascii="Times New Roman" w:cs="Times New Roman" w:eastAsia="Times New Roman" w:hAnsi="Times New Roman"/>
          <w:sz w:val="16"/>
          <w:szCs w:val="16"/>
          <w:color w:val="auto"/>
        </w:rPr>
      </w:pPr>
    </w:p>
    <w:p>
      <w:pPr>
        <w:ind w:left="1840" w:right="1380" w:firstLine="44"/>
        <w:spacing w:after="0" w:line="266" w:lineRule="auto"/>
        <w:tabs>
          <w:tab w:leader="none" w:pos="2073"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of a Responsible Officer of the Borrower, dated as of the Closing Date, to the effect that, in the case of each item of Collateral pledged to the Collateral Agent, on the Closing Date and immediately prior to the delivery thereof on the Closing Date:</w:t>
      </w:r>
    </w:p>
    <w:p>
      <w:pPr>
        <w:spacing w:after="0" w:line="144" w:lineRule="exact"/>
        <w:rPr>
          <w:rFonts w:ascii="Times New Roman" w:cs="Times New Roman" w:eastAsia="Times New Roman" w:hAnsi="Times New Roman"/>
          <w:sz w:val="16"/>
          <w:szCs w:val="16"/>
          <w:color w:val="auto"/>
        </w:rPr>
      </w:pPr>
    </w:p>
    <w:p>
      <w:pPr>
        <w:ind w:left="2320" w:right="1380" w:firstLine="49"/>
        <w:spacing w:after="0" w:line="266" w:lineRule="auto"/>
        <w:tabs>
          <w:tab w:leader="none" w:pos="2553"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is the owner of such Collateral free and clear of any liens, claims or encumbrances of any nature whatsoever except for (A) those which are being released on the Closing Date and (B) those granted pursuant to this Agreement;</w:t>
      </w:r>
    </w:p>
    <w:p>
      <w:pPr>
        <w:spacing w:after="0" w:line="144" w:lineRule="exact"/>
        <w:rPr>
          <w:rFonts w:ascii="Times New Roman" w:cs="Times New Roman" w:eastAsia="Times New Roman" w:hAnsi="Times New Roman"/>
          <w:sz w:val="16"/>
          <w:szCs w:val="16"/>
          <w:color w:val="auto"/>
        </w:rPr>
      </w:pPr>
    </w:p>
    <w:p>
      <w:pPr>
        <w:jc w:val="both"/>
        <w:ind w:left="2320" w:right="1760" w:firstLine="49"/>
        <w:spacing w:after="0" w:line="283" w:lineRule="auto"/>
        <w:tabs>
          <w:tab w:leader="none" w:pos="2598"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acquired its ownership in such Collateral in good faith without notice of any adverse claim, except as described in clause (i) above;</w:t>
      </w:r>
    </w:p>
    <w:p>
      <w:pPr>
        <w:spacing w:after="0" w:line="131" w:lineRule="exact"/>
        <w:rPr>
          <w:rFonts w:ascii="Times New Roman" w:cs="Times New Roman" w:eastAsia="Times New Roman" w:hAnsi="Times New Roman"/>
          <w:sz w:val="16"/>
          <w:szCs w:val="16"/>
          <w:color w:val="auto"/>
        </w:rPr>
      </w:pPr>
    </w:p>
    <w:p>
      <w:pPr>
        <w:jc w:val="both"/>
        <w:ind w:left="2320" w:right="1360" w:firstLine="49"/>
        <w:spacing w:after="0" w:line="261" w:lineRule="auto"/>
        <w:tabs>
          <w:tab w:leader="none" w:pos="2643"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not assigned, pledged or otherwise encumbered any interest in such Collateral (or, if any such interest has been assigned, pledged or otherwise encumbered, it has been released) other than interests granted pursuant to this Agreement;</w:t>
      </w:r>
    </w:p>
    <w:p>
      <w:pPr>
        <w:spacing w:after="0" w:line="148" w:lineRule="exact"/>
        <w:rPr>
          <w:rFonts w:ascii="Times New Roman" w:cs="Times New Roman" w:eastAsia="Times New Roman" w:hAnsi="Times New Roman"/>
          <w:sz w:val="16"/>
          <w:szCs w:val="16"/>
          <w:color w:val="auto"/>
        </w:rPr>
      </w:pPr>
    </w:p>
    <w:p>
      <w:pPr>
        <w:ind w:left="2320" w:right="1780" w:firstLine="49"/>
        <w:spacing w:after="0" w:line="283" w:lineRule="auto"/>
        <w:tabs>
          <w:tab w:leader="none" w:pos="2634"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full right to grant a security interest in and assign and pledge such Collateral to the Collateral Agent; and</w:t>
      </w:r>
    </w:p>
    <w:p>
      <w:pPr>
        <w:spacing w:after="0" w:line="131" w:lineRule="exact"/>
        <w:rPr>
          <w:rFonts w:ascii="Times New Roman" w:cs="Times New Roman" w:eastAsia="Times New Roman" w:hAnsi="Times New Roman"/>
          <w:sz w:val="16"/>
          <w:szCs w:val="16"/>
          <w:color w:val="auto"/>
        </w:rPr>
      </w:pPr>
    </w:p>
    <w:p>
      <w:pPr>
        <w:ind w:left="2320" w:right="1600" w:firstLine="49"/>
        <w:spacing w:after="0" w:line="283" w:lineRule="auto"/>
        <w:tabs>
          <w:tab w:leader="none" w:pos="2589"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creates, upon Delivery of Collateral, filing of the financing statements required hereunder and execution of the Account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628015</wp:posOffset>
            </wp:positionV>
            <wp:extent cx="526605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9" w:name="page190"/>
    <w:bookmarkEnd w:id="189"/>
    <w:p>
      <w:pPr>
        <w:spacing w:after="0" w:line="270" w:lineRule="exact"/>
        <w:rPr>
          <w:sz w:val="20"/>
          <w:szCs w:val="20"/>
          <w:color w:val="auto"/>
        </w:rPr>
      </w:pPr>
    </w:p>
    <w:p>
      <w:pPr>
        <w:ind w:left="2320" w:right="1500"/>
        <w:spacing w:after="0" w:line="283" w:lineRule="auto"/>
        <w:rPr>
          <w:sz w:val="20"/>
          <w:szCs w:val="20"/>
          <w:color w:val="auto"/>
        </w:rPr>
      </w:pPr>
      <w:r>
        <w:rPr>
          <w:rFonts w:ascii="Times New Roman" w:cs="Times New Roman" w:eastAsia="Times New Roman" w:hAnsi="Times New Roman"/>
          <w:sz w:val="16"/>
          <w:szCs w:val="16"/>
          <w:color w:val="auto"/>
        </w:rPr>
        <w:t>Agreement, a first priority, perfected security interest in the Collateral, except as permitted by this Agreement;</w:t>
      </w:r>
    </w:p>
    <w:p>
      <w:pPr>
        <w:spacing w:after="0" w:line="129" w:lineRule="exact"/>
        <w:rPr>
          <w:sz w:val="20"/>
          <w:szCs w:val="20"/>
          <w:color w:val="auto"/>
        </w:rPr>
      </w:pPr>
    </w:p>
    <w:p>
      <w:pPr>
        <w:ind w:left="2160" w:hanging="276"/>
        <w:spacing w:after="0"/>
        <w:tabs>
          <w:tab w:leader="none" w:pos="2160"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reserved</w:t>
      </w:r>
      <w:r>
        <w:rPr>
          <w:rFonts w:ascii="Times New Roman" w:cs="Times New Roman" w:eastAsia="Times New Roman" w:hAnsi="Times New Roman"/>
          <w:sz w:val="16"/>
          <w:szCs w:val="16"/>
          <w:color w:val="auto"/>
        </w:rPr>
        <w:t>;</w:t>
      </w:r>
    </w:p>
    <w:p>
      <w:pPr>
        <w:spacing w:after="0" w:line="191" w:lineRule="exact"/>
        <w:rPr>
          <w:rFonts w:ascii="Times New Roman" w:cs="Times New Roman" w:eastAsia="Times New Roman" w:hAnsi="Times New Roman"/>
          <w:sz w:val="16"/>
          <w:szCs w:val="16"/>
          <w:color w:val="auto"/>
        </w:rPr>
      </w:pPr>
    </w:p>
    <w:p>
      <w:pPr>
        <w:ind w:left="1840" w:right="1480" w:firstLine="44"/>
        <w:spacing w:after="0" w:line="256" w:lineRule="auto"/>
        <w:tabs>
          <w:tab w:leader="none" w:pos="2109"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executed Certificate of Beneficial Ownership and all documentation and other information requested by any such Lender required by bank regulatory authorities under applicable “know your customer” and anti-money laundering rules and regulations, including the Patriot Act; and the Administrative Agent shall have received a fully executed Internal Revenue Service Form W-9 (or its equivalent) for the Borrower, the Collateral Manager and the BDC;</w:t>
      </w:r>
    </w:p>
    <w:p>
      <w:pPr>
        <w:spacing w:after="0" w:line="154" w:lineRule="exact"/>
        <w:rPr>
          <w:rFonts w:ascii="Times New Roman" w:cs="Times New Roman" w:eastAsia="Times New Roman" w:hAnsi="Times New Roman"/>
          <w:sz w:val="16"/>
          <w:szCs w:val="16"/>
          <w:color w:val="auto"/>
        </w:rPr>
      </w:pPr>
    </w:p>
    <w:p>
      <w:pPr>
        <w:ind w:left="1360" w:right="1820" w:firstLine="40"/>
        <w:spacing w:after="0" w:line="283" w:lineRule="auto"/>
        <w:tabs>
          <w:tab w:leader="none" w:pos="1629"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closing certificate from the Borrower substantially in the form set forth on Exhibit H hereto;</w:t>
      </w:r>
    </w:p>
    <w:p>
      <w:pPr>
        <w:spacing w:after="0" w:line="131" w:lineRule="exact"/>
        <w:rPr>
          <w:rFonts w:ascii="Times New Roman" w:cs="Times New Roman" w:eastAsia="Times New Roman" w:hAnsi="Times New Roman"/>
          <w:sz w:val="16"/>
          <w:szCs w:val="16"/>
          <w:color w:val="auto"/>
        </w:rPr>
      </w:pPr>
    </w:p>
    <w:p>
      <w:pPr>
        <w:ind w:left="1360" w:right="1640" w:firstLine="40"/>
        <w:spacing w:after="0" w:line="283" w:lineRule="auto"/>
        <w:tabs>
          <w:tab w:leader="none" w:pos="1629"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before the Closing Date, delivery to the Custodian of Related Documents for initial Eligible Collateral Loans;</w:t>
      </w:r>
    </w:p>
    <w:p>
      <w:pPr>
        <w:spacing w:after="0" w:line="131" w:lineRule="exact"/>
        <w:rPr>
          <w:rFonts w:ascii="Times New Roman" w:cs="Times New Roman" w:eastAsia="Times New Roman" w:hAnsi="Times New Roman"/>
          <w:sz w:val="16"/>
          <w:szCs w:val="16"/>
          <w:color w:val="auto"/>
        </w:rPr>
      </w:pPr>
    </w:p>
    <w:p>
      <w:pPr>
        <w:ind w:left="1360" w:right="1840" w:firstLine="40"/>
        <w:spacing w:after="0" w:line="283" w:lineRule="auto"/>
        <w:tabs>
          <w:tab w:leader="none" w:pos="1629"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other opinions, instruments, certificates and documents from the Borrower as the Agents or any Lender shall have reasonably requested.</w:t>
      </w:r>
    </w:p>
    <w:p>
      <w:pPr>
        <w:spacing w:after="0" w:line="129" w:lineRule="exact"/>
        <w:rPr>
          <w:sz w:val="20"/>
          <w:szCs w:val="20"/>
          <w:color w:val="auto"/>
        </w:rPr>
      </w:pPr>
    </w:p>
    <w:p>
      <w:pPr>
        <w:ind w:left="1360" w:right="1400" w:firstLine="40"/>
        <w:spacing w:after="0" w:line="254" w:lineRule="auto"/>
        <w:rPr>
          <w:sz w:val="20"/>
          <w:szCs w:val="20"/>
          <w:color w:val="auto"/>
        </w:rPr>
      </w:pPr>
      <w:r>
        <w:rPr>
          <w:rFonts w:ascii="Times New Roman" w:cs="Times New Roman" w:eastAsia="Times New Roman" w:hAnsi="Times New Roman"/>
          <w:sz w:val="16"/>
          <w:szCs w:val="16"/>
          <w:i w:val="1"/>
          <w:iCs w:val="1"/>
          <w:color w:val="auto"/>
        </w:rPr>
        <w:t>Section 3.02. Conditions Precedent to Each Borrowing</w:t>
      </w:r>
      <w:r>
        <w:rPr>
          <w:rFonts w:ascii="Times New Roman" w:cs="Times New Roman" w:eastAsia="Times New Roman" w:hAnsi="Times New Roman"/>
          <w:sz w:val="16"/>
          <w:szCs w:val="16"/>
          <w:color w:val="auto"/>
        </w:rPr>
        <w:t>. The obligation of each Lender to make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each Advance to be made by it (including the initial Advance) on each Borrowing Date shall be subject to the fulfillment of the following conditions;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conditions described in clauses (b) and (c) (other than a Default or Event of Default described in Sections 6.01(c) or (f) or in Sections 6.02(c), (e) or (f)) below need not be satisfied if the proceeds of the Borrowing are used to fund Revolving Collateral Loans or Delayed Drawdown Collateral Loans then owned by the Borrower or to settle trades committed to by the Borrower prior to the end of the Reinvestment Period or to fund the Revolving Reserve Account to the extent required under Section 8.04; and this Section 3.02 shall not apply with respect to any Swingline Refinancing Advances:</w:t>
      </w:r>
    </w:p>
    <w:p>
      <w:pPr>
        <w:spacing w:after="0" w:line="153" w:lineRule="exact"/>
        <w:rPr>
          <w:sz w:val="20"/>
          <w:szCs w:val="20"/>
          <w:color w:val="auto"/>
        </w:rPr>
      </w:pPr>
    </w:p>
    <w:p>
      <w:pPr>
        <w:ind w:left="1840" w:right="1460" w:firstLine="44"/>
        <w:spacing w:after="0" w:line="266" w:lineRule="auto"/>
        <w:tabs>
          <w:tab w:leader="none" w:pos="210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shall have received a Notice of Borrowing with respect to such Advance (including the Borrowing Base Calculation Statement attached thereto, all duly completed) delivered in accordance with Section 2.02;</w:t>
      </w:r>
    </w:p>
    <w:p>
      <w:pPr>
        <w:spacing w:after="0" w:line="144" w:lineRule="exact"/>
        <w:rPr>
          <w:rFonts w:ascii="Times New Roman" w:cs="Times New Roman" w:eastAsia="Times New Roman" w:hAnsi="Times New Roman"/>
          <w:sz w:val="16"/>
          <w:szCs w:val="16"/>
          <w:color w:val="auto"/>
        </w:rPr>
      </w:pPr>
    </w:p>
    <w:p>
      <w:pPr>
        <w:ind w:left="1840" w:right="1620" w:firstLine="44"/>
        <w:spacing w:after="0" w:line="266" w:lineRule="auto"/>
        <w:tabs>
          <w:tab w:leader="none" w:pos="2109"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the making of such Advance on the applicable Borrowing Date, each Coverage Test shall be satisfied (as demonstrated on the Borrowing Base Calculation Statement attached to such Notice of Borrowing);</w:t>
      </w:r>
    </w:p>
    <w:p>
      <w:pPr>
        <w:spacing w:after="0" w:line="144" w:lineRule="exact"/>
        <w:rPr>
          <w:rFonts w:ascii="Times New Roman" w:cs="Times New Roman" w:eastAsia="Times New Roman" w:hAnsi="Times New Roman"/>
          <w:sz w:val="16"/>
          <w:szCs w:val="16"/>
          <w:color w:val="auto"/>
        </w:rPr>
      </w:pPr>
    </w:p>
    <w:p>
      <w:pPr>
        <w:ind w:left="1840" w:right="1360" w:firstLine="44"/>
        <w:spacing w:after="0" w:line="255" w:lineRule="auto"/>
        <w:tabs>
          <w:tab w:leader="none" w:pos="210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representations and warranties of the Borrower contained in this Agreement shall be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shall be true and correct in all material respects as of such earlier date as if made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643255</wp:posOffset>
            </wp:positionV>
            <wp:extent cx="526605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0" w:name="page191"/>
    <w:bookmarkEnd w:id="190"/>
    <w:p>
      <w:pPr>
        <w:spacing w:after="0" w:line="270" w:lineRule="exact"/>
        <w:rPr>
          <w:sz w:val="20"/>
          <w:szCs w:val="20"/>
          <w:color w:val="auto"/>
        </w:rPr>
      </w:pPr>
    </w:p>
    <w:p>
      <w:pPr>
        <w:ind w:left="1840" w:right="1520" w:firstLine="44"/>
        <w:spacing w:after="0" w:line="256" w:lineRule="auto"/>
        <w:tabs>
          <w:tab w:leader="none" w:pos="2109"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requested Advance is denominated in an Agreed Foreign Currency, after giving effect to such Advance, the aggregate outstanding principal balance of all Advances denominated in such currency shall not exceed the Aggregate Principal Balance of all Eligible Collateral Loans denominated in such currency by more than 10% of the Aggregate Principal Balance of all Eligible Collateral Loans denominated in such currency;</w:t>
      </w:r>
    </w:p>
    <w:p>
      <w:pPr>
        <w:spacing w:after="0" w:line="154" w:lineRule="exact"/>
        <w:rPr>
          <w:rFonts w:ascii="Times New Roman" w:cs="Times New Roman" w:eastAsia="Times New Roman" w:hAnsi="Times New Roman"/>
          <w:sz w:val="16"/>
          <w:szCs w:val="16"/>
          <w:color w:val="auto"/>
        </w:rPr>
      </w:pPr>
    </w:p>
    <w:p>
      <w:pPr>
        <w:ind w:left="1840" w:right="1620" w:firstLine="44"/>
        <w:spacing w:after="0" w:line="266" w:lineRule="auto"/>
        <w:tabs>
          <w:tab w:leader="none" w:pos="21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Event of Default or Collateral Manager Replacement Event shall have occurred and be continuing at the time of the making of such Advance or shall result upon the making of such Advance; and</w:t>
      </w:r>
    </w:p>
    <w:p>
      <w:pPr>
        <w:spacing w:after="0" w:line="144" w:lineRule="exact"/>
        <w:rPr>
          <w:rFonts w:ascii="Times New Roman" w:cs="Times New Roman" w:eastAsia="Times New Roman" w:hAnsi="Times New Roman"/>
          <w:sz w:val="16"/>
          <w:szCs w:val="16"/>
          <w:color w:val="auto"/>
        </w:rPr>
      </w:pPr>
    </w:p>
    <w:p>
      <w:pPr>
        <w:ind w:left="2080" w:hanging="196"/>
        <w:spacing w:after="0"/>
        <w:tabs>
          <w:tab w:leader="none" w:pos="20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Reinvestment Period shall not have terminated.</w:t>
      </w: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IV</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Representations and Warranties</w:t>
      </w:r>
    </w:p>
    <w:p>
      <w:pPr>
        <w:spacing w:after="0" w:line="187" w:lineRule="exact"/>
        <w:rPr>
          <w:sz w:val="20"/>
          <w:szCs w:val="20"/>
          <w:color w:val="auto"/>
        </w:rPr>
      </w:pPr>
    </w:p>
    <w:p>
      <w:pPr>
        <w:jc w:val="both"/>
        <w:ind w:left="1360" w:right="1520" w:firstLine="40"/>
        <w:spacing w:after="0" w:line="268" w:lineRule="auto"/>
        <w:rPr>
          <w:sz w:val="20"/>
          <w:szCs w:val="20"/>
          <w:color w:val="auto"/>
        </w:rPr>
      </w:pPr>
      <w:r>
        <w:rPr>
          <w:rFonts w:ascii="Times New Roman" w:cs="Times New Roman" w:eastAsia="Times New Roman" w:hAnsi="Times New Roman"/>
          <w:sz w:val="16"/>
          <w:szCs w:val="16"/>
          <w:i w:val="1"/>
          <w:iCs w:val="1"/>
          <w:color w:val="auto"/>
        </w:rPr>
        <w:t>Section 4.01. Representations and Warranties of the Borrower</w:t>
      </w:r>
      <w:r>
        <w:rPr>
          <w:rFonts w:ascii="Times New Roman" w:cs="Times New Roman" w:eastAsia="Times New Roman" w:hAnsi="Times New Roman"/>
          <w:sz w:val="16"/>
          <w:szCs w:val="16"/>
          <w:color w:val="auto"/>
        </w:rPr>
        <w:t>. The Borrower represents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warrants to each of the Secured Parties on and as of each Measurement Date (and, in respect of clause (i) below, each date such information is provided by or on behalf of it), as follows:</w:t>
      </w:r>
    </w:p>
    <w:p>
      <w:pPr>
        <w:spacing w:after="0" w:line="140" w:lineRule="exact"/>
        <w:rPr>
          <w:sz w:val="20"/>
          <w:szCs w:val="20"/>
          <w:color w:val="auto"/>
        </w:rPr>
      </w:pPr>
    </w:p>
    <w:p>
      <w:pPr>
        <w:ind w:left="1840" w:right="1420" w:firstLine="44"/>
        <w:spacing w:after="0" w:line="259" w:lineRule="auto"/>
        <w:tabs>
          <w:tab w:leader="none" w:pos="2102"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Due Organization</w:t>
      </w:r>
      <w:r>
        <w:rPr>
          <w:rFonts w:ascii="Times New Roman" w:cs="Times New Roman" w:eastAsia="Times New Roman" w:hAnsi="Times New Roman"/>
          <w:sz w:val="16"/>
          <w:szCs w:val="16"/>
          <w:color w:val="auto"/>
        </w:rPr>
        <w:t>. The Borrower is a limited liability company duly organized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validly existing under the laws of the State of 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147" w:lineRule="exact"/>
        <w:rPr>
          <w:rFonts w:ascii="Times New Roman" w:cs="Times New Roman" w:eastAsia="Times New Roman" w:hAnsi="Times New Roman"/>
          <w:sz w:val="16"/>
          <w:szCs w:val="16"/>
          <w:color w:val="auto"/>
        </w:rPr>
      </w:pPr>
    </w:p>
    <w:p>
      <w:pPr>
        <w:ind w:left="1840" w:right="1380" w:firstLine="44"/>
        <w:spacing w:after="0" w:line="256" w:lineRule="auto"/>
        <w:tabs>
          <w:tab w:leader="none" w:pos="2112"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Due Qualification and Good Standing</w:t>
      </w:r>
      <w:r>
        <w:rPr>
          <w:rFonts w:ascii="Times New Roman" w:cs="Times New Roman" w:eastAsia="Times New Roman" w:hAnsi="Times New Roman"/>
          <w:sz w:val="16"/>
          <w:szCs w:val="16"/>
          <w:color w:val="auto"/>
        </w:rPr>
        <w:t>. The Borrower is in good standing in the State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Delaware. The Borrower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could not reasonably be expected to have a Material Adverse Effect.</w:t>
      </w:r>
    </w:p>
    <w:p>
      <w:pPr>
        <w:spacing w:after="0" w:line="149" w:lineRule="exact"/>
        <w:rPr>
          <w:rFonts w:ascii="Times New Roman" w:cs="Times New Roman" w:eastAsia="Times New Roman" w:hAnsi="Times New Roman"/>
          <w:sz w:val="16"/>
          <w:szCs w:val="16"/>
          <w:color w:val="auto"/>
        </w:rPr>
      </w:pPr>
    </w:p>
    <w:p>
      <w:pPr>
        <w:ind w:left="1840" w:right="1380" w:firstLine="44"/>
        <w:spacing w:after="0" w:line="254" w:lineRule="auto"/>
        <w:tabs>
          <w:tab w:leader="none" w:pos="2102"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Due Authorization</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Execution and Delivery; Legal, Valid and Binding; Enforceability</w:t>
      </w:r>
      <w:r>
        <w:rPr>
          <w:rFonts w:ascii="Times New Roman" w:cs="Times New Roman" w:eastAsia="Times New Roman" w:hAnsi="Times New Roman"/>
          <w:sz w:val="16"/>
          <w:szCs w:val="16"/>
          <w:color w:val="auto"/>
        </w:rPr>
        <w:t>. The execution and delivery by the Borrower of, and the performance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642620</wp:posOffset>
            </wp:positionV>
            <wp:extent cx="526605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1" w:name="page192"/>
    <w:bookmarkEnd w:id="191"/>
    <w:p>
      <w:pPr>
        <w:spacing w:after="0" w:line="254" w:lineRule="exact"/>
        <w:rPr>
          <w:sz w:val="20"/>
          <w:szCs w:val="20"/>
          <w:color w:val="auto"/>
        </w:rPr>
      </w:pPr>
    </w:p>
    <w:p>
      <w:pPr>
        <w:ind w:left="1840" w:right="1360" w:firstLine="44"/>
        <w:spacing w:after="0" w:line="194" w:lineRule="exact"/>
        <w:tabs>
          <w:tab w:leader="none" w:pos="2112"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Contravention</w:t>
      </w:r>
      <w:r>
        <w:rPr>
          <w:rFonts w:ascii="Times New Roman" w:cs="Times New Roman" w:eastAsia="Times New Roman" w:hAnsi="Times New Roman"/>
          <w:sz w:val="16"/>
          <w:szCs w:val="16"/>
          <w:color w:val="auto"/>
        </w:rPr>
        <w:t>. None of the execution and delivery by the Borrower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or the other Facility Documents to which it is a party, the Borrowings or the pledge of the Collateral hereunder,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 except in the case of clauses (ii) or (iii), where such conflict, contravention, breach, violation or default could not be reasonably expected to have a Material Adverse Effect.</w:t>
      </w:r>
    </w:p>
    <w:p>
      <w:pPr>
        <w:spacing w:after="0" w:line="170" w:lineRule="exact"/>
        <w:rPr>
          <w:rFonts w:ascii="Times New Roman" w:cs="Times New Roman" w:eastAsia="Times New Roman" w:hAnsi="Times New Roman"/>
          <w:sz w:val="16"/>
          <w:szCs w:val="16"/>
          <w:color w:val="auto"/>
        </w:rPr>
      </w:pPr>
    </w:p>
    <w:p>
      <w:pPr>
        <w:ind w:left="1840" w:right="1360" w:firstLine="44"/>
        <w:spacing w:after="0" w:line="252" w:lineRule="auto"/>
        <w:tabs>
          <w:tab w:leader="none" w:pos="2102"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Governmental Authorizations; Private Authorizations; Governmental Filings</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Borrower has obtained, maintained and kept in full 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the Borrowings by the Borrower under this Agreement, the pledge of the Collateral by the Borrower under this Agreement and the performance by the Borrower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the Borrowings by the Borrower under this Agreement, the pledge of the Collateral by the Borrower under this Agreement or the performance of its obligations under this Agreement and the other Facility Documents to which it is a party.</w:t>
      </w:r>
    </w:p>
    <w:p>
      <w:pPr>
        <w:spacing w:after="0" w:line="159" w:lineRule="exact"/>
        <w:rPr>
          <w:rFonts w:ascii="Times New Roman" w:cs="Times New Roman" w:eastAsia="Times New Roman" w:hAnsi="Times New Roman"/>
          <w:sz w:val="16"/>
          <w:szCs w:val="16"/>
          <w:color w:val="auto"/>
        </w:rPr>
      </w:pPr>
    </w:p>
    <w:p>
      <w:pPr>
        <w:ind w:left="2080" w:hanging="196"/>
        <w:spacing w:after="0"/>
        <w:tabs>
          <w:tab w:leader="none" w:pos="208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Compliance with Agreements, Laws, Etc</w:t>
      </w:r>
      <w:r>
        <w:rPr>
          <w:rFonts w:ascii="Times New Roman" w:cs="Times New Roman" w:eastAsia="Times New Roman" w:hAnsi="Times New Roman"/>
          <w:sz w:val="16"/>
          <w:szCs w:val="16"/>
          <w:color w:val="auto"/>
        </w:rPr>
        <w:t>. The Borrower has duly observed and</w:t>
      </w:r>
    </w:p>
    <w:p>
      <w:pPr>
        <w:spacing w:after="0" w:line="27" w:lineRule="exact"/>
        <w:rPr>
          <w:rFonts w:ascii="Times New Roman" w:cs="Times New Roman" w:eastAsia="Times New Roman" w:hAnsi="Times New Roman"/>
          <w:sz w:val="16"/>
          <w:szCs w:val="16"/>
          <w:color w:val="auto"/>
        </w:rPr>
      </w:pPr>
    </w:p>
    <w:p>
      <w:pPr>
        <w:ind w:left="1840" w:right="1420"/>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complied in all material respects with all Applicable Laws relating to the conduct of its business and its assets. The Borrower has preserved and kept in full force and effect its legal existence. The Borrower has preserved and kept in full force and effect its rights, privileges, qualifications and franchises, except where the failure to do so could not reasonably be expected to result in a Material Adverse Effect. Without limiting the foregoing, (x) to the extent applicable, the Borrower is in compliance in all material respects with (1) economic or financial sanctions or trade embargoes (or similar measures) imposed, administered or enforced from time to time by the United States of America, </w:t>
      </w:r>
      <w:r>
        <w:rPr>
          <w:rFonts w:ascii="Times New Roman" w:cs="Times New Roman" w:eastAsia="Times New Roman" w:hAnsi="Times New Roman"/>
          <w:sz w:val="16"/>
          <w:szCs w:val="16"/>
          <w:color w:val="0000FF"/>
        </w:rPr>
        <w:t>the United Nations, the European Union, the United Kingdom or the respective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 xml:space="preserve">governmental institutions and agencies of any of the foregoing, </w:t>
      </w:r>
      <w:r>
        <w:rPr>
          <w:rFonts w:ascii="Times New Roman" w:cs="Times New Roman" w:eastAsia="Times New Roman" w:hAnsi="Times New Roman"/>
          <w:sz w:val="16"/>
          <w:szCs w:val="16"/>
          <w:color w:val="000000"/>
        </w:rPr>
        <w:t>including</w:t>
      </w:r>
      <w:r>
        <w:rPr>
          <w:rFonts w:ascii="Times New Roman" w:cs="Times New Roman" w:eastAsia="Times New Roman" w:hAnsi="Times New Roman"/>
          <w:sz w:val="16"/>
          <w:szCs w:val="16"/>
          <w:color w:val="0000FF"/>
        </w:rPr>
        <w:t xml:space="preserve">, without limitation, </w:t>
      </w:r>
      <w:r>
        <w:rPr>
          <w:rFonts w:ascii="Times New Roman" w:cs="Times New Roman" w:eastAsia="Times New Roman" w:hAnsi="Times New Roman"/>
          <w:sz w:val="16"/>
          <w:szCs w:val="16"/>
          <w:color w:val="000000"/>
        </w:rPr>
        <w:t>the U.S. Department of Treasury and/or the U.S. Office of Foreign Asset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Controls (</w:t>
      </w:r>
      <w:r>
        <w:rPr>
          <w:rFonts w:ascii="Times New Roman" w:cs="Times New Roman" w:eastAsia="Times New Roman" w:hAnsi="Times New Roman"/>
          <w:sz w:val="16"/>
          <w:szCs w:val="16"/>
          <w:i w:val="1"/>
          <w:iCs w:val="1"/>
          <w:color w:val="000000"/>
        </w:rPr>
        <w:t>“OFAC”</w:t>
      </w:r>
      <w:r>
        <w:rPr>
          <w:rFonts w:ascii="Times New Roman" w:cs="Times New Roman" w:eastAsia="Times New Roman" w:hAnsi="Times New Roman"/>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648970</wp:posOffset>
            </wp:positionV>
            <wp:extent cx="526605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2" w:name="page193"/>
    <w:bookmarkEnd w:id="192"/>
    <w:p>
      <w:pPr>
        <w:spacing w:after="0" w:line="270" w:lineRule="exact"/>
        <w:rPr>
          <w:sz w:val="20"/>
          <w:szCs w:val="20"/>
          <w:color w:val="auto"/>
        </w:rPr>
      </w:pPr>
    </w:p>
    <w:p>
      <w:pPr>
        <w:ind w:left="1840" w:right="1380"/>
        <w:spacing w:after="0" w:line="252" w:lineRule="auto"/>
        <w:rPr>
          <w:sz w:val="20"/>
          <w:szCs w:val="20"/>
          <w:color w:val="auto"/>
        </w:rPr>
      </w:pPr>
      <w:r>
        <w:rPr>
          <w:rFonts w:ascii="Times New Roman" w:cs="Times New Roman" w:eastAsia="Times New Roman" w:hAnsi="Times New Roman"/>
          <w:sz w:val="16"/>
          <w:szCs w:val="16"/>
          <w:color w:val="auto"/>
        </w:rPr>
        <w:t xml:space="preserve">including U.S. Executive Order No. 13224, and other related statutes, </w:t>
      </w:r>
      <w:r>
        <w:rPr>
          <w:rFonts w:ascii="Times New Roman" w:cs="Times New Roman" w:eastAsia="Times New Roman" w:hAnsi="Times New Roman"/>
          <w:sz w:val="16"/>
          <w:szCs w:val="16"/>
          <w:color w:val="FF0000"/>
          <w:strike w:val="1"/>
        </w:rPr>
        <w:t>laws</w:t>
      </w:r>
      <w:r>
        <w:rPr>
          <w:rFonts w:ascii="Times New Roman" w:cs="Times New Roman" w:eastAsia="Times New Roman" w:hAnsi="Times New Roman"/>
          <w:sz w:val="16"/>
          <w:szCs w:val="16"/>
          <w:color w:val="auto"/>
        </w:rPr>
        <w:t xml:space="preserve"> and regulations</w:t>
      </w:r>
      <w:r>
        <w:rPr>
          <w:rFonts w:ascii="Times New Roman" w:cs="Times New Roman" w:eastAsia="Times New Roman" w:hAnsi="Times New Roman"/>
          <w:sz w:val="16"/>
          <w:szCs w:val="16"/>
          <w:color w:val="0000FF"/>
        </w:rPr>
        <w:t>, and His Majesty’s Treasury</w:t>
      </w:r>
      <w:r>
        <w:rPr>
          <w:rFonts w:ascii="Times New Roman" w:cs="Times New Roman" w:eastAsia="Times New Roman" w:hAnsi="Times New Roman"/>
          <w:sz w:val="16"/>
          <w:szCs w:val="16"/>
          <w:color w:val="auto"/>
        </w:rPr>
        <w:t xml:space="preserve"> and (2) Anti-Corruption Laws (collectively, the </w:t>
      </w:r>
      <w:r>
        <w:rPr>
          <w:rFonts w:ascii="Times New Roman" w:cs="Times New Roman" w:eastAsia="Times New Roman" w:hAnsi="Times New Roman"/>
          <w:sz w:val="16"/>
          <w:szCs w:val="16"/>
          <w:i w:val="1"/>
          <w:iCs w:val="1"/>
          <w:color w:val="auto"/>
        </w:rPr>
        <w:t>“Subject Laws”</w:t>
      </w:r>
      <w:r>
        <w:rPr>
          <w:rFonts w:ascii="Times New Roman" w:cs="Times New Roman" w:eastAsia="Times New Roman" w:hAnsi="Times New Roman"/>
          <w:sz w:val="16"/>
          <w:szCs w:val="16"/>
          <w:color w:val="auto"/>
        </w:rPr>
        <w:t>), (y) the Borrower has adopted internal controls and procedures designed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to ensure its continued compliance with the applicable provisions of the Subject Laws and to the extent applicable, will adopt procedures consistent with the PATRIOT Act and implementing regulations, and (z) to the knowledge of the Borrower (based on the implementation of its internal procedures and controls), no investor in the Borrower is </w:t>
      </w:r>
      <w:r>
        <w:rPr>
          <w:rFonts w:ascii="Times New Roman" w:cs="Times New Roman" w:eastAsia="Times New Roman" w:hAnsi="Times New Roman"/>
          <w:sz w:val="16"/>
          <w:szCs w:val="16"/>
          <w:color w:val="0000FF"/>
        </w:rPr>
        <w:t xml:space="preserve">subject to economic or financial sanctions or trade embargoes (or similar measures) described in clause (x) above, or </w:t>
      </w:r>
      <w:r>
        <w:rPr>
          <w:rFonts w:ascii="Times New Roman" w:cs="Times New Roman" w:eastAsia="Times New Roman" w:hAnsi="Times New Roman"/>
          <w:sz w:val="16"/>
          <w:szCs w:val="16"/>
          <w:color w:val="000000"/>
        </w:rPr>
        <w:t>a Person whose name appears on the “List of Specially</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 xml:space="preserve">Designated Nationals” and “Blocked Persons” maintained by the OFAC. </w:t>
      </w:r>
      <w:r>
        <w:rPr>
          <w:rFonts w:ascii="Times New Roman" w:cs="Times New Roman" w:eastAsia="Times New Roman" w:hAnsi="Times New Roman"/>
          <w:sz w:val="16"/>
          <w:szCs w:val="16"/>
          <w:color w:val="0000FF"/>
        </w:rPr>
        <w:t>the</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0000FF"/>
        </w:rPr>
        <w:t>Consolidated List of Financial Sanctions Targets and the Investment Ban List maintained by His Majesty’s Treasury, or any similar list maintained by, or public announcement of any governmental authority in respect of economic or financial sanctions.</w:t>
      </w:r>
    </w:p>
    <w:p>
      <w:pPr>
        <w:spacing w:after="0" w:line="160" w:lineRule="exact"/>
        <w:rPr>
          <w:sz w:val="20"/>
          <w:szCs w:val="20"/>
          <w:color w:val="auto"/>
        </w:rPr>
      </w:pPr>
    </w:p>
    <w:p>
      <w:pPr>
        <w:jc w:val="both"/>
        <w:ind w:left="1840" w:right="1500" w:firstLine="44"/>
        <w:spacing w:after="0" w:line="262" w:lineRule="auto"/>
        <w:tabs>
          <w:tab w:leader="none" w:pos="2112"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Location</w:t>
      </w:r>
      <w:r>
        <w:rPr>
          <w:rFonts w:ascii="Times New Roman" w:cs="Times New Roman" w:eastAsia="Times New Roman" w:hAnsi="Times New Roman"/>
          <w:sz w:val="16"/>
          <w:szCs w:val="16"/>
          <w:color w:val="auto"/>
        </w:rPr>
        <w:t>. The Borrower’s chief place of business, its chief executive office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 in which the Borrower maintains its books and records are located in the State of New York. The Borrower’s registered office and the jurisdiction of organization of the Borrower is the jurisdiction referred to in Section 4.01(a).</w:t>
      </w:r>
    </w:p>
    <w:p>
      <w:pPr>
        <w:spacing w:after="0" w:line="144" w:lineRule="exact"/>
        <w:rPr>
          <w:rFonts w:ascii="Times New Roman" w:cs="Times New Roman" w:eastAsia="Times New Roman" w:hAnsi="Times New Roman"/>
          <w:sz w:val="16"/>
          <w:szCs w:val="16"/>
          <w:color w:val="auto"/>
        </w:rPr>
      </w:pPr>
    </w:p>
    <w:p>
      <w:pPr>
        <w:ind w:left="1840" w:right="1680" w:firstLine="44"/>
        <w:spacing w:after="0" w:line="268" w:lineRule="auto"/>
        <w:tabs>
          <w:tab w:leader="none" w:pos="2112"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Investment Company Act</w:t>
      </w:r>
      <w:r>
        <w:rPr>
          <w:rFonts w:ascii="Times New Roman" w:cs="Times New Roman" w:eastAsia="Times New Roman" w:hAnsi="Times New Roman"/>
          <w:sz w:val="16"/>
          <w:szCs w:val="16"/>
          <w:color w:val="auto"/>
        </w:rPr>
        <w:t>. Assuming compliance by each of the Lenders and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participant with Section 15.06(e), neither the Borrower nor the pool of Collateral is required to register as an “investment company” under the Investment Company Act.</w:t>
      </w:r>
    </w:p>
    <w:p>
      <w:pPr>
        <w:spacing w:after="0" w:line="140" w:lineRule="exact"/>
        <w:rPr>
          <w:rFonts w:ascii="Times New Roman" w:cs="Times New Roman" w:eastAsia="Times New Roman" w:hAnsi="Times New Roman"/>
          <w:sz w:val="16"/>
          <w:szCs w:val="16"/>
          <w:color w:val="auto"/>
        </w:rPr>
      </w:pPr>
    </w:p>
    <w:p>
      <w:pPr>
        <w:ind w:left="1840" w:right="1460" w:firstLine="44"/>
        <w:spacing w:after="0" w:line="194" w:lineRule="exact"/>
        <w:tabs>
          <w:tab w:leader="none" w:pos="2072"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Information and Reports</w:t>
      </w:r>
      <w:r>
        <w:rPr>
          <w:rFonts w:ascii="Times New Roman" w:cs="Times New Roman" w:eastAsia="Times New Roman" w:hAnsi="Times New Roman"/>
          <w:sz w:val="16"/>
          <w:szCs w:val="16"/>
          <w:color w:val="auto"/>
        </w:rPr>
        <w:t>. Each Notice of Borrowing, each Monthly Report, each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Payment Date Report and all other written information, reports, certificates and statements (other than projections and forward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looking statements) furnished by or on behalf of the Borrower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looking statements furnished by or on behalf of the Borrower were prepared reasonably and in good faith as the date stated herein or as of which they were provided.</w:t>
      </w:r>
    </w:p>
    <w:p>
      <w:pPr>
        <w:spacing w:after="0" w:line="168" w:lineRule="exact"/>
        <w:rPr>
          <w:rFonts w:ascii="Times New Roman" w:cs="Times New Roman" w:eastAsia="Times New Roman" w:hAnsi="Times New Roman"/>
          <w:sz w:val="16"/>
          <w:szCs w:val="16"/>
          <w:color w:val="auto"/>
        </w:rPr>
      </w:pPr>
    </w:p>
    <w:p>
      <w:pPr>
        <w:ind w:left="1840" w:right="1380" w:firstLine="44"/>
        <w:spacing w:after="0" w:line="268" w:lineRule="auto"/>
        <w:tabs>
          <w:tab w:leader="none" w:pos="2072"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ERISA</w:t>
      </w:r>
      <w:r>
        <w:rPr>
          <w:rFonts w:ascii="Times New Roman" w:cs="Times New Roman" w:eastAsia="Times New Roman" w:hAnsi="Times New Roman"/>
          <w:sz w:val="16"/>
          <w:szCs w:val="16"/>
          <w:color w:val="auto"/>
        </w:rPr>
        <w:t>. Neither the Borrower nor any member of the ERISA Group has, or during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past five years had, any liability or obligation with respect to any Plan or Multiemployer Plan.</w:t>
      </w:r>
    </w:p>
    <w:p>
      <w:pPr>
        <w:spacing w:after="0" w:line="140" w:lineRule="exact"/>
        <w:rPr>
          <w:rFonts w:ascii="Times New Roman" w:cs="Times New Roman" w:eastAsia="Times New Roman" w:hAnsi="Times New Roman"/>
          <w:sz w:val="16"/>
          <w:szCs w:val="16"/>
          <w:color w:val="auto"/>
        </w:rPr>
      </w:pPr>
    </w:p>
    <w:p>
      <w:pPr>
        <w:ind w:left="1840" w:right="1460" w:firstLine="44"/>
        <w:spacing w:after="0" w:line="257" w:lineRule="auto"/>
        <w:tabs>
          <w:tab w:leader="none" w:pos="2112"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Taxes</w:t>
      </w:r>
      <w:r>
        <w:rPr>
          <w:rFonts w:ascii="Times New Roman" w:cs="Times New Roman" w:eastAsia="Times New Roman" w:hAnsi="Times New Roman"/>
          <w:sz w:val="16"/>
          <w:szCs w:val="16"/>
          <w:color w:val="auto"/>
        </w:rPr>
        <w:t>. The Borrower has filed all income tax returns and all other material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returns which are required to be filed by it, if any, and has paid all material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w:t>
      </w:r>
    </w:p>
    <w:p>
      <w:pPr>
        <w:spacing w:after="0" w:line="149" w:lineRule="exact"/>
        <w:rPr>
          <w:rFonts w:ascii="Times New Roman" w:cs="Times New Roman" w:eastAsia="Times New Roman" w:hAnsi="Times New Roman"/>
          <w:sz w:val="16"/>
          <w:szCs w:val="16"/>
          <w:color w:val="auto"/>
        </w:rPr>
      </w:pPr>
    </w:p>
    <w:p>
      <w:pPr>
        <w:ind w:left="1840" w:right="1820" w:firstLine="44"/>
        <w:spacing w:after="0" w:line="286" w:lineRule="auto"/>
        <w:tabs>
          <w:tab w:leader="none" w:pos="2072"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Tax Status</w:t>
      </w:r>
      <w:r>
        <w:rPr>
          <w:rFonts w:ascii="Times New Roman" w:cs="Times New Roman" w:eastAsia="Times New Roman" w:hAnsi="Times New Roman"/>
          <w:sz w:val="16"/>
          <w:szCs w:val="16"/>
          <w:color w:val="auto"/>
        </w:rPr>
        <w:t>. For U.S. Federal income tax purposes, assuming that the Advances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constitute debt for such purposes, the Borrower is (i) disregarded as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3" w:name="page194"/>
    <w:bookmarkEnd w:id="193"/>
    <w:p>
      <w:pPr>
        <w:spacing w:after="0" w:line="270" w:lineRule="exact"/>
        <w:rPr>
          <w:sz w:val="20"/>
          <w:szCs w:val="20"/>
          <w:color w:val="auto"/>
        </w:rPr>
      </w:pPr>
    </w:p>
    <w:p>
      <w:pPr>
        <w:ind w:left="1840" w:right="1360"/>
        <w:spacing w:after="0" w:line="204" w:lineRule="exact"/>
        <w:rPr>
          <w:sz w:val="20"/>
          <w:szCs w:val="20"/>
          <w:color w:val="auto"/>
        </w:rPr>
      </w:pPr>
      <w:r>
        <w:rPr>
          <w:rFonts w:ascii="Times New Roman" w:cs="Times New Roman" w:eastAsia="Times New Roman" w:hAnsi="Times New Roman"/>
          <w:sz w:val="16"/>
          <w:szCs w:val="16"/>
          <w:color w:val="auto"/>
        </w:rPr>
        <w:t>separate from its owner and (ii) has not made an election under U.S. Treasury Regulation Section 301.7701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 and is not otherwise treated as an association taxable as a corporation.</w:t>
      </w:r>
    </w:p>
    <w:p>
      <w:pPr>
        <w:spacing w:after="0" w:line="157" w:lineRule="exact"/>
        <w:rPr>
          <w:sz w:val="20"/>
          <w:szCs w:val="20"/>
          <w:color w:val="auto"/>
        </w:rPr>
      </w:pPr>
    </w:p>
    <w:p>
      <w:pPr>
        <w:ind w:left="1840" w:right="1360" w:firstLine="44"/>
        <w:spacing w:after="0" w:line="268" w:lineRule="auto"/>
        <w:tabs>
          <w:tab w:leader="none" w:pos="2153"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Collections</w:t>
      </w:r>
      <w:r>
        <w:rPr>
          <w:rFonts w:ascii="Times New Roman" w:cs="Times New Roman" w:eastAsia="Times New Roman" w:hAnsi="Times New Roman"/>
          <w:sz w:val="16"/>
          <w:szCs w:val="16"/>
          <w:color w:val="auto"/>
        </w:rPr>
        <w:t>. All Collections payable to the Borrower shall be remitted directly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applicable Interest Collection Subaccount (in the case of Interest Proceeds) or the applicable Principal Collection Subaccount (in the case of Principal Proceeds).</w:t>
      </w:r>
    </w:p>
    <w:p>
      <w:pPr>
        <w:spacing w:after="0" w:line="140" w:lineRule="exact"/>
        <w:rPr>
          <w:rFonts w:ascii="Times New Roman" w:cs="Times New Roman" w:eastAsia="Times New Roman" w:hAnsi="Times New Roman"/>
          <w:sz w:val="16"/>
          <w:szCs w:val="16"/>
          <w:color w:val="auto"/>
        </w:rPr>
      </w:pPr>
    </w:p>
    <w:p>
      <w:pPr>
        <w:ind w:left="1840" w:right="1380" w:firstLine="44"/>
        <w:spacing w:after="0" w:line="257" w:lineRule="auto"/>
        <w:tabs>
          <w:tab w:leader="none" w:pos="2112"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Plan Assets</w:t>
      </w:r>
      <w:r>
        <w:rPr>
          <w:rFonts w:ascii="Times New Roman" w:cs="Times New Roman" w:eastAsia="Times New Roman" w:hAnsi="Times New Roman"/>
          <w:sz w:val="16"/>
          <w:szCs w:val="16"/>
          <w:color w:val="auto"/>
        </w:rPr>
        <w:t>. The assets of the Borrower are not treated as “plan assets” for purposes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Section 3(42) of ERISA and the Collateral is not deemed to be “plan assets” for purposes of Section 3(42) of ERISA. The Borrower has not taken, or omitted to take, any action which would result in any of the Collateral being treated as “plan assets” for purposes of Section 3(42) of ERISA or the occurrence of any Prohibited Transaction in connection with the transactions contemplated hereunder.</w:t>
      </w:r>
    </w:p>
    <w:p>
      <w:pPr>
        <w:spacing w:after="0" w:line="149" w:lineRule="exact"/>
        <w:rPr>
          <w:rFonts w:ascii="Times New Roman" w:cs="Times New Roman" w:eastAsia="Times New Roman" w:hAnsi="Times New Roman"/>
          <w:sz w:val="16"/>
          <w:szCs w:val="16"/>
          <w:color w:val="auto"/>
        </w:rPr>
      </w:pPr>
    </w:p>
    <w:p>
      <w:pPr>
        <w:ind w:left="1840" w:right="1580" w:firstLine="44"/>
        <w:spacing w:after="0" w:line="286" w:lineRule="auto"/>
        <w:tabs>
          <w:tab w:leader="none" w:pos="2112"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Solvency</w:t>
      </w:r>
      <w:r>
        <w:rPr>
          <w:rFonts w:ascii="Times New Roman" w:cs="Times New Roman" w:eastAsia="Times New Roman" w:hAnsi="Times New Roman"/>
          <w:sz w:val="16"/>
          <w:szCs w:val="16"/>
          <w:color w:val="auto"/>
        </w:rPr>
        <w:t>. After giving effect to each Advance hereunder, and the disbursement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proceeds of such Advance, the Borrower is and will be Solvent.</w:t>
      </w:r>
    </w:p>
    <w:p>
      <w:pPr>
        <w:spacing w:after="0" w:line="126" w:lineRule="exact"/>
        <w:rPr>
          <w:rFonts w:ascii="Times New Roman" w:cs="Times New Roman" w:eastAsia="Times New Roman" w:hAnsi="Times New Roman"/>
          <w:sz w:val="16"/>
          <w:szCs w:val="16"/>
          <w:color w:val="auto"/>
        </w:rPr>
      </w:pPr>
    </w:p>
    <w:p>
      <w:pPr>
        <w:ind w:left="1840" w:right="1700" w:firstLine="44"/>
        <w:spacing w:after="0" w:line="286" w:lineRule="auto"/>
        <w:tabs>
          <w:tab w:leader="none" w:pos="2112"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Representations Relating to the Collateral</w:t>
      </w:r>
      <w:r>
        <w:rPr>
          <w:rFonts w:ascii="Times New Roman" w:cs="Times New Roman" w:eastAsia="Times New Roman" w:hAnsi="Times New Roman"/>
          <w:sz w:val="16"/>
          <w:szCs w:val="16"/>
          <w:color w:val="auto"/>
        </w:rPr>
        <w:t>. The Borrower hereby represents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warrants that:</w:t>
      </w:r>
    </w:p>
    <w:p>
      <w:pPr>
        <w:spacing w:after="0" w:line="128" w:lineRule="exact"/>
        <w:rPr>
          <w:rFonts w:ascii="Times New Roman" w:cs="Times New Roman" w:eastAsia="Times New Roman" w:hAnsi="Times New Roman"/>
          <w:sz w:val="16"/>
          <w:szCs w:val="16"/>
          <w:color w:val="auto"/>
        </w:rPr>
      </w:pPr>
    </w:p>
    <w:p>
      <w:pPr>
        <w:ind w:left="2560" w:hanging="191"/>
        <w:spacing w:after="0"/>
        <w:tabs>
          <w:tab w:leader="none" w:pos="2560"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owns and has legal and beneficial title to all Collateral Loans and other</w:t>
      </w:r>
    </w:p>
    <w:p>
      <w:pPr>
        <w:spacing w:after="0" w:line="25" w:lineRule="exact"/>
        <w:rPr>
          <w:rFonts w:ascii="Times New Roman" w:cs="Times New Roman" w:eastAsia="Times New Roman" w:hAnsi="Times New Roman"/>
          <w:sz w:val="16"/>
          <w:szCs w:val="16"/>
          <w:color w:val="auto"/>
        </w:rPr>
      </w:pPr>
    </w:p>
    <w:p>
      <w:pPr>
        <w:ind w:left="2320" w:right="150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Collateral free and clear of any Lien, claim or encumbrance of any person, other than Permitted Liens;</w:t>
      </w:r>
    </w:p>
    <w:p>
      <w:pPr>
        <w:spacing w:after="0" w:line="148" w:lineRule="exact"/>
        <w:rPr>
          <w:rFonts w:ascii="Times New Roman" w:cs="Times New Roman" w:eastAsia="Times New Roman" w:hAnsi="Times New Roman"/>
          <w:sz w:val="16"/>
          <w:szCs w:val="16"/>
          <w:color w:val="auto"/>
        </w:rPr>
      </w:pPr>
    </w:p>
    <w:p>
      <w:pPr>
        <w:ind w:left="2320" w:right="1420" w:firstLine="49"/>
        <w:spacing w:after="0" w:line="254" w:lineRule="auto"/>
        <w:tabs>
          <w:tab w:leader="none" w:pos="2598"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Permitted Liens, the Borrower has not pledged, assigned, sold, granted a security interest in, or otherwise conveyed any of the Collateral. The Borrower has not authorized the filing of and is not aware of any financing statements against the Borrower that include a description of collateral covering the Collateral other than any financing statement relating to the security interest granted to the Collateral Agent hereunder or that has been terminated; and the Borrower is not aware of any judgment, PBGC liens or tax lien filings against the Borrower;</w:t>
      </w:r>
    </w:p>
    <w:p>
      <w:pPr>
        <w:spacing w:after="0" w:line="157" w:lineRule="exact"/>
        <w:rPr>
          <w:rFonts w:ascii="Times New Roman" w:cs="Times New Roman" w:eastAsia="Times New Roman" w:hAnsi="Times New Roman"/>
          <w:sz w:val="16"/>
          <w:szCs w:val="16"/>
          <w:color w:val="auto"/>
        </w:rPr>
      </w:pPr>
    </w:p>
    <w:p>
      <w:pPr>
        <w:ind w:left="2660" w:hanging="291"/>
        <w:spacing w:after="0"/>
        <w:tabs>
          <w:tab w:leader="none" w:pos="2660"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constitutes Money, Cash, accounts (as defined in Section</w:t>
      </w:r>
    </w:p>
    <w:p>
      <w:pPr>
        <w:spacing w:after="0" w:line="20" w:lineRule="exact"/>
        <w:rPr>
          <w:sz w:val="20"/>
          <w:szCs w:val="20"/>
          <w:color w:val="auto"/>
        </w:rPr>
      </w:pPr>
    </w:p>
    <w:p>
      <w:pPr>
        <w:ind w:left="2320"/>
        <w:spacing w:after="0" w:line="184" w:lineRule="exact"/>
        <w:rPr>
          <w:sz w:val="20"/>
          <w:szCs w:val="20"/>
          <w:color w:val="auto"/>
        </w:rPr>
      </w:pPr>
      <w:r>
        <w:rPr>
          <w:rFonts w:ascii="Times New Roman" w:cs="Times New Roman" w:eastAsia="Times New Roman" w:hAnsi="Times New Roman"/>
          <w:sz w:val="16"/>
          <w:szCs w:val="16"/>
          <w:color w:val="auto"/>
        </w:rPr>
        <w:t>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102(a)(2) of the UCC), Instruments, general intangibles (as defined in Section</w:t>
      </w:r>
    </w:p>
    <w:p>
      <w:pPr>
        <w:spacing w:after="0" w:line="14" w:lineRule="exact"/>
        <w:rPr>
          <w:sz w:val="20"/>
          <w:szCs w:val="20"/>
          <w:color w:val="auto"/>
        </w:rPr>
      </w:pPr>
    </w:p>
    <w:p>
      <w:pPr>
        <w:ind w:left="2320"/>
        <w:spacing w:after="0" w:line="184" w:lineRule="exact"/>
        <w:rPr>
          <w:sz w:val="20"/>
          <w:szCs w:val="20"/>
          <w:color w:val="auto"/>
        </w:rPr>
      </w:pPr>
      <w:r>
        <w:rPr>
          <w:rFonts w:ascii="Times New Roman" w:cs="Times New Roman" w:eastAsia="Times New Roman" w:hAnsi="Times New Roman"/>
          <w:sz w:val="16"/>
          <w:szCs w:val="16"/>
          <w:color w:val="auto"/>
        </w:rPr>
        <w:t>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102(a)(42) of the UCC), uncertificated securities (as defined in Section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102(a)</w:t>
      </w:r>
    </w:p>
    <w:p>
      <w:pPr>
        <w:spacing w:after="0" w:line="8" w:lineRule="exact"/>
        <w:rPr>
          <w:sz w:val="20"/>
          <w:szCs w:val="20"/>
          <w:color w:val="auto"/>
        </w:rPr>
      </w:pPr>
    </w:p>
    <w:p>
      <w:pPr>
        <w:ind w:left="2320" w:right="1460" w:firstLine="8"/>
        <w:spacing w:after="0" w:line="194" w:lineRule="exact"/>
        <w:tabs>
          <w:tab w:leader="none" w:pos="2633"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UCC), Certificated Securities or security entitlements to financial assets resulting from the crediting of financial assets to a “securities account” (as defined in Section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501(a) of the UCC);</w:t>
      </w:r>
    </w:p>
    <w:p>
      <w:pPr>
        <w:spacing w:after="0" w:line="143" w:lineRule="exact"/>
        <w:rPr>
          <w:rFonts w:ascii="Times New Roman" w:cs="Times New Roman" w:eastAsia="Times New Roman" w:hAnsi="Times New Roman"/>
          <w:sz w:val="16"/>
          <w:szCs w:val="16"/>
          <w:color w:val="auto"/>
        </w:rPr>
      </w:pPr>
    </w:p>
    <w:p>
      <w:pPr>
        <w:ind w:left="2320" w:right="1380" w:firstLine="49"/>
        <w:spacing w:after="0" w:line="209" w:lineRule="exact"/>
        <w:tabs>
          <w:tab w:leader="none" w:pos="2634"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Covered Accounts constitute “securities accounts” under Section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501(a) of the UCC;</w:t>
      </w:r>
    </w:p>
    <w:p>
      <w:pPr>
        <w:spacing w:after="0" w:line="163" w:lineRule="exact"/>
        <w:rPr>
          <w:rFonts w:ascii="Times New Roman" w:cs="Times New Roman" w:eastAsia="Times New Roman" w:hAnsi="Times New Roman"/>
          <w:sz w:val="16"/>
          <w:szCs w:val="16"/>
          <w:color w:val="auto"/>
        </w:rPr>
      </w:pPr>
    </w:p>
    <w:p>
      <w:pPr>
        <w:jc w:val="both"/>
        <w:ind w:left="2320" w:right="1520" w:firstLine="49"/>
        <w:spacing w:after="0" w:line="198" w:lineRule="exact"/>
        <w:tabs>
          <w:tab w:leader="none" w:pos="2589"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creates a valid, continuing and, upon Delivery of Collateral, filing of the financing statement referred to in clause (viii) and execution of the Account Control Agreement, perfected security interest (as defined in Section 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201(37) of the UCC) in the Collateral in favor of 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646430</wp:posOffset>
            </wp:positionV>
            <wp:extent cx="526605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4" w:name="page195"/>
    <w:bookmarkEnd w:id="194"/>
    <w:p>
      <w:pPr>
        <w:spacing w:after="0" w:line="270" w:lineRule="exact"/>
        <w:rPr>
          <w:sz w:val="20"/>
          <w:szCs w:val="20"/>
          <w:color w:val="auto"/>
        </w:rPr>
      </w:pPr>
    </w:p>
    <w:p>
      <w:pPr>
        <w:ind w:left="2320" w:right="1460"/>
        <w:spacing w:after="0" w:line="266" w:lineRule="auto"/>
        <w:rPr>
          <w:sz w:val="20"/>
          <w:szCs w:val="20"/>
          <w:color w:val="auto"/>
        </w:rPr>
      </w:pPr>
      <w:r>
        <w:rPr>
          <w:rFonts w:ascii="Times New Roman" w:cs="Times New Roman" w:eastAsia="Times New Roman" w:hAnsi="Times New Roman"/>
          <w:sz w:val="16"/>
          <w:szCs w:val="16"/>
          <w:color w:val="auto"/>
        </w:rPr>
        <w:t>for the benefit and security of the Secured Parties, which security interest is prior to all other liens (other than Permitted Liens), claims and encumbrances and is enforceable as such against creditors of and purchasers from the Borrower;</w:t>
      </w:r>
    </w:p>
    <w:p>
      <w:pPr>
        <w:spacing w:after="0" w:line="145" w:lineRule="exact"/>
        <w:rPr>
          <w:sz w:val="20"/>
          <w:szCs w:val="20"/>
          <w:color w:val="auto"/>
        </w:rPr>
      </w:pPr>
    </w:p>
    <w:p>
      <w:pPr>
        <w:ind w:left="2320" w:right="1440" w:firstLine="49"/>
        <w:spacing w:after="0" w:line="266" w:lineRule="auto"/>
        <w:tabs>
          <w:tab w:leader="none" w:pos="2634"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received all consents and approvals required by the terms of the Related Documents in respect of such Collateral to the pledge hereunder to the Collateral Agent of its interest and rights in such Collateral;</w:t>
      </w:r>
    </w:p>
    <w:p>
      <w:pPr>
        <w:spacing w:after="0" w:line="144" w:lineRule="exact"/>
        <w:rPr>
          <w:rFonts w:ascii="Times New Roman" w:cs="Times New Roman" w:eastAsia="Times New Roman" w:hAnsi="Times New Roman"/>
          <w:sz w:val="16"/>
          <w:szCs w:val="16"/>
          <w:color w:val="auto"/>
        </w:rPr>
      </w:pPr>
    </w:p>
    <w:p>
      <w:pPr>
        <w:ind w:left="2320" w:right="1440" w:firstLine="49"/>
        <w:spacing w:after="0" w:line="283" w:lineRule="auto"/>
        <w:tabs>
          <w:tab w:leader="none" w:pos="2679"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Collateral that constitutes Security Entitlements, all such Collateral has been and will have been credited to the Custodial Account; and</w:t>
      </w:r>
    </w:p>
    <w:p>
      <w:pPr>
        <w:spacing w:after="0" w:line="131" w:lineRule="exact"/>
        <w:rPr>
          <w:rFonts w:ascii="Times New Roman" w:cs="Times New Roman" w:eastAsia="Times New Roman" w:hAnsi="Times New Roman"/>
          <w:sz w:val="16"/>
          <w:szCs w:val="16"/>
          <w:color w:val="auto"/>
        </w:rPr>
      </w:pPr>
    </w:p>
    <w:p>
      <w:pPr>
        <w:ind w:left="2320" w:right="1480" w:firstLine="49"/>
        <w:spacing w:after="0" w:line="255" w:lineRule="auto"/>
        <w:tabs>
          <w:tab w:leader="none" w:pos="2723"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Collateral that constitutes accounts or general intangibles, the Borrower has caused or will have caused, on or prior to the Closing Date, the filing of all appropriate financing statements in the proper filing office in the appropriate jurisdictions under applicable law in order to perfect the security interest in the Collateral granted to the Collateral Agent, for the benefit and security of the Secured Parties, hereunder (which the Borrower hereby agrees may be an “all asset” filing).</w:t>
      </w:r>
    </w:p>
    <w:p>
      <w:pPr>
        <w:spacing w:after="0" w:line="153" w:lineRule="exact"/>
        <w:rPr>
          <w:sz w:val="20"/>
          <w:szCs w:val="20"/>
          <w:color w:val="auto"/>
        </w:rPr>
      </w:pPr>
    </w:p>
    <w:p>
      <w:pPr>
        <w:ind w:left="1360" w:right="1500" w:firstLine="40"/>
        <w:spacing w:after="0" w:line="262" w:lineRule="auto"/>
        <w:rPr>
          <w:sz w:val="20"/>
          <w:szCs w:val="20"/>
          <w:color w:val="auto"/>
        </w:rPr>
      </w:pPr>
      <w:r>
        <w:rPr>
          <w:rFonts w:ascii="Times New Roman" w:cs="Times New Roman" w:eastAsia="Times New Roman" w:hAnsi="Times New Roman"/>
          <w:sz w:val="16"/>
          <w:szCs w:val="16"/>
          <w:i w:val="1"/>
          <w:iCs w:val="1"/>
          <w:color w:val="auto"/>
        </w:rPr>
        <w:t>Section 4.02. Representations and Warranties of the Collateral Manager</w:t>
      </w:r>
      <w:r>
        <w:rPr>
          <w:rFonts w:ascii="Times New Roman" w:cs="Times New Roman" w:eastAsia="Times New Roman" w:hAnsi="Times New Roman"/>
          <w:sz w:val="16"/>
          <w:szCs w:val="16"/>
          <w:color w:val="auto"/>
        </w:rPr>
        <w:t>. The Collateral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Manager represents and warrants to each of the Secured Parties on and as of each Measurement Date (and in respect of clause (i) below, each date such information is provided by or on behalf of it), as follows:</w:t>
      </w:r>
    </w:p>
    <w:p>
      <w:pPr>
        <w:spacing w:after="0" w:line="145" w:lineRule="exact"/>
        <w:rPr>
          <w:sz w:val="20"/>
          <w:szCs w:val="20"/>
          <w:color w:val="auto"/>
        </w:rPr>
      </w:pPr>
    </w:p>
    <w:p>
      <w:pPr>
        <w:ind w:left="2100" w:hanging="216"/>
        <w:spacing w:after="0"/>
        <w:tabs>
          <w:tab w:leader="none" w:pos="210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Due Organization</w:t>
      </w:r>
      <w:r>
        <w:rPr>
          <w:rFonts w:ascii="Times New Roman" w:cs="Times New Roman" w:eastAsia="Times New Roman" w:hAnsi="Times New Roman"/>
          <w:sz w:val="16"/>
          <w:szCs w:val="16"/>
          <w:color w:val="auto"/>
        </w:rPr>
        <w:t>. The Collateral Manager is a limited liability company duly</w:t>
      </w:r>
    </w:p>
    <w:p>
      <w:pPr>
        <w:spacing w:after="0" w:line="27" w:lineRule="exact"/>
        <w:rPr>
          <w:rFonts w:ascii="Times New Roman" w:cs="Times New Roman" w:eastAsia="Times New Roman" w:hAnsi="Times New Roman"/>
          <w:sz w:val="16"/>
          <w:szCs w:val="16"/>
          <w:color w:val="auto"/>
        </w:rPr>
      </w:pPr>
    </w:p>
    <w:p>
      <w:pPr>
        <w:ind w:left="1840" w:right="146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organized and validly existing under the laws of the State of 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152" w:lineRule="exact"/>
        <w:rPr>
          <w:rFonts w:ascii="Times New Roman" w:cs="Times New Roman" w:eastAsia="Times New Roman" w:hAnsi="Times New Roman"/>
          <w:sz w:val="16"/>
          <w:szCs w:val="16"/>
          <w:color w:val="auto"/>
        </w:rPr>
      </w:pPr>
    </w:p>
    <w:p>
      <w:pPr>
        <w:ind w:left="1840" w:right="1440" w:firstLine="44"/>
        <w:spacing w:after="0" w:line="255" w:lineRule="auto"/>
        <w:tabs>
          <w:tab w:leader="none" w:pos="2112"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Due Qualification and Good Standing</w:t>
      </w:r>
      <w:r>
        <w:rPr>
          <w:rFonts w:ascii="Times New Roman" w:cs="Times New Roman" w:eastAsia="Times New Roman" w:hAnsi="Times New Roman"/>
          <w:sz w:val="16"/>
          <w:szCs w:val="16"/>
          <w:color w:val="auto"/>
        </w:rPr>
        <w:t>. The Collateral Manager is in good standing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the State of Delaware. The Collateral Manager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to which it is a party, requires such qualification, except where the failure to be so qualified or in good standing could not reasonably be expected to have a Material Adverse Effect.</w:t>
      </w:r>
    </w:p>
    <w:p>
      <w:pPr>
        <w:spacing w:after="0" w:line="151" w:lineRule="exact"/>
        <w:rPr>
          <w:rFonts w:ascii="Times New Roman" w:cs="Times New Roman" w:eastAsia="Times New Roman" w:hAnsi="Times New Roman"/>
          <w:sz w:val="16"/>
          <w:szCs w:val="16"/>
          <w:color w:val="auto"/>
        </w:rPr>
      </w:pPr>
    </w:p>
    <w:p>
      <w:pPr>
        <w:ind w:left="1840" w:right="1400" w:firstLine="44"/>
        <w:spacing w:after="0" w:line="257" w:lineRule="auto"/>
        <w:tabs>
          <w:tab w:leader="none" w:pos="2102"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Due Authorization; Execution and Delivery; Legal, Valid and Binding; Enforceability</w:t>
      </w:r>
      <w:r>
        <w:rPr>
          <w:rFonts w:ascii="Times New Roman" w:cs="Times New Roman" w:eastAsia="Times New Roman" w:hAnsi="Times New Roman"/>
          <w:sz w:val="16"/>
          <w:szCs w:val="16"/>
          <w:color w:val="auto"/>
        </w:rPr>
        <w:t>. The execution and delivery by the Collateral Manager of,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641350</wp:posOffset>
            </wp:positionV>
            <wp:extent cx="526605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5" w:name="page196"/>
    <w:bookmarkEnd w:id="195"/>
    <w:p>
      <w:pPr>
        <w:spacing w:after="0" w:line="270" w:lineRule="exact"/>
        <w:rPr>
          <w:sz w:val="20"/>
          <w:szCs w:val="20"/>
          <w:color w:val="auto"/>
        </w:rPr>
      </w:pPr>
    </w:p>
    <w:p>
      <w:pPr>
        <w:ind w:left="1840" w:right="1380"/>
        <w:spacing w:after="0" w:line="261" w:lineRule="auto"/>
        <w:rPr>
          <w:sz w:val="20"/>
          <w:szCs w:val="20"/>
          <w:color w:val="auto"/>
        </w:rPr>
      </w:pPr>
      <w:r>
        <w:rPr>
          <w:rFonts w:ascii="Times New Roman" w:cs="Times New Roman" w:eastAsia="Times New Roman" w:hAnsi="Times New Roman"/>
          <w:sz w:val="16"/>
          <w:szCs w:val="16"/>
          <w:color w:val="auto"/>
        </w:rPr>
        <w:t>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32" w:lineRule="exact"/>
        <w:rPr>
          <w:sz w:val="20"/>
          <w:szCs w:val="20"/>
          <w:color w:val="auto"/>
        </w:rPr>
      </w:pPr>
    </w:p>
    <w:p>
      <w:pPr>
        <w:ind w:left="1840" w:right="1360" w:firstLine="44"/>
        <w:spacing w:after="0" w:line="194" w:lineRule="exact"/>
        <w:tabs>
          <w:tab w:leader="none" w:pos="2112"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Contravention</w:t>
      </w:r>
      <w:r>
        <w:rPr>
          <w:rFonts w:ascii="Times New Roman" w:cs="Times New Roman" w:eastAsia="Times New Roman" w:hAnsi="Times New Roman"/>
          <w:sz w:val="16"/>
          <w:szCs w:val="16"/>
          <w:color w:val="auto"/>
        </w:rPr>
        <w:t>. None of the execution and delivery by the Collateral Manager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this Agreement or the other Facility Documents to which it is a party,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of, any contractual obligation or any agreement or document to which it is a party or by which it or any of its assets are bound (or to which any such obligation, agreement or document relates), except in the case of clauses (ii) or (iii), where such conflict, contravention, breach, violation or default could not be reasonably expected to have a Material Adverse Effect.</w:t>
      </w:r>
    </w:p>
    <w:p>
      <w:pPr>
        <w:spacing w:after="0" w:line="170" w:lineRule="exact"/>
        <w:rPr>
          <w:rFonts w:ascii="Times New Roman" w:cs="Times New Roman" w:eastAsia="Times New Roman" w:hAnsi="Times New Roman"/>
          <w:sz w:val="16"/>
          <w:szCs w:val="16"/>
          <w:color w:val="auto"/>
        </w:rPr>
      </w:pPr>
    </w:p>
    <w:p>
      <w:pPr>
        <w:ind w:left="1840" w:right="1360" w:firstLine="44"/>
        <w:spacing w:after="0" w:line="253" w:lineRule="auto"/>
        <w:tabs>
          <w:tab w:leader="none" w:pos="2102"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Governmental Authorizations; Private Authorizations; Governmental Filings</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Collateral Manager has obtained, maintained and kept in full 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and the performance by the Collateral Manager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or the performance of its obligations under this Agreement and the other Facility Documents to which it is a party.</w:t>
      </w:r>
    </w:p>
    <w:p>
      <w:pPr>
        <w:spacing w:after="0" w:line="154" w:lineRule="exact"/>
        <w:rPr>
          <w:rFonts w:ascii="Times New Roman" w:cs="Times New Roman" w:eastAsia="Times New Roman" w:hAnsi="Times New Roman"/>
          <w:sz w:val="16"/>
          <w:szCs w:val="16"/>
          <w:color w:val="auto"/>
        </w:rPr>
      </w:pPr>
    </w:p>
    <w:p>
      <w:pPr>
        <w:ind w:left="1840" w:right="1460" w:firstLine="44"/>
        <w:spacing w:after="0" w:line="254" w:lineRule="auto"/>
        <w:tabs>
          <w:tab w:leader="none" w:pos="2082"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Compliance with Agreements, Laws, Etc. </w:t>
      </w:r>
      <w:r>
        <w:rPr>
          <w:rFonts w:ascii="Times New Roman" w:cs="Times New Roman" w:eastAsia="Times New Roman" w:hAnsi="Times New Roman"/>
          <w:sz w:val="16"/>
          <w:szCs w:val="16"/>
          <w:color w:val="auto"/>
        </w:rPr>
        <w:t>The Collateral Manager has duly observed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and complied in all material respects with all Applicable Laws, including the Securities Act and the Investment Company Act, relating to the conduct of its business and its assets. The Collateral Manager has preserved and kept in full force and effect its legal existence. The Collateral Manager has preserved and kept in full force and effect its rights, privileges, qualifications and franchises, except where the failure to do so could not reasonably be expected to result in a Material Adverse Effect. Without limiting the foregoing, (x) to the extent applicable, the Collateral Manager is in compliance in all material respects with </w:t>
      </w:r>
      <w:r>
        <w:rPr>
          <w:rFonts w:ascii="Times New Roman" w:cs="Times New Roman" w:eastAsia="Times New Roman" w:hAnsi="Times New Roman"/>
          <w:sz w:val="16"/>
          <w:szCs w:val="16"/>
          <w:color w:val="0000FF"/>
        </w:rPr>
        <w:t>(1) economic or financial sanctions or trade embargoes (or similar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measures) imposed, administered or enforced from time to time by the United States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642620</wp:posOffset>
            </wp:positionV>
            <wp:extent cx="526605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6" w:name="page197"/>
    <w:bookmarkEnd w:id="196"/>
    <w:p>
      <w:pPr>
        <w:spacing w:after="0" w:line="27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0000FF"/>
        </w:rPr>
        <w:t>America, the United Nations, the European Union, the United Kingdom or the respective</w:t>
      </w:r>
    </w:p>
    <w:p>
      <w:pPr>
        <w:spacing w:after="0" w:line="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0000FF"/>
        </w:rPr>
        <w:t>governmental institutions and agencies of any of the foregoing, including, without</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0000FF"/>
        </w:rPr>
        <w:t>limitation, the U.S. Department of Treasury and/or the U.S. Office of Foreign Asset</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0000FF"/>
        </w:rPr>
        <w:t>Controls (</w:t>
      </w:r>
      <w:r>
        <w:rPr>
          <w:rFonts w:ascii="Times New Roman" w:cs="Times New Roman" w:eastAsia="Times New Roman" w:hAnsi="Times New Roman"/>
          <w:sz w:val="16"/>
          <w:szCs w:val="16"/>
          <w:i w:val="1"/>
          <w:iCs w:val="1"/>
          <w:color w:val="0000FF"/>
        </w:rPr>
        <w:t>“OFAC”</w:t>
      </w:r>
      <w:r>
        <w:rPr>
          <w:rFonts w:ascii="Times New Roman" w:cs="Times New Roman" w:eastAsia="Times New Roman" w:hAnsi="Times New Roman"/>
          <w:sz w:val="16"/>
          <w:szCs w:val="16"/>
          <w:color w:val="0000FF"/>
        </w:rPr>
        <w:t>), including U.S. Executive Order No. 13224, and other related</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0000FF"/>
        </w:rPr>
        <w:t>statutes, and regulations, and His Majesty’s Treasury and (2) Anti-Corruption Laws</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0000FF"/>
        </w:rPr>
        <w:t xml:space="preserve">(collectively, the </w:t>
      </w:r>
      <w:r>
        <w:rPr>
          <w:rFonts w:ascii="Times New Roman" w:cs="Times New Roman" w:eastAsia="Times New Roman" w:hAnsi="Times New Roman"/>
          <w:sz w:val="16"/>
          <w:szCs w:val="16"/>
          <w:i w:val="1"/>
          <w:iCs w:val="1"/>
          <w:color w:val="0000FF"/>
        </w:rPr>
        <w:t>“</w:t>
      </w:r>
      <w:r>
        <w:rPr>
          <w:rFonts w:ascii="Times New Roman" w:cs="Times New Roman" w:eastAsia="Times New Roman" w:hAnsi="Times New Roman"/>
          <w:sz w:val="16"/>
          <w:szCs w:val="16"/>
          <w:i w:val="1"/>
          <w:iCs w:val="1"/>
          <w:color w:val="000000"/>
        </w:rPr>
        <w:t>Subject Laws</w:t>
      </w:r>
      <w:r>
        <w:rPr>
          <w:rFonts w:ascii="Times New Roman" w:cs="Times New Roman" w:eastAsia="Times New Roman" w:hAnsi="Times New Roman"/>
          <w:sz w:val="16"/>
          <w:szCs w:val="16"/>
          <w:i w:val="1"/>
          <w:iCs w:val="1"/>
          <w:color w:val="0000FF"/>
        </w:rPr>
        <w:t>”</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color w:val="000000"/>
        </w:rPr>
        <w:t>, (y) the</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FF0000"/>
          <w:strike w:val="1"/>
        </w:rPr>
        <w:t>Collateral Manager</w:t>
      </w:r>
      <w:r>
        <w:rPr>
          <w:rFonts w:ascii="Times New Roman" w:cs="Times New Roman" w:eastAsia="Times New Roman" w:hAnsi="Times New Roman"/>
          <w:sz w:val="16"/>
          <w:szCs w:val="16"/>
          <w:color w:val="0000FF"/>
        </w:rPr>
        <w:t xml:space="preserve">Borrower </w:t>
      </w:r>
      <w:r>
        <w:rPr>
          <w:rFonts w:ascii="Times New Roman" w:cs="Times New Roman" w:eastAsia="Times New Roman" w:hAnsi="Times New Roman"/>
          <w:sz w:val="16"/>
          <w:szCs w:val="16"/>
          <w:color w:val="000000"/>
        </w:rPr>
        <w:t>has adopted</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internal controls and procedures designed to ensure its continued compliance with the</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applicable provisions of the Subject Laws and to the extent applicable, will adopt</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 xml:space="preserve">procedures consistent with the PATRIOT Act and implementing regulations, </w:t>
      </w:r>
      <w:r>
        <w:rPr>
          <w:rFonts w:ascii="Times New Roman" w:cs="Times New Roman" w:eastAsia="Times New Roman" w:hAnsi="Times New Roman"/>
          <w:sz w:val="16"/>
          <w:szCs w:val="16"/>
          <w:color w:val="FF0000"/>
          <w:strike w:val="1"/>
        </w:rPr>
        <w:t>once such</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FF0000"/>
          <w:strike w:val="1"/>
        </w:rPr>
        <w:t>regulations have been finalized,</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000000"/>
        </w:rPr>
        <w:t>and (z) to the knowledge of the</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FF0000"/>
          <w:strike w:val="1"/>
        </w:rPr>
        <w:t>Collateral</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FF0000"/>
          <w:strike w:val="1"/>
        </w:rPr>
        <w:t>Manager</w:t>
      </w:r>
      <w:r>
        <w:rPr>
          <w:rFonts w:ascii="Times New Roman" w:cs="Times New Roman" w:eastAsia="Times New Roman" w:hAnsi="Times New Roman"/>
          <w:sz w:val="16"/>
          <w:szCs w:val="16"/>
          <w:color w:val="0000FF"/>
        </w:rPr>
        <w:t>Borrower</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000000"/>
        </w:rPr>
        <w:t>(based on the implementation of its internal procedures and controls),</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 xml:space="preserve">no investor in the </w:t>
      </w:r>
      <w:r>
        <w:rPr>
          <w:rFonts w:ascii="Times New Roman" w:cs="Times New Roman" w:eastAsia="Times New Roman" w:hAnsi="Times New Roman"/>
          <w:sz w:val="16"/>
          <w:szCs w:val="16"/>
          <w:color w:val="FF0000"/>
          <w:strike w:val="1"/>
        </w:rPr>
        <w:t>Collateral Manager is</w:t>
      </w:r>
      <w:r>
        <w:rPr>
          <w:rFonts w:ascii="Times New Roman" w:cs="Times New Roman" w:eastAsia="Times New Roman" w:hAnsi="Times New Roman"/>
          <w:sz w:val="16"/>
          <w:szCs w:val="16"/>
          <w:color w:val="0000FF"/>
        </w:rPr>
        <w:t>Borrower is subject to economic or financial</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0000FF"/>
        </w:rPr>
        <w:t xml:space="preserve">sanctions or trade embargoes (or similar measures) described in clause (x) above, or </w:t>
      </w:r>
      <w:r>
        <w:rPr>
          <w:rFonts w:ascii="Times New Roman" w:cs="Times New Roman" w:eastAsia="Times New Roman" w:hAnsi="Times New Roman"/>
          <w:sz w:val="16"/>
          <w:szCs w:val="16"/>
          <w:color w:val="000000"/>
        </w:rPr>
        <w:t>a</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Person whose name appears on the “List of Specially Designated Nationals” and</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 xml:space="preserve">“Blocked Persons” maintained by the OFAC. </w:t>
      </w:r>
      <w:r>
        <w:rPr>
          <w:rFonts w:ascii="Times New Roman" w:cs="Times New Roman" w:eastAsia="Times New Roman" w:hAnsi="Times New Roman"/>
          <w:sz w:val="16"/>
          <w:szCs w:val="16"/>
          <w:color w:val="0000FF"/>
        </w:rPr>
        <w:t>the Consolidated List of Financial</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0000FF"/>
        </w:rPr>
        <w:t>Sanctions Targets and the Investment Ban List maintained by His Majesty’s Treasury, or</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0000FF"/>
        </w:rPr>
        <w:t>any similar list maintained by, or public announcement of any governmental authority in</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0000FF"/>
        </w:rPr>
        <w:t>respect of economic or financial sanctions.</w:t>
      </w:r>
    </w:p>
    <w:p>
      <w:pPr>
        <w:spacing w:after="0" w:line="169" w:lineRule="exact"/>
        <w:rPr>
          <w:sz w:val="20"/>
          <w:szCs w:val="20"/>
          <w:color w:val="auto"/>
        </w:rPr>
      </w:pPr>
    </w:p>
    <w:p>
      <w:pPr>
        <w:ind w:left="1840" w:right="1420" w:firstLine="44"/>
        <w:spacing w:after="0" w:line="259" w:lineRule="auto"/>
        <w:tabs>
          <w:tab w:leader="none" w:pos="2112"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Location of Records</w:t>
      </w:r>
      <w:r>
        <w:rPr>
          <w:rFonts w:ascii="Times New Roman" w:cs="Times New Roman" w:eastAsia="Times New Roman" w:hAnsi="Times New Roman"/>
          <w:sz w:val="16"/>
          <w:szCs w:val="16"/>
          <w:color w:val="auto"/>
        </w:rPr>
        <w:t>. The Collateral Manager’s chief place of business, its chief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executive office and the office in which the Collateral Manager maintains its books and records are located in the State of New York. The Collateral Manager’s registered office and the jurisdiction of organization of the Collateral Manager is the jurisdiction referred to in Section 4.02(a).</w:t>
      </w:r>
    </w:p>
    <w:p>
      <w:pPr>
        <w:spacing w:after="0" w:line="147" w:lineRule="exact"/>
        <w:rPr>
          <w:rFonts w:ascii="Times New Roman" w:cs="Times New Roman" w:eastAsia="Times New Roman" w:hAnsi="Times New Roman"/>
          <w:sz w:val="16"/>
          <w:szCs w:val="16"/>
          <w:color w:val="auto"/>
        </w:rPr>
      </w:pPr>
    </w:p>
    <w:p>
      <w:pPr>
        <w:ind w:left="1840" w:right="1620" w:firstLine="44"/>
        <w:spacing w:after="0" w:line="286" w:lineRule="auto"/>
        <w:tabs>
          <w:tab w:leader="none" w:pos="2112"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Investment Company Act</w:t>
      </w:r>
      <w:r>
        <w:rPr>
          <w:rFonts w:ascii="Times New Roman" w:cs="Times New Roman" w:eastAsia="Times New Roman" w:hAnsi="Times New Roman"/>
          <w:sz w:val="16"/>
          <w:szCs w:val="16"/>
          <w:color w:val="auto"/>
        </w:rPr>
        <w:t>. The Collateral Manager is registered as an “investment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under the Investment Company Act.</w:t>
      </w:r>
    </w:p>
    <w:p>
      <w:pPr>
        <w:spacing w:after="0" w:line="126" w:lineRule="exact"/>
        <w:rPr>
          <w:rFonts w:ascii="Times New Roman" w:cs="Times New Roman" w:eastAsia="Times New Roman" w:hAnsi="Times New Roman"/>
          <w:sz w:val="16"/>
          <w:szCs w:val="16"/>
          <w:color w:val="auto"/>
        </w:rPr>
      </w:pPr>
    </w:p>
    <w:p>
      <w:pPr>
        <w:ind w:left="1840" w:right="1700" w:firstLine="44"/>
        <w:spacing w:after="0" w:line="194" w:lineRule="exact"/>
        <w:tabs>
          <w:tab w:leader="none" w:pos="2072"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Information and Reports</w:t>
      </w:r>
      <w:r>
        <w:rPr>
          <w:rFonts w:ascii="Times New Roman" w:cs="Times New Roman" w:eastAsia="Times New Roman" w:hAnsi="Times New Roman"/>
          <w:sz w:val="16"/>
          <w:szCs w:val="16"/>
          <w:color w:val="auto"/>
        </w:rPr>
        <w:t>. Each Notice of Borrowing, each Monthly Report, each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Payment Date Report and all other written information, reports, certificates and statements (other than projections and forward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looking statements) furnished by the Collateral Manager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looking statements furnished by or on behalf of the Collateral Manager were prepared reasonably and in good faith as the date stated herein or as of which they were provided.</w:t>
      </w:r>
    </w:p>
    <w:p>
      <w:pPr>
        <w:spacing w:after="0" w:line="168" w:lineRule="exact"/>
        <w:rPr>
          <w:rFonts w:ascii="Times New Roman" w:cs="Times New Roman" w:eastAsia="Times New Roman" w:hAnsi="Times New Roman"/>
          <w:sz w:val="16"/>
          <w:szCs w:val="16"/>
          <w:color w:val="auto"/>
        </w:rPr>
      </w:pPr>
    </w:p>
    <w:p>
      <w:pPr>
        <w:ind w:left="1840" w:right="1440" w:firstLine="44"/>
        <w:spacing w:after="0" w:line="268" w:lineRule="auto"/>
        <w:tabs>
          <w:tab w:leader="none" w:pos="2072"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ERISA</w:t>
      </w:r>
      <w:r>
        <w:rPr>
          <w:rFonts w:ascii="Times New Roman" w:cs="Times New Roman" w:eastAsia="Times New Roman" w:hAnsi="Times New Roman"/>
          <w:sz w:val="16"/>
          <w:szCs w:val="16"/>
          <w:color w:val="auto"/>
        </w:rPr>
        <w:t>. Neither the Collateral Manager nor any member of the ERISA Group has,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during the past five years had, any liability or obligation with respect to any Plan or Multiemployer Plan.</w:t>
      </w:r>
    </w:p>
    <w:p>
      <w:pPr>
        <w:spacing w:after="0" w:line="140" w:lineRule="exact"/>
        <w:rPr>
          <w:rFonts w:ascii="Times New Roman" w:cs="Times New Roman" w:eastAsia="Times New Roman" w:hAnsi="Times New Roman"/>
          <w:sz w:val="16"/>
          <w:szCs w:val="16"/>
          <w:color w:val="auto"/>
        </w:rPr>
      </w:pPr>
    </w:p>
    <w:p>
      <w:pPr>
        <w:ind w:left="1840" w:right="1420" w:firstLine="44"/>
        <w:spacing w:after="0" w:line="262" w:lineRule="auto"/>
        <w:tabs>
          <w:tab w:leader="none" w:pos="2112"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Taxes</w:t>
      </w:r>
      <w:r>
        <w:rPr>
          <w:rFonts w:ascii="Times New Roman" w:cs="Times New Roman" w:eastAsia="Times New Roman" w:hAnsi="Times New Roman"/>
          <w:sz w:val="16"/>
          <w:szCs w:val="16"/>
          <w:color w:val="auto"/>
        </w:rPr>
        <w:t>. The Collateral Manager has filed all income tax returns and all other material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tax returns which are required to be filed by it, if any, and has paid all material taxes shown to be due and payable on such returns, if any, or pursuant to any assessment received by any such Person other than any such taxes, assessments or charges that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638175</wp:posOffset>
            </wp:positionV>
            <wp:extent cx="526605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7" w:name="page198"/>
    <w:bookmarkEnd w:id="197"/>
    <w:p>
      <w:pPr>
        <w:spacing w:after="0" w:line="270" w:lineRule="exact"/>
        <w:rPr>
          <w:sz w:val="20"/>
          <w:szCs w:val="20"/>
          <w:color w:val="auto"/>
        </w:rPr>
      </w:pPr>
    </w:p>
    <w:p>
      <w:pPr>
        <w:ind w:left="1840" w:right="1800"/>
        <w:spacing w:after="0" w:line="283" w:lineRule="auto"/>
        <w:rPr>
          <w:sz w:val="20"/>
          <w:szCs w:val="20"/>
          <w:color w:val="auto"/>
        </w:rPr>
      </w:pPr>
      <w:r>
        <w:rPr>
          <w:rFonts w:ascii="Times New Roman" w:cs="Times New Roman" w:eastAsia="Times New Roman" w:hAnsi="Times New Roman"/>
          <w:sz w:val="16"/>
          <w:szCs w:val="16"/>
          <w:color w:val="auto"/>
        </w:rPr>
        <w:t>being contested in good faith by appropriate proceedings and for which appropriate reserves in accordance with GAAP have been established.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V</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Covenants</w:t>
      </w:r>
    </w:p>
    <w:p>
      <w:pPr>
        <w:spacing w:after="0" w:line="187" w:lineRule="exact"/>
        <w:rPr>
          <w:sz w:val="20"/>
          <w:szCs w:val="20"/>
          <w:color w:val="auto"/>
        </w:rPr>
      </w:pPr>
    </w:p>
    <w:p>
      <w:pPr>
        <w:jc w:val="both"/>
        <w:ind w:left="1360" w:right="1460" w:firstLine="40"/>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Section 5.01. Affirmative Covenants of the Borrower </w:t>
      </w:r>
      <w:r>
        <w:rPr>
          <w:rFonts w:ascii="Times New Roman" w:cs="Times New Roman" w:eastAsia="Times New Roman" w:hAnsi="Times New Roman"/>
          <w:sz w:val="16"/>
          <w:szCs w:val="16"/>
          <w:color w:val="auto"/>
        </w:rPr>
        <w:t>. The Borrower covenants and agrees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until the Final Maturity Date (and thereafter until the date that all Obligations have been paid in full):</w:t>
      </w:r>
    </w:p>
    <w:p>
      <w:pPr>
        <w:spacing w:after="0" w:line="140" w:lineRule="exact"/>
        <w:rPr>
          <w:sz w:val="20"/>
          <w:szCs w:val="20"/>
          <w:color w:val="auto"/>
        </w:rPr>
      </w:pPr>
    </w:p>
    <w:p>
      <w:pPr>
        <w:ind w:left="1840" w:right="1420" w:firstLine="44"/>
        <w:spacing w:after="0" w:line="253" w:lineRule="auto"/>
        <w:tabs>
          <w:tab w:leader="none" w:pos="2102"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Compliance with Agreements, Laws, Etc</w:t>
      </w:r>
      <w:r>
        <w:rPr>
          <w:rFonts w:ascii="Times New Roman" w:cs="Times New Roman" w:eastAsia="Times New Roman" w:hAnsi="Times New Roman"/>
          <w:sz w:val="16"/>
          <w:szCs w:val="16"/>
          <w:color w:val="auto"/>
        </w:rPr>
        <w:t>. It shall (i) duly observe, comply in 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material respects with all Applicable Laws 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its Constituent Documents and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its Constituent Documents and the Related Documents to which it is a party.</w:t>
      </w:r>
    </w:p>
    <w:p>
      <w:pPr>
        <w:spacing w:after="0" w:line="154" w:lineRule="exact"/>
        <w:rPr>
          <w:rFonts w:ascii="Times New Roman" w:cs="Times New Roman" w:eastAsia="Times New Roman" w:hAnsi="Times New Roman"/>
          <w:sz w:val="16"/>
          <w:szCs w:val="16"/>
          <w:color w:val="auto"/>
        </w:rPr>
      </w:pPr>
    </w:p>
    <w:p>
      <w:pPr>
        <w:ind w:left="1840" w:right="1380" w:firstLine="44"/>
        <w:spacing w:after="0" w:line="194" w:lineRule="exact"/>
        <w:tabs>
          <w:tab w:leader="none" w:pos="2112"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Enforcement</w:t>
      </w:r>
      <w:r>
        <w:rPr>
          <w:rFonts w:ascii="Times New Roman" w:cs="Times New Roman" w:eastAsia="Times New Roman" w:hAnsi="Times New Roman"/>
          <w:sz w:val="16"/>
          <w:szCs w:val="16"/>
          <w:color w:val="auto"/>
        </w:rPr>
        <w:t>. (i) It shall not take any action, and will use commercially reasonable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efforts not to permit any action to be taken by others, that would release any Person from any of such Person’s covenants or obligations under any instrument included in the Collateral, except in the case of (A) repayment of Collateral Loans, (B) subject to Section 5.01(k) hereof and the other terms of this Agreement, (i) amendments to Related Documents that govern Defaulted Collateral Loans or Ineligible Collateral Loans or that are otherwise reasonably deemed by the Collateral Manager to be necessary, immaterial, or beneficial, taken as a whole, to the Borrower and (ii) enforcement actions taken or work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outs with respect to any Defaulted Collateral Loan in accordance with the provisions hereof, and (C) actions by the Collateral Manager under this Agreement and in conformity with this Agreement or as otherwise required hereby.</w:t>
      </w:r>
    </w:p>
    <w:p>
      <w:pPr>
        <w:spacing w:after="0" w:line="167" w:lineRule="exact"/>
        <w:rPr>
          <w:sz w:val="20"/>
          <w:szCs w:val="20"/>
          <w:color w:val="auto"/>
        </w:rPr>
      </w:pPr>
    </w:p>
    <w:p>
      <w:pPr>
        <w:ind w:left="1840" w:right="1500" w:firstLine="44"/>
        <w:spacing w:after="0" w:line="254" w:lineRule="auto"/>
        <w:tabs>
          <w:tab w:leader="none" w:pos="2118"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will not, without the prior written consent of the Administrative Agent and the Required Lenders, contract with other Persons for the performance of actions and obligations to be performed by the Borrower or the Collateral Manager hereunder. Notwithstanding any such arrangement, the Borrower shall remain primarily liable with respect thereto. The Borrower will punctually perform, and use its reasonably commercial efforts to cause the Collateral Manager, the Collateral Administrator and such other Person to perform, all of their obligations and agreements contained in this Agreement or any other Facility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645160</wp:posOffset>
            </wp:positionV>
            <wp:extent cx="526605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8" w:name="page199"/>
    <w:bookmarkEnd w:id="198"/>
    <w:p>
      <w:pPr>
        <w:spacing w:after="0" w:line="268" w:lineRule="exact"/>
        <w:rPr>
          <w:sz w:val="20"/>
          <w:szCs w:val="20"/>
          <w:color w:val="auto"/>
        </w:rPr>
      </w:pPr>
    </w:p>
    <w:p>
      <w:pPr>
        <w:ind w:left="1840" w:right="1380" w:firstLine="44"/>
        <w:spacing w:after="0" w:line="193" w:lineRule="exact"/>
        <w:tabs>
          <w:tab w:leader="none" w:pos="2102"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Further Assurances</w:t>
      </w:r>
      <w:r>
        <w:rPr>
          <w:rFonts w:ascii="Times New Roman" w:cs="Times New Roman" w:eastAsia="Times New Roman" w:hAnsi="Times New Roman"/>
          <w:sz w:val="16"/>
          <w:szCs w:val="16"/>
          <w:color w:val="auto"/>
        </w:rPr>
        <w:t>. It shall promptly upon the reasonable request of either Agent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Required Lenders (through the Administrative Agent), at the Borrower’s expense, execute and deliver such further instruments and take such further action in order to maintain and protect the Collateral Agent’s first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priority perfected security interest in the Collateral pledged by the Borrower for the benefit of the Secured Parties free and clear of any Liens (other than Permitted Liens). At the reasonable request of either Agent or the Required Lenders (through the Administrative Agent), the Borrower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 Subject to Section 7.02, and without limiting its obligation to maintain and protect the Collateral Agent’s first priority security interest in the Collateral, the Borrower authorizes the Collateral Agent to file or record financing statements (including financing statements describing the Collateral as “all assets” or the equivalent) and other filing or recording documents or instruments with respect to the Collateral in such form and in such offices as are necessary to perfect the security interests of the Collateral Agent under this Agreement under each method of perfection required herein with respect to the Collateral,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Collateral Agent does not hereby assume any obligation of the Borrower to maintain and protect its security interest under this Section 5.01 or Section 7.07.</w:t>
      </w:r>
    </w:p>
    <w:p>
      <w:pPr>
        <w:spacing w:after="0" w:line="168" w:lineRule="exact"/>
        <w:rPr>
          <w:sz w:val="20"/>
          <w:szCs w:val="20"/>
          <w:color w:val="auto"/>
        </w:rPr>
      </w:pPr>
    </w:p>
    <w:p>
      <w:pPr>
        <w:ind w:left="1840" w:right="1360" w:firstLine="484"/>
        <w:spacing w:after="0" w:line="194" w:lineRule="exact"/>
        <w:rPr>
          <w:sz w:val="20"/>
          <w:szCs w:val="20"/>
          <w:color w:val="auto"/>
        </w:rPr>
      </w:pPr>
      <w:r>
        <w:rPr>
          <w:rFonts w:ascii="Times New Roman" w:cs="Times New Roman" w:eastAsia="Times New Roman" w:hAnsi="Times New Roman"/>
          <w:sz w:val="16"/>
          <w:szCs w:val="16"/>
          <w:color w:val="auto"/>
        </w:rPr>
        <w:t>In addition, the Borrower will take such reasonable action from time to time as shall be necessary to ensure that all assets (including all Covered Accounts) of the Borrower constitute “Collateral” hereunder. Subject to the foregoing, the Borrower will, and, upon the reasonable request of either Agent shall, at the Borrower’s expense, take such other action (including executing and delivering or authorizing for filing any required UCC financing statements) as shall be necessary to create and perfect a valid and enforceable first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priority security interest on all Collateral acquired by the Borrower as collateral security for the Obligations and will in connection therewith deliver such proof of corporate action, incumbency of officers, opinions of counsel and other documents as is consistent with those delivered by the Borrower pursuant to Section 3.01 on the Funding Effective Date or as either Agent or the Required Lenders (through the Administrative Agent) shall have reasonably requested.</w:t>
      </w:r>
    </w:p>
    <w:p>
      <w:pPr>
        <w:spacing w:after="0" w:line="162" w:lineRule="exact"/>
        <w:rPr>
          <w:sz w:val="20"/>
          <w:szCs w:val="20"/>
          <w:color w:val="auto"/>
        </w:rPr>
      </w:pPr>
    </w:p>
    <w:p>
      <w:pPr>
        <w:ind w:left="1840" w:right="1620" w:firstLine="44"/>
        <w:spacing w:after="0" w:line="262" w:lineRule="auto"/>
        <w:tabs>
          <w:tab w:leader="none" w:pos="2112"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Financial Statements; Other Information</w:t>
      </w:r>
      <w:r>
        <w:rPr>
          <w:rFonts w:ascii="Times New Roman" w:cs="Times New Roman" w:eastAsia="Times New Roman" w:hAnsi="Times New Roman"/>
          <w:sz w:val="16"/>
          <w:szCs w:val="16"/>
          <w:color w:val="auto"/>
        </w:rPr>
        <w:t>. It shall provide to the Administrative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Agent or cause to be provided to the Administrative Agent (with enough additional copies for each Lender) with a copy to the Collateral Agent and the Backup Collateral Manager:</w:t>
      </w:r>
    </w:p>
    <w:p>
      <w:pPr>
        <w:spacing w:after="0" w:line="146" w:lineRule="exact"/>
        <w:rPr>
          <w:rFonts w:ascii="Times New Roman" w:cs="Times New Roman" w:eastAsia="Times New Roman" w:hAnsi="Times New Roman"/>
          <w:sz w:val="16"/>
          <w:szCs w:val="16"/>
          <w:color w:val="auto"/>
        </w:rPr>
      </w:pPr>
    </w:p>
    <w:p>
      <w:pPr>
        <w:ind w:left="2320" w:right="1400" w:firstLine="49"/>
        <w:spacing w:after="0" w:line="257" w:lineRule="auto"/>
        <w:tabs>
          <w:tab w:leader="none" w:pos="2553"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ninety (90) days after the end of each fiscal year of the BDC, its audited consolidated balance sheet and related statements of operations, stockholders’ equity and cash flows (with a consolidating schedule showing such statements for the Borrower) as of the end of and for such year, setting forth in each case in comparative form the figures for the previous fiscal year, all reported 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765175</wp:posOffset>
            </wp:positionV>
            <wp:extent cx="526605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9" w:name="page200"/>
    <w:bookmarkEnd w:id="199"/>
    <w:p>
      <w:pPr>
        <w:spacing w:after="0" w:line="270" w:lineRule="exact"/>
        <w:rPr>
          <w:sz w:val="20"/>
          <w:szCs w:val="20"/>
          <w:color w:val="auto"/>
        </w:rPr>
      </w:pPr>
    </w:p>
    <w:p>
      <w:pPr>
        <w:ind w:left="2320" w:right="1420"/>
        <w:spacing w:after="0" w:line="256" w:lineRule="auto"/>
        <w:rPr>
          <w:sz w:val="20"/>
          <w:szCs w:val="20"/>
          <w:color w:val="auto"/>
        </w:rPr>
      </w:pPr>
      <w:r>
        <w:rPr>
          <w:rFonts w:ascii="Times New Roman" w:cs="Times New Roman" w:eastAsia="Times New Roman" w:hAnsi="Times New Roman"/>
          <w:sz w:val="16"/>
          <w:szCs w:val="16"/>
          <w:color w:val="auto"/>
        </w:rPr>
        <w:t>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BDC and its consolidated subsidiaries on a consolidated basis in accordance with GAAP consistently applied;</w:t>
      </w:r>
    </w:p>
    <w:p>
      <w:pPr>
        <w:spacing w:after="0" w:line="138" w:lineRule="exact"/>
        <w:rPr>
          <w:sz w:val="20"/>
          <w:szCs w:val="20"/>
          <w:color w:val="auto"/>
        </w:rPr>
      </w:pPr>
    </w:p>
    <w:p>
      <w:pPr>
        <w:ind w:left="2320" w:right="1360" w:firstLine="49"/>
        <w:spacing w:after="0" w:line="194" w:lineRule="exact"/>
        <w:tabs>
          <w:tab w:leader="none" w:pos="2598"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forty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five (45) days after the end of each of the first three fiscal quarters of each fiscal year of the BDC, its unaudited consolidated balance sheet and related statements of operations, stockholders’ equity and cash flows (with a consolidating schedule showing such statements for the Borrower)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senior financial officers as presenting fairly in all material respects the financial condition and results of operations of the BDC and its consolidated subsidiaries on a consolidated basis in accordance with GAAP consistently applied, subject to normal year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end audit adjustments and the absence of footnotes;</w:t>
      </w:r>
    </w:p>
    <w:p>
      <w:pPr>
        <w:spacing w:after="0" w:line="154" w:lineRule="exact"/>
        <w:rPr>
          <w:rFonts w:ascii="Times New Roman" w:cs="Times New Roman" w:eastAsia="Times New Roman" w:hAnsi="Times New Roman"/>
          <w:sz w:val="16"/>
          <w:szCs w:val="16"/>
          <w:color w:val="auto"/>
        </w:rPr>
      </w:pPr>
    </w:p>
    <w:p>
      <w:pPr>
        <w:jc w:val="both"/>
        <w:ind w:left="2320" w:right="1560" w:firstLine="49"/>
        <w:spacing w:after="0" w:line="201" w:lineRule="exact"/>
        <w:tabs>
          <w:tab w:leader="none" w:pos="2643"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forty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five (45) days after the end of each fiscal quarter (other than a fiscal year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end) and ninety (90) days after the end of each fiscal year, copies of the quarterly valuation statements for the BDC in accordance with Applicable Law;</w:t>
      </w:r>
    </w:p>
    <w:p>
      <w:pPr>
        <w:spacing w:after="0" w:line="164" w:lineRule="exact"/>
        <w:rPr>
          <w:rFonts w:ascii="Times New Roman" w:cs="Times New Roman" w:eastAsia="Times New Roman" w:hAnsi="Times New Roman"/>
          <w:sz w:val="16"/>
          <w:szCs w:val="16"/>
          <w:color w:val="auto"/>
        </w:rPr>
      </w:pPr>
    </w:p>
    <w:p>
      <w:pPr>
        <w:ind w:left="2320" w:right="1420" w:firstLine="49"/>
        <w:spacing w:after="0" w:line="256" w:lineRule="auto"/>
        <w:tabs>
          <w:tab w:leader="none" w:pos="2634"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possible, and in any event within two Business Days after a Responsible Officer of the Collateral Manager or a Responsible Officer of the Borrower obtains actual knowledge of the occurrence and continuance of any (w) Default or (x) Event of Default, a certificate of a Responsible Officer of the Borrower setting forth the details thereof and the action which the Borrower is taking or proposes to take with respect thereto;</w:t>
      </w:r>
    </w:p>
    <w:p>
      <w:pPr>
        <w:spacing w:after="0" w:line="154" w:lineRule="exact"/>
        <w:rPr>
          <w:rFonts w:ascii="Times New Roman" w:cs="Times New Roman" w:eastAsia="Times New Roman" w:hAnsi="Times New Roman"/>
          <w:sz w:val="16"/>
          <w:szCs w:val="16"/>
          <w:color w:val="auto"/>
        </w:rPr>
      </w:pPr>
    </w:p>
    <w:p>
      <w:pPr>
        <w:ind w:left="2320" w:right="1620" w:firstLine="49"/>
        <w:spacing w:after="0" w:line="258" w:lineRule="auto"/>
        <w:tabs>
          <w:tab w:leader="none" w:pos="2589"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time to time such additional information regarding the Borrower’s financial position or business and the Collateral (including reasonably detailed calculations of each Coverage Test and Collateral Quality Test) as the Administrative Agent or the Required Lenders (through the Administrative Agent) may request if reasonably available to the Borrower;</w:t>
      </w:r>
    </w:p>
    <w:p>
      <w:pPr>
        <w:spacing w:after="0" w:line="151" w:lineRule="exact"/>
        <w:rPr>
          <w:rFonts w:ascii="Times New Roman" w:cs="Times New Roman" w:eastAsia="Times New Roman" w:hAnsi="Times New Roman"/>
          <w:sz w:val="16"/>
          <w:szCs w:val="16"/>
          <w:color w:val="auto"/>
        </w:rPr>
      </w:pPr>
    </w:p>
    <w:p>
      <w:pPr>
        <w:jc w:val="both"/>
        <w:ind w:left="2320" w:right="1600" w:firstLine="49"/>
        <w:spacing w:after="0" w:line="266" w:lineRule="auto"/>
        <w:tabs>
          <w:tab w:leader="none" w:pos="2634"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the occurrence of any ERISA Event, notice of such ERISA Event and copies of any communications with all Governmental Authorities or any Multiemployer Plan with respect to such ERISA Event;</w:t>
      </w:r>
    </w:p>
    <w:p>
      <w:pPr>
        <w:spacing w:after="0" w:line="144" w:lineRule="exact"/>
        <w:rPr>
          <w:rFonts w:ascii="Times New Roman" w:cs="Times New Roman" w:eastAsia="Times New Roman" w:hAnsi="Times New Roman"/>
          <w:sz w:val="16"/>
          <w:szCs w:val="16"/>
          <w:color w:val="auto"/>
        </w:rPr>
      </w:pPr>
    </w:p>
    <w:p>
      <w:pPr>
        <w:ind w:left="2320" w:right="1700" w:firstLine="49"/>
        <w:spacing w:after="0" w:line="204" w:lineRule="exact"/>
        <w:tabs>
          <w:tab w:leader="none" w:pos="2679"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the occurrence of any change in the Borrower’s taxpayer identification number, notice of such change on an IRS Form W</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645795</wp:posOffset>
            </wp:positionV>
            <wp:extent cx="526605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0" w:name="page201"/>
    <w:bookmarkEnd w:id="200"/>
    <w:p>
      <w:pPr>
        <w:spacing w:after="0" w:line="270" w:lineRule="exact"/>
        <w:rPr>
          <w:sz w:val="20"/>
          <w:szCs w:val="20"/>
          <w:color w:val="auto"/>
        </w:rPr>
      </w:pPr>
    </w:p>
    <w:p>
      <w:pPr>
        <w:ind w:left="2320" w:right="1460" w:firstLine="49"/>
        <w:spacing w:after="0" w:line="261" w:lineRule="auto"/>
        <w:tabs>
          <w:tab w:leader="none" w:pos="2723"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possible and in any event at least two (2) Business Days prior to doing so, the Borrower shall provide notice of any change in its chief place of business, its chief executive office or the office in which the Borrower maintains its books and records; and</w:t>
      </w:r>
    </w:p>
    <w:p>
      <w:pPr>
        <w:spacing w:after="0" w:line="148" w:lineRule="exact"/>
        <w:rPr>
          <w:rFonts w:ascii="Times New Roman" w:cs="Times New Roman" w:eastAsia="Times New Roman" w:hAnsi="Times New Roman"/>
          <w:sz w:val="16"/>
          <w:szCs w:val="16"/>
          <w:color w:val="auto"/>
        </w:rPr>
      </w:pPr>
    </w:p>
    <w:p>
      <w:pPr>
        <w:ind w:left="2320" w:right="1640" w:firstLine="49"/>
        <w:spacing w:after="0" w:line="258" w:lineRule="auto"/>
        <w:tabs>
          <w:tab w:leader="none" w:pos="2634"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possible, and in any event within two Business Days after a Responsible Officer of the Collateral Manager or a Responsible Officer of the Borrower obtains actual knowledge of the occurrence and continuance of any Currency Valuation Trigger Event, notice of such Currency Valuation Trigger Event.</w:t>
      </w:r>
    </w:p>
    <w:p>
      <w:pPr>
        <w:spacing w:after="0" w:line="149" w:lineRule="exact"/>
        <w:rPr>
          <w:rFonts w:ascii="Times New Roman" w:cs="Times New Roman" w:eastAsia="Times New Roman" w:hAnsi="Times New Roman"/>
          <w:sz w:val="16"/>
          <w:szCs w:val="16"/>
          <w:color w:val="auto"/>
        </w:rPr>
      </w:pPr>
    </w:p>
    <w:p>
      <w:pPr>
        <w:ind w:left="1840" w:right="1380" w:firstLine="44"/>
        <w:spacing w:after="0" w:line="252" w:lineRule="auto"/>
        <w:tabs>
          <w:tab w:leader="none" w:pos="2102"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Access to Records and Documents</w:t>
      </w:r>
      <w:r>
        <w:rPr>
          <w:rFonts w:ascii="Times New Roman" w:cs="Times New Roman" w:eastAsia="Times New Roman" w:hAnsi="Times New Roman"/>
          <w:sz w:val="16"/>
          <w:szCs w:val="16"/>
          <w:color w:val="auto"/>
        </w:rPr>
        <w:t>. It shall permit the Administrative Agent and each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Lender (or any Person designated by the Administrative Agent or such 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all as often as the Administrative Agent or the Lenders may reasonably request;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notwithstanding the foregoing, so long as no Event of Default has occurred and is continuing, each Person entitled to so visit and inspect the Borrower’s records under this clause (e) may only exercise its rights under this clause (e) twice during any fiscal year of the Borrower (it being understood that the Borrower shall be responsible for all reasonable and documented costs and expenses for only one such visit per fiscal year). Each Lender agrees to use commercially reasonable efforts to coordinate with the other Lenders in exercising their respective rights under this paragraph (e) and under paragraph (g) below with a view to minimizing duplication of effort and expense by the Borrower.</w:t>
      </w:r>
    </w:p>
    <w:p>
      <w:pPr>
        <w:spacing w:after="0" w:line="156" w:lineRule="exact"/>
        <w:rPr>
          <w:rFonts w:ascii="Times New Roman" w:cs="Times New Roman" w:eastAsia="Times New Roman" w:hAnsi="Times New Roman"/>
          <w:sz w:val="16"/>
          <w:szCs w:val="16"/>
          <w:color w:val="auto"/>
        </w:rPr>
      </w:pPr>
    </w:p>
    <w:p>
      <w:pPr>
        <w:ind w:left="2080" w:hanging="196"/>
        <w:spacing w:after="0"/>
        <w:tabs>
          <w:tab w:leader="none" w:pos="208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Use of Proceeds</w:t>
      </w:r>
      <w:r>
        <w:rPr>
          <w:rFonts w:ascii="Times New Roman" w:cs="Times New Roman" w:eastAsia="Times New Roman" w:hAnsi="Times New Roman"/>
          <w:sz w:val="16"/>
          <w:szCs w:val="16"/>
          <w:color w:val="auto"/>
        </w:rPr>
        <w:t>. It shall use the proceeds of each Advance made hereunder solely:</w:t>
      </w:r>
    </w:p>
    <w:p>
      <w:pPr>
        <w:spacing w:after="0" w:line="191" w:lineRule="exact"/>
        <w:rPr>
          <w:rFonts w:ascii="Times New Roman" w:cs="Times New Roman" w:eastAsia="Times New Roman" w:hAnsi="Times New Roman"/>
          <w:sz w:val="16"/>
          <w:szCs w:val="16"/>
          <w:color w:val="auto"/>
        </w:rPr>
      </w:pPr>
    </w:p>
    <w:p>
      <w:pPr>
        <w:ind w:left="2320" w:right="1400" w:firstLine="49"/>
        <w:spacing w:after="0" w:line="266" w:lineRule="auto"/>
        <w:tabs>
          <w:tab w:leader="none" w:pos="2553"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fund or pay the purchase price of Collateral Loans (other than Ineligible Collateral Loans) or Eligible Investments acquired by the Borrower in accordance with the terms and conditions set forth herein or for general corporate purposes;</w:t>
      </w:r>
    </w:p>
    <w:p>
      <w:pPr>
        <w:spacing w:after="0" w:line="144" w:lineRule="exact"/>
        <w:rPr>
          <w:rFonts w:ascii="Times New Roman" w:cs="Times New Roman" w:eastAsia="Times New Roman" w:hAnsi="Times New Roman"/>
          <w:sz w:val="16"/>
          <w:szCs w:val="16"/>
          <w:color w:val="auto"/>
        </w:rPr>
      </w:pPr>
    </w:p>
    <w:p>
      <w:pPr>
        <w:ind w:left="2320" w:right="1460" w:firstLine="49"/>
        <w:spacing w:after="0" w:line="266" w:lineRule="auto"/>
        <w:tabs>
          <w:tab w:leader="none" w:pos="2598"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fund additional extensions of credit under Revolving Collateral Loans and Delayed Drawdown Collateral Loans purchased in accordance with the terms of this Agreement;</w:t>
      </w:r>
    </w:p>
    <w:p>
      <w:pPr>
        <w:spacing w:after="0" w:line="144" w:lineRule="exact"/>
        <w:rPr>
          <w:rFonts w:ascii="Times New Roman" w:cs="Times New Roman" w:eastAsia="Times New Roman" w:hAnsi="Times New Roman"/>
          <w:sz w:val="16"/>
          <w:szCs w:val="16"/>
          <w:color w:val="auto"/>
        </w:rPr>
      </w:pPr>
    </w:p>
    <w:p>
      <w:pPr>
        <w:ind w:left="2660" w:hanging="291"/>
        <w:spacing w:after="0"/>
        <w:tabs>
          <w:tab w:leader="none" w:pos="266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repay outstanding Swingline Advances;</w:t>
      </w:r>
    </w:p>
    <w:p>
      <w:pPr>
        <w:spacing w:after="0" w:line="189" w:lineRule="exact"/>
        <w:rPr>
          <w:rFonts w:ascii="Times New Roman" w:cs="Times New Roman" w:eastAsia="Times New Roman" w:hAnsi="Times New Roman"/>
          <w:sz w:val="16"/>
          <w:szCs w:val="16"/>
          <w:color w:val="auto"/>
        </w:rPr>
      </w:pPr>
    </w:p>
    <w:p>
      <w:pPr>
        <w:ind w:left="2320" w:right="1540" w:firstLine="49"/>
        <w:spacing w:after="0" w:line="266" w:lineRule="auto"/>
        <w:tabs>
          <w:tab w:leader="none" w:pos="2634"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fund the Revolving Reserve Account on or prior to the Commitment Termination Date to the extent the Revolving Reserve Account is required to be funded pursuant to Section 8.04 (and the Borrower shall submit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636905</wp:posOffset>
            </wp:positionV>
            <wp:extent cx="526605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1" w:name="page202"/>
    <w:bookmarkEnd w:id="201"/>
    <w:p>
      <w:pPr>
        <w:spacing w:after="0" w:line="270" w:lineRule="exact"/>
        <w:rPr>
          <w:sz w:val="20"/>
          <w:szCs w:val="20"/>
          <w:color w:val="auto"/>
        </w:rPr>
      </w:pPr>
    </w:p>
    <w:p>
      <w:pPr>
        <w:ind w:left="2320" w:right="1440"/>
        <w:spacing w:after="0" w:line="261" w:lineRule="auto"/>
        <w:rPr>
          <w:sz w:val="20"/>
          <w:szCs w:val="20"/>
          <w:color w:val="auto"/>
        </w:rPr>
      </w:pPr>
      <w:r>
        <w:rPr>
          <w:rFonts w:ascii="Times New Roman" w:cs="Times New Roman" w:eastAsia="Times New Roman" w:hAnsi="Times New Roman"/>
          <w:sz w:val="16"/>
          <w:szCs w:val="16"/>
          <w:color w:val="auto"/>
        </w:rPr>
        <w:t>Notice of Borrowing requesting a Borrowing of Advances for a Borrowing Date falling no more than five and no less than one Business Day prior to the Commitment Termination Date with a Requested Amount sufficient to fully fund the Revolving Reserve Account under Section 8.04); and</w:t>
      </w:r>
    </w:p>
    <w:p>
      <w:pPr>
        <w:spacing w:after="0" w:line="148" w:lineRule="exact"/>
        <w:rPr>
          <w:sz w:val="20"/>
          <w:szCs w:val="20"/>
          <w:color w:val="auto"/>
        </w:rPr>
      </w:pPr>
    </w:p>
    <w:p>
      <w:pPr>
        <w:jc w:val="both"/>
        <w:ind w:left="2320" w:right="1460" w:firstLine="49"/>
        <w:spacing w:after="0" w:line="261" w:lineRule="auto"/>
        <w:tabs>
          <w:tab w:leader="none" w:pos="2589"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such other legal and proper purposes as are consistent with all applicable laws; provided, that proceeds shall only be used to make a Restricted Payment to the BDC if the Collateral Quality Tests are satisfied both immediately before and after such payment.</w:t>
      </w:r>
    </w:p>
    <w:p>
      <w:pPr>
        <w:spacing w:after="0" w:line="148" w:lineRule="exact"/>
        <w:rPr>
          <w:sz w:val="20"/>
          <w:szCs w:val="20"/>
          <w:color w:val="auto"/>
        </w:rPr>
      </w:pPr>
    </w:p>
    <w:p>
      <w:pPr>
        <w:ind w:left="1840" w:right="1380" w:firstLine="484"/>
        <w:spacing w:after="0" w:line="261" w:lineRule="auto"/>
        <w:rPr>
          <w:sz w:val="20"/>
          <w:szCs w:val="20"/>
          <w:color w:val="auto"/>
        </w:rPr>
      </w:pPr>
      <w:r>
        <w:rPr>
          <w:rFonts w:ascii="Times New Roman" w:cs="Times New Roman" w:eastAsia="Times New Roman" w:hAnsi="Times New Roman"/>
          <w:sz w:val="16"/>
          <w:szCs w:val="16"/>
          <w:color w:val="auto"/>
        </w:rPr>
        <w:t>Without limiting the foregoing, it shall use the proceeds of each Advance in a manner that does not, directly or indirectly, violate any provision of its Constituent Documents or any Applicable Law, including Regulation T, Regulation U and Regulation X.</w:t>
      </w:r>
    </w:p>
    <w:p>
      <w:pPr>
        <w:spacing w:after="0" w:line="146" w:lineRule="exact"/>
        <w:rPr>
          <w:sz w:val="20"/>
          <w:szCs w:val="20"/>
          <w:color w:val="auto"/>
        </w:rPr>
      </w:pPr>
    </w:p>
    <w:p>
      <w:pPr>
        <w:ind w:left="1840" w:right="1440" w:firstLine="44"/>
        <w:spacing w:after="0" w:line="252" w:lineRule="auto"/>
        <w:tabs>
          <w:tab w:leader="none" w:pos="2112"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Audit Rights</w:t>
      </w:r>
      <w:r>
        <w:rPr>
          <w:rFonts w:ascii="Times New Roman" w:cs="Times New Roman" w:eastAsia="Times New Roman" w:hAnsi="Times New Roman"/>
          <w:sz w:val="16"/>
          <w:szCs w:val="16"/>
          <w:color w:val="auto"/>
        </w:rPr>
        <w:t>. It will permit the Administrative Agent and any Lender (or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representatives thereof (including any consultants, accountants, lawyers and appraisers)) to conduct evaluations and appraisals of the Borrower’s computation of the Borrowing Base and the assets included in the Borrowing Base no more than twice during any fiscal year of the Borrower. The Borrower shall pay the reasonable and documented fees and expenses of any representatives retained by the Administrative Agent or any Lender to conduct any such evaluation or appraisal;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the Borrower shall not be required to pay such fees and expenses for more than one such evaluation or appraisal during any calendar year unless an Event of Default has occurred and is continuing and</w:t>
      </w:r>
    </w:p>
    <w:p>
      <w:pPr>
        <w:spacing w:after="0" w:line="6" w:lineRule="exact"/>
        <w:rPr>
          <w:rFonts w:ascii="Times New Roman" w:cs="Times New Roman" w:eastAsia="Times New Roman" w:hAnsi="Times New Roman"/>
          <w:sz w:val="16"/>
          <w:szCs w:val="16"/>
          <w:color w:val="auto"/>
        </w:rPr>
      </w:pPr>
    </w:p>
    <w:p>
      <w:pPr>
        <w:ind w:left="1840" w:right="1360" w:firstLine="4"/>
        <w:spacing w:after="0" w:line="252" w:lineRule="auto"/>
        <w:tabs>
          <w:tab w:leader="none" w:pos="2077"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evaluation or appraisal shall not be duplicative of the report required under Section 8.08(b). Each Lender agrees to use commercially reasonable efforts to coordinate with the other Lenders in exercising their respective rights under this paragraph (g) and under paragraph (e) above with a view to minimizing duplication of effort and expense by the Borrower.</w:t>
      </w:r>
    </w:p>
    <w:p>
      <w:pPr>
        <w:spacing w:after="0" w:line="154" w:lineRule="exact"/>
        <w:rPr>
          <w:rFonts w:ascii="Times New Roman" w:cs="Times New Roman" w:eastAsia="Times New Roman" w:hAnsi="Times New Roman"/>
          <w:sz w:val="16"/>
          <w:szCs w:val="16"/>
          <w:color w:val="auto"/>
        </w:rPr>
      </w:pPr>
    </w:p>
    <w:p>
      <w:pPr>
        <w:ind w:left="1840" w:right="1400" w:firstLine="44"/>
        <w:spacing w:after="0" w:line="262" w:lineRule="auto"/>
        <w:tabs>
          <w:tab w:leader="none" w:pos="2112" w:val="left"/>
        </w:tabs>
        <w:numPr>
          <w:ilvl w:val="1"/>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Opinions as to Collateral</w:t>
      </w:r>
      <w:r>
        <w:rPr>
          <w:rFonts w:ascii="Times New Roman" w:cs="Times New Roman" w:eastAsia="Times New Roman" w:hAnsi="Times New Roman"/>
          <w:sz w:val="16"/>
          <w:szCs w:val="16"/>
          <w:color w:val="auto"/>
        </w:rPr>
        <w:t>. On or before each five (5) year anniversary of the Closing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Date, the Borrower shall furnish to the Agents an opinion of counsel, addressed to the Borrower and the Agents, relating to the continued perfection of the security interest granted by the Borrower to the Collateral Agent hereunder.</w:t>
      </w:r>
    </w:p>
    <w:p>
      <w:pPr>
        <w:spacing w:after="0" w:line="144" w:lineRule="exact"/>
        <w:rPr>
          <w:rFonts w:ascii="Times New Roman" w:cs="Times New Roman" w:eastAsia="Times New Roman" w:hAnsi="Times New Roman"/>
          <w:sz w:val="16"/>
          <w:szCs w:val="16"/>
          <w:color w:val="auto"/>
        </w:rPr>
      </w:pPr>
    </w:p>
    <w:p>
      <w:pPr>
        <w:ind w:left="1840" w:right="1360" w:firstLine="44"/>
        <w:spacing w:after="0" w:line="254" w:lineRule="auto"/>
        <w:tabs>
          <w:tab w:leader="none" w:pos="2072" w:val="left"/>
        </w:tabs>
        <w:numPr>
          <w:ilvl w:val="1"/>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Other Business</w:t>
      </w:r>
      <w:r>
        <w:rPr>
          <w:rFonts w:ascii="Times New Roman" w:cs="Times New Roman" w:eastAsia="Times New Roman" w:hAnsi="Times New Roman"/>
          <w:sz w:val="16"/>
          <w:szCs w:val="16"/>
          <w:color w:val="auto"/>
        </w:rPr>
        <w:t>. The Borrower shall not engage in any business or activity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than borrowing Advances pursuant to this Agreement, originating, funding, acquiring, owning, holding, administering, selling, enforcing, lending, exchanging, redeeming, pledging, contracting for the management of and otherwise dealing with Collateral Loans, Eligible Investments and the other Collateral in connection therewith and entering into the Facility Documents, any applicable Related Documents and any other agreements contemplated by this Agreement, and shall not engage in any activity or take any other action that would cause the Borrower to be subject to U.S. Federal, state or local income tax on a net income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644525</wp:posOffset>
            </wp:positionV>
            <wp:extent cx="526605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2" w:name="page203"/>
    <w:bookmarkEnd w:id="202"/>
    <w:p>
      <w:pPr>
        <w:spacing w:after="0" w:line="268" w:lineRule="exact"/>
        <w:rPr>
          <w:sz w:val="20"/>
          <w:szCs w:val="20"/>
          <w:color w:val="auto"/>
        </w:rPr>
      </w:pPr>
    </w:p>
    <w:p>
      <w:pPr>
        <w:ind w:left="1840" w:right="1400" w:firstLine="44"/>
        <w:spacing w:after="0" w:line="252" w:lineRule="auto"/>
        <w:tabs>
          <w:tab w:leader="none" w:pos="2072"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Tax Matters. </w:t>
      </w:r>
      <w:r>
        <w:rPr>
          <w:rFonts w:ascii="Times New Roman" w:cs="Times New Roman" w:eastAsia="Times New Roman" w:hAnsi="Times New Roman"/>
          <w:sz w:val="16"/>
          <w:szCs w:val="16"/>
          <w:color w:val="auto"/>
        </w:rPr>
        <w:t>The Borrower shall (and each Lender hereby agrees to) treat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Advances as debt for U.S. Federal income tax purposes and will take no contrary position. Assuming that such treatment is correct, the Borrower shall at all times maintain its status as an entity disregarded as an entity separate from its owner for U.S. Federal income tax purposes. The Borrower shall at all times ensure that its owner is and will remain a United States person as defined by Section 7701(a)(30) of the Code (a “</w:t>
      </w:r>
      <w:r>
        <w:rPr>
          <w:rFonts w:ascii="Times New Roman" w:cs="Times New Roman" w:eastAsia="Times New Roman" w:hAnsi="Times New Roman"/>
          <w:sz w:val="16"/>
          <w:szCs w:val="16"/>
          <w:i w:val="1"/>
          <w:iCs w:val="1"/>
          <w:color w:val="auto"/>
        </w:rPr>
        <w:t>U.S. Person</w:t>
      </w:r>
      <w:r>
        <w:rPr>
          <w:rFonts w:ascii="Times New Roman" w:cs="Times New Roman" w:eastAsia="Times New Roman" w:hAnsi="Times New Roman"/>
          <w:sz w:val="16"/>
          <w:szCs w:val="16"/>
          <w:color w:val="auto"/>
        </w:rPr>
        <w:t>”). Notwithstanding any contrary agreement or understanding, the Collateral Manager, the Borrower, the Agents and the Lenders (and each of their respective employees, representatives or other agents) may disclose to any and all Persons, without limitation of any kind, the tax treatment and tax structure of the transactions contemplated by this Agreement and all materials of any kind (including opinions or other tax analyses) that are provided to them relating to such tax treatment and tax structure. The foregoing provision shall apply from the beginning of discussions between the parties. For this purpose, the tax treatment of a transaction is the purported or claimed U.S. tax treatment of the transaction under applicable U.S. Federal, state or local law, and the tax structure of a transaction is any fact that may be relevant to understanding the purported or claimed U.S. tax treatment of the transaction under applicable U.S. Federal, state or local law.</w:t>
      </w:r>
    </w:p>
    <w:p>
      <w:pPr>
        <w:spacing w:after="0" w:line="347" w:lineRule="exact"/>
        <w:rPr>
          <w:rFonts w:ascii="Times New Roman" w:cs="Times New Roman" w:eastAsia="Times New Roman" w:hAnsi="Times New Roman"/>
          <w:sz w:val="16"/>
          <w:szCs w:val="16"/>
          <w:color w:val="auto"/>
        </w:rPr>
      </w:pPr>
    </w:p>
    <w:p>
      <w:pPr>
        <w:ind w:left="1840" w:right="1400" w:firstLine="44"/>
        <w:spacing w:after="0" w:line="259" w:lineRule="auto"/>
        <w:tabs>
          <w:tab w:leader="none" w:pos="2112"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Changes to Related Documents</w:t>
      </w:r>
      <w:r>
        <w:rPr>
          <w:rFonts w:ascii="Times New Roman" w:cs="Times New Roman" w:eastAsia="Times New Roman" w:hAnsi="Times New Roman"/>
          <w:sz w:val="16"/>
          <w:szCs w:val="16"/>
          <w:color w:val="auto"/>
        </w:rPr>
        <w:t>. If any amendment, consent, waiver or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modification with respect to a Related Document (other than a Defaulted Collateral Loan or an Ineligible Collateral Loan) would effect a Material Modification, then the Borrower shall not cause or vote in favor of any such Material Modification without the written consent of the Administrative Agent and the Required Lenders.</w:t>
      </w:r>
    </w:p>
    <w:p>
      <w:pPr>
        <w:spacing w:after="0" w:line="147" w:lineRule="exact"/>
        <w:rPr>
          <w:rFonts w:ascii="Times New Roman" w:cs="Times New Roman" w:eastAsia="Times New Roman" w:hAnsi="Times New Roman"/>
          <w:sz w:val="16"/>
          <w:szCs w:val="16"/>
          <w:color w:val="auto"/>
        </w:rPr>
      </w:pPr>
    </w:p>
    <w:p>
      <w:pPr>
        <w:ind w:left="1840" w:right="1400" w:firstLine="44"/>
        <w:spacing w:after="0" w:line="259" w:lineRule="auto"/>
        <w:tabs>
          <w:tab w:leader="none" w:pos="2072"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Hedge Agreements</w:t>
      </w:r>
      <w:r>
        <w:rPr>
          <w:rFonts w:ascii="Times New Roman" w:cs="Times New Roman" w:eastAsia="Times New Roman" w:hAnsi="Times New Roman"/>
          <w:sz w:val="16"/>
          <w:szCs w:val="16"/>
          <w:color w:val="auto"/>
        </w:rPr>
        <w:t>. The Borrower shall be permitted to enter into interest rate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hedging agreements with respect to its Fixed Rate Obligations;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the notional amount of such hedging arrangements may not exceed the outstanding principal amount of the related Collateral Obligations and (ii) the counterparty with respect to such hedging agreement is a qualified Hedge Counterparty.</w:t>
      </w:r>
    </w:p>
    <w:p>
      <w:pPr>
        <w:spacing w:after="0" w:line="147" w:lineRule="exact"/>
        <w:rPr>
          <w:rFonts w:ascii="Times New Roman" w:cs="Times New Roman" w:eastAsia="Times New Roman" w:hAnsi="Times New Roman"/>
          <w:sz w:val="16"/>
          <w:szCs w:val="16"/>
          <w:color w:val="auto"/>
        </w:rPr>
      </w:pPr>
    </w:p>
    <w:p>
      <w:pPr>
        <w:ind w:left="1840" w:right="1520" w:firstLine="44"/>
        <w:spacing w:after="0" w:line="262" w:lineRule="auto"/>
        <w:tabs>
          <w:tab w:leader="none" w:pos="2153"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Collections</w:t>
      </w:r>
      <w:r>
        <w:rPr>
          <w:rFonts w:ascii="Times New Roman" w:cs="Times New Roman" w:eastAsia="Times New Roman" w:hAnsi="Times New Roman"/>
          <w:sz w:val="16"/>
          <w:szCs w:val="16"/>
          <w:color w:val="auto"/>
        </w:rPr>
        <w:t>. The Borrower shall direct all Obligors (and related paying agents)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 all Collections directly to the applicable Interest Collection Subaccount (in the case of Interest Proceeds) or the applicable Principal Collection Subaccount (in the case of Principal Proceeds).</w:t>
      </w:r>
    </w:p>
    <w:p>
      <w:pPr>
        <w:spacing w:after="0" w:line="144" w:lineRule="exact"/>
        <w:rPr>
          <w:rFonts w:ascii="Times New Roman" w:cs="Times New Roman" w:eastAsia="Times New Roman" w:hAnsi="Times New Roman"/>
          <w:sz w:val="16"/>
          <w:szCs w:val="16"/>
          <w:color w:val="auto"/>
        </w:rPr>
      </w:pPr>
    </w:p>
    <w:p>
      <w:pPr>
        <w:ind w:left="1840" w:right="1480" w:firstLine="44"/>
        <w:spacing w:after="0" w:line="286" w:lineRule="auto"/>
        <w:tabs>
          <w:tab w:leader="none" w:pos="2112"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Priority of Payments. </w:t>
      </w:r>
      <w:r>
        <w:rPr>
          <w:rFonts w:ascii="Times New Roman" w:cs="Times New Roman" w:eastAsia="Times New Roman" w:hAnsi="Times New Roman"/>
          <w:sz w:val="16"/>
          <w:szCs w:val="16"/>
          <w:color w:val="auto"/>
        </w:rPr>
        <w:t>The Borrower shall ensure all Interest Proceeds and Principal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Proceeds are applied solely in accordance with the provisions of this Agreement.</w:t>
      </w:r>
    </w:p>
    <w:p>
      <w:pPr>
        <w:spacing w:after="0" w:line="126" w:lineRule="exact"/>
        <w:rPr>
          <w:rFonts w:ascii="Times New Roman" w:cs="Times New Roman" w:eastAsia="Times New Roman" w:hAnsi="Times New Roman"/>
          <w:sz w:val="16"/>
          <w:szCs w:val="16"/>
          <w:color w:val="auto"/>
        </w:rPr>
      </w:pPr>
    </w:p>
    <w:p>
      <w:pPr>
        <w:ind w:left="1840" w:right="1760" w:firstLine="44"/>
        <w:spacing w:after="0" w:line="262" w:lineRule="auto"/>
        <w:tabs>
          <w:tab w:leader="none" w:pos="2112"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Foreign Currency Advances</w:t>
      </w:r>
      <w:r>
        <w:rPr>
          <w:rFonts w:ascii="Times New Roman" w:cs="Times New Roman" w:eastAsia="Times New Roman" w:hAnsi="Times New Roman"/>
          <w:sz w:val="16"/>
          <w:szCs w:val="16"/>
          <w:color w:val="auto"/>
        </w:rPr>
        <w:t>. The Borrower shall ensure that the aggregate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outstanding principal balance of all Advances denominated in any Agreed Foreign Currency does not exceed the Aggregate Principal Balance of all Eligible Collateral Loans denominated in such currency for any period of thirty (30) consecutive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638175</wp:posOffset>
            </wp:positionV>
            <wp:extent cx="526605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3" w:name="page204"/>
    <w:bookmarkEnd w:id="203"/>
    <w:p>
      <w:pPr>
        <w:spacing w:after="0" w:line="268" w:lineRule="exact"/>
        <w:rPr>
          <w:sz w:val="20"/>
          <w:szCs w:val="20"/>
          <w:color w:val="auto"/>
        </w:rPr>
      </w:pPr>
    </w:p>
    <w:p>
      <w:pPr>
        <w:ind w:left="1360" w:right="1480" w:firstLine="40"/>
        <w:spacing w:after="0" w:line="268" w:lineRule="auto"/>
        <w:rPr>
          <w:sz w:val="20"/>
          <w:szCs w:val="20"/>
          <w:color w:val="auto"/>
        </w:rPr>
      </w:pPr>
      <w:r>
        <w:rPr>
          <w:rFonts w:ascii="Times New Roman" w:cs="Times New Roman" w:eastAsia="Times New Roman" w:hAnsi="Times New Roman"/>
          <w:sz w:val="16"/>
          <w:szCs w:val="16"/>
          <w:i w:val="1"/>
          <w:iCs w:val="1"/>
          <w:color w:val="auto"/>
        </w:rPr>
        <w:t>Section 5.02. Negative Covenants of the Borrower</w:t>
      </w:r>
      <w:r>
        <w:rPr>
          <w:rFonts w:ascii="Times New Roman" w:cs="Times New Roman" w:eastAsia="Times New Roman" w:hAnsi="Times New Roman"/>
          <w:sz w:val="16"/>
          <w:szCs w:val="16"/>
          <w:color w:val="auto"/>
        </w:rPr>
        <w:t>. The Borrower covenants and agrees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until the Final Maturity Date (and thereafter until the date that all Obligations have been paid in full):</w:t>
      </w:r>
    </w:p>
    <w:p>
      <w:pPr>
        <w:spacing w:after="0" w:line="140" w:lineRule="exact"/>
        <w:rPr>
          <w:sz w:val="20"/>
          <w:szCs w:val="20"/>
          <w:color w:val="auto"/>
        </w:rPr>
      </w:pPr>
    </w:p>
    <w:p>
      <w:pPr>
        <w:ind w:left="1840" w:right="1380" w:firstLine="44"/>
        <w:spacing w:after="0" w:line="257" w:lineRule="auto"/>
        <w:tabs>
          <w:tab w:leader="none" w:pos="210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Restrictive Agreements</w:t>
      </w:r>
      <w:r>
        <w:rPr>
          <w:rFonts w:ascii="Times New Roman" w:cs="Times New Roman" w:eastAsia="Times New Roman" w:hAnsi="Times New Roman"/>
          <w:sz w:val="16"/>
          <w:szCs w:val="16"/>
          <w:color w:val="auto"/>
        </w:rPr>
        <w:t>. It shall not enter into or suffer to exist or become effective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agreement that prohibits, limits or imposes any condition upon its ability to create, incur, assume or suffer to exist any Lien (other than Permitted Liens) upon any of its property or revenues constituting Collateral, whether now owned or hereafter acquired, to secure its obligations under the Facility Documents other than this Agreement and the other Facility Documents.</w:t>
      </w:r>
    </w:p>
    <w:p>
      <w:pPr>
        <w:spacing w:after="0" w:line="149" w:lineRule="exact"/>
        <w:rPr>
          <w:rFonts w:ascii="Times New Roman" w:cs="Times New Roman" w:eastAsia="Times New Roman" w:hAnsi="Times New Roman"/>
          <w:sz w:val="16"/>
          <w:szCs w:val="16"/>
          <w:color w:val="auto"/>
        </w:rPr>
      </w:pPr>
    </w:p>
    <w:p>
      <w:pPr>
        <w:ind w:left="1840" w:right="1360" w:firstLine="44"/>
        <w:spacing w:after="0" w:line="254" w:lineRule="auto"/>
        <w:tabs>
          <w:tab w:leader="none" w:pos="211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Liquidation; Merger; Sale of Collateral</w:t>
      </w:r>
      <w:r>
        <w:rPr>
          <w:rFonts w:ascii="Times New Roman" w:cs="Times New Roman" w:eastAsia="Times New Roman" w:hAnsi="Times New Roman"/>
          <w:sz w:val="16"/>
          <w:szCs w:val="16"/>
          <w:color w:val="auto"/>
        </w:rPr>
        <w:t>. It shall not consummate any plan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liquidation, division, dissolution, partial liquidation, merger or consolidation (or suffer any liquidation, dissolution or partial liquidation (including by dividing into two or more separate limited liability companies)) nor sell, transfer, exchange or otherwise dispose of (including by dividing into two or more separate limited liability companies) any of its assets, or enter into an agreement or commitment to do so or enter into or engage in any business with respect to any part of its assets, except as expressly permitted by this Agreement and the other Facility Documents (including in connection with the repayment in full of the Obligations).</w:t>
      </w:r>
    </w:p>
    <w:p>
      <w:pPr>
        <w:spacing w:after="0" w:line="154" w:lineRule="exact"/>
        <w:rPr>
          <w:rFonts w:ascii="Times New Roman" w:cs="Times New Roman" w:eastAsia="Times New Roman" w:hAnsi="Times New Roman"/>
          <w:sz w:val="16"/>
          <w:szCs w:val="16"/>
          <w:color w:val="auto"/>
        </w:rPr>
      </w:pPr>
    </w:p>
    <w:p>
      <w:pPr>
        <w:ind w:left="1840" w:right="1400" w:firstLine="44"/>
        <w:spacing w:after="0" w:line="257" w:lineRule="auto"/>
        <w:tabs>
          <w:tab w:leader="none" w:pos="210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Amendments to Constituent Documents, etc</w:t>
      </w:r>
      <w:r>
        <w:rPr>
          <w:rFonts w:ascii="Times New Roman" w:cs="Times New Roman" w:eastAsia="Times New Roman" w:hAnsi="Times New Roman"/>
          <w:sz w:val="16"/>
          <w:szCs w:val="16"/>
          <w:color w:val="auto"/>
        </w:rPr>
        <w:t>. Without the consent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Administrative Agent and each of the Lenders, (i) it shall not amend, modify or take any action inconsistent with its Constituent Documents and (ii) it will not amend, modify or waive any term or provision in any Facility Document (other than in accordance with any provision thereof requiring the consent of the Administrative Agent or all or a specified percentage of the Lenders).</w:t>
      </w:r>
    </w:p>
    <w:p>
      <w:pPr>
        <w:spacing w:after="0" w:line="149" w:lineRule="exact"/>
        <w:rPr>
          <w:rFonts w:ascii="Times New Roman" w:cs="Times New Roman" w:eastAsia="Times New Roman" w:hAnsi="Times New Roman"/>
          <w:sz w:val="16"/>
          <w:szCs w:val="16"/>
          <w:color w:val="auto"/>
        </w:rPr>
      </w:pPr>
    </w:p>
    <w:p>
      <w:pPr>
        <w:ind w:left="1840" w:right="1540" w:firstLine="44"/>
        <w:spacing w:after="0" w:line="286" w:lineRule="auto"/>
        <w:tabs>
          <w:tab w:leader="none" w:pos="211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ERISA</w:t>
      </w:r>
      <w:r>
        <w:rPr>
          <w:rFonts w:ascii="Times New Roman" w:cs="Times New Roman" w:eastAsia="Times New Roman" w:hAnsi="Times New Roman"/>
          <w:sz w:val="16"/>
          <w:szCs w:val="16"/>
          <w:color w:val="auto"/>
        </w:rPr>
        <w:t>. Neither it nor any member of the ERISA Group shall establish any Plan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Multiemployer Plan.</w:t>
      </w:r>
    </w:p>
    <w:p>
      <w:pPr>
        <w:spacing w:after="0" w:line="126" w:lineRule="exact"/>
        <w:rPr>
          <w:rFonts w:ascii="Times New Roman" w:cs="Times New Roman" w:eastAsia="Times New Roman" w:hAnsi="Times New Roman"/>
          <w:sz w:val="16"/>
          <w:szCs w:val="16"/>
          <w:color w:val="auto"/>
        </w:rPr>
      </w:pPr>
    </w:p>
    <w:p>
      <w:pPr>
        <w:jc w:val="both"/>
        <w:ind w:left="1840" w:right="1460" w:firstLine="44"/>
        <w:spacing w:after="0" w:line="268" w:lineRule="auto"/>
        <w:tabs>
          <w:tab w:leader="none" w:pos="210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Liens</w:t>
      </w:r>
      <w:r>
        <w:rPr>
          <w:rFonts w:ascii="Times New Roman" w:cs="Times New Roman" w:eastAsia="Times New Roman" w:hAnsi="Times New Roman"/>
          <w:sz w:val="16"/>
          <w:szCs w:val="16"/>
          <w:color w:val="auto"/>
        </w:rPr>
        <w:t>. It shall not create, assume or suffer to exist any Lien on any of its assets now</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owned or hereafter acquired by it at any time, except for Permitted Liens or as otherwise expressly permitted by this Agreement and the other Facility Documents.</w:t>
      </w:r>
    </w:p>
    <w:p>
      <w:pPr>
        <w:spacing w:after="0" w:line="140" w:lineRule="exact"/>
        <w:rPr>
          <w:rFonts w:ascii="Times New Roman" w:cs="Times New Roman" w:eastAsia="Times New Roman" w:hAnsi="Times New Roman"/>
          <w:sz w:val="16"/>
          <w:szCs w:val="16"/>
          <w:color w:val="auto"/>
        </w:rPr>
      </w:pPr>
    </w:p>
    <w:p>
      <w:pPr>
        <w:ind w:left="1840" w:right="1340" w:firstLine="44"/>
        <w:spacing w:after="0" w:line="257" w:lineRule="auto"/>
        <w:tabs>
          <w:tab w:leader="none" w:pos="208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Margin Requirements</w:t>
      </w:r>
      <w:r>
        <w:rPr>
          <w:rFonts w:ascii="Times New Roman" w:cs="Times New Roman" w:eastAsia="Times New Roman" w:hAnsi="Times New Roman"/>
          <w:sz w:val="16"/>
          <w:szCs w:val="16"/>
          <w:color w:val="auto"/>
        </w:rPr>
        <w:t>. It shall not (i) extend credit to others for the purpose of buying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carrying any Margin Stock in such a manner as to violate Regulation T or Regulation U or (ii) use all or any part of the proceeds of any Advance, whether directly or indirectly, and whether immediately, incidentally or ultimately, for any purpose that violates the provisions of the Regulations of the Board of Governors, including, to the extent applicable, Regulation U and Regulation X.</w:t>
      </w:r>
    </w:p>
    <w:p>
      <w:pPr>
        <w:spacing w:after="0" w:line="149" w:lineRule="exact"/>
        <w:rPr>
          <w:rFonts w:ascii="Times New Roman" w:cs="Times New Roman" w:eastAsia="Times New Roman" w:hAnsi="Times New Roman"/>
          <w:sz w:val="16"/>
          <w:szCs w:val="16"/>
          <w:color w:val="auto"/>
        </w:rPr>
      </w:pPr>
    </w:p>
    <w:p>
      <w:pPr>
        <w:ind w:left="1840" w:right="1360" w:firstLine="44"/>
        <w:spacing w:after="0" w:line="268" w:lineRule="auto"/>
        <w:tabs>
          <w:tab w:leader="none" w:pos="211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Restricted Payments</w:t>
      </w:r>
      <w:r>
        <w:rPr>
          <w:rFonts w:ascii="Times New Roman" w:cs="Times New Roman" w:eastAsia="Times New Roman" w:hAnsi="Times New Roman"/>
          <w:sz w:val="16"/>
          <w:szCs w:val="16"/>
          <w:color w:val="auto"/>
        </w:rPr>
        <w:t>. It shall not make, directly or indirectly, any Restricted Payment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(whether in the form of cash or other assets) or incur any obligation (contingent or otherwise) to do so (other than payments made pursuant to the Priority of Payments,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635000</wp:posOffset>
            </wp:positionV>
            <wp:extent cx="526605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4" w:name="page205"/>
    <w:bookmarkEnd w:id="204"/>
    <w:p>
      <w:pPr>
        <w:spacing w:after="0" w:line="270" w:lineRule="exact"/>
        <w:rPr>
          <w:sz w:val="20"/>
          <w:szCs w:val="20"/>
          <w:color w:val="auto"/>
        </w:rPr>
      </w:pPr>
    </w:p>
    <w:p>
      <w:pPr>
        <w:ind w:left="1840" w:right="1840"/>
        <w:spacing w:after="0" w:line="283" w:lineRule="auto"/>
        <w:rPr>
          <w:sz w:val="20"/>
          <w:szCs w:val="20"/>
          <w:color w:val="auto"/>
        </w:rPr>
      </w:pPr>
      <w:r>
        <w:rPr>
          <w:rFonts w:ascii="Times New Roman" w:cs="Times New Roman" w:eastAsia="Times New Roman" w:hAnsi="Times New Roman"/>
          <w:sz w:val="16"/>
          <w:szCs w:val="16"/>
          <w:color w:val="auto"/>
        </w:rPr>
        <w:t>being understood that any amounts paid to the Borrower pursuant to the Priority of Payments may be distributed to the BDC).</w:t>
      </w:r>
    </w:p>
    <w:p>
      <w:pPr>
        <w:spacing w:after="0" w:line="129" w:lineRule="exact"/>
        <w:rPr>
          <w:sz w:val="20"/>
          <w:szCs w:val="20"/>
          <w:color w:val="auto"/>
        </w:rPr>
      </w:pPr>
    </w:p>
    <w:p>
      <w:pPr>
        <w:ind w:left="1840" w:right="1360" w:firstLine="44"/>
        <w:spacing w:after="0" w:line="254" w:lineRule="auto"/>
        <w:tabs>
          <w:tab w:leader="none" w:pos="2112"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Changes to Filing Information</w:t>
      </w:r>
      <w:r>
        <w:rPr>
          <w:rFonts w:ascii="Times New Roman" w:cs="Times New Roman" w:eastAsia="Times New Roman" w:hAnsi="Times New Roman"/>
          <w:sz w:val="16"/>
          <w:szCs w:val="16"/>
          <w:color w:val="auto"/>
        </w:rPr>
        <w:t>. It shall not change its name or its jurisdiction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organization from that referred to in Section 4.01(a), unless it gives thirty (30) days’ prior written notice to the Agents and takes all actions necessary to protect and perfect the Collateral Agent’s perfected security interest in the Collateral and shall promptly file appropriate amendments to all previously filed financing statements and continuation statements that are necessary to perfect the security interests of the Collateral Agent under this Agreement under each method of perfection required herein with respect to the Collateral (and shall provide copy of such amendments to the Collateral Agent and the Administrative Agent).</w:t>
      </w:r>
    </w:p>
    <w:p>
      <w:pPr>
        <w:spacing w:after="0" w:line="154" w:lineRule="exact"/>
        <w:rPr>
          <w:rFonts w:ascii="Times New Roman" w:cs="Times New Roman" w:eastAsia="Times New Roman" w:hAnsi="Times New Roman"/>
          <w:sz w:val="16"/>
          <w:szCs w:val="16"/>
          <w:color w:val="auto"/>
        </w:rPr>
      </w:pPr>
    </w:p>
    <w:p>
      <w:pPr>
        <w:ind w:left="1840" w:right="1400" w:firstLine="44"/>
        <w:spacing w:after="0" w:line="256" w:lineRule="auto"/>
        <w:tabs>
          <w:tab w:leader="none" w:pos="2072"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Transactions with Affiliates</w:t>
      </w:r>
      <w:r>
        <w:rPr>
          <w:rFonts w:ascii="Times New Roman" w:cs="Times New Roman" w:eastAsia="Times New Roman" w:hAnsi="Times New Roman"/>
          <w:sz w:val="16"/>
          <w:szCs w:val="16"/>
          <w:color w:val="auto"/>
        </w:rPr>
        <w:t>. It shall not sell, lease or otherwise transfer any property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assets to, or purchase, lease or otherwise acquire any property or assets from, or otherwise engage in any other transactions with, any of its Affiliates (including, without limitation, sales of Defaulted Collateral Loans and other Collateral Loans), unless such transaction is upon terms no less favorable to the Borrower than it would obtain in a comparable arm’s length transaction with a Person that is not an Affiliate (it being agreed that any purchase or sale at par shall be deemed to comply with this provision).</w:t>
      </w:r>
    </w:p>
    <w:p>
      <w:pPr>
        <w:spacing w:after="0" w:line="149" w:lineRule="exact"/>
        <w:rPr>
          <w:rFonts w:ascii="Times New Roman" w:cs="Times New Roman" w:eastAsia="Times New Roman" w:hAnsi="Times New Roman"/>
          <w:sz w:val="16"/>
          <w:szCs w:val="16"/>
          <w:color w:val="auto"/>
        </w:rPr>
      </w:pPr>
    </w:p>
    <w:p>
      <w:pPr>
        <w:ind w:left="1840" w:right="1840" w:firstLine="44"/>
        <w:spacing w:after="0" w:line="286" w:lineRule="auto"/>
        <w:tabs>
          <w:tab w:leader="none" w:pos="2072"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Investment Company Restriction</w:t>
      </w:r>
      <w:r>
        <w:rPr>
          <w:rFonts w:ascii="Times New Roman" w:cs="Times New Roman" w:eastAsia="Times New Roman" w:hAnsi="Times New Roman"/>
          <w:sz w:val="16"/>
          <w:szCs w:val="16"/>
          <w:color w:val="auto"/>
        </w:rPr>
        <w:t>. It shall not become required to register as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company” under the Investment Company Act.</w:t>
      </w:r>
    </w:p>
    <w:p>
      <w:pPr>
        <w:spacing w:after="0" w:line="126" w:lineRule="exact"/>
        <w:rPr>
          <w:rFonts w:ascii="Times New Roman" w:cs="Times New Roman" w:eastAsia="Times New Roman" w:hAnsi="Times New Roman"/>
          <w:sz w:val="16"/>
          <w:szCs w:val="16"/>
          <w:color w:val="auto"/>
        </w:rPr>
      </w:pPr>
    </w:p>
    <w:p>
      <w:pPr>
        <w:ind w:left="1840" w:right="1440" w:firstLine="44"/>
        <w:spacing w:after="0" w:line="262" w:lineRule="auto"/>
        <w:tabs>
          <w:tab w:leader="none" w:pos="2112"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Subject Laws</w:t>
      </w:r>
      <w:r>
        <w:rPr>
          <w:rFonts w:ascii="Times New Roman" w:cs="Times New Roman" w:eastAsia="Times New Roman" w:hAnsi="Times New Roman"/>
          <w:sz w:val="16"/>
          <w:szCs w:val="16"/>
          <w:color w:val="auto"/>
        </w:rPr>
        <w:t>. It shall not utilize directly or indirectly the proceeds of any Advance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the benefit of any Person controlling, controlled by, or under common control with any other Person, whose name appears on the List of Specially Designated Nationals and Blocked Persons maintained by OFAC or otherwise in violation of any Subject Laws.</w:t>
      </w:r>
    </w:p>
    <w:p>
      <w:pPr>
        <w:spacing w:after="0" w:line="144" w:lineRule="exact"/>
        <w:rPr>
          <w:rFonts w:ascii="Times New Roman" w:cs="Times New Roman" w:eastAsia="Times New Roman" w:hAnsi="Times New Roman"/>
          <w:sz w:val="16"/>
          <w:szCs w:val="16"/>
          <w:color w:val="auto"/>
        </w:rPr>
      </w:pPr>
    </w:p>
    <w:p>
      <w:pPr>
        <w:jc w:val="both"/>
        <w:ind w:left="1840" w:right="1380" w:firstLine="44"/>
        <w:spacing w:after="0" w:line="259" w:lineRule="auto"/>
        <w:tabs>
          <w:tab w:leader="none" w:pos="2072"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Claims Against Advances</w:t>
      </w:r>
      <w:r>
        <w:rPr>
          <w:rFonts w:ascii="Times New Roman" w:cs="Times New Roman" w:eastAsia="Times New Roman" w:hAnsi="Times New Roman"/>
          <w:sz w:val="16"/>
          <w:szCs w:val="16"/>
          <w:color w:val="auto"/>
        </w:rPr>
        <w:t>. Subject to Applicable Law, it shall not claim any credit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make any deduction from, or dispute the enforceability of payment of the principal or interest payable (or any other amount) in respect of the Advances or assert any claim against any present or future Lender, by reason of the payment of any taxes levied or assessed upon any part of the Collateral.</w:t>
      </w:r>
    </w:p>
    <w:p>
      <w:pPr>
        <w:spacing w:after="0" w:line="147" w:lineRule="exact"/>
        <w:rPr>
          <w:rFonts w:ascii="Times New Roman" w:cs="Times New Roman" w:eastAsia="Times New Roman" w:hAnsi="Times New Roman"/>
          <w:sz w:val="16"/>
          <w:szCs w:val="16"/>
          <w:color w:val="auto"/>
        </w:rPr>
      </w:pPr>
    </w:p>
    <w:p>
      <w:pPr>
        <w:ind w:left="1840" w:right="1480" w:firstLine="44"/>
        <w:spacing w:after="0" w:line="255" w:lineRule="auto"/>
        <w:tabs>
          <w:tab w:leader="none" w:pos="2153"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Indebtedness; Guarantees; Securities; Other Assets</w:t>
      </w:r>
      <w:r>
        <w:rPr>
          <w:rFonts w:ascii="Times New Roman" w:cs="Times New Roman" w:eastAsia="Times New Roman" w:hAnsi="Times New Roman"/>
          <w:sz w:val="16"/>
          <w:szCs w:val="16"/>
          <w:color w:val="auto"/>
        </w:rPr>
        <w:t>. It shall not incur or assume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guarantee any indebtedness, obligations (including contingent obligations) or other liabilities, or issue any additional securities, whether debt or equity, in each case other than (i) pursuant to or as expressly permitted by this Agreement and the other Facility Documents, (ii) obligations under its Constituent Documents or (iii) pursuant to customary indemnification and expense reimbursement and similar provisions under the Related Documents. The Borrower shall not acquire any Collateral Loans or other property other than as expressly permitted hereunder.</w:t>
      </w:r>
    </w:p>
    <w:p>
      <w:pPr>
        <w:spacing w:after="0" w:line="151" w:lineRule="exact"/>
        <w:rPr>
          <w:rFonts w:ascii="Times New Roman" w:cs="Times New Roman" w:eastAsia="Times New Roman" w:hAnsi="Times New Roman"/>
          <w:sz w:val="16"/>
          <w:szCs w:val="16"/>
          <w:color w:val="auto"/>
        </w:rPr>
      </w:pPr>
    </w:p>
    <w:p>
      <w:pPr>
        <w:ind w:left="1840" w:right="1480" w:firstLine="44"/>
        <w:spacing w:after="0" w:line="286" w:lineRule="auto"/>
        <w:tabs>
          <w:tab w:leader="none" w:pos="2112"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Validity of this Agreement</w:t>
      </w:r>
      <w:r>
        <w:rPr>
          <w:rFonts w:ascii="Times New Roman" w:cs="Times New Roman" w:eastAsia="Times New Roman" w:hAnsi="Times New Roman"/>
          <w:sz w:val="16"/>
          <w:szCs w:val="16"/>
          <w:color w:val="auto"/>
        </w:rPr>
        <w:t>. It shall not (i) permit the validity or effectiveness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or any grant of Collateral hereunder to be impaired,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5" w:name="page206"/>
    <w:bookmarkEnd w:id="205"/>
    <w:p>
      <w:pPr>
        <w:spacing w:after="0" w:line="270" w:lineRule="exact"/>
        <w:rPr>
          <w:sz w:val="20"/>
          <w:szCs w:val="20"/>
          <w:color w:val="auto"/>
        </w:rPr>
      </w:pPr>
    </w:p>
    <w:p>
      <w:pPr>
        <w:ind w:left="1840" w:right="1380"/>
        <w:spacing w:after="0" w:line="258" w:lineRule="auto"/>
        <w:rPr>
          <w:sz w:val="20"/>
          <w:szCs w:val="20"/>
          <w:color w:val="auto"/>
        </w:rPr>
      </w:pPr>
      <w:r>
        <w:rPr>
          <w:rFonts w:ascii="Times New Roman" w:cs="Times New Roman" w:eastAsia="Times New Roman" w:hAnsi="Times New Roman"/>
          <w:sz w:val="16"/>
          <w:szCs w:val="16"/>
          <w:color w:val="auto"/>
        </w:rPr>
        <w:t>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149" w:lineRule="exact"/>
        <w:rPr>
          <w:sz w:val="20"/>
          <w:szCs w:val="20"/>
          <w:color w:val="auto"/>
        </w:rPr>
      </w:pPr>
    </w:p>
    <w:p>
      <w:pPr>
        <w:ind w:left="1840" w:right="1400" w:firstLine="44"/>
        <w:spacing w:after="0" w:line="268" w:lineRule="auto"/>
        <w:tabs>
          <w:tab w:leader="none" w:pos="2112"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Priority of Payments</w:t>
      </w:r>
      <w:r>
        <w:rPr>
          <w:rFonts w:ascii="Times New Roman" w:cs="Times New Roman" w:eastAsia="Times New Roman" w:hAnsi="Times New Roman"/>
          <w:sz w:val="16"/>
          <w:szCs w:val="16"/>
          <w:color w:val="auto"/>
        </w:rPr>
        <w:t>. It shall not pay any distributions other than in accordance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Priority of Payments (it being understood that any amounts paid to the Borrower pursuant to the Priority of Payments may be distributed to the BDC).</w:t>
      </w:r>
    </w:p>
    <w:p>
      <w:pPr>
        <w:spacing w:after="0" w:line="140" w:lineRule="exact"/>
        <w:rPr>
          <w:rFonts w:ascii="Times New Roman" w:cs="Times New Roman" w:eastAsia="Times New Roman" w:hAnsi="Times New Roman"/>
          <w:sz w:val="16"/>
          <w:szCs w:val="16"/>
          <w:color w:val="auto"/>
        </w:rPr>
      </w:pPr>
    </w:p>
    <w:p>
      <w:pPr>
        <w:ind w:left="2120" w:hanging="236"/>
        <w:spacing w:after="0"/>
        <w:tabs>
          <w:tab w:leader="none" w:pos="212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Subsidiaries</w:t>
      </w:r>
      <w:r>
        <w:rPr>
          <w:rFonts w:ascii="Times New Roman" w:cs="Times New Roman" w:eastAsia="Times New Roman" w:hAnsi="Times New Roman"/>
          <w:sz w:val="16"/>
          <w:szCs w:val="16"/>
          <w:color w:val="auto"/>
        </w:rPr>
        <w:t>. It shall not have or permit the formation of any subsidiaries.</w:t>
      </w:r>
    </w:p>
    <w:p>
      <w:pPr>
        <w:spacing w:after="0" w:line="189" w:lineRule="exact"/>
        <w:rPr>
          <w:rFonts w:ascii="Times New Roman" w:cs="Times New Roman" w:eastAsia="Times New Roman" w:hAnsi="Times New Roman"/>
          <w:sz w:val="16"/>
          <w:szCs w:val="16"/>
          <w:color w:val="auto"/>
        </w:rPr>
      </w:pPr>
    </w:p>
    <w:p>
      <w:pPr>
        <w:ind w:left="2120" w:hanging="236"/>
        <w:spacing w:after="0"/>
        <w:tabs>
          <w:tab w:leader="none" w:pos="212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Name</w:t>
      </w:r>
      <w:r>
        <w:rPr>
          <w:rFonts w:ascii="Times New Roman" w:cs="Times New Roman" w:eastAsia="Times New Roman" w:hAnsi="Times New Roman"/>
          <w:sz w:val="16"/>
          <w:szCs w:val="16"/>
          <w:color w:val="auto"/>
        </w:rPr>
        <w:t>. It shall not conduct business under any name other than its own.</w:t>
      </w:r>
    </w:p>
    <w:p>
      <w:pPr>
        <w:spacing w:after="0" w:line="189" w:lineRule="exact"/>
        <w:rPr>
          <w:rFonts w:ascii="Times New Roman" w:cs="Times New Roman" w:eastAsia="Times New Roman" w:hAnsi="Times New Roman"/>
          <w:sz w:val="16"/>
          <w:szCs w:val="16"/>
          <w:color w:val="auto"/>
        </w:rPr>
      </w:pPr>
    </w:p>
    <w:p>
      <w:pPr>
        <w:ind w:left="1840" w:right="1520" w:firstLine="44"/>
        <w:spacing w:after="0" w:line="286" w:lineRule="auto"/>
        <w:tabs>
          <w:tab w:leader="none" w:pos="2082"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Employees</w:t>
      </w:r>
      <w:r>
        <w:rPr>
          <w:rFonts w:ascii="Times New Roman" w:cs="Times New Roman" w:eastAsia="Times New Roman" w:hAnsi="Times New Roman"/>
          <w:sz w:val="16"/>
          <w:szCs w:val="16"/>
          <w:color w:val="auto"/>
        </w:rPr>
        <w:t>. It shall not have any employees (other than officers and directors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extent they are employees).</w:t>
      </w:r>
    </w:p>
    <w:p>
      <w:pPr>
        <w:spacing w:after="0" w:line="112" w:lineRule="exact"/>
        <w:rPr>
          <w:rFonts w:ascii="Times New Roman" w:cs="Times New Roman" w:eastAsia="Times New Roman" w:hAnsi="Times New Roman"/>
          <w:sz w:val="16"/>
          <w:szCs w:val="16"/>
          <w:color w:val="auto"/>
        </w:rPr>
      </w:pPr>
    </w:p>
    <w:p>
      <w:pPr>
        <w:ind w:left="1840" w:right="1400" w:firstLine="44"/>
        <w:spacing w:after="0" w:line="195" w:lineRule="exact"/>
        <w:tabs>
          <w:tab w:leader="none" w:pos="2092"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Petition</w:t>
      </w:r>
      <w:r>
        <w:rPr>
          <w:rFonts w:ascii="Times New Roman" w:cs="Times New Roman" w:eastAsia="Times New Roman" w:hAnsi="Times New Roman"/>
          <w:sz w:val="16"/>
          <w:szCs w:val="16"/>
          <w:color w:val="auto"/>
        </w:rPr>
        <w:t>. The Borrower shall not be party to any agreements under which it has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material obligations or liability (direct or contingent) without using commercially reasonable efforts to include customary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petition” and “limited recourse” provisions therein (and shall not amend or eliminate such provisions in any agreement to which it is party), except for loan agreements, related loan documents, bond indentures and related bond documents, any agreements related to the purchase and sale of any Collateral Loans which contain customary (as determined by the Collateral Manager) purchase or sale terms or which are documented using customary (as determined by the Collateral Manager) loan trading documentation, and customary service contracts and engagement letters entered into with Permitted Agents in connection with the Collateral Loans.</w:t>
      </w:r>
    </w:p>
    <w:p>
      <w:pPr>
        <w:spacing w:after="0" w:line="165" w:lineRule="exact"/>
        <w:rPr>
          <w:rFonts w:ascii="Times New Roman" w:cs="Times New Roman" w:eastAsia="Times New Roman" w:hAnsi="Times New Roman"/>
          <w:sz w:val="16"/>
          <w:szCs w:val="16"/>
          <w:color w:val="auto"/>
        </w:rPr>
      </w:pPr>
    </w:p>
    <w:p>
      <w:pPr>
        <w:ind w:left="1840" w:right="1400" w:firstLine="44"/>
        <w:spacing w:after="0" w:line="196" w:lineRule="exact"/>
        <w:tabs>
          <w:tab w:leader="none" w:pos="2072"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Certificated Securities</w:t>
      </w:r>
      <w:r>
        <w:rPr>
          <w:rFonts w:ascii="Times New Roman" w:cs="Times New Roman" w:eastAsia="Times New Roman" w:hAnsi="Times New Roman"/>
          <w:sz w:val="16"/>
          <w:szCs w:val="16"/>
          <w:color w:val="auto"/>
        </w:rPr>
        <w:t>. The Borrower shall not acquire or hold any Certificated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in bearer form (other than securities not required to be in registered form under Section 163(f)(2)(A) of the Code) in a manner that does not satisfy the requirements of United States Treasury Regulations section 1.165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12(c) (as determined by the Collateral Manager).</w:t>
      </w:r>
    </w:p>
    <w:p>
      <w:pPr>
        <w:spacing w:after="0" w:line="162" w:lineRule="exact"/>
        <w:rPr>
          <w:rFonts w:ascii="Times New Roman" w:cs="Times New Roman" w:eastAsia="Times New Roman" w:hAnsi="Times New Roman"/>
          <w:sz w:val="16"/>
          <w:szCs w:val="16"/>
          <w:color w:val="auto"/>
        </w:rPr>
      </w:pPr>
    </w:p>
    <w:p>
      <w:pPr>
        <w:ind w:left="1840" w:right="1360" w:firstLine="44"/>
        <w:spacing w:after="0" w:line="253" w:lineRule="auto"/>
        <w:tabs>
          <w:tab w:leader="none" w:pos="2112"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Independent Manager</w:t>
      </w:r>
      <w:r>
        <w:rPr>
          <w:rFonts w:ascii="Times New Roman" w:cs="Times New Roman" w:eastAsia="Times New Roman" w:hAnsi="Times New Roman"/>
          <w:sz w:val="16"/>
          <w:szCs w:val="16"/>
          <w:color w:val="auto"/>
        </w:rPr>
        <w:t>. Without limiting anything in the Borrower LLC Agreement,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Borrower shall at all times maintain at least one independent manager who (A) for the five year period prior to his or her appointment as independent manager has not been, and during the continuation of his or her service as independent manager, is not: (i) an employee, manager, member, stockholder, partner or officer of the Borrower or any of its Affiliates (other than his or her service as an independent manager of the Borrower or any of its Affiliates), (ii) a significant customer or supplier of the Borrower or any of its Affiliates, (iii) a Person controlling or under common control with any partner, shareholder, member, manager, Affiliate or supplier of the Borrower or any Affiliate of the Borrower, or (iv) any member of the immediate family of a Person described in clause (i), (ii) or (iii);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 independent manager may serve in similar capacities for other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644525</wp:posOffset>
            </wp:positionV>
            <wp:extent cx="526605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6" w:name="page207"/>
    <w:bookmarkEnd w:id="206"/>
    <w:p>
      <w:pPr>
        <w:spacing w:after="0" w:line="270" w:lineRule="exact"/>
        <w:rPr>
          <w:sz w:val="20"/>
          <w:szCs w:val="20"/>
          <w:color w:val="auto"/>
        </w:rPr>
      </w:pPr>
    </w:p>
    <w:p>
      <w:pPr>
        <w:ind w:left="1840" w:right="1460"/>
        <w:spacing w:after="0" w:line="252" w:lineRule="auto"/>
        <w:rPr>
          <w:sz w:val="20"/>
          <w:szCs w:val="20"/>
          <w:color w:val="auto"/>
        </w:rPr>
      </w:pPr>
      <w:r>
        <w:rPr>
          <w:rFonts w:ascii="Times New Roman" w:cs="Times New Roman" w:eastAsia="Times New Roman" w:hAnsi="Times New Roman"/>
          <w:sz w:val="16"/>
          <w:szCs w:val="16"/>
          <w:color w:val="auto"/>
        </w:rPr>
        <w:t xml:space="preserve">purpose entities established from time to time by Affiliates of the Borrower and (B) is a Professional Independent Manager. The criteria set forth above in this Section 5.02(u) are referred to herein as the </w:t>
      </w:r>
      <w:r>
        <w:rPr>
          <w:rFonts w:ascii="Times New Roman" w:cs="Times New Roman" w:eastAsia="Times New Roman" w:hAnsi="Times New Roman"/>
          <w:sz w:val="16"/>
          <w:szCs w:val="16"/>
          <w:i w:val="1"/>
          <w:iCs w:val="1"/>
          <w:color w:val="auto"/>
        </w:rPr>
        <w:t>“Independent Manager Criteria”</w:t>
      </w:r>
      <w:r>
        <w:rPr>
          <w:rFonts w:ascii="Times New Roman" w:cs="Times New Roman" w:eastAsia="Times New Roman" w:hAnsi="Times New Roman"/>
          <w:sz w:val="16"/>
          <w:szCs w:val="16"/>
          <w:color w:val="auto"/>
        </w:rPr>
        <w:t>. Each of the Collateral Manager and the Borrower shall notify the Administrative Agent of any decision to appoint a new manager of the Borrower as the “independent manager” for purposes of this Agreement, such notice shall be delivered not less than ten (10) days prior to the proposed effective date of such appointment and shall certify that the designated Person satisfies the Independent Manager Criteria. If the Administrative Agent shall object within ten (10) days of receipt of notice of such proposed new independent manager, the Borrower shall not appoint such new manager as the independent manager until the Administrative Agent and the Borrower shall have reasonably agreed that such proposed new independent manager or another proposed new independent manager satisfies the Independent Manager Criteria. In no event shall any Independent Manager be removed or expelled except for Cause.</w:t>
      </w:r>
    </w:p>
    <w:p>
      <w:pPr>
        <w:spacing w:after="0" w:line="159" w:lineRule="exact"/>
        <w:rPr>
          <w:sz w:val="20"/>
          <w:szCs w:val="20"/>
          <w:color w:val="auto"/>
        </w:rPr>
      </w:pPr>
    </w:p>
    <w:p>
      <w:pPr>
        <w:ind w:left="1360" w:right="1720" w:firstLine="40"/>
        <w:spacing w:after="0" w:line="268" w:lineRule="auto"/>
        <w:rPr>
          <w:sz w:val="20"/>
          <w:szCs w:val="20"/>
          <w:color w:val="auto"/>
        </w:rPr>
      </w:pPr>
      <w:r>
        <w:rPr>
          <w:rFonts w:ascii="Times New Roman" w:cs="Times New Roman" w:eastAsia="Times New Roman" w:hAnsi="Times New Roman"/>
          <w:sz w:val="16"/>
          <w:szCs w:val="16"/>
          <w:i w:val="1"/>
          <w:iCs w:val="1"/>
          <w:color w:val="auto"/>
        </w:rPr>
        <w:t>Section 5.03. Affirmative Covenants of the Collateral Manager</w:t>
      </w:r>
      <w:r>
        <w:rPr>
          <w:rFonts w:ascii="Times New Roman" w:cs="Times New Roman" w:eastAsia="Times New Roman" w:hAnsi="Times New Roman"/>
          <w:sz w:val="16"/>
          <w:szCs w:val="16"/>
          <w:color w:val="auto"/>
        </w:rPr>
        <w:t>. The Collateral Manager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covenants and agrees that, until the Final Maturity Date (and thereafter until the date that all Obligations have been paid in full):</w:t>
      </w:r>
    </w:p>
    <w:p>
      <w:pPr>
        <w:spacing w:after="0" w:line="140" w:lineRule="exact"/>
        <w:rPr>
          <w:sz w:val="20"/>
          <w:szCs w:val="20"/>
          <w:color w:val="auto"/>
        </w:rPr>
      </w:pPr>
    </w:p>
    <w:p>
      <w:pPr>
        <w:ind w:left="1840" w:right="1460" w:firstLine="44"/>
        <w:spacing w:after="0" w:line="253" w:lineRule="auto"/>
        <w:tabs>
          <w:tab w:leader="none" w:pos="2102"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Compliance with Agreements, Laws, Etc</w:t>
      </w:r>
      <w:r>
        <w:rPr>
          <w:rFonts w:ascii="Times New Roman" w:cs="Times New Roman" w:eastAsia="Times New Roman" w:hAnsi="Times New Roman"/>
          <w:sz w:val="16"/>
          <w:szCs w:val="16"/>
          <w:color w:val="auto"/>
        </w:rPr>
        <w:t>. It shall (i) duly observe, comply in 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material respects with all Applicable Laws 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Constituent Document and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the Constituent Documents and the Related Documents to which it is a party.</w:t>
      </w:r>
    </w:p>
    <w:p>
      <w:pPr>
        <w:spacing w:after="0" w:line="154" w:lineRule="exact"/>
        <w:rPr>
          <w:rFonts w:ascii="Times New Roman" w:cs="Times New Roman" w:eastAsia="Times New Roman" w:hAnsi="Times New Roman"/>
          <w:sz w:val="16"/>
          <w:szCs w:val="16"/>
          <w:color w:val="auto"/>
        </w:rPr>
      </w:pPr>
    </w:p>
    <w:p>
      <w:pPr>
        <w:ind w:left="1840" w:right="1400" w:firstLine="44"/>
        <w:spacing w:after="0" w:line="194" w:lineRule="exact"/>
        <w:tabs>
          <w:tab w:leader="none" w:pos="2112"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Enforcement</w:t>
      </w:r>
      <w:r>
        <w:rPr>
          <w:rFonts w:ascii="Times New Roman" w:cs="Times New Roman" w:eastAsia="Times New Roman" w:hAnsi="Times New Roman"/>
          <w:sz w:val="16"/>
          <w:szCs w:val="16"/>
          <w:color w:val="auto"/>
        </w:rPr>
        <w:t>. (i) It shall not take any action, and will use commercially reasonable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efforts not to permit any action to be taken by others, that would release any Person from any of such Person’s covenants or obligations under any instrument included in the Collateral, except in the case of (A) repayment of Collateral Loans, (B) subject to the terms of this Agreement, (i) amendments to Related Documents that govern Defaulted Collateral Loans or Ineligible Collateral Loans or that are otherwise reasonably deemed by the Collateral Manager to be necessary, immaterial, or beneficial, taken as a whole, to the Borrower and (ii) enforcement action taken or work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out with respect to any Defaulted Collateral Loan in accordance with the provisions hereof, and (C) actions by the Collateral Manager under this Agreement and in conformity with this Agreement or as otherwise required hereby.</w:t>
      </w:r>
    </w:p>
    <w:p>
      <w:pPr>
        <w:spacing w:after="0" w:line="167" w:lineRule="exact"/>
        <w:rPr>
          <w:sz w:val="20"/>
          <w:szCs w:val="20"/>
          <w:color w:val="auto"/>
        </w:rPr>
      </w:pPr>
    </w:p>
    <w:p>
      <w:pPr>
        <w:ind w:left="1840" w:right="1500" w:firstLine="44"/>
        <w:spacing w:after="0" w:line="266" w:lineRule="auto"/>
        <w:tabs>
          <w:tab w:leader="none" w:pos="2118"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will not, without the prior written consent of the Administrative Agent and the Required Lenders, contract with other Persons for the performance of actions and obligations to be performed by the Collateral Manager hereunder. Notwithstanding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636905</wp:posOffset>
            </wp:positionV>
            <wp:extent cx="526605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7" w:name="page208"/>
    <w:bookmarkEnd w:id="207"/>
    <w:p>
      <w:pPr>
        <w:spacing w:after="0" w:line="270" w:lineRule="exact"/>
        <w:rPr>
          <w:sz w:val="20"/>
          <w:szCs w:val="20"/>
          <w:color w:val="auto"/>
        </w:rPr>
      </w:pPr>
    </w:p>
    <w:p>
      <w:pPr>
        <w:ind w:left="1840" w:right="1400"/>
        <w:spacing w:after="0" w:line="258" w:lineRule="auto"/>
        <w:rPr>
          <w:sz w:val="20"/>
          <w:szCs w:val="20"/>
          <w:color w:val="auto"/>
        </w:rPr>
      </w:pPr>
      <w:r>
        <w:rPr>
          <w:rFonts w:ascii="Times New Roman" w:cs="Times New Roman" w:eastAsia="Times New Roman" w:hAnsi="Times New Roman"/>
          <w:sz w:val="16"/>
          <w:szCs w:val="16"/>
          <w:color w:val="auto"/>
        </w:rPr>
        <w:t>such arrangement, the Collateral Manager shall remain primarily liable with respect thereto. In the event of such contract, the performance of such actions and obligations by such Persons shall be deemed to be performance of such actions and obligations by the Collateral Manager, and the Collateral Manager will punctually perform all of its obligations and agreements contained in this Agreement or any such other agreement.</w:t>
      </w:r>
    </w:p>
    <w:p>
      <w:pPr>
        <w:spacing w:after="0" w:line="149" w:lineRule="exact"/>
        <w:rPr>
          <w:sz w:val="20"/>
          <w:szCs w:val="20"/>
          <w:color w:val="auto"/>
        </w:rPr>
      </w:pPr>
    </w:p>
    <w:p>
      <w:pPr>
        <w:ind w:left="1840" w:right="1400" w:firstLine="44"/>
        <w:spacing w:after="0" w:line="194" w:lineRule="exact"/>
        <w:tabs>
          <w:tab w:leader="none" w:pos="2102"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Further Assurances</w:t>
      </w:r>
      <w:r>
        <w:rPr>
          <w:rFonts w:ascii="Times New Roman" w:cs="Times New Roman" w:eastAsia="Times New Roman" w:hAnsi="Times New Roman"/>
          <w:sz w:val="16"/>
          <w:szCs w:val="16"/>
          <w:color w:val="auto"/>
        </w:rPr>
        <w:t>. It shall promptly at the Borrower’s expense, execute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deliver such further instruments and take such further action in order to maintain and protect the Collateral Agent’s first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priority perfected security interest in the Collateral pledged by the Borrower for the benefit of the Secured Parties free and clear of any Liens (subject to Permitted Liens). The Collateral Manager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w:t>
      </w:r>
    </w:p>
    <w:p>
      <w:pPr>
        <w:spacing w:after="0" w:line="167" w:lineRule="exact"/>
        <w:rPr>
          <w:sz w:val="20"/>
          <w:szCs w:val="20"/>
          <w:color w:val="auto"/>
        </w:rPr>
      </w:pPr>
    </w:p>
    <w:p>
      <w:pPr>
        <w:ind w:left="1840" w:right="1380" w:firstLine="484"/>
        <w:spacing w:after="0" w:line="194" w:lineRule="exact"/>
        <w:rPr>
          <w:sz w:val="20"/>
          <w:szCs w:val="20"/>
          <w:color w:val="auto"/>
        </w:rPr>
      </w:pPr>
      <w:r>
        <w:rPr>
          <w:rFonts w:ascii="Times New Roman" w:cs="Times New Roman" w:eastAsia="Times New Roman" w:hAnsi="Times New Roman"/>
          <w:sz w:val="16"/>
          <w:szCs w:val="16"/>
          <w:color w:val="auto"/>
        </w:rPr>
        <w:t>In addition, the Collateral Manager will take such reasonable action from time to time as shall be necessary to ensure that all assets (including all Covered Accounts) of the Borrower constitute “</w:t>
      </w:r>
      <w:r>
        <w:rPr>
          <w:rFonts w:ascii="Times New Roman" w:cs="Times New Roman" w:eastAsia="Times New Roman" w:hAnsi="Times New Roman"/>
          <w:sz w:val="16"/>
          <w:szCs w:val="16"/>
          <w:i w:val="1"/>
          <w:iCs w:val="1"/>
          <w:color w:val="auto"/>
        </w:rPr>
        <w:t>Collateral</w:t>
      </w:r>
      <w:r>
        <w:rPr>
          <w:rFonts w:ascii="Times New Roman" w:cs="Times New Roman" w:eastAsia="Times New Roman" w:hAnsi="Times New Roman"/>
          <w:sz w:val="16"/>
          <w:szCs w:val="16"/>
          <w:color w:val="auto"/>
        </w:rPr>
        <w:t xml:space="preserve"> ” hereunder. Subject to the foregoing, the Collateral Manager will at the Borrower’s expense, take such other action (including executing and delivering or authorizing for filing any required UCC financing statements) as shall be necessary to create and perfect a valid and enforceable first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priority security interest on all Collateral acquired by the Borrower as collateral security for the Obligations.</w:t>
      </w:r>
    </w:p>
    <w:p>
      <w:pPr>
        <w:spacing w:after="0" w:line="164" w:lineRule="exact"/>
        <w:rPr>
          <w:sz w:val="20"/>
          <w:szCs w:val="20"/>
          <w:color w:val="auto"/>
        </w:rPr>
      </w:pPr>
    </w:p>
    <w:p>
      <w:pPr>
        <w:ind w:left="1840" w:right="1380" w:firstLine="44"/>
        <w:spacing w:after="0" w:line="259" w:lineRule="auto"/>
        <w:tabs>
          <w:tab w:leader="none" w:pos="2112"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Changes to Related Documents</w:t>
      </w:r>
      <w:r>
        <w:rPr>
          <w:rFonts w:ascii="Times New Roman" w:cs="Times New Roman" w:eastAsia="Times New Roman" w:hAnsi="Times New Roman"/>
          <w:sz w:val="16"/>
          <w:szCs w:val="16"/>
          <w:color w:val="auto"/>
        </w:rPr>
        <w:t>. If any amendment, consent, waiver or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modification with respect to a Related Document (other than a Defaulted Collateral Loan or an Ineligible Collateral Loan) would effect a Material Modification, then the Collateral Manager shall not cause or vote in favor of any such Material Modification to occur without the written consent of the Administrative Agent and the Required Lenders.</w:t>
      </w:r>
    </w:p>
    <w:p>
      <w:pPr>
        <w:spacing w:after="0" w:line="147" w:lineRule="exact"/>
        <w:rPr>
          <w:rFonts w:ascii="Times New Roman" w:cs="Times New Roman" w:eastAsia="Times New Roman" w:hAnsi="Times New Roman"/>
          <w:sz w:val="16"/>
          <w:szCs w:val="16"/>
          <w:color w:val="auto"/>
        </w:rPr>
      </w:pPr>
    </w:p>
    <w:p>
      <w:pPr>
        <w:ind w:left="1840" w:right="1380" w:firstLine="44"/>
        <w:spacing w:after="0" w:line="252" w:lineRule="auto"/>
        <w:tabs>
          <w:tab w:leader="none" w:pos="2102"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Access to Records and Documents</w:t>
      </w:r>
      <w:r>
        <w:rPr>
          <w:rFonts w:ascii="Times New Roman" w:cs="Times New Roman" w:eastAsia="Times New Roman" w:hAnsi="Times New Roman"/>
          <w:sz w:val="16"/>
          <w:szCs w:val="16"/>
          <w:color w:val="auto"/>
        </w:rPr>
        <w:t>. It shall permit the Administrative Agent and each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Lender (or any Person designated by the Administrative Agent or such 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all as often as the Administrative Agent or the Lenders may reasonably request;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so long as no Event of Default has occurred, each Person entitled to so visit and inspect the Collateral Manager’s records under this clause</w:t>
      </w:r>
    </w:p>
    <w:p>
      <w:pPr>
        <w:spacing w:after="0" w:line="5" w:lineRule="exact"/>
        <w:rPr>
          <w:rFonts w:ascii="Times New Roman" w:cs="Times New Roman" w:eastAsia="Times New Roman" w:hAnsi="Times New Roman"/>
          <w:sz w:val="16"/>
          <w:szCs w:val="16"/>
          <w:color w:val="auto"/>
        </w:rPr>
      </w:pPr>
    </w:p>
    <w:p>
      <w:pPr>
        <w:ind w:left="1840" w:right="1500" w:firstLine="4"/>
        <w:spacing w:after="0" w:line="252" w:lineRule="auto"/>
        <w:tabs>
          <w:tab w:leader="none" w:pos="2062"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only exercise its rights under this clause (e) twice during any fiscal year of the Collateral Manager (it being understood that the Borrower shall be responsible for all costs and expenses for only one such visit per fiscal year). Each Lender agrees to use commercially reasonable efforts to coordinate with the other Lenders in exercising their respective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643890</wp:posOffset>
            </wp:positionV>
            <wp:extent cx="526605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8" w:name="page209"/>
    <w:bookmarkEnd w:id="208"/>
    <w:p>
      <w:pPr>
        <w:spacing w:after="0" w:line="270" w:lineRule="exact"/>
        <w:rPr>
          <w:sz w:val="20"/>
          <w:szCs w:val="20"/>
          <w:color w:val="auto"/>
        </w:rPr>
      </w:pPr>
    </w:p>
    <w:p>
      <w:pPr>
        <w:ind w:left="1840" w:right="1880"/>
        <w:spacing w:after="0" w:line="283" w:lineRule="auto"/>
        <w:rPr>
          <w:sz w:val="20"/>
          <w:szCs w:val="20"/>
          <w:color w:val="auto"/>
        </w:rPr>
      </w:pPr>
      <w:r>
        <w:rPr>
          <w:rFonts w:ascii="Times New Roman" w:cs="Times New Roman" w:eastAsia="Times New Roman" w:hAnsi="Times New Roman"/>
          <w:sz w:val="16"/>
          <w:szCs w:val="16"/>
          <w:color w:val="auto"/>
        </w:rPr>
        <w:t>under this paragraph (e) and under paragraph (f) below with a view to minimizing duplication of effort and expense by the Borrower and the Collateral Manager.</w:t>
      </w:r>
    </w:p>
    <w:p>
      <w:pPr>
        <w:spacing w:after="0" w:line="129" w:lineRule="exact"/>
        <w:rPr>
          <w:sz w:val="20"/>
          <w:szCs w:val="20"/>
          <w:color w:val="auto"/>
        </w:rPr>
      </w:pPr>
    </w:p>
    <w:p>
      <w:pPr>
        <w:ind w:left="1840" w:right="1460" w:firstLine="44"/>
        <w:spacing w:after="0" w:line="252" w:lineRule="auto"/>
        <w:tabs>
          <w:tab w:leader="none" w:pos="2082"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Audit Rights</w:t>
      </w:r>
      <w:r>
        <w:rPr>
          <w:rFonts w:ascii="Times New Roman" w:cs="Times New Roman" w:eastAsia="Times New Roman" w:hAnsi="Times New Roman"/>
          <w:sz w:val="16"/>
          <w:szCs w:val="16"/>
          <w:color w:val="auto"/>
        </w:rPr>
        <w:t>. It will permit the Administrative Agent and any Lender (or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representatives thereof (including any consultants, accountants, lawyers and appraisers)) to conduct evaluations and appraisals of the Collateral Manager’s computation of the Borrowing Base and the assets included in the Borrowing Base no more than twice during any fiscal year of the Collateral Manager. The Borrower shall pay the reasonable fees and expenses of any representatives retained by the Administrative Agent or any Lender to conduct any such evaluation or appraisal;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the Borrower shall not be required to pay such fees and expenses for more than one such evaluation or appraisal during any calendar year unless an Event of Default has occurred and is continuing and (ii) such evaluation or appraisal shall not be duplicative of the report required under Section 8.08(b) or any audit pursuant to Section 5.01(g). Each Lender agrees to use commercially reasonable efforts to coordinate with the other Lenders in exercising their respective rights under this paragraph (f) and under paragraph (e) above with a view to minimizing duplication of effort and expense by the Borrower.</w:t>
      </w:r>
    </w:p>
    <w:p>
      <w:pPr>
        <w:spacing w:after="0" w:line="161" w:lineRule="exact"/>
        <w:rPr>
          <w:sz w:val="20"/>
          <w:szCs w:val="20"/>
          <w:color w:val="auto"/>
        </w:rPr>
      </w:pPr>
    </w:p>
    <w:p>
      <w:pPr>
        <w:ind w:left="1360" w:right="1720" w:firstLine="40"/>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Section 5.04. Negative Covenants of the Collateral Manager </w:t>
      </w:r>
      <w:r>
        <w:rPr>
          <w:rFonts w:ascii="Times New Roman" w:cs="Times New Roman" w:eastAsia="Times New Roman" w:hAnsi="Times New Roman"/>
          <w:sz w:val="16"/>
          <w:szCs w:val="16"/>
          <w:color w:val="auto"/>
        </w:rPr>
        <w:t>. The Collateral Manager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covenants and agrees that, until the Final Maturity Date (and thereafter until the date that all Obligations have been paid in full):</w:t>
      </w:r>
    </w:p>
    <w:p>
      <w:pPr>
        <w:spacing w:after="0" w:line="140" w:lineRule="exact"/>
        <w:rPr>
          <w:sz w:val="20"/>
          <w:szCs w:val="20"/>
          <w:color w:val="auto"/>
        </w:rPr>
      </w:pPr>
    </w:p>
    <w:p>
      <w:pPr>
        <w:jc w:val="both"/>
        <w:ind w:left="1840" w:right="1480" w:firstLine="44"/>
        <w:spacing w:after="0" w:line="268" w:lineRule="auto"/>
        <w:tabs>
          <w:tab w:leader="none" w:pos="2102"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Restrictive Agreements</w:t>
      </w:r>
      <w:r>
        <w:rPr>
          <w:rFonts w:ascii="Times New Roman" w:cs="Times New Roman" w:eastAsia="Times New Roman" w:hAnsi="Times New Roman"/>
          <w:sz w:val="16"/>
          <w:szCs w:val="16"/>
          <w:color w:val="auto"/>
        </w:rPr>
        <w:t>. It shall not enter into or suffer to exist or become effective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agreement that prohibits, limits or imposes any condition upon its ability to perform its obligations under the Facility Documents.</w:t>
      </w:r>
    </w:p>
    <w:p>
      <w:pPr>
        <w:spacing w:after="0" w:line="140" w:lineRule="exact"/>
        <w:rPr>
          <w:rFonts w:ascii="Times New Roman" w:cs="Times New Roman" w:eastAsia="Times New Roman" w:hAnsi="Times New Roman"/>
          <w:sz w:val="16"/>
          <w:szCs w:val="16"/>
          <w:color w:val="auto"/>
        </w:rPr>
      </w:pPr>
    </w:p>
    <w:p>
      <w:pPr>
        <w:ind w:left="1840" w:right="1420" w:firstLine="44"/>
        <w:spacing w:after="0" w:line="256" w:lineRule="auto"/>
        <w:tabs>
          <w:tab w:leader="none" w:pos="2112"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Validity of this Agreement</w:t>
      </w:r>
      <w:r>
        <w:rPr>
          <w:rFonts w:ascii="Times New Roman" w:cs="Times New Roman" w:eastAsia="Times New Roman" w:hAnsi="Times New Roman"/>
          <w:sz w:val="16"/>
          <w:szCs w:val="16"/>
          <w:color w:val="auto"/>
        </w:rPr>
        <w:t>. It shall not (i) permit the validity or effectiveness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or any grant of Collateral hereunder to be impaired, or 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149" w:lineRule="exact"/>
        <w:rPr>
          <w:rFonts w:ascii="Times New Roman" w:cs="Times New Roman" w:eastAsia="Times New Roman" w:hAnsi="Times New Roman"/>
          <w:sz w:val="16"/>
          <w:szCs w:val="16"/>
          <w:color w:val="auto"/>
        </w:rPr>
      </w:pPr>
    </w:p>
    <w:p>
      <w:pPr>
        <w:ind w:left="1840" w:right="1520" w:firstLine="44"/>
        <w:spacing w:after="0" w:line="259" w:lineRule="auto"/>
        <w:tabs>
          <w:tab w:leader="none" w:pos="2102"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Liquidation; Merger; Disposition of Assets. </w:t>
      </w:r>
      <w:r>
        <w:rPr>
          <w:rFonts w:ascii="Times New Roman" w:cs="Times New Roman" w:eastAsia="Times New Roman" w:hAnsi="Times New Roman"/>
          <w:sz w:val="16"/>
          <w:szCs w:val="16"/>
          <w:color w:val="auto"/>
        </w:rPr>
        <w:t>It shall not consummate any plan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liquidation, dissolution, partial liquidation, merger or consolidation (or suffer any liquidation, dissolution or partial liquidation) nor sell, transfer, exchange or otherwise dispose of (including by dividing into two or more separate limited liability companies) all or substantially all of its assets or enter into any agreement or commitment to do so.</w:t>
      </w:r>
    </w:p>
    <w:p>
      <w:pPr>
        <w:spacing w:after="0" w:line="147" w:lineRule="exact"/>
        <w:rPr>
          <w:sz w:val="20"/>
          <w:szCs w:val="20"/>
          <w:color w:val="auto"/>
        </w:rPr>
      </w:pPr>
    </w:p>
    <w:p>
      <w:pPr>
        <w:ind w:left="1360" w:right="1480" w:firstLine="40"/>
        <w:spacing w:after="0" w:line="268" w:lineRule="auto"/>
        <w:rPr>
          <w:sz w:val="20"/>
          <w:szCs w:val="20"/>
          <w:color w:val="auto"/>
        </w:rPr>
      </w:pPr>
      <w:r>
        <w:rPr>
          <w:rFonts w:ascii="Times New Roman" w:cs="Times New Roman" w:eastAsia="Times New Roman" w:hAnsi="Times New Roman"/>
          <w:sz w:val="16"/>
          <w:szCs w:val="16"/>
          <w:i w:val="1"/>
          <w:iCs w:val="1"/>
          <w:color w:val="auto"/>
        </w:rPr>
        <w:t>Section 5.05. Certain Undertakings Relating to Separateness</w:t>
      </w:r>
      <w:r>
        <w:rPr>
          <w:rFonts w:ascii="Times New Roman" w:cs="Times New Roman" w:eastAsia="Times New Roman" w:hAnsi="Times New Roman"/>
          <w:sz w:val="16"/>
          <w:szCs w:val="16"/>
          <w:color w:val="auto"/>
        </w:rPr>
        <w:t>. (a) Without limiting any,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subject to all, other covenants of the Borrower contained in this Agreement, the Borrower shall conduct its business and operations separate and apart from that any other Person (including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635000</wp:posOffset>
            </wp:positionV>
            <wp:extent cx="526605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9" w:name="page210"/>
    <w:bookmarkEnd w:id="209"/>
    <w:p>
      <w:pPr>
        <w:spacing w:after="0" w:line="2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Collateral Manager and any of its Affiliates, the holders of the Equity and their respective</w:t>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Affiliates) and in furtherance of the foregoing:</w:t>
      </w:r>
    </w:p>
    <w:p>
      <w:pPr>
        <w:spacing w:after="0" w:line="171" w:lineRule="exact"/>
        <w:rPr>
          <w:sz w:val="20"/>
          <w:szCs w:val="20"/>
          <w:color w:val="auto"/>
        </w:rPr>
      </w:pPr>
    </w:p>
    <w:p>
      <w:pPr>
        <w:ind w:left="1840" w:right="1360" w:firstLine="44"/>
        <w:spacing w:after="0" w:line="261" w:lineRule="auto"/>
        <w:tabs>
          <w:tab w:leader="none" w:pos="2109"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shall maintain its accounts, financial statements, books, accounting and other records, and other Borrower documents separate from those of any other Person,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the Borrower may be consolidated into the BDC solely for tax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accounting purposes.</w:t>
      </w:r>
    </w:p>
    <w:p>
      <w:pPr>
        <w:spacing w:after="0" w:line="148" w:lineRule="exact"/>
        <w:rPr>
          <w:rFonts w:ascii="Times New Roman" w:cs="Times New Roman" w:eastAsia="Times New Roman" w:hAnsi="Times New Roman"/>
          <w:sz w:val="16"/>
          <w:szCs w:val="16"/>
          <w:color w:val="auto"/>
        </w:rPr>
      </w:pPr>
    </w:p>
    <w:p>
      <w:pPr>
        <w:ind w:left="1840" w:right="1360" w:firstLine="44"/>
        <w:spacing w:after="0" w:line="266" w:lineRule="auto"/>
        <w:tabs>
          <w:tab w:leader="none" w:pos="2109"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not commingle or pool any of its funds or assets with those of any Affiliate or any other Person, and it shall hold all of its assets in its own name, except as otherwise permitted or required under the Facility Documents.</w:t>
      </w:r>
    </w:p>
    <w:p>
      <w:pPr>
        <w:spacing w:after="0" w:line="144" w:lineRule="exact"/>
        <w:rPr>
          <w:rFonts w:ascii="Times New Roman" w:cs="Times New Roman" w:eastAsia="Times New Roman" w:hAnsi="Times New Roman"/>
          <w:sz w:val="16"/>
          <w:szCs w:val="16"/>
          <w:color w:val="auto"/>
        </w:rPr>
      </w:pPr>
    </w:p>
    <w:p>
      <w:pPr>
        <w:jc w:val="both"/>
        <w:ind w:left="1840" w:right="1540" w:firstLine="44"/>
        <w:spacing w:after="0" w:line="266" w:lineRule="auto"/>
        <w:tabs>
          <w:tab w:leader="none" w:pos="2109"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conduct its own business in its own name and, for all purposes, shall not operate, or purport to operate, collectively as a single or consolidated business entity with respect to any Person.</w:t>
      </w:r>
    </w:p>
    <w:p>
      <w:pPr>
        <w:spacing w:after="0" w:line="144" w:lineRule="exact"/>
        <w:rPr>
          <w:rFonts w:ascii="Times New Roman" w:cs="Times New Roman" w:eastAsia="Times New Roman" w:hAnsi="Times New Roman"/>
          <w:sz w:val="16"/>
          <w:szCs w:val="16"/>
          <w:color w:val="auto"/>
        </w:rPr>
      </w:pPr>
    </w:p>
    <w:p>
      <w:pPr>
        <w:ind w:left="1840" w:right="1580" w:firstLine="44"/>
        <w:spacing w:after="0" w:line="283" w:lineRule="auto"/>
        <w:tabs>
          <w:tab w:leader="none" w:pos="2109"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pay its own debts, liabilities and expenses (including overhead expenses, if any) only out of its own assets as the same shall become due.</w:t>
      </w:r>
    </w:p>
    <w:p>
      <w:pPr>
        <w:spacing w:after="0" w:line="131" w:lineRule="exact"/>
        <w:rPr>
          <w:rFonts w:ascii="Times New Roman" w:cs="Times New Roman" w:eastAsia="Times New Roman" w:hAnsi="Times New Roman"/>
          <w:sz w:val="16"/>
          <w:szCs w:val="16"/>
          <w:color w:val="auto"/>
        </w:rPr>
      </w:pPr>
    </w:p>
    <w:p>
      <w:pPr>
        <w:ind w:left="1840" w:right="1440" w:firstLine="44"/>
        <w:spacing w:after="0" w:line="194" w:lineRule="exact"/>
        <w:tabs>
          <w:tab w:leader="none" w:pos="2109"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observed, and shall observe all (A) Delaware limited liability company formalities and (B) other organizational formalities, in each case to the extent necessary or advisable to preserve its separate existence, and shall preserve its existence, and it shall not, nor shall it permit any Affiliate or any other Person to, amend, modify or otherwise change its limited liability company agreement in a manner that would adversely affect the existence of the Borrower as a bankruptcy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remote special purpose entity.</w:t>
      </w:r>
    </w:p>
    <w:p>
      <w:pPr>
        <w:spacing w:after="0" w:line="165" w:lineRule="exact"/>
        <w:rPr>
          <w:rFonts w:ascii="Times New Roman" w:cs="Times New Roman" w:eastAsia="Times New Roman" w:hAnsi="Times New Roman"/>
          <w:sz w:val="16"/>
          <w:szCs w:val="16"/>
          <w:color w:val="auto"/>
        </w:rPr>
      </w:pPr>
    </w:p>
    <w:p>
      <w:pPr>
        <w:ind w:left="1840" w:right="1360" w:firstLine="44"/>
        <w:spacing w:after="0" w:line="261" w:lineRule="auto"/>
        <w:tabs>
          <w:tab w:leader="none" w:pos="2109"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not, (A) guarantee, become obligated for, or hold itself or its credit out to be responsible for or available to satisfy, the debts or obligations of any other Person or (B) control the decisions or actions respecting the daily business or affairs of any other Person except as permitted by or pursuant to the Facility Documents.</w:t>
      </w:r>
    </w:p>
    <w:p>
      <w:pPr>
        <w:spacing w:after="0" w:line="148" w:lineRule="exact"/>
        <w:rPr>
          <w:rFonts w:ascii="Times New Roman" w:cs="Times New Roman" w:eastAsia="Times New Roman" w:hAnsi="Times New Roman"/>
          <w:sz w:val="16"/>
          <w:szCs w:val="16"/>
          <w:color w:val="auto"/>
        </w:rPr>
      </w:pPr>
    </w:p>
    <w:p>
      <w:pPr>
        <w:ind w:left="1840" w:right="1420" w:firstLine="44"/>
        <w:spacing w:after="0" w:line="261" w:lineRule="auto"/>
        <w:tabs>
          <w:tab w:leader="none" w:pos="2109"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shall, at all times, hold itself out to the public as a legal entity separate and distinct from any other Person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assets of the Borrower may be consolidated into the BDC for accounting purposes and included in publicly filed financial statements of the BDC.</w:t>
      </w:r>
    </w:p>
    <w:p>
      <w:pPr>
        <w:spacing w:after="0" w:line="148" w:lineRule="exact"/>
        <w:rPr>
          <w:rFonts w:ascii="Times New Roman" w:cs="Times New Roman" w:eastAsia="Times New Roman" w:hAnsi="Times New Roman"/>
          <w:sz w:val="16"/>
          <w:szCs w:val="16"/>
          <w:color w:val="auto"/>
        </w:rPr>
      </w:pPr>
    </w:p>
    <w:p>
      <w:pPr>
        <w:ind w:left="2120" w:hanging="236"/>
        <w:spacing w:after="0"/>
        <w:tabs>
          <w:tab w:leader="none" w:pos="212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not identify itself as a division of any other Person.</w:t>
      </w:r>
    </w:p>
    <w:p>
      <w:pPr>
        <w:spacing w:after="0" w:line="189" w:lineRule="exact"/>
        <w:rPr>
          <w:rFonts w:ascii="Times New Roman" w:cs="Times New Roman" w:eastAsia="Times New Roman" w:hAnsi="Times New Roman"/>
          <w:sz w:val="16"/>
          <w:szCs w:val="16"/>
          <w:color w:val="auto"/>
        </w:rPr>
      </w:pPr>
    </w:p>
    <w:p>
      <w:pPr>
        <w:ind w:left="1840" w:right="1400" w:firstLine="44"/>
        <w:spacing w:after="0" w:line="266" w:lineRule="auto"/>
        <w:tabs>
          <w:tab w:leader="none" w:pos="2109"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maintain its assets in such a manner that it will not be costly or difficult to segregate, ascertain or identify its individual assets from those of any Affiliate or any other Person.</w:t>
      </w:r>
    </w:p>
    <w:p>
      <w:pPr>
        <w:spacing w:after="0" w:line="144" w:lineRule="exact"/>
        <w:rPr>
          <w:rFonts w:ascii="Times New Roman" w:cs="Times New Roman" w:eastAsia="Times New Roman" w:hAnsi="Times New Roman"/>
          <w:sz w:val="16"/>
          <w:szCs w:val="16"/>
          <w:color w:val="auto"/>
        </w:rPr>
      </w:pPr>
    </w:p>
    <w:p>
      <w:pPr>
        <w:ind w:left="1840" w:right="1380" w:firstLine="44"/>
        <w:spacing w:after="0" w:line="283" w:lineRule="auto"/>
        <w:tabs>
          <w:tab w:leader="none" w:pos="219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not use its separate existence to perpetrate a fraud in violation of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628015</wp:posOffset>
            </wp:positionV>
            <wp:extent cx="526605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0" w:name="page211"/>
    <w:bookmarkEnd w:id="210"/>
    <w:p>
      <w:pPr>
        <w:spacing w:after="0" w:line="270" w:lineRule="exact"/>
        <w:rPr>
          <w:sz w:val="20"/>
          <w:szCs w:val="20"/>
          <w:color w:val="auto"/>
        </w:rPr>
      </w:pPr>
    </w:p>
    <w:p>
      <w:pPr>
        <w:jc w:val="both"/>
        <w:ind w:left="1840" w:right="1720" w:firstLine="44"/>
        <w:spacing w:after="0" w:line="283" w:lineRule="auto"/>
        <w:tabs>
          <w:tab w:leader="none" w:pos="219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not, in connection with the Facility Documents, act with an intent to hinder, delay or defraud any of its creditors in violation of Applicable Law.</w:t>
      </w:r>
    </w:p>
    <w:p>
      <w:pPr>
        <w:spacing w:after="0" w:line="131" w:lineRule="exact"/>
        <w:rPr>
          <w:rFonts w:ascii="Times New Roman" w:cs="Times New Roman" w:eastAsia="Times New Roman" w:hAnsi="Times New Roman"/>
          <w:sz w:val="16"/>
          <w:szCs w:val="16"/>
          <w:color w:val="auto"/>
        </w:rPr>
      </w:pPr>
    </w:p>
    <w:p>
      <w:pPr>
        <w:ind w:left="1840" w:right="1440" w:firstLine="44"/>
        <w:spacing w:after="0" w:line="283" w:lineRule="auto"/>
        <w:tabs>
          <w:tab w:leader="none" w:pos="219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maintain an arm’s length relationship with its Affiliates and the Collateral Manager.</w:t>
      </w:r>
    </w:p>
    <w:p>
      <w:pPr>
        <w:spacing w:after="0" w:line="131" w:lineRule="exact"/>
        <w:rPr>
          <w:rFonts w:ascii="Times New Roman" w:cs="Times New Roman" w:eastAsia="Times New Roman" w:hAnsi="Times New Roman"/>
          <w:sz w:val="16"/>
          <w:szCs w:val="16"/>
          <w:color w:val="auto"/>
        </w:rPr>
      </w:pPr>
    </w:p>
    <w:p>
      <w:pPr>
        <w:ind w:left="1840" w:right="1580" w:firstLine="44"/>
        <w:spacing w:after="0" w:line="266" w:lineRule="auto"/>
        <w:tabs>
          <w:tab w:leader="none" w:pos="219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permitted by or pursuant to the Facility Documents, the Borrower shall not grant a security interest or otherwise pledge its assets for the benefit of any other Person.</w:t>
      </w:r>
    </w:p>
    <w:p>
      <w:pPr>
        <w:spacing w:after="0" w:line="144" w:lineRule="exact"/>
        <w:rPr>
          <w:rFonts w:ascii="Times New Roman" w:cs="Times New Roman" w:eastAsia="Times New Roman" w:hAnsi="Times New Roman"/>
          <w:sz w:val="16"/>
          <w:szCs w:val="16"/>
          <w:color w:val="auto"/>
        </w:rPr>
      </w:pPr>
    </w:p>
    <w:p>
      <w:pPr>
        <w:ind w:left="1840" w:right="1560" w:firstLine="44"/>
        <w:spacing w:after="0" w:line="266" w:lineRule="auto"/>
        <w:tabs>
          <w:tab w:leader="none" w:pos="219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in the Facility Documents, the Borrower shall not acquire any securities or debt instruments of the Collateral Manager, its Affiliates or any other Person.</w:t>
      </w:r>
    </w:p>
    <w:p>
      <w:pPr>
        <w:spacing w:after="0" w:line="144" w:lineRule="exact"/>
        <w:rPr>
          <w:rFonts w:ascii="Times New Roman" w:cs="Times New Roman" w:eastAsia="Times New Roman" w:hAnsi="Times New Roman"/>
          <w:sz w:val="16"/>
          <w:szCs w:val="16"/>
          <w:color w:val="auto"/>
        </w:rPr>
      </w:pPr>
    </w:p>
    <w:p>
      <w:pPr>
        <w:ind w:left="1840" w:right="1860" w:firstLine="44"/>
        <w:spacing w:after="0" w:line="283" w:lineRule="auto"/>
        <w:tabs>
          <w:tab w:leader="none" w:pos="219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not make loans or advances to any Person, except for the Collateral Loans and as permitted by or pursuant to the Facility Documents.</w:t>
      </w:r>
    </w:p>
    <w:p>
      <w:pPr>
        <w:spacing w:after="0" w:line="131" w:lineRule="exact"/>
        <w:rPr>
          <w:rFonts w:ascii="Times New Roman" w:cs="Times New Roman" w:eastAsia="Times New Roman" w:hAnsi="Times New Roman"/>
          <w:sz w:val="16"/>
          <w:szCs w:val="16"/>
          <w:color w:val="auto"/>
        </w:rPr>
      </w:pPr>
    </w:p>
    <w:p>
      <w:pPr>
        <w:ind w:left="1840" w:right="1380" w:firstLine="44"/>
        <w:spacing w:after="0" w:line="266" w:lineRule="auto"/>
        <w:tabs>
          <w:tab w:leader="none" w:pos="219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make no transfer (including by dividing into two or more separate limited liability companies) of its assets except as permitted by or pursuant to the Facility Documents.</w:t>
      </w:r>
    </w:p>
    <w:p>
      <w:pPr>
        <w:spacing w:after="0" w:line="144" w:lineRule="exact"/>
        <w:rPr>
          <w:rFonts w:ascii="Times New Roman" w:cs="Times New Roman" w:eastAsia="Times New Roman" w:hAnsi="Times New Roman"/>
          <w:sz w:val="16"/>
          <w:szCs w:val="16"/>
          <w:color w:val="auto"/>
        </w:rPr>
      </w:pPr>
    </w:p>
    <w:p>
      <w:pPr>
        <w:ind w:left="1840" w:right="1480" w:firstLine="44"/>
        <w:spacing w:after="0" w:line="261" w:lineRule="auto"/>
        <w:tabs>
          <w:tab w:leader="none" w:pos="219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file its own tax returns separate from those of any other Person or entity, except to the extent that the Borrower is not required to file tax returns under applicable law or is not permitted to file its own tax returns separate from those of any other Person.</w:t>
      </w:r>
    </w:p>
    <w:p>
      <w:pPr>
        <w:spacing w:after="0" w:line="148" w:lineRule="exact"/>
        <w:rPr>
          <w:rFonts w:ascii="Times New Roman" w:cs="Times New Roman" w:eastAsia="Times New Roman" w:hAnsi="Times New Roman"/>
          <w:sz w:val="16"/>
          <w:szCs w:val="16"/>
          <w:color w:val="auto"/>
        </w:rPr>
      </w:pPr>
    </w:p>
    <w:p>
      <w:pPr>
        <w:ind w:left="2200" w:hanging="316"/>
        <w:spacing w:after="0"/>
        <w:tabs>
          <w:tab w:leader="none" w:pos="220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not acquire obligations or securities of its members.</w:t>
      </w:r>
    </w:p>
    <w:p>
      <w:pPr>
        <w:spacing w:after="0" w:line="189" w:lineRule="exact"/>
        <w:rPr>
          <w:rFonts w:ascii="Times New Roman" w:cs="Times New Roman" w:eastAsia="Times New Roman" w:hAnsi="Times New Roman"/>
          <w:sz w:val="16"/>
          <w:szCs w:val="16"/>
          <w:color w:val="auto"/>
        </w:rPr>
      </w:pPr>
    </w:p>
    <w:p>
      <w:pPr>
        <w:ind w:left="2200" w:hanging="316"/>
        <w:spacing w:after="0"/>
        <w:tabs>
          <w:tab w:leader="none" w:pos="220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use separate stationary, invoices and checks.</w:t>
      </w:r>
    </w:p>
    <w:p>
      <w:pPr>
        <w:spacing w:after="0" w:line="189" w:lineRule="exact"/>
        <w:rPr>
          <w:rFonts w:ascii="Times New Roman" w:cs="Times New Roman" w:eastAsia="Times New Roman" w:hAnsi="Times New Roman"/>
          <w:sz w:val="16"/>
          <w:szCs w:val="16"/>
          <w:color w:val="auto"/>
        </w:rPr>
      </w:pPr>
    </w:p>
    <w:p>
      <w:pPr>
        <w:ind w:left="1840" w:right="1720" w:firstLine="44"/>
        <w:spacing w:after="0" w:line="283" w:lineRule="auto"/>
        <w:tabs>
          <w:tab w:leader="none" w:pos="219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correct any known misunderstanding regarding its separate identity.</w:t>
      </w:r>
    </w:p>
    <w:p>
      <w:pPr>
        <w:spacing w:after="0" w:line="131" w:lineRule="exact"/>
        <w:rPr>
          <w:rFonts w:ascii="Times New Roman" w:cs="Times New Roman" w:eastAsia="Times New Roman" w:hAnsi="Times New Roman"/>
          <w:sz w:val="16"/>
          <w:szCs w:val="16"/>
          <w:color w:val="auto"/>
        </w:rPr>
      </w:pPr>
    </w:p>
    <w:p>
      <w:pPr>
        <w:ind w:left="1840" w:right="1520" w:firstLine="44"/>
        <w:spacing w:after="0" w:line="283" w:lineRule="auto"/>
        <w:tabs>
          <w:tab w:leader="none" w:pos="219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maintain adequate capital in light of its contemplated business operations.</w:t>
      </w:r>
    </w:p>
    <w:p>
      <w:pPr>
        <w:spacing w:after="0" w:line="115" w:lineRule="exact"/>
        <w:rPr>
          <w:rFonts w:ascii="Times New Roman" w:cs="Times New Roman" w:eastAsia="Times New Roman" w:hAnsi="Times New Roman"/>
          <w:sz w:val="16"/>
          <w:szCs w:val="16"/>
          <w:color w:val="auto"/>
        </w:rPr>
      </w:pPr>
    </w:p>
    <w:p>
      <w:pPr>
        <w:ind w:left="1840" w:right="1680" w:firstLine="44"/>
        <w:spacing w:after="0" w:line="209" w:lineRule="exact"/>
        <w:tabs>
          <w:tab w:leader="none" w:pos="219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at all times be organized as a single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purpose entity with organizational documents substantially similar to those in effect on the Closing Date.</w:t>
      </w:r>
    </w:p>
    <w:p>
      <w:pPr>
        <w:spacing w:after="0" w:line="163" w:lineRule="exact"/>
        <w:rPr>
          <w:rFonts w:ascii="Times New Roman" w:cs="Times New Roman" w:eastAsia="Times New Roman" w:hAnsi="Times New Roman"/>
          <w:sz w:val="16"/>
          <w:szCs w:val="16"/>
          <w:color w:val="auto"/>
        </w:rPr>
      </w:pPr>
    </w:p>
    <w:p>
      <w:pPr>
        <w:ind w:left="1840" w:right="1500" w:firstLine="44"/>
        <w:spacing w:after="0" w:line="196" w:lineRule="exact"/>
        <w:tabs>
          <w:tab w:leader="none" w:pos="219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at all times conduct its business so that any assumptions made with respect to the Borrower in any “substantive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consolidation” opinion letter delivered in connection with the Facility Documents will continue to be true and correct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650875</wp:posOffset>
            </wp:positionV>
            <wp:extent cx="526605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1" w:name="page212"/>
    <w:bookmarkEnd w:id="211"/>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VI</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Events of Default</w:t>
      </w:r>
    </w:p>
    <w:p>
      <w:pPr>
        <w:spacing w:after="0" w:line="187" w:lineRule="exact"/>
        <w:rPr>
          <w:sz w:val="20"/>
          <w:szCs w:val="20"/>
          <w:color w:val="auto"/>
        </w:rPr>
      </w:pPr>
    </w:p>
    <w:p>
      <w:pPr>
        <w:ind w:left="1360" w:right="1380" w:firstLine="40"/>
        <w:spacing w:after="0" w:line="260" w:lineRule="auto"/>
        <w:rPr>
          <w:sz w:val="20"/>
          <w:szCs w:val="20"/>
          <w:color w:val="auto"/>
        </w:rPr>
      </w:pPr>
      <w:r>
        <w:rPr>
          <w:rFonts w:ascii="Times New Roman" w:cs="Times New Roman" w:eastAsia="Times New Roman" w:hAnsi="Times New Roman"/>
          <w:sz w:val="16"/>
          <w:szCs w:val="16"/>
          <w:i w:val="1"/>
          <w:iCs w:val="1"/>
          <w:color w:val="auto"/>
        </w:rPr>
        <w:t>Section 6.01. Events of Default</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Event of Default</w:t>
      </w:r>
      <w:r>
        <w:rPr>
          <w:rFonts w:ascii="Times New Roman" w:cs="Times New Roman" w:eastAsia="Times New Roman" w:hAnsi="Times New Roman"/>
          <w:sz w:val="16"/>
          <w:szCs w:val="16"/>
          <w:color w:val="auto"/>
        </w:rPr>
        <w:t>”, wherever used herein, means any one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345" w:lineRule="exact"/>
        <w:rPr>
          <w:sz w:val="20"/>
          <w:szCs w:val="20"/>
          <w:color w:val="auto"/>
        </w:rPr>
      </w:pPr>
    </w:p>
    <w:p>
      <w:pPr>
        <w:ind w:left="1840" w:right="1560" w:firstLine="44"/>
        <w:spacing w:after="0" w:line="266" w:lineRule="auto"/>
        <w:tabs>
          <w:tab w:leader="none" w:pos="210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default in the payment, when due and payable, of any interest on or Commitment Fee in respect of the Advances and such default is not cured within two (2) Business Days; or</w:t>
      </w:r>
    </w:p>
    <w:p>
      <w:pPr>
        <w:spacing w:after="0" w:line="144" w:lineRule="exact"/>
        <w:rPr>
          <w:rFonts w:ascii="Times New Roman" w:cs="Times New Roman" w:eastAsia="Times New Roman" w:hAnsi="Times New Roman"/>
          <w:sz w:val="16"/>
          <w:szCs w:val="16"/>
          <w:color w:val="auto"/>
        </w:rPr>
      </w:pPr>
    </w:p>
    <w:p>
      <w:pPr>
        <w:ind w:left="2120" w:hanging="236"/>
        <w:spacing w:after="0"/>
        <w:tabs>
          <w:tab w:leader="none" w:pos="212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reduce the Advances to $0 on the Final Maturity Date; or</w:t>
      </w:r>
    </w:p>
    <w:p>
      <w:pPr>
        <w:spacing w:after="0" w:line="189" w:lineRule="exact"/>
        <w:rPr>
          <w:rFonts w:ascii="Times New Roman" w:cs="Times New Roman" w:eastAsia="Times New Roman" w:hAnsi="Times New Roman"/>
          <w:sz w:val="16"/>
          <w:szCs w:val="16"/>
          <w:color w:val="auto"/>
        </w:rPr>
      </w:pPr>
    </w:p>
    <w:p>
      <w:pPr>
        <w:ind w:left="1840" w:right="1440" w:firstLine="44"/>
        <w:spacing w:after="0" w:line="266" w:lineRule="auto"/>
        <w:tabs>
          <w:tab w:leader="none" w:pos="210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Borrower becomes an investment company required to be registered under the Investment Company Act or (ii) the BDC is required to be registered under the Investment Company Act and is not otherwise registered; or</w:t>
      </w:r>
    </w:p>
    <w:p>
      <w:pPr>
        <w:spacing w:after="0" w:line="144" w:lineRule="exact"/>
        <w:rPr>
          <w:rFonts w:ascii="Times New Roman" w:cs="Times New Roman" w:eastAsia="Times New Roman" w:hAnsi="Times New Roman"/>
          <w:sz w:val="16"/>
          <w:szCs w:val="16"/>
          <w:color w:val="auto"/>
        </w:rPr>
      </w:pPr>
    </w:p>
    <w:p>
      <w:pPr>
        <w:ind w:left="1840" w:right="1380" w:firstLine="44"/>
        <w:spacing w:after="0" w:line="253" w:lineRule="auto"/>
        <w:tabs>
          <w:tab w:leader="none" w:pos="2109"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this Section 6.01, a default in any material respect in the performance, or breach in any material respect, of any other covenant or other agreement of the Borrower under this Agreement or the other Facility Documents, or the failure of any representation or warranty of the Borrower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 (x) written notice to the Borrower or the Collateral Manager (which may be by email) by either Agent or the Collateral Manager (as the case may be), and (y) actual knowledge of the Borrower or the Collateral Manager; or</w:t>
      </w:r>
    </w:p>
    <w:p>
      <w:pPr>
        <w:spacing w:after="0" w:line="156" w:lineRule="exact"/>
        <w:rPr>
          <w:rFonts w:ascii="Times New Roman" w:cs="Times New Roman" w:eastAsia="Times New Roman" w:hAnsi="Times New Roman"/>
          <w:sz w:val="16"/>
          <w:szCs w:val="16"/>
          <w:color w:val="auto"/>
        </w:rPr>
      </w:pPr>
    </w:p>
    <w:p>
      <w:pPr>
        <w:ind w:left="1840" w:right="1380" w:firstLine="44"/>
        <w:spacing w:after="0" w:line="253" w:lineRule="auto"/>
        <w:tabs>
          <w:tab w:leader="none" w:pos="210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rendering of one or more final judgments, decrees or orders by a court or arbitrator of competent jurisdiction for the payment of money in excess individually or in the aggregate of $2,000,000 against the BDC, or $250,000 against the Borrower (exclusive of judgment amounts fully covered by insurance), and the aforementioned parties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 enforcement proceedings are commenced upon such judgment, decree or order; or</w:t>
      </w:r>
    </w:p>
    <w:p>
      <w:pPr>
        <w:spacing w:after="0" w:line="352" w:lineRule="exact"/>
        <w:rPr>
          <w:rFonts w:ascii="Times New Roman" w:cs="Times New Roman" w:eastAsia="Times New Roman" w:hAnsi="Times New Roman"/>
          <w:sz w:val="16"/>
          <w:szCs w:val="16"/>
          <w:color w:val="auto"/>
        </w:rPr>
      </w:pPr>
    </w:p>
    <w:p>
      <w:pPr>
        <w:ind w:left="2080" w:hanging="196"/>
        <w:spacing w:after="0"/>
        <w:tabs>
          <w:tab w:leader="none" w:pos="208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Insolvency Event relating to the Borrower or the BDC occurs; or</w:t>
      </w:r>
    </w:p>
    <w:p>
      <w:pPr>
        <w:spacing w:after="0" w:line="189" w:lineRule="exact"/>
        <w:rPr>
          <w:rFonts w:ascii="Times New Roman" w:cs="Times New Roman" w:eastAsia="Times New Roman" w:hAnsi="Times New Roman"/>
          <w:sz w:val="16"/>
          <w:szCs w:val="16"/>
          <w:color w:val="auto"/>
        </w:rPr>
      </w:pPr>
    </w:p>
    <w:p>
      <w:pPr>
        <w:ind w:left="2120" w:hanging="236"/>
        <w:spacing w:after="0"/>
        <w:tabs>
          <w:tab w:leader="none" w:pos="212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Collateral Manager Event of Default shall have occurred and be continuing;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664845</wp:posOffset>
            </wp:positionV>
            <wp:extent cx="526605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2" w:name="page213"/>
    <w:bookmarkEnd w:id="212"/>
    <w:p>
      <w:pPr>
        <w:spacing w:after="0" w:line="270" w:lineRule="exact"/>
        <w:rPr>
          <w:sz w:val="20"/>
          <w:szCs w:val="20"/>
          <w:color w:val="auto"/>
        </w:rPr>
      </w:pPr>
    </w:p>
    <w:p>
      <w:pPr>
        <w:ind w:left="1840" w:right="1480" w:firstLine="44"/>
        <w:spacing w:after="0" w:line="254" w:lineRule="auto"/>
        <w:tabs>
          <w:tab w:leader="none" w:pos="2109"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IRS shall file notice of a Lien pursuant to Section 6323 of the Code with regard to any assets of the Borrower and such Lien shall not have been released within five (5) Business Days or (ii) the PBGC shall file notice of a Lien pursuant to Section 4068 of ERISA with regard to any of the assets of the Borrower and such Lien shall not have been released within five (5) Business Days, unless in each case a reserve has been established therefor in accordance with GAAP and such action is being diligently contested in good faith by appropriate proceedings (except to the extent that the amount secured by such Lien exceeds $750,000); or</w:t>
      </w:r>
    </w:p>
    <w:p>
      <w:pPr>
        <w:spacing w:after="0" w:line="157" w:lineRule="exact"/>
        <w:rPr>
          <w:rFonts w:ascii="Times New Roman" w:cs="Times New Roman" w:eastAsia="Times New Roman" w:hAnsi="Times New Roman"/>
          <w:sz w:val="16"/>
          <w:szCs w:val="16"/>
          <w:color w:val="auto"/>
        </w:rPr>
      </w:pPr>
    </w:p>
    <w:p>
      <w:pPr>
        <w:jc w:val="both"/>
        <w:ind w:left="1840" w:right="1640" w:firstLine="44"/>
        <w:spacing w:after="0" w:line="266" w:lineRule="auto"/>
        <w:tabs>
          <w:tab w:leader="none" w:pos="2073"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 Change of Control occurs with respect to the Borrower, or (ii) the BDC shall merge into any other Person or more than 50.0% of the Voting Shares of the BDC are sold to any Person and/or such Person’s Affiliates; or</w:t>
      </w:r>
    </w:p>
    <w:p>
      <w:pPr>
        <w:spacing w:after="0" w:line="144" w:lineRule="exact"/>
        <w:rPr>
          <w:rFonts w:ascii="Times New Roman" w:cs="Times New Roman" w:eastAsia="Times New Roman" w:hAnsi="Times New Roman"/>
          <w:sz w:val="16"/>
          <w:szCs w:val="16"/>
          <w:color w:val="auto"/>
        </w:rPr>
      </w:pPr>
    </w:p>
    <w:p>
      <w:pPr>
        <w:ind w:left="2080" w:hanging="196"/>
        <w:spacing w:after="0"/>
        <w:tabs>
          <w:tab w:leader="none" w:pos="208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 Material Adverse Effect with respect to the BDC or the Borrower;</w:t>
      </w:r>
    </w:p>
    <w:p>
      <w:pPr>
        <w:spacing w:after="0" w:line="25" w:lineRule="exact"/>
        <w:rPr>
          <w:rFonts w:ascii="Times New Roman" w:cs="Times New Roman" w:eastAsia="Times New Roman" w:hAnsi="Times New Roman"/>
          <w:sz w:val="16"/>
          <w:szCs w:val="16"/>
          <w:color w:val="auto"/>
        </w:rPr>
      </w:pPr>
    </w:p>
    <w:p>
      <w:pPr>
        <w:ind w:left="18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w:t>
      </w:r>
    </w:p>
    <w:p>
      <w:pPr>
        <w:spacing w:after="0" w:line="171" w:lineRule="exact"/>
        <w:rPr>
          <w:rFonts w:ascii="Times New Roman" w:cs="Times New Roman" w:eastAsia="Times New Roman" w:hAnsi="Times New Roman"/>
          <w:sz w:val="16"/>
          <w:szCs w:val="16"/>
          <w:color w:val="auto"/>
        </w:rPr>
      </w:pPr>
    </w:p>
    <w:p>
      <w:pPr>
        <w:ind w:left="1840" w:right="1380" w:firstLine="44"/>
        <w:spacing w:after="0" w:line="258" w:lineRule="auto"/>
        <w:tabs>
          <w:tab w:leader="none" w:pos="2109"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failure of the BDC to make any payment when due (after giving effect to any related grace period), whether or not waived, under one or more agreements for borrowed money to which it is a party in an aggregate amount in excess of $10,000,000, or (ii) the occurrence of any event or condition (after giving effect to any related grace period) that has resulted in the acceleration of such debt; or</w:t>
      </w:r>
    </w:p>
    <w:p>
      <w:pPr>
        <w:spacing w:after="0" w:line="151" w:lineRule="exact"/>
        <w:rPr>
          <w:rFonts w:ascii="Times New Roman" w:cs="Times New Roman" w:eastAsia="Times New Roman" w:hAnsi="Times New Roman"/>
          <w:sz w:val="16"/>
          <w:szCs w:val="16"/>
          <w:color w:val="auto"/>
        </w:rPr>
      </w:pPr>
    </w:p>
    <w:p>
      <w:pPr>
        <w:ind w:left="1840" w:right="1720" w:firstLine="44"/>
        <w:spacing w:after="0" w:line="283" w:lineRule="auto"/>
        <w:tabs>
          <w:tab w:leader="none" w:pos="2073"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BDC shall fail to maintain “business development company” status under the Investment Company Act; or</w:t>
      </w:r>
    </w:p>
    <w:p>
      <w:pPr>
        <w:spacing w:after="0" w:line="131" w:lineRule="exact"/>
        <w:rPr>
          <w:rFonts w:ascii="Times New Roman" w:cs="Times New Roman" w:eastAsia="Times New Roman" w:hAnsi="Times New Roman"/>
          <w:sz w:val="16"/>
          <w:szCs w:val="16"/>
          <w:color w:val="auto"/>
        </w:rPr>
      </w:pPr>
    </w:p>
    <w:p>
      <w:pPr>
        <w:ind w:left="1840" w:right="1440" w:firstLine="44"/>
        <w:spacing w:after="0" w:line="283" w:lineRule="auto"/>
        <w:tabs>
          <w:tab w:leader="none" w:pos="2154"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maintain the Interest Coverage Ratio Test for five (5) continuous Business Days; or</w:t>
      </w:r>
    </w:p>
    <w:p>
      <w:pPr>
        <w:spacing w:after="0" w:line="131" w:lineRule="exact"/>
        <w:rPr>
          <w:rFonts w:ascii="Times New Roman" w:cs="Times New Roman" w:eastAsia="Times New Roman" w:hAnsi="Times New Roman"/>
          <w:sz w:val="16"/>
          <w:szCs w:val="16"/>
          <w:color w:val="auto"/>
        </w:rPr>
      </w:pPr>
    </w:p>
    <w:p>
      <w:pPr>
        <w:ind w:left="1840" w:right="1620" w:firstLine="44"/>
        <w:spacing w:after="0" w:line="283" w:lineRule="auto"/>
        <w:tabs>
          <w:tab w:leader="none" w:pos="2109"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satisfy the Maximum Advance Rate Default Test for five (5) continuous Business Days.</w:t>
      </w:r>
    </w:p>
    <w:p>
      <w:pPr>
        <w:spacing w:after="0" w:line="131" w:lineRule="exact"/>
        <w:rPr>
          <w:sz w:val="20"/>
          <w:szCs w:val="20"/>
          <w:color w:val="auto"/>
        </w:rPr>
      </w:pPr>
    </w:p>
    <w:p>
      <w:pPr>
        <w:ind w:left="1360" w:right="1380" w:firstLine="484"/>
        <w:spacing w:after="0" w:line="255" w:lineRule="auto"/>
        <w:rPr>
          <w:sz w:val="20"/>
          <w:szCs w:val="20"/>
          <w:color w:val="auto"/>
        </w:rPr>
      </w:pPr>
      <w:r>
        <w:rPr>
          <w:rFonts w:ascii="Times New Roman" w:cs="Times New Roman" w:eastAsia="Times New Roman" w:hAnsi="Times New Roman"/>
          <w:sz w:val="16"/>
          <w:szCs w:val="16"/>
          <w:color w:val="auto"/>
        </w:rPr>
        <w:t>Upon a Responsible Officer of the Borrower or Collateral Manager obtaining knowledge of the occurrence of an Event of Default, each of the Borrower and the Collateral Manager shall notify each other and the Agents, specifying the specific Event(s) of Default that occurred as well as all other Events of Default that are then known to be continuing. Upon the occurrence of an Event of Default known to a Responsible Officer of the Collateral Agent, the Collateral Agent shall promptly notify the Administrative Agent (which will notify the Lenders promptly), the Borrower and the Collateral Manager of such Event of Default in writing.</w:t>
      </w:r>
    </w:p>
    <w:p>
      <w:pPr>
        <w:spacing w:after="0" w:line="155" w:lineRule="exact"/>
        <w:rPr>
          <w:sz w:val="20"/>
          <w:szCs w:val="20"/>
          <w:color w:val="auto"/>
        </w:rPr>
      </w:pPr>
    </w:p>
    <w:p>
      <w:pPr>
        <w:ind w:left="1360" w:right="1380" w:firstLine="484"/>
        <w:spacing w:after="0" w:line="254" w:lineRule="auto"/>
        <w:rPr>
          <w:sz w:val="20"/>
          <w:szCs w:val="20"/>
          <w:color w:val="auto"/>
        </w:rPr>
      </w:pPr>
      <w:r>
        <w:rPr>
          <w:rFonts w:ascii="Times New Roman" w:cs="Times New Roman" w:eastAsia="Times New Roman" w:hAnsi="Times New Roman"/>
          <w:sz w:val="16"/>
          <w:szCs w:val="16"/>
          <w:color w:val="auto"/>
        </w:rPr>
        <w:t>Upon the occurrence and during the continuance of any Event of Default, in addition to all rights and remedies specified in this Agreement and the other Facility Documents, including Article VII, and the rights and remedies of a secured party under Applicable Law, including the UCC, the Administrative Agent or the Majority Lenders, by notice to the Borrower (with a copy to the Collateral Agent), may do any one or more of the following: (1) declare the Commitments to be terminated forthwith, whereupon the Commitments shall forthwith terminate, and (2) declare the principal of and the accrued interest on the Advances and all other amounts whatsoever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645160</wp:posOffset>
            </wp:positionV>
            <wp:extent cx="526605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3" w:name="page214"/>
    <w:bookmarkEnd w:id="213"/>
    <w:p>
      <w:pPr>
        <w:spacing w:after="0" w:line="270" w:lineRule="exact"/>
        <w:rPr>
          <w:sz w:val="20"/>
          <w:szCs w:val="20"/>
          <w:color w:val="auto"/>
        </w:rPr>
      </w:pPr>
    </w:p>
    <w:p>
      <w:pPr>
        <w:ind w:left="1360" w:right="1420"/>
        <w:spacing w:after="0" w:line="256" w:lineRule="auto"/>
        <w:rPr>
          <w:sz w:val="20"/>
          <w:szCs w:val="20"/>
          <w:color w:val="auto"/>
        </w:rPr>
      </w:pPr>
      <w:r>
        <w:rPr>
          <w:rFonts w:ascii="Times New Roman" w:cs="Times New Roman" w:eastAsia="Times New Roman" w:hAnsi="Times New Roman"/>
          <w:sz w:val="16"/>
          <w:szCs w:val="16"/>
          <w:color w:val="auto"/>
        </w:rPr>
        <w:t xml:space="preserve">by the Borrower hereunder to be forthwith due and payable, whereupon such amounts shall be immediately due and payable without presentment, demand, protest or other formalities of any kind, all of which are hereby waived by the Borrower;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upon the occurrence of any Event of Default described in clause (f) of Section 6.01 or clause (e) of Section 6.02, the Commitments shall automatically terminate and the Advances and all such other amounts shall automatically become due and payable, without any further action by any party.</w:t>
      </w:r>
    </w:p>
    <w:p>
      <w:pPr>
        <w:spacing w:after="0" w:line="154" w:lineRule="exact"/>
        <w:rPr>
          <w:sz w:val="20"/>
          <w:szCs w:val="20"/>
          <w:color w:val="auto"/>
        </w:rPr>
      </w:pPr>
    </w:p>
    <w:p>
      <w:pPr>
        <w:ind w:left="1360" w:right="1420" w:firstLine="484"/>
        <w:spacing w:after="0" w:line="257" w:lineRule="auto"/>
        <w:rPr>
          <w:sz w:val="20"/>
          <w:szCs w:val="20"/>
          <w:color w:val="auto"/>
        </w:rPr>
      </w:pPr>
      <w:r>
        <w:rPr>
          <w:rFonts w:ascii="Times New Roman" w:cs="Times New Roman" w:eastAsia="Times New Roman" w:hAnsi="Times New Roman"/>
          <w:sz w:val="16"/>
          <w:szCs w:val="16"/>
          <w:color w:val="auto"/>
        </w:rPr>
        <w:t>In addition, upon the occurrence and during the continuation of an Event of Default, following written notice by the Administrative Agent (provided in its sole discretion or at the direction of the Required Lenders) of the exercise of control rights with respect to the Collateral:</w:t>
      </w:r>
    </w:p>
    <w:p>
      <w:pPr>
        <w:spacing w:after="0" w:line="2" w:lineRule="exact"/>
        <w:rPr>
          <w:sz w:val="20"/>
          <w:szCs w:val="20"/>
          <w:color w:val="auto"/>
        </w:rPr>
      </w:pPr>
    </w:p>
    <w:p>
      <w:pPr>
        <w:ind w:left="1360" w:right="1420"/>
        <w:spacing w:after="0" w:line="251" w:lineRule="auto"/>
        <w:tabs>
          <w:tab w:leader="none" w:pos="1624"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Manager’s unilateral power to consent to modifications to and direct the acquisition, sales and other dispositions of Collateral Loans will be immediately suspended, (x) the Collateral Manager will be required to obtain the consent of the Administrative Agent before causing the Borrower to agree to any modification of any Collateral Loan or before causing the Borrower to acquire, sell or otherwise dispose of any Collateral Loan, and (y) the Collateral Manager will cause the Borrower to acquire, sell or otherwise dispose of any Collateral Loan as directed by the Administrative Agent in its sole discretion.</w:t>
      </w:r>
    </w:p>
    <w:p>
      <w:pPr>
        <w:spacing w:after="0" w:line="157" w:lineRule="exact"/>
        <w:rPr>
          <w:sz w:val="20"/>
          <w:szCs w:val="20"/>
          <w:color w:val="auto"/>
        </w:rPr>
      </w:pPr>
    </w:p>
    <w:p>
      <w:pPr>
        <w:ind w:left="1360" w:right="1600" w:firstLine="40"/>
        <w:spacing w:after="0" w:line="259" w:lineRule="auto"/>
        <w:rPr>
          <w:sz w:val="20"/>
          <w:szCs w:val="20"/>
          <w:color w:val="auto"/>
        </w:rPr>
      </w:pPr>
      <w:r>
        <w:rPr>
          <w:rFonts w:ascii="Times New Roman" w:cs="Times New Roman" w:eastAsia="Times New Roman" w:hAnsi="Times New Roman"/>
          <w:sz w:val="16"/>
          <w:szCs w:val="16"/>
          <w:i w:val="1"/>
          <w:iCs w:val="1"/>
          <w:color w:val="auto"/>
        </w:rPr>
        <w:t>Section 6.02. Collateral Manager Events of Default</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Collateral Manager Event of Default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wherever used herein, means any one of the following events (whatever the reason for such Collateral Manager Event of Default and whether it shall be voluntary or involuntary or be effected by operation of law or pursuant to any judgment, decree or order of any court or any order, rule or regulation of any administrative or governmental body):</w:t>
      </w:r>
    </w:p>
    <w:p>
      <w:pPr>
        <w:spacing w:after="0" w:line="149" w:lineRule="exact"/>
        <w:rPr>
          <w:sz w:val="20"/>
          <w:szCs w:val="20"/>
          <w:color w:val="auto"/>
        </w:rPr>
      </w:pPr>
    </w:p>
    <w:p>
      <w:pPr>
        <w:ind w:left="1840" w:right="1500" w:firstLine="44"/>
        <w:spacing w:after="0" w:line="266" w:lineRule="auto"/>
        <w:tabs>
          <w:tab w:leader="none" w:pos="21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default in the payment by the Collateral Manager or the Borrower, when due and payable, of (i) any interest on or Commitment Fee in respect of the Advances or (ii) any principal of any Advance on the Final Maturity Date; or</w:t>
      </w:r>
    </w:p>
    <w:p>
      <w:pPr>
        <w:spacing w:after="0" w:line="144" w:lineRule="exact"/>
        <w:rPr>
          <w:rFonts w:ascii="Times New Roman" w:cs="Times New Roman" w:eastAsia="Times New Roman" w:hAnsi="Times New Roman"/>
          <w:sz w:val="16"/>
          <w:szCs w:val="16"/>
          <w:color w:val="auto"/>
        </w:rPr>
      </w:pPr>
    </w:p>
    <w:p>
      <w:pPr>
        <w:ind w:left="1840" w:right="1580" w:firstLine="44"/>
        <w:spacing w:after="0" w:line="283" w:lineRule="auto"/>
        <w:tabs>
          <w:tab w:leader="none" w:pos="2109"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Manager is required to be registered under the Investment Company Act and is not otherwise registered; or</w:t>
      </w:r>
    </w:p>
    <w:p>
      <w:pPr>
        <w:spacing w:after="0" w:line="131" w:lineRule="exact"/>
        <w:rPr>
          <w:rFonts w:ascii="Times New Roman" w:cs="Times New Roman" w:eastAsia="Times New Roman" w:hAnsi="Times New Roman"/>
          <w:sz w:val="16"/>
          <w:szCs w:val="16"/>
          <w:color w:val="auto"/>
        </w:rPr>
      </w:pPr>
    </w:p>
    <w:p>
      <w:pPr>
        <w:ind w:left="1840" w:right="1440" w:firstLine="44"/>
        <w:spacing w:after="0" w:line="253" w:lineRule="auto"/>
        <w:tabs>
          <w:tab w:leader="none" w:pos="21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this Section 6.02, a default in any material respect in the performance, or breach in any material respect, of any other covenant or other agreement of the Collateral Manager under this Agreement or the other Facility Documents, or the failure of any representation or warranty of the Collateral Manager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 (x) written notice to the Collateral Manager (which may be by email) by the Agent, and (y) actual knowledge of the Collateral Manager; or</w:t>
      </w:r>
    </w:p>
    <w:p>
      <w:pPr>
        <w:spacing w:after="0" w:line="159" w:lineRule="exact"/>
        <w:rPr>
          <w:rFonts w:ascii="Times New Roman" w:cs="Times New Roman" w:eastAsia="Times New Roman" w:hAnsi="Times New Roman"/>
          <w:sz w:val="16"/>
          <w:szCs w:val="16"/>
          <w:color w:val="auto"/>
        </w:rPr>
      </w:pPr>
    </w:p>
    <w:p>
      <w:pPr>
        <w:ind w:left="1840" w:right="1400" w:firstLine="44"/>
        <w:spacing w:after="0" w:line="261" w:lineRule="auto"/>
        <w:tabs>
          <w:tab w:leader="none" w:pos="2109"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rendering of one or more final judgments, decrees or orders by a court or arbitrator of competent jurisdiction for the payment of money in excess individually or in the aggregate of $2,000,000 against the Collateral Manager (exclusive of judgment amounts fully covered by insurance), and the Collateral Manager shall not have either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638810</wp:posOffset>
            </wp:positionV>
            <wp:extent cx="526605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4" w:name="page215"/>
    <w:bookmarkEnd w:id="214"/>
    <w:p>
      <w:pPr>
        <w:spacing w:after="0" w:line="270" w:lineRule="exact"/>
        <w:rPr>
          <w:sz w:val="20"/>
          <w:szCs w:val="20"/>
          <w:color w:val="auto"/>
        </w:rPr>
      </w:pPr>
    </w:p>
    <w:p>
      <w:pPr>
        <w:ind w:left="1840" w:right="1380"/>
        <w:spacing w:after="0" w:line="258" w:lineRule="auto"/>
        <w:rPr>
          <w:sz w:val="20"/>
          <w:szCs w:val="20"/>
          <w:color w:val="auto"/>
        </w:rPr>
      </w:pPr>
      <w:r>
        <w:rPr>
          <w:rFonts w:ascii="Times New Roman" w:cs="Times New Roman" w:eastAsia="Times New Roman" w:hAnsi="Times New Roman"/>
          <w:sz w:val="16"/>
          <w:szCs w:val="16"/>
          <w:color w:val="auto"/>
        </w:rPr>
        <w:t>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 enforcement proceedings are commenced upon such judgment, decree or order; or</w:t>
      </w:r>
    </w:p>
    <w:p>
      <w:pPr>
        <w:spacing w:after="0" w:line="151" w:lineRule="exact"/>
        <w:rPr>
          <w:sz w:val="20"/>
          <w:szCs w:val="20"/>
          <w:color w:val="auto"/>
        </w:rPr>
      </w:pPr>
    </w:p>
    <w:p>
      <w:pPr>
        <w:ind w:left="2100" w:hanging="216"/>
        <w:spacing w:after="0"/>
        <w:tabs>
          <w:tab w:leader="none" w:pos="210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Insolvency Event relating to the Collateral Manager occurs; or</w:t>
      </w:r>
    </w:p>
    <w:p>
      <w:pPr>
        <w:spacing w:after="0" w:line="189" w:lineRule="exact"/>
        <w:rPr>
          <w:rFonts w:ascii="Times New Roman" w:cs="Times New Roman" w:eastAsia="Times New Roman" w:hAnsi="Times New Roman"/>
          <w:sz w:val="16"/>
          <w:szCs w:val="16"/>
          <w:color w:val="auto"/>
        </w:rPr>
      </w:pPr>
    </w:p>
    <w:p>
      <w:pPr>
        <w:ind w:left="1840" w:right="1380" w:firstLine="44"/>
        <w:spacing w:after="0" w:line="253" w:lineRule="auto"/>
        <w:tabs>
          <w:tab w:leader="none" w:pos="2082"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any Facility Document shall (except in accordance with its terms) terminate, cease to be effective or cease to be the legally valid, binding and enforceable obligation of the Borrower or the Collateral Manager, (2) the Borrower or the Collateral Manager or any other party shall, directly or indirectly, contest in any manner the effectiveness, validity, binding nature or enforceability of any Facility Document or any Lien purported to be created thereunder, or (3) any Lien securing any obligation under any Facility Document shall, in whole or in part (other than in respect of a de minimis amount of Collateral), cease to be a first priority perfected security interest of the Collateral Agent except as otherwise expressly permitted in accordance with the applicable Facility Document and except Permitted Liens; or</w:t>
      </w:r>
    </w:p>
    <w:p>
      <w:pPr>
        <w:spacing w:after="0" w:line="159" w:lineRule="exact"/>
        <w:rPr>
          <w:rFonts w:ascii="Times New Roman" w:cs="Times New Roman" w:eastAsia="Times New Roman" w:hAnsi="Times New Roman"/>
          <w:sz w:val="16"/>
          <w:szCs w:val="16"/>
          <w:color w:val="auto"/>
        </w:rPr>
      </w:pPr>
    </w:p>
    <w:p>
      <w:pPr>
        <w:jc w:val="both"/>
        <w:ind w:left="1840" w:right="1380" w:firstLine="44"/>
        <w:spacing w:after="0" w:line="266" w:lineRule="auto"/>
        <w:tabs>
          <w:tab w:leader="none" w:pos="2109"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Collateral Manager shall fail to comply with Section 5.04(c), or (ii) the owners of the outstanding equity interests in the Collateral Manager as of the date hereof cease to own 51% of the equity interests in the Collateral Manager at any time; or</w:t>
      </w:r>
    </w:p>
    <w:p>
      <w:pPr>
        <w:spacing w:after="0" w:line="144" w:lineRule="exact"/>
        <w:rPr>
          <w:rFonts w:ascii="Times New Roman" w:cs="Times New Roman" w:eastAsia="Times New Roman" w:hAnsi="Times New Roman"/>
          <w:sz w:val="16"/>
          <w:szCs w:val="16"/>
          <w:color w:val="auto"/>
        </w:rPr>
      </w:pPr>
    </w:p>
    <w:p>
      <w:pPr>
        <w:ind w:left="2120" w:hanging="236"/>
        <w:spacing w:after="0"/>
        <w:tabs>
          <w:tab w:leader="none" w:pos="212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pacing w:after="0" w:line="189" w:lineRule="exact"/>
        <w:rPr>
          <w:rFonts w:ascii="Times New Roman" w:cs="Times New Roman" w:eastAsia="Times New Roman" w:hAnsi="Times New Roman"/>
          <w:sz w:val="16"/>
          <w:szCs w:val="16"/>
          <w:color w:val="auto"/>
        </w:rPr>
      </w:pPr>
    </w:p>
    <w:p>
      <w:pPr>
        <w:jc w:val="both"/>
        <w:ind w:left="1840" w:right="1440" w:firstLine="44"/>
        <w:spacing w:after="0" w:line="266" w:lineRule="auto"/>
        <w:tabs>
          <w:tab w:leader="none" w:pos="2073"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change to the Credit and Collection Policies that could reasonably be expected to have a material adverse effect on the Lenders or any change to the Credit and Collection Policies without prior written notice to, the Administrative Agent; or</w:t>
      </w:r>
    </w:p>
    <w:p>
      <w:pPr>
        <w:spacing w:after="0" w:line="144" w:lineRule="exact"/>
        <w:rPr>
          <w:rFonts w:ascii="Times New Roman" w:cs="Times New Roman" w:eastAsia="Times New Roman" w:hAnsi="Times New Roman"/>
          <w:sz w:val="16"/>
          <w:szCs w:val="16"/>
          <w:color w:val="auto"/>
        </w:rPr>
      </w:pPr>
    </w:p>
    <w:p>
      <w:pPr>
        <w:ind w:left="2080" w:hanging="196"/>
        <w:spacing w:after="0"/>
        <w:tabs>
          <w:tab w:leader="none" w:pos="208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 Material Adverse Effect with respect to the Collateral Manager; or</w:t>
      </w:r>
    </w:p>
    <w:p>
      <w:pPr>
        <w:spacing w:after="0" w:line="189" w:lineRule="exact"/>
        <w:rPr>
          <w:rFonts w:ascii="Times New Roman" w:cs="Times New Roman" w:eastAsia="Times New Roman" w:hAnsi="Times New Roman"/>
          <w:sz w:val="16"/>
          <w:szCs w:val="16"/>
          <w:color w:val="auto"/>
        </w:rPr>
      </w:pPr>
    </w:p>
    <w:p>
      <w:pPr>
        <w:ind w:left="1840" w:right="1420" w:firstLine="44"/>
        <w:spacing w:after="0" w:line="258" w:lineRule="auto"/>
        <w:tabs>
          <w:tab w:leader="none" w:pos="2109"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failure of the Collateral Manager to make any payment when due (after giving effect to any related grace period), whether or not waived, under one or more agreements for borrowed money to which it is a party in an aggregate amount in excess of $10,000,000, or (ii) the occurrence of any event or condition (after giving effect to any related grace period) that has resulted in the acceleration of such debt;</w:t>
      </w:r>
    </w:p>
    <w:p>
      <w:pPr>
        <w:spacing w:after="0" w:line="151" w:lineRule="exact"/>
        <w:rPr>
          <w:rFonts w:ascii="Times New Roman" w:cs="Times New Roman" w:eastAsia="Times New Roman" w:hAnsi="Times New Roman"/>
          <w:sz w:val="16"/>
          <w:szCs w:val="16"/>
          <w:color w:val="auto"/>
        </w:rPr>
      </w:pPr>
    </w:p>
    <w:p>
      <w:pPr>
        <w:jc w:val="both"/>
        <w:ind w:left="1840" w:right="1380" w:firstLine="44"/>
        <w:spacing w:after="0" w:line="261" w:lineRule="auto"/>
        <w:tabs>
          <w:tab w:leader="none" w:pos="2073"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Manager shall fail to maintain at least $550,000,000 of assets (including cash) under management (which shall be reported in the Monthly Report occurring on the first Monthly Reporting Date to occur after the delivery of the statements required pursuant to Section 5.01(d)(iii)); or</w:t>
      </w:r>
    </w:p>
    <w:p>
      <w:pPr>
        <w:spacing w:after="0" w:line="148" w:lineRule="exact"/>
        <w:rPr>
          <w:rFonts w:ascii="Times New Roman" w:cs="Times New Roman" w:eastAsia="Times New Roman" w:hAnsi="Times New Roman"/>
          <w:sz w:val="16"/>
          <w:szCs w:val="16"/>
          <w:color w:val="auto"/>
        </w:rPr>
      </w:pPr>
    </w:p>
    <w:p>
      <w:pPr>
        <w:ind w:left="1840" w:right="1380" w:firstLine="44"/>
        <w:spacing w:after="0" w:line="283" w:lineRule="auto"/>
        <w:tabs>
          <w:tab w:leader="none" w:pos="2154"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fails to make a payment when due, after giving effect to any applicable grace period, pursuant to the terms of this Agreement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628015</wp:posOffset>
            </wp:positionV>
            <wp:extent cx="526605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5" w:name="page216"/>
    <w:bookmarkEnd w:id="215"/>
    <w:p>
      <w:pPr>
        <w:spacing w:after="0" w:line="270" w:lineRule="exact"/>
        <w:rPr>
          <w:sz w:val="20"/>
          <w:szCs w:val="20"/>
          <w:color w:val="auto"/>
        </w:rPr>
      </w:pPr>
    </w:p>
    <w:p>
      <w:pPr>
        <w:ind w:left="1840" w:right="1400"/>
        <w:spacing w:after="0" w:line="283" w:lineRule="auto"/>
        <w:rPr>
          <w:sz w:val="20"/>
          <w:szCs w:val="20"/>
          <w:color w:val="auto"/>
        </w:rPr>
      </w:pPr>
      <w:r>
        <w:rPr>
          <w:rFonts w:ascii="Times New Roman" w:cs="Times New Roman" w:eastAsia="Times New Roman" w:hAnsi="Times New Roman"/>
          <w:sz w:val="16"/>
          <w:szCs w:val="16"/>
          <w:color w:val="auto"/>
        </w:rPr>
        <w:t>limitation, the Borrower’s failure to make payments or meet the conditions under Section 6.01(a), Section 6.01(b), or Section 6.01(n)).</w:t>
      </w:r>
    </w:p>
    <w:p>
      <w:pPr>
        <w:spacing w:after="0" w:line="200" w:lineRule="exact"/>
        <w:rPr>
          <w:sz w:val="20"/>
          <w:szCs w:val="20"/>
          <w:color w:val="auto"/>
        </w:rPr>
      </w:pPr>
    </w:p>
    <w:p>
      <w:pPr>
        <w:spacing w:after="0" w:line="304" w:lineRule="exact"/>
        <w:rPr>
          <w:sz w:val="20"/>
          <w:szCs w:val="20"/>
          <w:color w:val="auto"/>
        </w:rPr>
      </w:pPr>
    </w:p>
    <w:p>
      <w:pPr>
        <w:ind w:left="1360" w:right="1400" w:firstLine="484"/>
        <w:spacing w:after="0" w:line="255" w:lineRule="auto"/>
        <w:rPr>
          <w:sz w:val="20"/>
          <w:szCs w:val="20"/>
          <w:color w:val="auto"/>
        </w:rPr>
      </w:pPr>
      <w:r>
        <w:rPr>
          <w:rFonts w:ascii="Times New Roman" w:cs="Times New Roman" w:eastAsia="Times New Roman" w:hAnsi="Times New Roman"/>
          <w:sz w:val="16"/>
          <w:szCs w:val="16"/>
          <w:color w:val="auto"/>
        </w:rPr>
        <w:t xml:space="preserve">Upon the occurrence and during the continuance of a Collateral Manager Event of Default or a Collateral Manager Replacement Event, the Administrative Agent, by written notice (provided in its sole discretion or at the direction of the Majority Lenders) to the Collateral Manager (with a copy to the Backup Collateral Manager, the Custodian, the Collateral Administrator and the Collateral Agent) (a </w:t>
      </w:r>
      <w:r>
        <w:rPr>
          <w:rFonts w:ascii="Times New Roman" w:cs="Times New Roman" w:eastAsia="Times New Roman" w:hAnsi="Times New Roman"/>
          <w:sz w:val="16"/>
          <w:szCs w:val="16"/>
          <w:i w:val="1"/>
          <w:iCs w:val="1"/>
          <w:color w:val="auto"/>
        </w:rPr>
        <w:t>“Collateral Manager Termination Notice”</w:t>
      </w:r>
      <w:r>
        <w:rPr>
          <w:rFonts w:ascii="Times New Roman" w:cs="Times New Roman" w:eastAsia="Times New Roman" w:hAnsi="Times New Roman"/>
          <w:sz w:val="16"/>
          <w:szCs w:val="16"/>
          <w:color w:val="auto"/>
        </w:rPr>
        <w:t>), may terminate all of the rights and obligations of the Collateral Manager as Collateral Manager under this Agreement and appoint a successor Collateral Manager in accordance with Section 11.09.</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VII</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Pledge of Collateral; Rights of the Collateral Agent</w:t>
      </w:r>
    </w:p>
    <w:p>
      <w:pPr>
        <w:spacing w:after="0" w:line="187" w:lineRule="exact"/>
        <w:rPr>
          <w:sz w:val="20"/>
          <w:szCs w:val="20"/>
          <w:color w:val="auto"/>
        </w:rPr>
      </w:pPr>
    </w:p>
    <w:p>
      <w:pPr>
        <w:ind w:left="1360" w:right="1460" w:firstLine="40"/>
        <w:spacing w:after="0" w:line="255" w:lineRule="auto"/>
        <w:rPr>
          <w:sz w:val="20"/>
          <w:szCs w:val="20"/>
          <w:color w:val="auto"/>
        </w:rPr>
      </w:pPr>
      <w:r>
        <w:rPr>
          <w:rFonts w:ascii="Times New Roman" w:cs="Times New Roman" w:eastAsia="Times New Roman" w:hAnsi="Times New Roman"/>
          <w:sz w:val="16"/>
          <w:szCs w:val="16"/>
          <w:i w:val="1"/>
          <w:iCs w:val="1"/>
          <w:color w:val="auto"/>
        </w:rPr>
        <w:t>Section 7.01. Grant of Security</w:t>
      </w:r>
      <w:r>
        <w:rPr>
          <w:rFonts w:ascii="Times New Roman" w:cs="Times New Roman" w:eastAsia="Times New Roman" w:hAnsi="Times New Roman"/>
          <w:sz w:val="16"/>
          <w:szCs w:val="16"/>
          <w:color w:val="auto"/>
        </w:rPr>
        <w:t>. (a) The Borrower hereby grants, pledges, transfers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collaterally assigns to the Collateral Agent, for the benefit of the Secured Parties, as collateral security for all Obligations, a continuing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(all of the property described in this Section 7.01(a) being collectively referred to herein as the </w:t>
      </w:r>
      <w:r>
        <w:rPr>
          <w:rFonts w:ascii="Times New Roman" w:cs="Times New Roman" w:eastAsia="Times New Roman" w:hAnsi="Times New Roman"/>
          <w:sz w:val="16"/>
          <w:szCs w:val="16"/>
          <w:i w:val="1"/>
          <w:iCs w:val="1"/>
          <w:color w:val="auto"/>
        </w:rPr>
        <w:t>“Collateral”</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ind w:left="2080" w:hanging="196"/>
        <w:spacing w:after="0"/>
        <w:tabs>
          <w:tab w:leader="none" w:pos="208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Collateral Loans and Related Documents (listed, as of the Closing Date, in</w:t>
      </w:r>
    </w:p>
    <w:p>
      <w:pPr>
        <w:spacing w:after="0" w:line="25" w:lineRule="exact"/>
        <w:rPr>
          <w:rFonts w:ascii="Times New Roman" w:cs="Times New Roman" w:eastAsia="Times New Roman" w:hAnsi="Times New Roman"/>
          <w:sz w:val="16"/>
          <w:szCs w:val="16"/>
          <w:color w:val="auto"/>
        </w:rPr>
      </w:pPr>
    </w:p>
    <w:p>
      <w:pPr>
        <w:ind w:left="1840" w:right="164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 3 hereto), both now and hereafter owned, including all collections and other proceeds thereon or with respect thereto;</w:t>
      </w:r>
    </w:p>
    <w:p>
      <w:pPr>
        <w:spacing w:after="0" w:line="148" w:lineRule="exact"/>
        <w:rPr>
          <w:rFonts w:ascii="Times New Roman" w:cs="Times New Roman" w:eastAsia="Times New Roman" w:hAnsi="Times New Roman"/>
          <w:sz w:val="16"/>
          <w:szCs w:val="16"/>
          <w:color w:val="auto"/>
        </w:rPr>
      </w:pPr>
    </w:p>
    <w:p>
      <w:pPr>
        <w:ind w:left="1840" w:right="1360" w:firstLine="44"/>
        <w:spacing w:after="0" w:line="261" w:lineRule="auto"/>
        <w:tabs>
          <w:tab w:leader="none" w:pos="2118"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Covered Account and all money and all investment property (including all securities, all security entitlements with respect to such Covered Account and all financial assets carried in such Covered Account) from time to time on deposit in or credited to each Covered Account;</w:t>
      </w:r>
    </w:p>
    <w:p>
      <w:pPr>
        <w:spacing w:after="0" w:line="148" w:lineRule="exact"/>
        <w:rPr>
          <w:rFonts w:ascii="Times New Roman" w:cs="Times New Roman" w:eastAsia="Times New Roman" w:hAnsi="Times New Roman"/>
          <w:sz w:val="16"/>
          <w:szCs w:val="16"/>
          <w:color w:val="auto"/>
        </w:rPr>
      </w:pPr>
    </w:p>
    <w:p>
      <w:pPr>
        <w:jc w:val="both"/>
        <w:ind w:left="1840" w:right="1400" w:firstLine="44"/>
        <w:spacing w:after="0" w:line="261" w:lineRule="auto"/>
        <w:tabs>
          <w:tab w:leader="none" w:pos="2163"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interest, dividends, stock dividends, stock splits, distributions and other money or property of any kind distributed in respect of the Collateral Loans of the Borrower, which the Borrower is entitled to receive, including all Collections in respect of its Collateral Loans;</w:t>
      </w:r>
    </w:p>
    <w:p>
      <w:pPr>
        <w:spacing w:after="0" w:line="148" w:lineRule="exact"/>
        <w:rPr>
          <w:rFonts w:ascii="Times New Roman" w:cs="Times New Roman" w:eastAsia="Times New Roman" w:hAnsi="Times New Roman"/>
          <w:sz w:val="16"/>
          <w:szCs w:val="16"/>
          <w:color w:val="auto"/>
        </w:rPr>
      </w:pPr>
    </w:p>
    <w:p>
      <w:pPr>
        <w:ind w:left="1840" w:right="1380" w:firstLine="44"/>
        <w:spacing w:after="0" w:line="255" w:lineRule="auto"/>
        <w:tabs>
          <w:tab w:leader="none" w:pos="2154"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Facility Document and all rights, remedies, powers, privileges and claims under or in respect thereto (whether arising pursuant to the terms thereof or otherwise available to the Borrower at law or equity), including the right to enforce each such Facility Document and to give or withhold any and all consents, requests, notices, directions, approvals, extensions or waivers under or with respect thereto, to the same extent as the Borrower could but for the assignment and security interest granted to the Collateral Agent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643255</wp:posOffset>
            </wp:positionV>
            <wp:extent cx="526605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6" w:name="page217"/>
    <w:bookmarkEnd w:id="216"/>
    <w:p>
      <w:pPr>
        <w:spacing w:after="0" w:line="270" w:lineRule="exact"/>
        <w:rPr>
          <w:sz w:val="20"/>
          <w:szCs w:val="20"/>
          <w:color w:val="auto"/>
        </w:rPr>
      </w:pPr>
    </w:p>
    <w:p>
      <w:pPr>
        <w:ind w:left="1840" w:right="1420" w:firstLine="44"/>
        <w:spacing w:after="0" w:line="283" w:lineRule="auto"/>
        <w:tabs>
          <w:tab w:leader="none" w:pos="2109"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Cash or Money in possession of the Borrower or delivered to the Collateral Agent (or its bailee);</w:t>
      </w:r>
    </w:p>
    <w:p>
      <w:pPr>
        <w:spacing w:after="0" w:line="131" w:lineRule="exact"/>
        <w:rPr>
          <w:rFonts w:ascii="Times New Roman" w:cs="Times New Roman" w:eastAsia="Times New Roman" w:hAnsi="Times New Roman"/>
          <w:sz w:val="16"/>
          <w:szCs w:val="16"/>
          <w:color w:val="auto"/>
        </w:rPr>
      </w:pPr>
    </w:p>
    <w:p>
      <w:pPr>
        <w:ind w:left="1840" w:right="1480" w:firstLine="44"/>
        <w:spacing w:after="0" w:line="198" w:lineRule="exact"/>
        <w:tabs>
          <w:tab w:leader="none" w:pos="215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accounts, chattel paper, deposit accounts, financial assets, general intangibles, instruments, investment property, letter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credit rights and other supporting obligations relating to the foregoing (in each case as defined in the UCC);</w:t>
      </w:r>
    </w:p>
    <w:p>
      <w:pPr>
        <w:spacing w:after="0" w:line="165" w:lineRule="exact"/>
        <w:rPr>
          <w:rFonts w:ascii="Times New Roman" w:cs="Times New Roman" w:eastAsia="Times New Roman" w:hAnsi="Times New Roman"/>
          <w:sz w:val="16"/>
          <w:szCs w:val="16"/>
          <w:color w:val="auto"/>
        </w:rPr>
      </w:pPr>
    </w:p>
    <w:p>
      <w:pPr>
        <w:ind w:left="1840" w:right="1580" w:firstLine="44"/>
        <w:spacing w:after="0" w:line="266" w:lineRule="auto"/>
        <w:tabs>
          <w:tab w:leader="none" w:pos="2198"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property of the Borrower and all property of the Borrower which is delivered to the Collateral Agent (or the Custodian on its behalf) by or on behalf of the Borrower (whether or not constituting Collateral Loans or Eligible Investments);</w:t>
      </w:r>
    </w:p>
    <w:p>
      <w:pPr>
        <w:spacing w:after="0" w:line="144" w:lineRule="exact"/>
        <w:rPr>
          <w:rFonts w:ascii="Times New Roman" w:cs="Times New Roman" w:eastAsia="Times New Roman" w:hAnsi="Times New Roman"/>
          <w:sz w:val="16"/>
          <w:szCs w:val="16"/>
          <w:color w:val="auto"/>
        </w:rPr>
      </w:pPr>
    </w:p>
    <w:p>
      <w:pPr>
        <w:jc w:val="both"/>
        <w:ind w:left="1840" w:right="1360" w:firstLine="44"/>
        <w:spacing w:after="0" w:line="261" w:lineRule="auto"/>
        <w:tabs>
          <w:tab w:leader="none" w:pos="2243"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security interests, liens, collateral, property, guaranties, supporting obligations, insurance and other agreements or arrangements of whatever character from time to time supporting or securing payment of the assets, investments and properties described above; and</w:t>
      </w:r>
    </w:p>
    <w:p>
      <w:pPr>
        <w:spacing w:after="0" w:line="148" w:lineRule="exact"/>
        <w:rPr>
          <w:rFonts w:ascii="Times New Roman" w:cs="Times New Roman" w:eastAsia="Times New Roman" w:hAnsi="Times New Roman"/>
          <w:sz w:val="16"/>
          <w:szCs w:val="16"/>
          <w:color w:val="auto"/>
        </w:rPr>
      </w:pPr>
    </w:p>
    <w:p>
      <w:pPr>
        <w:ind w:left="2160" w:hanging="276"/>
        <w:spacing w:after="0"/>
        <w:tabs>
          <w:tab w:leader="none" w:pos="216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Proceeds of any and all of the foregoing.</w:t>
      </w:r>
    </w:p>
    <w:p>
      <w:pPr>
        <w:spacing w:after="0" w:line="189" w:lineRule="exact"/>
        <w:rPr>
          <w:sz w:val="20"/>
          <w:szCs w:val="20"/>
          <w:color w:val="auto"/>
        </w:rPr>
      </w:pPr>
    </w:p>
    <w:p>
      <w:pPr>
        <w:ind w:left="1360" w:right="1400" w:firstLine="40"/>
        <w:spacing w:after="0" w:line="283" w:lineRule="auto"/>
        <w:tabs>
          <w:tab w:leader="none" w:pos="1629"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terms used in this Section 7.01 that are defined in the UCC but are not defined in Section 1.01 shall have the respective meanings assigned to such terms in the UCC.</w:t>
      </w:r>
    </w:p>
    <w:p>
      <w:pPr>
        <w:spacing w:after="0" w:line="129" w:lineRule="exact"/>
        <w:rPr>
          <w:sz w:val="20"/>
          <w:szCs w:val="20"/>
          <w:color w:val="auto"/>
        </w:rPr>
      </w:pPr>
    </w:p>
    <w:p>
      <w:pPr>
        <w:ind w:left="1360" w:right="1360" w:firstLine="40"/>
        <w:spacing w:after="0" w:line="253" w:lineRule="auto"/>
        <w:rPr>
          <w:sz w:val="20"/>
          <w:szCs w:val="20"/>
          <w:color w:val="auto"/>
        </w:rPr>
      </w:pPr>
      <w:r>
        <w:rPr>
          <w:rFonts w:ascii="Times New Roman" w:cs="Times New Roman" w:eastAsia="Times New Roman" w:hAnsi="Times New Roman"/>
          <w:sz w:val="16"/>
          <w:szCs w:val="16"/>
          <w:i w:val="1"/>
          <w:iCs w:val="1"/>
          <w:color w:val="auto"/>
        </w:rPr>
        <w:t>Section 7.02. Release of Security Interest</w:t>
      </w:r>
      <w:r>
        <w:rPr>
          <w:rFonts w:ascii="Times New Roman" w:cs="Times New Roman" w:eastAsia="Times New Roman" w:hAnsi="Times New Roman"/>
          <w:sz w:val="16"/>
          <w:szCs w:val="16"/>
          <w:color w:val="auto"/>
        </w:rPr>
        <w:t>. If and only if all Obligations have been paid in full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all Commitments have been terminated, the Collateral Agent (for itself and on behalf of the other Secured Parties) shall, at the expense of the Borrower, promptly execute, deliver and file or authorize for filing such instruments as the Borrower shall reasonably request in order to reassign, release or terminate the Secured Parties’ security interest in the Collateral. The Secured Parties acknowledge and agree that upon the sale or disposition of any Collateral by the Borrower in compliance with the terms and conditions of this Agreement, the security interest of the Secured Parties in such Collateral shall immediately terminate and the Collateral Agent (for itself and on behalf of the other Secured Parties) shall, at the expense of the Borrower, execute, deliver and file or authorize for filing such instrument as the Borrower shall reasonably request to reflect or evidence such termination. Any and all actions under this Article VII in respect of the Collateral shall be without any recourse to, or representation or warranty by any Secured Party and shall be at the sole cost and expense of the Borrower.</w:t>
      </w:r>
    </w:p>
    <w:p>
      <w:pPr>
        <w:spacing w:after="0" w:line="152" w:lineRule="exact"/>
        <w:rPr>
          <w:sz w:val="20"/>
          <w:szCs w:val="20"/>
          <w:color w:val="auto"/>
        </w:rPr>
      </w:pPr>
    </w:p>
    <w:p>
      <w:pPr>
        <w:ind w:left="1360" w:right="1400" w:firstLine="40"/>
        <w:spacing w:after="0" w:line="253" w:lineRule="auto"/>
        <w:rPr>
          <w:sz w:val="20"/>
          <w:szCs w:val="20"/>
          <w:color w:val="auto"/>
        </w:rPr>
      </w:pPr>
      <w:r>
        <w:rPr>
          <w:rFonts w:ascii="Times New Roman" w:cs="Times New Roman" w:eastAsia="Times New Roman" w:hAnsi="Times New Roman"/>
          <w:sz w:val="16"/>
          <w:szCs w:val="16"/>
          <w:i w:val="1"/>
          <w:iCs w:val="1"/>
          <w:color w:val="auto"/>
        </w:rPr>
        <w:t>Section 7.03. Rights and Remedies</w:t>
      </w:r>
      <w:r>
        <w:rPr>
          <w:rFonts w:ascii="Times New Roman" w:cs="Times New Roman" w:eastAsia="Times New Roman" w:hAnsi="Times New Roman"/>
          <w:sz w:val="16"/>
          <w:szCs w:val="16"/>
          <w:color w:val="auto"/>
        </w:rPr>
        <w:t>. The Collateral Agent (for itself and on behalf of the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Secured Parties) shall have all of the rights and remedies of a secured party under the UCC and other Applicable Law. Upon the occurrence and during the continuance of an Event of Default, the Collateral Agent or its designees shall, at the written direction of the Administrative Agent or the Required Lenders acting through the Administrative Agent, (i) instruct the Borrower to deliver any or all of the Collateral, the Related Documents and any other documents relating to the Collateral to the Collateral Agent or its designees and otherwise give all instructions for the Borrower regarding the Collateral; (ii) sell or otherwise dispose of the Collateral in a commercially reasonable manner, all without judicial process or proceedings; (iii) take control of the Proceeds of any such Collateral; (iv) subject to the provisions of the applicable Related Documents, exercise any consensual or voting rights in respect of the Collateral; (v) release, make extensions,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644525</wp:posOffset>
            </wp:positionV>
            <wp:extent cx="526605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7" w:name="page218"/>
    <w:bookmarkEnd w:id="217"/>
    <w:p>
      <w:pPr>
        <w:spacing w:after="0" w:line="270" w:lineRule="exact"/>
        <w:rPr>
          <w:sz w:val="20"/>
          <w:szCs w:val="20"/>
          <w:color w:val="auto"/>
        </w:rPr>
      </w:pPr>
    </w:p>
    <w:p>
      <w:pPr>
        <w:ind w:left="1360" w:right="1360"/>
        <w:spacing w:after="0" w:line="253" w:lineRule="auto"/>
        <w:rPr>
          <w:sz w:val="20"/>
          <w:szCs w:val="20"/>
          <w:color w:val="auto"/>
        </w:rPr>
      </w:pPr>
      <w:r>
        <w:rPr>
          <w:rFonts w:ascii="Times New Roman" w:cs="Times New Roman" w:eastAsia="Times New Roman" w:hAnsi="Times New Roman"/>
          <w:sz w:val="16"/>
          <w:szCs w:val="16"/>
          <w:color w:val="auto"/>
        </w:rPr>
        <w:t>discharges, exchanges or substitutions for, or surrender all or any part of the Collateral; (vi) enforce the Borrower’s rights and remedies with respect to the Collateral; (vii) institute and prosecute legal and equitable proceedings to enforce collection of, or realize upon, any of the Collateral; (viii) require that the Borrower immediately take all actions necessary to cause the liquidation of the Collateral in order to pay all amounts due and payable in respect of the Obligations, in accordance with the terms of the Related Documents; (ix) to redeem or withdraw or cause the Borrower to redeem or withdraw any asset of the Borrower to pay amounts due and payable in respect of the Obligations; (x) make copies of or, if necessary, remove from the Borrower’s, the Collateral Manager’s and their respective agents’ place of business all books, records and documents relating to the Collateral; and (xi) endorse the name of the Borrower upon any items of payment relating to the Collateral or upon any proof of claim in bankruptcy against an account debtor.</w:t>
      </w:r>
    </w:p>
    <w:p>
      <w:pPr>
        <w:spacing w:after="0" w:line="155" w:lineRule="exact"/>
        <w:rPr>
          <w:sz w:val="20"/>
          <w:szCs w:val="20"/>
          <w:color w:val="auto"/>
        </w:rPr>
      </w:pPr>
    </w:p>
    <w:p>
      <w:pPr>
        <w:ind w:left="1360" w:right="1400" w:firstLine="484"/>
        <w:spacing w:after="0" w:line="194" w:lineRule="exact"/>
        <w:rPr>
          <w:sz w:val="20"/>
          <w:szCs w:val="20"/>
          <w:color w:val="auto"/>
        </w:rPr>
      </w:pPr>
      <w:r>
        <w:rPr>
          <w:rFonts w:ascii="Times New Roman" w:cs="Times New Roman" w:eastAsia="Times New Roman" w:hAnsi="Times New Roman"/>
          <w:sz w:val="16"/>
          <w:szCs w:val="16"/>
          <w:color w:val="auto"/>
        </w:rPr>
        <w:t>The Borrower hereby agrees that, upon the occurrence and during the continuance of an Event of Default, at the request of either Agent or the Required Lenders (acting through the Administrative Agent), it shall execute all documents and agreements which are necessary or appropriate to have the Collateral to be assigned to the Collateral Agent or its designee. For purposes of taking the actions described in clauses (i) through (xi) of this Section 7.03 the Borrower hereby irrevocably appoints the Collateral Agent as its attorney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fact (which appointment being coupled with an interest and is irrevocable while any of the Obligations remain unpaid, with power of substitution), in the name of the Collateral Agent or in the name of the Borrower or otherwise, for the use and benefit of the Collateral Agent (for the benefit of the Secured Parties), but at the cost and expense of the Borrower and, except as permitted by applicable law, without notice to the Borrower.</w:t>
      </w:r>
    </w:p>
    <w:p>
      <w:pPr>
        <w:spacing w:after="0" w:line="163" w:lineRule="exact"/>
        <w:rPr>
          <w:sz w:val="20"/>
          <w:szCs w:val="20"/>
          <w:color w:val="auto"/>
        </w:rPr>
      </w:pPr>
    </w:p>
    <w:p>
      <w:pPr>
        <w:ind w:left="1360" w:right="1420" w:firstLine="40"/>
        <w:spacing w:after="0" w:line="254" w:lineRule="auto"/>
        <w:rPr>
          <w:sz w:val="20"/>
          <w:szCs w:val="20"/>
          <w:color w:val="auto"/>
        </w:rPr>
      </w:pPr>
      <w:r>
        <w:rPr>
          <w:rFonts w:ascii="Times New Roman" w:cs="Times New Roman" w:eastAsia="Times New Roman" w:hAnsi="Times New Roman"/>
          <w:sz w:val="16"/>
          <w:szCs w:val="16"/>
          <w:i w:val="1"/>
          <w:iCs w:val="1"/>
          <w:color w:val="auto"/>
        </w:rPr>
        <w:t>Section 7.04. Remedies Cumulative</w:t>
      </w:r>
      <w:r>
        <w:rPr>
          <w:rFonts w:ascii="Times New Roman" w:cs="Times New Roman" w:eastAsia="Times New Roman" w:hAnsi="Times New Roman"/>
          <w:sz w:val="16"/>
          <w:szCs w:val="16"/>
          <w:color w:val="auto"/>
        </w:rPr>
        <w:t>. Each right, power, and remedy of the Agents and the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Secured Parties, or any of them, as provided for in this Agreement or in the other Facility Documents or now or hereafter existing at law or in equity or by statute or otherwise shall be cumulative and concurrent and shall be in addition to every other right, power, or remedy provided for in this Agreement or in the other Facility Documents or now or hereafter existing at law or in equity or by statute or otherwise, and the exercise or beginning of the exercise by the Agents or any other Secured Party of any one or more of such rights, powers, or remedies shall not preclude the simultaneous or later exercise by such Persons of any or all such other rights, powers, or remedies.</w:t>
      </w:r>
    </w:p>
    <w:p>
      <w:pPr>
        <w:spacing w:after="0" w:line="154" w:lineRule="exact"/>
        <w:rPr>
          <w:sz w:val="20"/>
          <w:szCs w:val="20"/>
          <w:color w:val="auto"/>
        </w:rPr>
      </w:pPr>
    </w:p>
    <w:p>
      <w:pPr>
        <w:ind w:left="1360" w:right="1380" w:firstLine="40"/>
        <w:spacing w:after="0" w:line="254" w:lineRule="auto"/>
        <w:rPr>
          <w:sz w:val="20"/>
          <w:szCs w:val="20"/>
          <w:color w:val="auto"/>
        </w:rPr>
      </w:pPr>
      <w:r>
        <w:rPr>
          <w:rFonts w:ascii="Times New Roman" w:cs="Times New Roman" w:eastAsia="Times New Roman" w:hAnsi="Times New Roman"/>
          <w:sz w:val="16"/>
          <w:szCs w:val="16"/>
          <w:i w:val="1"/>
          <w:iCs w:val="1"/>
          <w:color w:val="auto"/>
        </w:rPr>
        <w:t>Section 7.05. Related Documents</w:t>
      </w:r>
      <w:r>
        <w:rPr>
          <w:rFonts w:ascii="Times New Roman" w:cs="Times New Roman" w:eastAsia="Times New Roman" w:hAnsi="Times New Roman"/>
          <w:sz w:val="16"/>
          <w:szCs w:val="16"/>
          <w:color w:val="auto"/>
        </w:rPr>
        <w:t>. (a) Each of the Borrower and the Collateral Manager hereby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agrees that, to the extent not expressly prohibited by the terms of the Related Documents, after the occurrence and during the continuance of an Event of Default, it shall (i) upon the written request of either Agent, promptly forward to such Agent and the Backup Collateral Manager all material information and notices which it receives under or in connection with the Related Documents relating to the Collateral, and (ii) upon the written request of either Agent, act and refrain from acting in respect of any request, act, decision or vote under or in connection with the Related Documents relating to the Collateral only in accordance with the direction of the Administrative Agent.</w:t>
      </w:r>
    </w:p>
    <w:p>
      <w:pPr>
        <w:spacing w:after="0" w:line="156" w:lineRule="exact"/>
        <w:rPr>
          <w:sz w:val="20"/>
          <w:szCs w:val="20"/>
          <w:color w:val="auto"/>
        </w:rPr>
      </w:pPr>
    </w:p>
    <w:p>
      <w:pPr>
        <w:ind w:left="1360" w:right="1640" w:firstLine="40"/>
        <w:spacing w:after="0" w:line="283" w:lineRule="auto"/>
        <w:tabs>
          <w:tab w:leader="none" w:pos="1629"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agrees that, to the extent the same shall be in the Borrower’s possession, it will hold all Related Documents relating to the Collateral in trust for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628015</wp:posOffset>
            </wp:positionV>
            <wp:extent cx="526605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8" w:name="page219"/>
    <w:bookmarkEnd w:id="218"/>
    <w:p>
      <w:pPr>
        <w:spacing w:after="0" w:line="270" w:lineRule="exact"/>
        <w:rPr>
          <w:sz w:val="20"/>
          <w:szCs w:val="20"/>
          <w:color w:val="auto"/>
        </w:rPr>
      </w:pPr>
    </w:p>
    <w:p>
      <w:pPr>
        <w:ind w:left="1360" w:right="1540"/>
        <w:spacing w:after="0" w:line="255" w:lineRule="auto"/>
        <w:rPr>
          <w:sz w:val="20"/>
          <w:szCs w:val="20"/>
          <w:color w:val="auto"/>
        </w:rPr>
      </w:pPr>
      <w:r>
        <w:rPr>
          <w:rFonts w:ascii="Times New Roman" w:cs="Times New Roman" w:eastAsia="Times New Roman" w:hAnsi="Times New Roman"/>
          <w:sz w:val="16"/>
          <w:szCs w:val="16"/>
          <w:color w:val="auto"/>
        </w:rPr>
        <w:t>Agent on behalf of the Secured Parties, and upon request of either Agent following the occurrence and during the continuance of an Event of Default or as otherwise provided herein, promptly deliver the same to the Collateral Agent or its designee (including the Custodian). In addition, in accordance with Article XIV, promptly following its acquisition of any Collateral Loan the Borrower shall deliver to the Custodian copies of the principal underlying documentation with respect to such Collateral Loan (e.g., loan or credit agreement, primary security agreement and guarantees, etc.).</w:t>
      </w:r>
    </w:p>
    <w:p>
      <w:pPr>
        <w:spacing w:after="0" w:line="153" w:lineRule="exact"/>
        <w:rPr>
          <w:sz w:val="20"/>
          <w:szCs w:val="20"/>
          <w:color w:val="auto"/>
        </w:rPr>
      </w:pPr>
    </w:p>
    <w:p>
      <w:pPr>
        <w:ind w:left="1360" w:right="1380" w:firstLine="40"/>
        <w:spacing w:after="0" w:line="256" w:lineRule="auto"/>
        <w:rPr>
          <w:sz w:val="20"/>
          <w:szCs w:val="20"/>
          <w:color w:val="auto"/>
        </w:rPr>
      </w:pPr>
      <w:r>
        <w:rPr>
          <w:rFonts w:ascii="Times New Roman" w:cs="Times New Roman" w:eastAsia="Times New Roman" w:hAnsi="Times New Roman"/>
          <w:sz w:val="16"/>
          <w:szCs w:val="16"/>
          <w:i w:val="1"/>
          <w:iCs w:val="1"/>
          <w:color w:val="auto"/>
        </w:rPr>
        <w:t>Section 7.06. Borrower Remains Liable</w:t>
      </w:r>
      <w:r>
        <w:rPr>
          <w:rFonts w:ascii="Times New Roman" w:cs="Times New Roman" w:eastAsia="Times New Roman" w:hAnsi="Times New Roman"/>
          <w:sz w:val="16"/>
          <w:szCs w:val="16"/>
          <w:color w:val="auto"/>
        </w:rPr>
        <w:t>. (a) Notwithstanding anything herein to the contrary, (i)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Borrower shall remain liable under the contracts and agreements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w:t>
      </w:r>
    </w:p>
    <w:p>
      <w:pPr>
        <w:spacing w:after="0" w:line="152" w:lineRule="exact"/>
        <w:rPr>
          <w:sz w:val="20"/>
          <w:szCs w:val="20"/>
          <w:color w:val="auto"/>
        </w:rPr>
      </w:pPr>
    </w:p>
    <w:p>
      <w:pPr>
        <w:ind w:left="1360" w:right="1400" w:firstLine="40"/>
        <w:spacing w:after="0" w:line="256" w:lineRule="auto"/>
        <w:tabs>
          <w:tab w:leader="none" w:pos="1629"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obligation or liability of the Borrower is intended to be assumed by the Administrative Agent or any other Secured Party under or as a result of this Agreement or the other Facility Documents, and the transactions contemplated hereby and thereby, including under any Related Document or any other agreement or document that relates to Collateral and, to the maximum extent permitted under provisions of law, the Administrative Agent and the other Secured Parties expressly disclaim any such assumption.</w:t>
      </w:r>
    </w:p>
    <w:p>
      <w:pPr>
        <w:spacing w:after="0" w:line="152" w:lineRule="exact"/>
        <w:rPr>
          <w:sz w:val="20"/>
          <w:szCs w:val="20"/>
          <w:color w:val="auto"/>
        </w:rPr>
      </w:pPr>
    </w:p>
    <w:p>
      <w:pPr>
        <w:ind w:left="1360" w:right="1340" w:firstLine="40"/>
        <w:spacing w:after="0" w:line="196" w:lineRule="exact"/>
        <w:rPr>
          <w:sz w:val="20"/>
          <w:szCs w:val="20"/>
          <w:color w:val="auto"/>
        </w:rPr>
      </w:pPr>
      <w:r>
        <w:rPr>
          <w:rFonts w:ascii="Times New Roman" w:cs="Times New Roman" w:eastAsia="Times New Roman" w:hAnsi="Times New Roman"/>
          <w:sz w:val="16"/>
          <w:szCs w:val="16"/>
          <w:i w:val="1"/>
          <w:iCs w:val="1"/>
          <w:color w:val="auto"/>
        </w:rPr>
        <w:t>Section 7.07. Protection of Collateral</w:t>
      </w:r>
      <w:r>
        <w:rPr>
          <w:rFonts w:ascii="Times New Roman" w:cs="Times New Roman" w:eastAsia="Times New Roman" w:hAnsi="Times New Roman"/>
          <w:sz w:val="16"/>
          <w:szCs w:val="16"/>
          <w:color w:val="auto"/>
        </w:rPr>
        <w:t>. The Borrower shall from time to time execute and deliver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all such supplements and amendments hereto and file or authorize the filing of all such UCC</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 financing statements, continuation statements, instruments of further assurance and other instruments, and shall take such other action as may be necessary or advisable or desirable to secure the rights and remedies of the Secured Parties hereunder and to:</w:t>
      </w:r>
    </w:p>
    <w:p>
      <w:pPr>
        <w:spacing w:after="0" w:line="165" w:lineRule="exact"/>
        <w:rPr>
          <w:sz w:val="20"/>
          <w:szCs w:val="20"/>
          <w:color w:val="auto"/>
        </w:rPr>
      </w:pPr>
    </w:p>
    <w:p>
      <w:pPr>
        <w:ind w:left="2080" w:hanging="196"/>
        <w:spacing w:after="0"/>
        <w:tabs>
          <w:tab w:leader="none" w:pos="208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security more effectively on all or any portion of the Collateral;</w:t>
      </w:r>
    </w:p>
    <w:p>
      <w:pPr>
        <w:spacing w:after="0" w:line="189" w:lineRule="exact"/>
        <w:rPr>
          <w:rFonts w:ascii="Times New Roman" w:cs="Times New Roman" w:eastAsia="Times New Roman" w:hAnsi="Times New Roman"/>
          <w:sz w:val="16"/>
          <w:szCs w:val="16"/>
          <w:color w:val="auto"/>
        </w:rPr>
      </w:pPr>
    </w:p>
    <w:p>
      <w:pPr>
        <w:ind w:left="1840" w:right="1540" w:firstLine="44"/>
        <w:spacing w:after="0" w:line="266" w:lineRule="auto"/>
        <w:tabs>
          <w:tab w:leader="none" w:pos="2118"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preserve and perfect any grant of security made or to be made by this Agreement including, without limitation, the first priority nature of the lien or carry out more effectively the purposes hereof;</w:t>
      </w:r>
    </w:p>
    <w:p>
      <w:pPr>
        <w:spacing w:after="0" w:line="144" w:lineRule="exact"/>
        <w:rPr>
          <w:rFonts w:ascii="Times New Roman" w:cs="Times New Roman" w:eastAsia="Times New Roman" w:hAnsi="Times New Roman"/>
          <w:sz w:val="16"/>
          <w:szCs w:val="16"/>
          <w:color w:val="auto"/>
        </w:rPr>
      </w:pPr>
    </w:p>
    <w:p>
      <w:pPr>
        <w:jc w:val="both"/>
        <w:ind w:left="1840" w:right="1480" w:firstLine="44"/>
        <w:spacing w:after="0" w:line="266" w:lineRule="auto"/>
        <w:tabs>
          <w:tab w:leader="none" w:pos="2163"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perfect, publish notice of or protect the validity of any grant made or to be made by this Agreement (including, without limitation, any and all actions necessary or desirable as a result of changes in law or regulations);</w:t>
      </w:r>
    </w:p>
    <w:p>
      <w:pPr>
        <w:spacing w:after="0" w:line="144" w:lineRule="exact"/>
        <w:rPr>
          <w:rFonts w:ascii="Times New Roman" w:cs="Times New Roman" w:eastAsia="Times New Roman" w:hAnsi="Times New Roman"/>
          <w:sz w:val="16"/>
          <w:szCs w:val="16"/>
          <w:color w:val="auto"/>
        </w:rPr>
      </w:pPr>
    </w:p>
    <w:p>
      <w:pPr>
        <w:ind w:left="1840" w:right="1920" w:firstLine="44"/>
        <w:spacing w:after="0" w:line="283" w:lineRule="auto"/>
        <w:tabs>
          <w:tab w:leader="none" w:pos="2154"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enforce any of the Collateral or other instruments or property included in the Collateral;</w:t>
      </w:r>
    </w:p>
    <w:p>
      <w:pPr>
        <w:spacing w:after="0" w:line="131" w:lineRule="exact"/>
        <w:rPr>
          <w:rFonts w:ascii="Times New Roman" w:cs="Times New Roman" w:eastAsia="Times New Roman" w:hAnsi="Times New Roman"/>
          <w:sz w:val="16"/>
          <w:szCs w:val="16"/>
          <w:color w:val="auto"/>
        </w:rPr>
      </w:pPr>
    </w:p>
    <w:p>
      <w:pPr>
        <w:jc w:val="center"/>
        <w:ind w:left="1840" w:right="1440" w:firstLine="44"/>
        <w:spacing w:after="0" w:line="283" w:lineRule="auto"/>
        <w:tabs>
          <w:tab w:leader="none" w:pos="2109"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preserve and defend title to the Collateral and the rights therein of the Collateral Agent and the Secured Parties in the Collateral against the claims of all third parties;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628015</wp:posOffset>
            </wp:positionV>
            <wp:extent cx="526605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9" w:name="page220"/>
    <w:bookmarkEnd w:id="219"/>
    <w:p>
      <w:pPr>
        <w:spacing w:after="0" w:line="270" w:lineRule="exact"/>
        <w:rPr>
          <w:sz w:val="20"/>
          <w:szCs w:val="20"/>
          <w:color w:val="auto"/>
        </w:rPr>
      </w:pPr>
    </w:p>
    <w:p>
      <w:pPr>
        <w:ind w:left="1840" w:right="1580" w:firstLine="44"/>
        <w:spacing w:after="0" w:line="283" w:lineRule="auto"/>
        <w:tabs>
          <w:tab w:leader="none" w:pos="2154"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or cause to be paid any and all taxes levied or assessed upon all or any part of the Collateral.</w:t>
      </w:r>
    </w:p>
    <w:p>
      <w:pPr>
        <w:spacing w:after="0" w:line="131" w:lineRule="exact"/>
        <w:rPr>
          <w:sz w:val="20"/>
          <w:szCs w:val="20"/>
          <w:color w:val="auto"/>
        </w:rPr>
      </w:pPr>
    </w:p>
    <w:p>
      <w:pPr>
        <w:ind w:left="1360" w:right="1380" w:firstLine="484"/>
        <w:spacing w:after="0" w:line="194" w:lineRule="exact"/>
        <w:rPr>
          <w:sz w:val="20"/>
          <w:szCs w:val="20"/>
          <w:color w:val="auto"/>
        </w:rPr>
      </w:pPr>
      <w:r>
        <w:rPr>
          <w:rFonts w:ascii="Times New Roman" w:cs="Times New Roman" w:eastAsia="Times New Roman" w:hAnsi="Times New Roman"/>
          <w:sz w:val="16"/>
          <w:szCs w:val="16"/>
          <w:color w:val="auto"/>
        </w:rPr>
        <w:t>The Borrower hereby designates the Collateral Agent as its agent and attorney in fact to prepare and file any UCC</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 financing statement, continuation statement and all other instruments, and take all other actions, required pursuant to this Section 7.07. Such designation shall not impose upon the Collateral Agent, or release or diminish, the Borrower’s obligations under this Section 7.07 or Section 5.01(c). The Borrower further authorizes and shall cause the Borrower’s counsel to file, without the Borrower’s signature, UCC</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 financing statements that names the Borrower as debtor and the Collateral Agent as secured party and that describes “all assets in which the debtor now or hereafter has rights” as the Collateral in which the Collateral Agent has a grant of security hereunder and any amendments or continuation statements that may be necessary or desirable.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VIII</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Accounts, Accountings and Releases</w:t>
      </w:r>
    </w:p>
    <w:p>
      <w:pPr>
        <w:spacing w:after="0" w:line="187" w:lineRule="exact"/>
        <w:rPr>
          <w:sz w:val="20"/>
          <w:szCs w:val="20"/>
          <w:color w:val="auto"/>
        </w:rPr>
      </w:pPr>
    </w:p>
    <w:p>
      <w:pPr>
        <w:ind w:left="1360" w:right="1360" w:firstLine="40"/>
        <w:spacing w:after="0" w:line="253" w:lineRule="auto"/>
        <w:rPr>
          <w:sz w:val="20"/>
          <w:szCs w:val="20"/>
          <w:color w:val="auto"/>
        </w:rPr>
      </w:pPr>
      <w:r>
        <w:rPr>
          <w:rFonts w:ascii="Times New Roman" w:cs="Times New Roman" w:eastAsia="Times New Roman" w:hAnsi="Times New Roman"/>
          <w:sz w:val="16"/>
          <w:szCs w:val="16"/>
          <w:i w:val="1"/>
          <w:iCs w:val="1"/>
          <w:color w:val="auto"/>
        </w:rPr>
        <w:t>Section 8.01. Collection of Money</w:t>
      </w:r>
      <w:r>
        <w:rPr>
          <w:rFonts w:ascii="Times New Roman" w:cs="Times New Roman" w:eastAsia="Times New Roman" w:hAnsi="Times New Roman"/>
          <w:sz w:val="16"/>
          <w:szCs w:val="16"/>
          <w:color w:val="auto"/>
        </w:rPr>
        <w:t>. Except as otherwise expressly provided herein,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Collateral Agent may demand payment or delivery of, and shall receive and collect, directly and without intervention or assistance of any fiscal agent or other intermediary, all Money and other property payable to or receivable by the Collateral Agent pursuant to this Agreement, including all payments due on the Collateral, in accordance with the terms and conditions of such Collateral. The Collateral Agent shall segregate and hold all such Money and property received by it in trust for the Secured Parties and shall apply it as provided in this Agreement. Each Covered Account shall be established and maintained under the Account Control Agreement with a Qualified Institution. Any Covered Account may contain any number of subaccounts for the convenience of the Collateral Agent or as required by the Collateral Manager for convenience in administering the Covered Account or the Collateral.</w:t>
      </w:r>
    </w:p>
    <w:p>
      <w:pPr>
        <w:spacing w:after="0" w:line="157" w:lineRule="exact"/>
        <w:rPr>
          <w:sz w:val="20"/>
          <w:szCs w:val="20"/>
          <w:color w:val="auto"/>
        </w:rPr>
      </w:pPr>
    </w:p>
    <w:p>
      <w:pPr>
        <w:ind w:left="1360" w:right="1380" w:firstLine="40"/>
        <w:spacing w:after="0" w:line="252" w:lineRule="auto"/>
        <w:rPr>
          <w:sz w:val="20"/>
          <w:szCs w:val="20"/>
          <w:color w:val="auto"/>
        </w:rPr>
      </w:pPr>
      <w:r>
        <w:rPr>
          <w:rFonts w:ascii="Times New Roman" w:cs="Times New Roman" w:eastAsia="Times New Roman" w:hAnsi="Times New Roman"/>
          <w:sz w:val="16"/>
          <w:szCs w:val="16"/>
          <w:i w:val="1"/>
          <w:iCs w:val="1"/>
          <w:color w:val="auto"/>
        </w:rPr>
        <w:t>Section 8.02. Collection Account</w:t>
      </w:r>
      <w:r>
        <w:rPr>
          <w:rFonts w:ascii="Times New Roman" w:cs="Times New Roman" w:eastAsia="Times New Roman" w:hAnsi="Times New Roman"/>
          <w:sz w:val="16"/>
          <w:szCs w:val="16"/>
          <w:color w:val="auto"/>
        </w:rPr>
        <w:t>. (a) In accordance with this Agreement and the Account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Control Agreement, the Collateral Agent shall, on or prior to the Closing Date, establish at the Custodian a single, segregated trust account in the name “PennantPark Floating Rate Funding I, LLC Collection Account, subject to the lien of the Collateral Agent”, which shall be designated as the “Collection Account”, which shall be maintained with the Custodian in accordance with the Account Control Agreement and which shall be subject to the lien of the Collateral Agent. In addition, the Collateral Agent shall establish two segregated accounts which for perfection purposes will be treated as sub-accounts within the Collection Account, one of which will be designated the “Interest Collection Subaccount” and one of which will be designated the “Principal Collection Subaccount”. The Collateral Agent shall from time to time deposit into the Interest Collection Subaccount, in addition to the deposits required pursuant to Section 8.05(a), immediately upon receipt thereof all Interest Proceeds received by the Collateral Agent. The Collateral Agent shall deposit immediately upon receipt thereof all other amounts remitted to the Collection Account into the Principal Collection Subaccount including, in addition to the deposits required pursuant to Section 8.05(a), all Principal Proceeds (unless simultaneously reinvested in additional Collateral Loans in accordance with Article X or in Eligible Investments or required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768350</wp:posOffset>
            </wp:positionV>
            <wp:extent cx="526605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0" w:name="page221"/>
    <w:bookmarkEnd w:id="220"/>
    <w:p>
      <w:pPr>
        <w:spacing w:after="0" w:line="270" w:lineRule="exact"/>
        <w:rPr>
          <w:sz w:val="20"/>
          <w:szCs w:val="20"/>
          <w:color w:val="auto"/>
        </w:rPr>
      </w:pPr>
    </w:p>
    <w:p>
      <w:pPr>
        <w:ind w:left="1360" w:right="1400"/>
        <w:spacing w:after="0" w:line="253" w:lineRule="auto"/>
        <w:rPr>
          <w:sz w:val="20"/>
          <w:szCs w:val="20"/>
          <w:color w:val="auto"/>
        </w:rPr>
      </w:pPr>
      <w:r>
        <w:rPr>
          <w:rFonts w:ascii="Times New Roman" w:cs="Times New Roman" w:eastAsia="Times New Roman" w:hAnsi="Times New Roman"/>
          <w:sz w:val="16"/>
          <w:szCs w:val="16"/>
          <w:color w:val="auto"/>
        </w:rPr>
        <w:t>be deposited in the Revolving Reserve Account pursuant to Section 8.04) received by the Collateral Agent. In addition, for each Agreed Foreign Currency, the Collateral Agent shall establish segregated accounts that each constitute a Principal Collection Subaccount and Interest Collection Subaccount for each Agreed Foreign Currency. Any amounts received by the Collateral Agent that are denominated in an Agreed Foreign Currency that are required to be deposited into the Principal Collection Subaccount or the Interest Collection Subaccount shall be deposited by the Collateral Agent into the applicable Principal Collection Subaccount or Interest Collection Subaccount, as applicable, for such Agreed Foreign Currency. All Monies deposited from time to time in the Collection Account pursuant to this Agreement shall be held by the Collateral Agent as part of the Collateral and shall be applied to the purposes herein provided. Subject to Section 8.02(c), amounts in the Collection Account shall be reinvested pursuant to Section 8.05(a).</w:t>
      </w:r>
    </w:p>
    <w:p>
      <w:pPr>
        <w:spacing w:after="0" w:line="155" w:lineRule="exact"/>
        <w:rPr>
          <w:sz w:val="20"/>
          <w:szCs w:val="20"/>
          <w:color w:val="auto"/>
        </w:rPr>
      </w:pPr>
    </w:p>
    <w:p>
      <w:pPr>
        <w:ind w:left="1360" w:right="1380" w:firstLine="40"/>
        <w:spacing w:after="0" w:line="252" w:lineRule="auto"/>
        <w:tabs>
          <w:tab w:leader="none" w:pos="1629"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when reinvestment is permitted pursuant to Article X, the Collateral Manager on behalf of the Borrower may by delivery of a certificate of a Responsible Officer direct the Collateral Agent to, and upon receipt of such certificate the Collateral Agent shall, withdraw funds on deposit in the Principal Collection Subaccounts representing Principal Proceeds (together with accrued interest received with regard to any Collateral Loan and Interest Proceeds but only to the extent used to pay for accrued interest on an additional Collateral Loan) and reinvest such funds in additional Collateral Loans or exercise a warrant held in the Collateral, in each case in accordance with the requirements of Article X and such certificate. At any time as of which no funds are on deposit in the Revolving Reserve Account, the Collateral Manager on behalf of the Borrower may by delivery of a certificate of a Responsible Officer direct the Collateral Agent to, and upon receipt of such certificate the Collateral Agent shall, withdraw funds on deposit in the applicable Principal Collection Subaccount representing Principal Proceeds and remit such funds as so directed by the Collateral Manager to meet the Borrower’s funding obligations in respect of Delayed Drawdown Collateral Loans or Revolving Collateral Loans.</w:t>
      </w:r>
    </w:p>
    <w:p>
      <w:pPr>
        <w:spacing w:after="0" w:line="159" w:lineRule="exact"/>
        <w:rPr>
          <w:rFonts w:ascii="Times New Roman" w:cs="Times New Roman" w:eastAsia="Times New Roman" w:hAnsi="Times New Roman"/>
          <w:sz w:val="16"/>
          <w:szCs w:val="16"/>
          <w:color w:val="auto"/>
        </w:rPr>
      </w:pPr>
    </w:p>
    <w:p>
      <w:pPr>
        <w:ind w:left="1360" w:right="1440" w:firstLine="40"/>
        <w:spacing w:after="0" w:line="266" w:lineRule="auto"/>
        <w:tabs>
          <w:tab w:leader="none" w:pos="162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shall transfer to the applicable Payment Account, from the Collection Account for application pursuant to Section 9.01(a), on each Payment Date, the amount set forth to be so transferred in the Payment Date Report for such Payment Date.</w:t>
      </w:r>
    </w:p>
    <w:p>
      <w:pPr>
        <w:spacing w:after="0" w:line="143" w:lineRule="exact"/>
        <w:rPr>
          <w:sz w:val="20"/>
          <w:szCs w:val="20"/>
          <w:color w:val="auto"/>
        </w:rPr>
      </w:pPr>
    </w:p>
    <w:p>
      <w:pPr>
        <w:ind w:left="1360" w:right="1360" w:firstLine="40"/>
        <w:spacing w:after="0" w:line="252" w:lineRule="auto"/>
        <w:rPr>
          <w:sz w:val="20"/>
          <w:szCs w:val="20"/>
          <w:color w:val="auto"/>
        </w:rPr>
      </w:pPr>
      <w:r>
        <w:rPr>
          <w:rFonts w:ascii="Times New Roman" w:cs="Times New Roman" w:eastAsia="Times New Roman" w:hAnsi="Times New Roman"/>
          <w:sz w:val="16"/>
          <w:szCs w:val="16"/>
          <w:i w:val="1"/>
          <w:iCs w:val="1"/>
          <w:color w:val="auto"/>
        </w:rPr>
        <w:t>Section 8.03. Transaction Accounts</w:t>
      </w:r>
      <w:r>
        <w:rPr>
          <w:rFonts w:ascii="Times New Roman" w:cs="Times New Roman" w:eastAsia="Times New Roman" w:hAnsi="Times New Roman"/>
          <w:sz w:val="16"/>
          <w:szCs w:val="16"/>
          <w:color w:val="auto"/>
        </w:rPr>
        <w:t>. (a)</w:t>
      </w:r>
      <w:r>
        <w:rPr>
          <w:rFonts w:ascii="Times New Roman" w:cs="Times New Roman" w:eastAsia="Times New Roman" w:hAnsi="Times New Roman"/>
          <w:sz w:val="16"/>
          <w:szCs w:val="16"/>
          <w:i w:val="1"/>
          <w:iCs w:val="1"/>
          <w:color w:val="auto"/>
        </w:rPr>
        <w:t xml:space="preserve"> Payment Account</w:t>
      </w:r>
      <w:r>
        <w:rPr>
          <w:rFonts w:ascii="Times New Roman" w:cs="Times New Roman" w:eastAsia="Times New Roman" w:hAnsi="Times New Roman"/>
          <w:sz w:val="16"/>
          <w:szCs w:val="16"/>
          <w:color w:val="auto"/>
        </w:rPr>
        <w:t>. In accordance with this Agreement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the Account Control Agreement, the Borrower shall, on or prior to the Closing Date, establish at the Custodian a single, segregated trust account in the name “PennantPark Floating Rate Funding I, LLC Payment Account, subject to the lien of the Collateral Agent”, which shall be designated as the “Payment Account”, which shall be maintained by the Borrower with the Custodian in accordance with the Account Control Agreement and which shall be subject to the lien of the Collateral Agent. In addition, for each Agreed Foreign Currency, the Collateral Agent shall establish segregated accounts that each constitute a Payment Account for such Agreed Foreign Currency. Any amounts received by the Collateral Agent that are denominated in an Agreed Foreign Currency that are required to be deposited into the Payment Account shall be deposited by the Collateral Agent into the applicable Payment Account for such Agreed Foreign Currency. Except as provided in Section 9.01, the only permitted withdrawal from or application of funds on deposit in, or otherwise to the credit of, the Payment Accounts shall be to pay amounts due and payable under the Priority of Payments on the Payment Dates in accordance with their terms and the provisions of this Agreement. The Borrower shall not have any legal, equitable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646430</wp:posOffset>
            </wp:positionV>
            <wp:extent cx="526605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1" w:name="page222"/>
    <w:bookmarkEnd w:id="221"/>
    <w:p>
      <w:pPr>
        <w:spacing w:after="0" w:line="270" w:lineRule="exact"/>
        <w:rPr>
          <w:sz w:val="20"/>
          <w:szCs w:val="20"/>
          <w:color w:val="auto"/>
        </w:rPr>
      </w:pPr>
    </w:p>
    <w:p>
      <w:pPr>
        <w:ind w:left="1360" w:right="1360"/>
        <w:spacing w:after="0" w:line="283" w:lineRule="auto"/>
        <w:rPr>
          <w:sz w:val="20"/>
          <w:szCs w:val="20"/>
          <w:color w:val="auto"/>
        </w:rPr>
      </w:pPr>
      <w:r>
        <w:rPr>
          <w:rFonts w:ascii="Times New Roman" w:cs="Times New Roman" w:eastAsia="Times New Roman" w:hAnsi="Times New Roman"/>
          <w:sz w:val="16"/>
          <w:szCs w:val="16"/>
          <w:color w:val="auto"/>
        </w:rPr>
        <w:t>beneficial interest in the Payment Accounts other than in accordance with this Agreement and the Priority of Payments.</w:t>
      </w:r>
    </w:p>
    <w:p>
      <w:pPr>
        <w:spacing w:after="0" w:line="129" w:lineRule="exact"/>
        <w:rPr>
          <w:sz w:val="20"/>
          <w:szCs w:val="20"/>
          <w:color w:val="auto"/>
        </w:rPr>
      </w:pPr>
    </w:p>
    <w:p>
      <w:pPr>
        <w:ind w:left="1360" w:right="1360" w:firstLine="40"/>
        <w:spacing w:after="0" w:line="253" w:lineRule="auto"/>
        <w:tabs>
          <w:tab w:leader="none" w:pos="1633"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Custodial Account</w:t>
      </w:r>
      <w:r>
        <w:rPr>
          <w:rFonts w:ascii="Times New Roman" w:cs="Times New Roman" w:eastAsia="Times New Roman" w:hAnsi="Times New Roman"/>
          <w:sz w:val="16"/>
          <w:szCs w:val="16"/>
          <w:color w:val="auto"/>
        </w:rPr>
        <w:t>. In accordance with this Agreement and the Account Control Agreement,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Borrower shall, on or prior to the Closing Date, establish at the Custodian a single, segregated trust account in the name “PennantPark Floating Rate Funding I, LLC Custodial Account, subject to the lien of the Collateral Agent”, which shall be designated as the “Custodial Account”, which shall be maintained by the Borrower with the Custodian in accordance with the Account Control Agreement and which shall be subject to the lien of the Collateral Agent. All Collateral Loans (other than such Loans evidenced by Participation Interests, Noteless Loans or which is an account or general intangible) shall be credited to the Custodial Account. The only permitted withdrawals from the Custodial Account shall be in accordance with the provisions of this Agreement. The Collateral Agent agrees to give the Borrower prompt notice if (to the Collateral Agent’s actual knowledge) the Custodial Account or any assets or securities on deposit therein, or otherwise to the credit of the Custodial Account, shall become subject to any writ, order, judgment, warrant of attachment, execution or similar process.</w:t>
      </w:r>
    </w:p>
    <w:p>
      <w:pPr>
        <w:spacing w:after="0" w:line="152" w:lineRule="exact"/>
        <w:rPr>
          <w:sz w:val="20"/>
          <w:szCs w:val="20"/>
          <w:color w:val="auto"/>
        </w:rPr>
      </w:pPr>
    </w:p>
    <w:p>
      <w:pPr>
        <w:ind w:left="1360" w:right="1360" w:firstLine="40"/>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Section 8.04. The Revolving Reserve Account; Fundings </w:t>
      </w:r>
      <w:r>
        <w:rPr>
          <w:rFonts w:ascii="Times New Roman" w:cs="Times New Roman" w:eastAsia="Times New Roman" w:hAnsi="Times New Roman"/>
          <w:sz w:val="16"/>
          <w:szCs w:val="16"/>
          <w:color w:val="auto"/>
        </w:rPr>
        <w:t>. (a) In accordance with this Agreement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and the Account Control Agreement, the Borrower shall, on or prior to the Closing Date, establish at the Custodian a single, segregated trust account in the name “PennantPark Floating Rate Funding I, LLC Revolving Reserve Account, subject to the lien of the Collateral Agent”, which shall be designated as the </w:t>
      </w:r>
      <w:r>
        <w:rPr>
          <w:rFonts w:ascii="Times New Roman" w:cs="Times New Roman" w:eastAsia="Times New Roman" w:hAnsi="Times New Roman"/>
          <w:sz w:val="16"/>
          <w:szCs w:val="16"/>
          <w:i w:val="1"/>
          <w:iCs w:val="1"/>
          <w:color w:val="auto"/>
        </w:rPr>
        <w:t>“Revolving Reserve Account”,</w:t>
      </w:r>
      <w:r>
        <w:rPr>
          <w:rFonts w:ascii="Times New Roman" w:cs="Times New Roman" w:eastAsia="Times New Roman" w:hAnsi="Times New Roman"/>
          <w:sz w:val="16"/>
          <w:szCs w:val="16"/>
          <w:color w:val="auto"/>
        </w:rPr>
        <w:t xml:space="preserve"> which shall be maintained by the Borrower with the Custodian in accordance with the Account Control Agreement and which shall be subject to the lien of the Collateral Agent. The only permitted deposits to or withdrawals from the Revolving Reserve Account shall be in accordance with the provisions of this Agreement. The Borrower shall not have any legal, equitable or beneficial interest in the Revolving Reserve Account other than in accordance with this Agreement and the Priority of Payments.</w:t>
      </w:r>
    </w:p>
    <w:p>
      <w:pPr>
        <w:spacing w:after="0" w:line="153" w:lineRule="exact"/>
        <w:rPr>
          <w:sz w:val="20"/>
          <w:szCs w:val="20"/>
          <w:color w:val="auto"/>
        </w:rPr>
      </w:pPr>
    </w:p>
    <w:p>
      <w:pPr>
        <w:ind w:left="1360" w:right="1380" w:firstLine="525"/>
        <w:spacing w:after="0" w:line="254" w:lineRule="auto"/>
        <w:rPr>
          <w:sz w:val="20"/>
          <w:szCs w:val="20"/>
          <w:color w:val="auto"/>
        </w:rPr>
      </w:pPr>
      <w:r>
        <w:rPr>
          <w:rFonts w:ascii="Times New Roman" w:cs="Times New Roman" w:eastAsia="Times New Roman" w:hAnsi="Times New Roman"/>
          <w:sz w:val="16"/>
          <w:szCs w:val="16"/>
          <w:color w:val="auto"/>
        </w:rPr>
        <w:t xml:space="preserve">On the Commitment Termination Date and at all times thereafter, the Borrower shall maintain an amount (the </w:t>
      </w:r>
      <w:r>
        <w:rPr>
          <w:rFonts w:ascii="Times New Roman" w:cs="Times New Roman" w:eastAsia="Times New Roman" w:hAnsi="Times New Roman"/>
          <w:sz w:val="16"/>
          <w:szCs w:val="16"/>
          <w:i w:val="1"/>
          <w:iCs w:val="1"/>
          <w:color w:val="auto"/>
        </w:rPr>
        <w:t>“Revolving Reserve Required Amount”</w:t>
      </w:r>
      <w:r>
        <w:rPr>
          <w:rFonts w:ascii="Times New Roman" w:cs="Times New Roman" w:eastAsia="Times New Roman" w:hAnsi="Times New Roman"/>
          <w:sz w:val="16"/>
          <w:szCs w:val="16"/>
          <w:color w:val="auto"/>
        </w:rPr>
        <w:t xml:space="preserve">) in the Revolving Reserve Account at least equal to the sum of (x) the Revolving Exposure,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(y) the Dollar Equivalent of the aggregate amount of funds needed to settle purchases of Collateral Loans which the Borrower committed, prior to the end of the Reinvestment Period, to acquire after the Commitment Termination Date. Prior to or immediately after the occurrence of the Commitment Termination Date (other than a Commitment Termination Date following the occurrence of an Insolvency Event with respect to the Borrower), the Borrower shall request a final Borrowing in an amount sufficient to fund the Revolving Reserve Required Amount.</w:t>
      </w:r>
    </w:p>
    <w:p>
      <w:pPr>
        <w:spacing w:after="0" w:line="154" w:lineRule="exact"/>
        <w:rPr>
          <w:sz w:val="20"/>
          <w:szCs w:val="20"/>
          <w:color w:val="auto"/>
        </w:rPr>
      </w:pPr>
    </w:p>
    <w:p>
      <w:pPr>
        <w:ind w:left="1360" w:right="1380" w:firstLine="484"/>
        <w:spacing w:after="0" w:line="254" w:lineRule="auto"/>
        <w:rPr>
          <w:sz w:val="20"/>
          <w:szCs w:val="20"/>
          <w:color w:val="auto"/>
        </w:rPr>
      </w:pPr>
      <w:r>
        <w:rPr>
          <w:rFonts w:ascii="Times New Roman" w:cs="Times New Roman" w:eastAsia="Times New Roman" w:hAnsi="Times New Roman"/>
          <w:sz w:val="16"/>
          <w:szCs w:val="16"/>
          <w:color w:val="auto"/>
        </w:rPr>
        <w:t xml:space="preserve">Amounts on deposit in the Revolving Reserve Account will be invested in overnight funds that are Eligible Investments selected by the Collateral Manager pursuant to Section 8.05 and earnings from all such investments will be deposited in the Interest Collection Subaccount as Interest Proceeds. Funds in the Revolving Reserve Account (other than earnings from Eligible Investments therein) will be available solely to cover drawdowns on the Delayed Drawdown Collateral Loans and Revolving Collateral Loans,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to the extent that the aggregate amount of funds on deposit therein at any time exceeds the Revolving Reserve Required Amount, the Borrower shall direct the Collateral Agent to and the Collateral Agent shall remit such excess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766445</wp:posOffset>
            </wp:positionV>
            <wp:extent cx="526605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2" w:name="page223"/>
    <w:bookmarkEnd w:id="222"/>
    <w:p>
      <w:pPr>
        <w:spacing w:after="0" w:line="270" w:lineRule="exact"/>
        <w:rPr>
          <w:sz w:val="20"/>
          <w:szCs w:val="20"/>
          <w:color w:val="auto"/>
        </w:rPr>
      </w:pPr>
    </w:p>
    <w:p>
      <w:pPr>
        <w:ind w:left="1360" w:right="1440"/>
        <w:spacing w:after="0" w:line="261" w:lineRule="auto"/>
        <w:rPr>
          <w:sz w:val="20"/>
          <w:szCs w:val="20"/>
          <w:color w:val="auto"/>
        </w:rPr>
      </w:pPr>
      <w:r>
        <w:rPr>
          <w:rFonts w:ascii="Times New Roman" w:cs="Times New Roman" w:eastAsia="Times New Roman" w:hAnsi="Times New Roman"/>
          <w:sz w:val="16"/>
          <w:szCs w:val="16"/>
          <w:color w:val="auto"/>
        </w:rPr>
        <w:t>to the applicable Principal Collection Subaccount. In addition, following the occurrence and during the continuance of an Event of Default, funds in the Revolving Reserve Account may be withdrawn by the Collateral Agent and deposited into the Principal Collection Subaccount at the direction of the Administrative Agent.</w:t>
      </w:r>
    </w:p>
    <w:p>
      <w:pPr>
        <w:spacing w:after="0" w:line="146" w:lineRule="exact"/>
        <w:rPr>
          <w:sz w:val="20"/>
          <w:szCs w:val="20"/>
          <w:color w:val="auto"/>
        </w:rPr>
      </w:pPr>
    </w:p>
    <w:p>
      <w:pPr>
        <w:ind w:left="1360" w:right="1380" w:firstLine="40"/>
        <w:spacing w:after="0" w:line="251" w:lineRule="auto"/>
        <w:rPr>
          <w:sz w:val="20"/>
          <w:szCs w:val="20"/>
          <w:color w:val="auto"/>
        </w:rPr>
      </w:pPr>
      <w:r>
        <w:rPr>
          <w:rFonts w:ascii="Times New Roman" w:cs="Times New Roman" w:eastAsia="Times New Roman" w:hAnsi="Times New Roman"/>
          <w:sz w:val="16"/>
          <w:szCs w:val="16"/>
          <w:i w:val="1"/>
          <w:iCs w:val="1"/>
          <w:color w:val="auto"/>
        </w:rPr>
        <w:t>Section 8.05. Reinvestment of Funds in Covered Accounts; Reports by Collateral Agent</w:t>
      </w:r>
      <w:r>
        <w:rPr>
          <w:rFonts w:ascii="Times New Roman" w:cs="Times New Roman" w:eastAsia="Times New Roman" w:hAnsi="Times New Roman"/>
          <w:sz w:val="16"/>
          <w:szCs w:val="16"/>
          <w:color w:val="auto"/>
        </w:rPr>
        <w:t>. (a)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delivery of a certificate of a Responsible Officer (which may be in the form of standing instructions), the Borrower (or the Collateral Manager on behalf of the Borrower) shall at all times direct the Collateral Agent to, and, upon receipt of such certificate, the Collateral Agent shall, invest all funds on deposit in the Collection Account (including the Principal Collection Subaccounts and the Interest Collection Subaccounts) and the Revolving Reserve Account as so directed in Eligible Investments having stated maturities no later than the Business Day preceding the next Payment Date (or such shorter maturities expressly provided herein). If, prior to the occurrence and continuance of an Event of Default, the Borrower shall not have given any such investment directions, the Collateral Agent shall seek instructions from the Collateral Manager within three (3) Business Days after transfer of any funds to such accounts and shall immediately invest in Specified Eligible Investments that mature overnight. If the Collateral Agent does not thereafter receive written instructions from the Collateral Manager within five (5) Business Days after transfer of such funds to such accounts, it shall invest and reinvest the funds held in such accounts, as fully as practicable, but only in Specified Eligible Investments selected by the Administrative Agent maturing no later than the Business Day immediately preceding the next Payment Date (or such shorter maturities expressly provided herein). During the continuance of an Event of Default the Collateral Agent (as directed by the Administrative Agent) shall invest and reinvest such Monies as fully as practicable in Specified Eligible Investments selected by the Administrative Agent maturing not later than the earlier of (i) thirty</w:t>
      </w:r>
    </w:p>
    <w:p>
      <w:pPr>
        <w:spacing w:after="0" w:line="6" w:lineRule="exact"/>
        <w:rPr>
          <w:sz w:val="20"/>
          <w:szCs w:val="20"/>
          <w:color w:val="auto"/>
        </w:rPr>
      </w:pPr>
    </w:p>
    <w:p>
      <w:pPr>
        <w:ind w:left="1360" w:right="1360"/>
        <w:spacing w:after="0" w:line="252" w:lineRule="auto"/>
        <w:tabs>
          <w:tab w:leader="none" w:pos="1669"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after the date of such investment (unless putable at par to the issuer thereof) or (ii) the Business Day immediately preceding the next Payment Date (or such shorter maturities expressly provided herein). Except to the extent expressly provided otherwise herein, all interest, gain, loss and other income from such investments shall be deposited, credited or charged (as applicable) in and to the Interest Collection Subaccount. The Collateral Agent shall in no way be liable for any insufficiency in a Covered Account resulting from any loss relating to any such investment.</w:t>
      </w:r>
    </w:p>
    <w:p>
      <w:pPr>
        <w:spacing w:after="0" w:line="346" w:lineRule="exact"/>
        <w:rPr>
          <w:sz w:val="20"/>
          <w:szCs w:val="20"/>
          <w:color w:val="auto"/>
        </w:rPr>
      </w:pPr>
    </w:p>
    <w:p>
      <w:pPr>
        <w:jc w:val="both"/>
        <w:ind w:left="1360" w:right="1500" w:firstLine="40"/>
        <w:spacing w:after="0" w:line="261" w:lineRule="auto"/>
        <w:tabs>
          <w:tab w:leader="none" w:pos="1629"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agrees to give the Borrower prompt notice if any Covered Account or any funds on deposit in any Covered Account, or otherwise to the credit of a Covered Account, shall become subject to any writ, order, judgment, warrant of attachment, execution or similar process.</w:t>
      </w:r>
    </w:p>
    <w:p>
      <w:pPr>
        <w:spacing w:after="0" w:line="148" w:lineRule="exact"/>
        <w:rPr>
          <w:rFonts w:ascii="Times New Roman" w:cs="Times New Roman" w:eastAsia="Times New Roman" w:hAnsi="Times New Roman"/>
          <w:sz w:val="16"/>
          <w:szCs w:val="16"/>
          <w:color w:val="auto"/>
        </w:rPr>
      </w:pPr>
    </w:p>
    <w:p>
      <w:pPr>
        <w:ind w:left="1360" w:right="1440" w:firstLine="40"/>
        <w:spacing w:after="0" w:line="253" w:lineRule="auto"/>
        <w:tabs>
          <w:tab w:leader="none" w:pos="162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shall supply, in a timely fashion, to the Borrower and the Collateral Manager (with a copy to the Backup Collateral Manager) any information regularly maintained by the Collateral Agent that the Borrower or the Collateral Manager may from time to time reasonably request with respect to the Collateral, the Covered Accounts and the other Collateral and provide any other requested information reasonably available to the Collateral Agent and required to be provided by Section 8.06 or to permit the Collateral Manager to perform its obligations hereunder or the Borrower’s obligations hereunder that have been delegated to the Collateral Manager. The Collateral Agent shall promptly forward to the Collateral Manager and the Backup Collateral Manager copies of notices and other writings received by it from the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645795</wp:posOffset>
            </wp:positionV>
            <wp:extent cx="526605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3" w:name="page224"/>
    <w:bookmarkEnd w:id="223"/>
    <w:p>
      <w:pPr>
        <w:spacing w:after="0" w:line="270" w:lineRule="exact"/>
        <w:rPr>
          <w:sz w:val="20"/>
          <w:szCs w:val="20"/>
          <w:color w:val="auto"/>
        </w:rPr>
      </w:pPr>
    </w:p>
    <w:p>
      <w:pPr>
        <w:ind w:left="1360" w:right="1380"/>
        <w:spacing w:after="0" w:line="258" w:lineRule="auto"/>
        <w:rPr>
          <w:sz w:val="20"/>
          <w:szCs w:val="20"/>
          <w:color w:val="auto"/>
        </w:rPr>
      </w:pPr>
      <w:r>
        <w:rPr>
          <w:rFonts w:ascii="Times New Roman" w:cs="Times New Roman" w:eastAsia="Times New Roman" w:hAnsi="Times New Roman"/>
          <w:sz w:val="16"/>
          <w:szCs w:val="16"/>
          <w:color w:val="auto"/>
        </w:rPr>
        <w:t>of any Collateral Loan or from any Clearing Agency with respect to any Collateral Loan which notices or writings advise the holders of such Collateral Loan of any rights that the holders might have with respect thereto (including, without limitation, requests to vote with respect to amendments or waivers and notices of prepayments and redemptions) as well as all periodic financial reports received from such issuer and Clearing Agencies with respect to such Obligor.</w:t>
      </w:r>
    </w:p>
    <w:p>
      <w:pPr>
        <w:spacing w:after="0" w:line="1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i w:val="1"/>
          <w:iCs w:val="1"/>
          <w:color w:val="auto"/>
        </w:rPr>
        <w:t>Section 8.06. Accountings</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left="1360" w:right="1380" w:firstLine="40"/>
        <w:spacing w:after="0" w:line="251" w:lineRule="auto"/>
        <w:tabs>
          <w:tab w:leader="none" w:pos="1622"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Monthly</w:t>
      </w:r>
      <w:r>
        <w:rPr>
          <w:rFonts w:ascii="Times New Roman" w:cs="Times New Roman" w:eastAsia="Times New Roman" w:hAnsi="Times New Roman"/>
          <w:sz w:val="16"/>
          <w:szCs w:val="16"/>
          <w:color w:val="auto"/>
        </w:rPr>
        <w:t>. Prior to or on the Monthly Reporting Date, the Collateral Manager shall compile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shall cause the Collateral Administrator to compile) and provide to the Agents, the Backup Collateral Manager and the Lenders, a monthly report (each, a “</w:t>
      </w:r>
      <w:r>
        <w:rPr>
          <w:rFonts w:ascii="Times New Roman" w:cs="Times New Roman" w:eastAsia="Times New Roman" w:hAnsi="Times New Roman"/>
          <w:sz w:val="16"/>
          <w:szCs w:val="16"/>
          <w:i w:val="1"/>
          <w:iCs w:val="1"/>
          <w:color w:val="auto"/>
        </w:rPr>
        <w:t>Monthly Report</w:t>
      </w:r>
      <w:r>
        <w:rPr>
          <w:rFonts w:ascii="Times New Roman" w:cs="Times New Roman" w:eastAsia="Times New Roman" w:hAnsi="Times New Roman"/>
          <w:sz w:val="16"/>
          <w:szCs w:val="16"/>
          <w:color w:val="auto"/>
        </w:rPr>
        <w:t>”) in accordance with this Section 8.06. The Collateral Manager shall compile and provide to the Collateral Administrator, the Backup Collateral Manager and the Administrative Agent a loan data file (the “</w:t>
      </w:r>
      <w:r>
        <w:rPr>
          <w:rFonts w:ascii="Times New Roman" w:cs="Times New Roman" w:eastAsia="Times New Roman" w:hAnsi="Times New Roman"/>
          <w:sz w:val="16"/>
          <w:szCs w:val="16"/>
          <w:i w:val="1"/>
          <w:iCs w:val="1"/>
          <w:color w:val="auto"/>
        </w:rPr>
        <w:t>Data File</w:t>
      </w:r>
      <w:r>
        <w:rPr>
          <w:rFonts w:ascii="Times New Roman" w:cs="Times New Roman" w:eastAsia="Times New Roman" w:hAnsi="Times New Roman"/>
          <w:sz w:val="16"/>
          <w:szCs w:val="16"/>
          <w:color w:val="auto"/>
        </w:rPr>
        <w:t>”) for the previous monthly period ending on the Monthly Report Determination Date (containing such information agreed upon by the Collateral Manager and the Administrative Agent). The Collateral Manager shall provide (or cause to be provided) the Data File to the Collateral Administrator at least three (3) Business Days prior to the Monthly Reporting Date and, with respect to a Payment Date Report, at least three (3) Business Days prior to the Payment Date. The Collateral Administrator shall use commercially reasonable efforts to review and, based solely on the Data File provided (or caused to be provided) by the Collateral Manager, confirm the calculations in clauses (i) through (xi) below made by the Collateral Manager in any such Monthly Report or Payment Date Report, as applicable, for such calendar month, within two (2) Business Days of the receipt thereof. The Collateral Administrator shall review the Monthly Report to ensure that it is complete on its face and, based solely on the information provided on the related Data File, that the following items in such Monthly Report have been accurately calculated, if applicable, and reported: (i) Aggregate Collateral Balance, (ii) Borrowing Base, (iii) Excess Concentration Amount, (iv) Maximum Available Amount, (v) each Collateral Quality Test, (vi) each Coverage Test, (vii) Default Ratio, (viii) for any Payment Date Report, completion of Priority of Payments pursuant to Section 9.01(a) (which may be compiled by the Collateral Administrator), (ix) Interest Collection Subaccount, Principal Collection Subaccount and Revolving Reserve Account balances, (x) completion of fields in the loan list per the form of the Monthly Report and (xi) other information as may be mutually agreed upon by the Collateral Manager, the Collateral Administrator and the Administrative Agent. Upon receipt of such confirmation (or report showing discrepancies) from the Collateral Administrator and in any event by no later than the Monthly Reporting Date, the Collateral Manager shall compile and provide (or cause to be compiled and provided) to the Collateral Administrator, the Agents, the Custodian, the Backup Collateral Manager and the Lenders the Monthly Report. As used herein, the “</w:t>
      </w:r>
      <w:r>
        <w:rPr>
          <w:rFonts w:ascii="Times New Roman" w:cs="Times New Roman" w:eastAsia="Times New Roman" w:hAnsi="Times New Roman"/>
          <w:sz w:val="16"/>
          <w:szCs w:val="16"/>
          <w:i w:val="1"/>
          <w:iCs w:val="1"/>
          <w:color w:val="auto"/>
        </w:rPr>
        <w:t>Monthly Report Determination Date</w:t>
      </w:r>
      <w:r>
        <w:rPr>
          <w:rFonts w:ascii="Times New Roman" w:cs="Times New Roman" w:eastAsia="Times New Roman" w:hAnsi="Times New Roman"/>
          <w:sz w:val="16"/>
          <w:szCs w:val="16"/>
          <w:color w:val="auto"/>
        </w:rPr>
        <w:t>” with respect to any calendar month will be the last day of the previous calendar month. The Monthly Report for a calendar month shall contain the information with respect to the Collateral Loans and Eligible Investments included in the Collateral set forth in Part 1 of Schedule 2 (which shall include current fixed charge coverage and current interest coverage ratios), and shall be determined as of the Monthly Report Determination Date for such calendar month.</w:t>
      </w:r>
    </w:p>
    <w:p>
      <w:pPr>
        <w:spacing w:after="0" w:line="158" w:lineRule="exact"/>
        <w:rPr>
          <w:sz w:val="20"/>
          <w:szCs w:val="20"/>
          <w:color w:val="auto"/>
        </w:rPr>
      </w:pPr>
    </w:p>
    <w:p>
      <w:pPr>
        <w:jc w:val="both"/>
        <w:ind w:left="1360" w:right="1560" w:firstLine="484"/>
        <w:spacing w:after="0" w:line="266" w:lineRule="auto"/>
        <w:rPr>
          <w:sz w:val="20"/>
          <w:szCs w:val="20"/>
          <w:color w:val="auto"/>
        </w:rPr>
      </w:pPr>
      <w:r>
        <w:rPr>
          <w:rFonts w:ascii="Times New Roman" w:cs="Times New Roman" w:eastAsia="Times New Roman" w:hAnsi="Times New Roman"/>
          <w:sz w:val="16"/>
          <w:szCs w:val="16"/>
          <w:color w:val="auto"/>
        </w:rPr>
        <w:t>In addition, the Collateral Manager shall provide together with each Data File and with the delivery of each Monthly Report a copy of each amendment, modification or waiver under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636905</wp:posOffset>
            </wp:positionV>
            <wp:extent cx="526605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4" w:name="page225"/>
    <w:bookmarkEnd w:id="224"/>
    <w:p>
      <w:pPr>
        <w:spacing w:after="0" w:line="270" w:lineRule="exact"/>
        <w:rPr>
          <w:sz w:val="20"/>
          <w:szCs w:val="20"/>
          <w:color w:val="auto"/>
        </w:rPr>
      </w:pPr>
    </w:p>
    <w:p>
      <w:pPr>
        <w:ind w:left="1360" w:right="1400"/>
        <w:spacing w:after="0" w:line="253" w:lineRule="auto"/>
        <w:rPr>
          <w:sz w:val="20"/>
          <w:szCs w:val="20"/>
          <w:color w:val="auto"/>
        </w:rPr>
      </w:pPr>
      <w:r>
        <w:rPr>
          <w:rFonts w:ascii="Times New Roman" w:cs="Times New Roman" w:eastAsia="Times New Roman" w:hAnsi="Times New Roman"/>
          <w:sz w:val="16"/>
          <w:szCs w:val="16"/>
          <w:color w:val="auto"/>
        </w:rPr>
        <w:t>Related Document for each Collateral Loan that constitutes a Material Modification, together with each other amendment, modification or waiver under any Related Document for each Collateral Loan that, in the Collateral Manager’s reasonable judgment, are material in relation to the related Obligor, in each case that became effective during the one month period ending on the Monthly Report Determination Date for the immediately prior Monthly Report (or, in respect of the first Monthly Report, from the Closing Date) together with a listing of each Collateral Loan with respect to which one of the foregoing amendments, modifications or waivers is being provided. Provided that the Payment Date Reports are prepared and delivered on a monthly basis pursuant to Section 8.06(b) below, the Collateral Manager shall not be required to deliver a separate Monthly Report for such month.</w:t>
      </w:r>
    </w:p>
    <w:p>
      <w:pPr>
        <w:spacing w:after="0" w:line="157" w:lineRule="exact"/>
        <w:rPr>
          <w:sz w:val="20"/>
          <w:szCs w:val="20"/>
          <w:color w:val="auto"/>
        </w:rPr>
      </w:pPr>
    </w:p>
    <w:p>
      <w:pPr>
        <w:ind w:left="1360" w:right="1380" w:firstLine="40"/>
        <w:spacing w:after="0" w:line="256" w:lineRule="auto"/>
        <w:tabs>
          <w:tab w:leader="none" w:pos="1633"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Payment Date Accounting. </w:t>
      </w:r>
      <w:r>
        <w:rPr>
          <w:rFonts w:ascii="Times New Roman" w:cs="Times New Roman" w:eastAsia="Times New Roman" w:hAnsi="Times New Roman"/>
          <w:sz w:val="16"/>
          <w:szCs w:val="16"/>
          <w:color w:val="auto"/>
        </w:rPr>
        <w:t>The Borrower shall render (or cause to be rendered)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accounting (each, a “</w:t>
      </w:r>
      <w:r>
        <w:rPr>
          <w:rFonts w:ascii="Times New Roman" w:cs="Times New Roman" w:eastAsia="Times New Roman" w:hAnsi="Times New Roman"/>
          <w:sz w:val="16"/>
          <w:szCs w:val="16"/>
          <w:i w:val="1"/>
          <w:iCs w:val="1"/>
          <w:color w:val="auto"/>
        </w:rPr>
        <w:t>Payment Date Report</w:t>
      </w:r>
      <w:r>
        <w:rPr>
          <w:rFonts w:ascii="Times New Roman" w:cs="Times New Roman" w:eastAsia="Times New Roman" w:hAnsi="Times New Roman"/>
          <w:sz w:val="16"/>
          <w:szCs w:val="16"/>
          <w:color w:val="auto"/>
        </w:rPr>
        <w:t>”), determined as of the close of business on each Determination Date preceding a Payment Date, and shall deliver such Payment Date Report to the Agents, the Collateral Administrator, the Custodian, the Backup Collateral Manager, the Collateral Manager and each Lender not later than the second Business Day preceding the related Payment Date. The Payment Date Report shall contain the information set forth in Part 2 of Schedule 2.</w:t>
      </w:r>
    </w:p>
    <w:p>
      <w:pPr>
        <w:spacing w:after="0" w:line="149" w:lineRule="exact"/>
        <w:rPr>
          <w:rFonts w:ascii="Times New Roman" w:cs="Times New Roman" w:eastAsia="Times New Roman" w:hAnsi="Times New Roman"/>
          <w:sz w:val="16"/>
          <w:szCs w:val="16"/>
          <w:color w:val="auto"/>
        </w:rPr>
      </w:pPr>
    </w:p>
    <w:p>
      <w:pPr>
        <w:ind w:left="1360" w:right="1500" w:firstLine="40"/>
        <w:spacing w:after="0" w:line="259" w:lineRule="auto"/>
        <w:tabs>
          <w:tab w:leader="none" w:pos="1622"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Failure to Provide Accounting</w:t>
      </w:r>
      <w:r>
        <w:rPr>
          <w:rFonts w:ascii="Times New Roman" w:cs="Times New Roman" w:eastAsia="Times New Roman" w:hAnsi="Times New Roman"/>
          <w:sz w:val="16"/>
          <w:szCs w:val="16"/>
          <w:color w:val="auto"/>
        </w:rPr>
        <w:t>. If the Collateral Administrator shall not have received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accounting provided for in this Section 8.06 on the first Business Day after the date on which such accounting is due to the Collateral Administrator, the Collateral Administrator shall notify the Collateral Manager who shall use reasonable efforts to obtain such accounting by the applicable Monthly Reporting Date or Payment Date, as applicable.</w:t>
      </w:r>
    </w:p>
    <w:p>
      <w:pPr>
        <w:spacing w:after="0" w:line="147" w:lineRule="exact"/>
        <w:rPr>
          <w:rFonts w:ascii="Times New Roman" w:cs="Times New Roman" w:eastAsia="Times New Roman" w:hAnsi="Times New Roman"/>
          <w:sz w:val="16"/>
          <w:szCs w:val="16"/>
          <w:color w:val="auto"/>
        </w:rPr>
      </w:pPr>
    </w:p>
    <w:p>
      <w:pPr>
        <w:ind w:left="1360" w:right="1740" w:firstLine="40"/>
        <w:spacing w:after="0" w:line="262" w:lineRule="auto"/>
        <w:tabs>
          <w:tab w:leader="none" w:pos="1633"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Collateral Administrator Protections. </w:t>
      </w:r>
      <w:r>
        <w:rPr>
          <w:rFonts w:ascii="Times New Roman" w:cs="Times New Roman" w:eastAsia="Times New Roman" w:hAnsi="Times New Roman"/>
          <w:sz w:val="16"/>
          <w:szCs w:val="16"/>
          <w:color w:val="auto"/>
        </w:rPr>
        <w:t>In preparing the Payment Date Report, receiving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and/or compiling the Monthly Report, and preparing any other information and statements required hereunder, the Collateral Administrator shall have the rights, protections, and immunities provided to it in the Collateral Administration Agreement.</w:t>
      </w:r>
    </w:p>
    <w:p>
      <w:pPr>
        <w:spacing w:after="0" w:line="144" w:lineRule="exact"/>
        <w:rPr>
          <w:rFonts w:ascii="Times New Roman" w:cs="Times New Roman" w:eastAsia="Times New Roman" w:hAnsi="Times New Roman"/>
          <w:sz w:val="16"/>
          <w:szCs w:val="16"/>
          <w:color w:val="auto"/>
        </w:rPr>
      </w:pPr>
    </w:p>
    <w:p>
      <w:pPr>
        <w:ind w:left="1360" w:right="1360" w:firstLine="40"/>
        <w:spacing w:after="0" w:line="252" w:lineRule="auto"/>
        <w:tabs>
          <w:tab w:leader="none" w:pos="1622"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Currency Calculations, Changes in Exchange Rates</w:t>
      </w:r>
      <w:r>
        <w:rPr>
          <w:rFonts w:ascii="Times New Roman" w:cs="Times New Roman" w:eastAsia="Times New Roman" w:hAnsi="Times New Roman"/>
          <w:sz w:val="16"/>
          <w:szCs w:val="16"/>
          <w:color w:val="auto"/>
        </w:rPr>
        <w:t>. (A) Each Monthly Report and Payment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Date Report shall include a calculation of the Maximum Available Amount, the Dollar Equivalent of the aggregate outstanding principal balance of the Advances and the Revolving Exposure. Additionally, promptly, but no later than two (2) Business Days, after the Collateral Manager acquires knowledge or receives notice from the Administrative Agent or a Lender of the occurrence of a Currency Valuation Trigger Event, the Collateral Manager shall determine the Maximum Available Amount, the Dollar Equivalent of the aggregate outstanding principal balance of the Advances and the Revolving Exposure. For the purpose of this determination, the outstanding principal amount of any Advance that is denominated in any Agreed Foreign Currency shall be deemed to be the Dollar Equivalent of the amount in such Agreed Foreign Currency of such Advance, determined by the Collateral Manager as of such Monthly Reporting Date or, (x) in the case of notice of the occurrence of a Currency Valuation Trigger Event received by the Collateral Manager prior to 11:00 a.m., on a Business Day, on such Business Day or, (y) in the case of notice of the occurrence of a Currency Valuation Trigger Event otherwise received, on the first Business Day after such notice of the occurrence of a Currency Valuation Trigger Event is received. Upon making such determination, the Collateral Manager shall promptly, but no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645160</wp:posOffset>
            </wp:positionV>
            <wp:extent cx="526605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5" w:name="page226"/>
    <w:bookmarkEnd w:id="225"/>
    <w:p>
      <w:pPr>
        <w:spacing w:after="0" w:line="270" w:lineRule="exact"/>
        <w:rPr>
          <w:sz w:val="20"/>
          <w:szCs w:val="20"/>
          <w:color w:val="auto"/>
        </w:rPr>
      </w:pPr>
    </w:p>
    <w:p>
      <w:pPr>
        <w:ind w:left="1360" w:right="1860"/>
        <w:spacing w:after="0" w:line="283" w:lineRule="auto"/>
        <w:rPr>
          <w:sz w:val="20"/>
          <w:szCs w:val="20"/>
          <w:color w:val="auto"/>
        </w:rPr>
      </w:pPr>
      <w:r>
        <w:rPr>
          <w:rFonts w:ascii="Times New Roman" w:cs="Times New Roman" w:eastAsia="Times New Roman" w:hAnsi="Times New Roman"/>
          <w:sz w:val="16"/>
          <w:szCs w:val="16"/>
          <w:color w:val="auto"/>
        </w:rPr>
        <w:t>than two (2) Business Days after such determination, notify the Administrative Agent, the Lenders and the Borrower thereof.</w:t>
      </w:r>
    </w:p>
    <w:p>
      <w:pPr>
        <w:spacing w:after="0" w:line="131" w:lineRule="exact"/>
        <w:rPr>
          <w:sz w:val="20"/>
          <w:szCs w:val="20"/>
          <w:color w:val="auto"/>
        </w:rPr>
      </w:pPr>
    </w:p>
    <w:p>
      <w:pPr>
        <w:ind w:left="1360" w:right="1360" w:firstLine="40"/>
        <w:spacing w:after="0" w:line="254" w:lineRule="auto"/>
        <w:tabs>
          <w:tab w:leader="none" w:pos="1656"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to the extent the Collateral Administrator may be required to calculate or to review in a Monthly Report or Payment Date Report or other accounting hereunder or under the Collateral Administration Agreement, the Dollar Equivalent of any amount, including without limitation, the outstanding principal amount of a Collateral Loan, the Advances or other such calculation or amount involving an Agreed Foreign Currency, it shall use the Dollar Equivalent identified in the Data File compiled and delivered (or caused to be compiled and delivered) to the Collateral Administrator by the Collateral Manager for the related collection or reporting period or other such amount as is identified in such calculation or such report by the Collateral Administrator.</w:t>
      </w:r>
    </w:p>
    <w:p>
      <w:pPr>
        <w:spacing w:after="0" w:line="155" w:lineRule="exact"/>
        <w:rPr>
          <w:sz w:val="20"/>
          <w:szCs w:val="20"/>
          <w:color w:val="auto"/>
        </w:rPr>
      </w:pPr>
    </w:p>
    <w:p>
      <w:pPr>
        <w:ind w:left="1360" w:right="1380" w:firstLine="40"/>
        <w:spacing w:after="0" w:line="253" w:lineRule="auto"/>
        <w:rPr>
          <w:sz w:val="20"/>
          <w:szCs w:val="20"/>
          <w:color w:val="auto"/>
        </w:rPr>
      </w:pPr>
      <w:r>
        <w:rPr>
          <w:rFonts w:ascii="Times New Roman" w:cs="Times New Roman" w:eastAsia="Times New Roman" w:hAnsi="Times New Roman"/>
          <w:sz w:val="16"/>
          <w:szCs w:val="16"/>
          <w:i w:val="1"/>
          <w:iCs w:val="1"/>
          <w:color w:val="auto"/>
        </w:rPr>
        <w:t>Section 8.07. Release of Securities</w:t>
      </w:r>
      <w:r>
        <w:rPr>
          <w:rFonts w:ascii="Times New Roman" w:cs="Times New Roman" w:eastAsia="Times New Roman" w:hAnsi="Times New Roman"/>
          <w:sz w:val="16"/>
          <w:szCs w:val="16"/>
          <w:color w:val="auto"/>
        </w:rPr>
        <w:t>. (a) If no Event of Default has occurred and is continuing,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Borrower may, by delivery of a certificate of a Responsible Officer of the Collateral Manager delivered to the Collateral Agent at least one Business Day prior to the settlement date for any sale of a security certifying that the sale of such security is being made in accordance with Section 10.01 and such sale complies with all applicable requirements of Section 10.01, direct the Collateral Agent to release or cause to be released such security from the lien of this Agreement and, upon receipt of such certificate, the Collateral Agent (or Custodian, as applicable) shall deliver any such security, if in physical form, duly endorsed to the broker or purchaser designated in such certificate or, if such security is a Clearing Corporation Security, cause an appropriate transfer thereof to be made, in each case against receipt of the sales price therefor as specified by the Collateral Manager in such certificate;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Collateral Agent may deliver any such security in physical form for examination in accordance with street delivery custom.</w:t>
      </w:r>
    </w:p>
    <w:p>
      <w:pPr>
        <w:spacing w:after="0" w:line="348" w:lineRule="exact"/>
        <w:rPr>
          <w:sz w:val="20"/>
          <w:szCs w:val="20"/>
          <w:color w:val="auto"/>
        </w:rPr>
      </w:pPr>
    </w:p>
    <w:p>
      <w:pPr>
        <w:ind w:left="1360" w:right="1380" w:firstLine="40"/>
        <w:spacing w:after="0" w:line="254" w:lineRule="auto"/>
        <w:tabs>
          <w:tab w:leader="none" w:pos="1629"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this Agreement, the Collateral Agent or Custodian, as applicable, shall, upon the receipt of a certificate of the Borrower, by delivery of a certificate of a Responsible Officer of the Collateral Manager, deliver any Collateral as instructed in such certificate, and execute such documents or instruments as are presented by the Borrower or the Collateral Manager and are reasonably necessary to release or cause to be released such security from the lien of this Agreement, which is set for any mandatory call or redemption or payment in full to the appropriate paying agent on or before the date set for such call, redemption or payment, in each case against receipt of the call or redemption price or payment in full thereof.</w:t>
      </w:r>
    </w:p>
    <w:p>
      <w:pPr>
        <w:spacing w:after="0" w:line="157" w:lineRule="exact"/>
        <w:rPr>
          <w:rFonts w:ascii="Times New Roman" w:cs="Times New Roman" w:eastAsia="Times New Roman" w:hAnsi="Times New Roman"/>
          <w:sz w:val="16"/>
          <w:szCs w:val="16"/>
          <w:color w:val="auto"/>
        </w:rPr>
      </w:pPr>
    </w:p>
    <w:p>
      <w:pPr>
        <w:ind w:left="1360" w:right="1360" w:firstLine="40"/>
        <w:spacing w:after="0" w:line="261" w:lineRule="auto"/>
        <w:tabs>
          <w:tab w:leader="none" w:pos="162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provided in Section 8.02(a), the Collateral Agent shall deposit any proceeds received by it from the disposition of Collateral in the applicable subaccount of the Collection Account, unless simultaneously applied to the purchase of additional Collateral Loans or Eligible Investments as permitted under and in accordance with the requirements of this Article VIII and Article X.</w:t>
      </w:r>
    </w:p>
    <w:p>
      <w:pPr>
        <w:spacing w:after="0" w:line="148" w:lineRule="exact"/>
        <w:rPr>
          <w:rFonts w:ascii="Times New Roman" w:cs="Times New Roman" w:eastAsia="Times New Roman" w:hAnsi="Times New Roman"/>
          <w:sz w:val="16"/>
          <w:szCs w:val="16"/>
          <w:color w:val="auto"/>
        </w:rPr>
      </w:pPr>
    </w:p>
    <w:p>
      <w:pPr>
        <w:ind w:left="1360" w:right="1360" w:firstLine="40"/>
        <w:spacing w:after="0" w:line="261" w:lineRule="auto"/>
        <w:tabs>
          <w:tab w:leader="none" w:pos="1629"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shall, upon receipt of a certificate of a Responsible Officer of the Borrower (or the Collateral Manager on its behalf), at such time as there are no Commitments outstanding and all Obligations of the Borrower hereunder and under the other Facility Documents have been satisfied, release any remaining Collateral from the lien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638810</wp:posOffset>
            </wp:positionV>
            <wp:extent cx="526605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6" w:name="page227"/>
    <w:bookmarkEnd w:id="226"/>
    <w:p>
      <w:pPr>
        <w:spacing w:after="0" w:line="270" w:lineRule="exact"/>
        <w:rPr>
          <w:sz w:val="20"/>
          <w:szCs w:val="20"/>
          <w:color w:val="auto"/>
        </w:rPr>
      </w:pPr>
    </w:p>
    <w:p>
      <w:pPr>
        <w:ind w:left="1360" w:right="1440" w:firstLine="40"/>
        <w:spacing w:after="0" w:line="283" w:lineRule="auto"/>
        <w:tabs>
          <w:tab w:leader="none" w:pos="1620"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security, Collateral Loan or amounts that are released pursuant to Section 8.07(a) or (b) shall automatically be released from the Lien of this Agreement.</w:t>
      </w:r>
    </w:p>
    <w:p>
      <w:pPr>
        <w:spacing w:after="0" w:line="129" w:lineRule="exact"/>
        <w:rPr>
          <w:sz w:val="20"/>
          <w:szCs w:val="20"/>
          <w:color w:val="auto"/>
        </w:rPr>
      </w:pPr>
    </w:p>
    <w:p>
      <w:pPr>
        <w:ind w:left="1360" w:right="1360" w:firstLine="40"/>
        <w:spacing w:after="0" w:line="251" w:lineRule="auto"/>
        <w:rPr>
          <w:sz w:val="20"/>
          <w:szCs w:val="20"/>
          <w:color w:val="auto"/>
        </w:rPr>
      </w:pPr>
      <w:r>
        <w:rPr>
          <w:rFonts w:ascii="Times New Roman" w:cs="Times New Roman" w:eastAsia="Times New Roman" w:hAnsi="Times New Roman"/>
          <w:sz w:val="16"/>
          <w:szCs w:val="16"/>
          <w:i w:val="1"/>
          <w:iCs w:val="1"/>
          <w:color w:val="auto"/>
        </w:rPr>
        <w:t>Section 8.08. Reports by Independent Accountants</w:t>
      </w:r>
      <w:r>
        <w:rPr>
          <w:rFonts w:ascii="Times New Roman" w:cs="Times New Roman" w:eastAsia="Times New Roman" w:hAnsi="Times New Roman"/>
          <w:sz w:val="16"/>
          <w:szCs w:val="16"/>
          <w:color w:val="auto"/>
        </w:rPr>
        <w:t>. (a) As of the Closing Date, the Borrower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has appointed a firm of independent certified public accountants, independent auditors or independent consultants (together with its successors, the </w:t>
      </w:r>
      <w:r>
        <w:rPr>
          <w:rFonts w:ascii="Times New Roman" w:cs="Times New Roman" w:eastAsia="Times New Roman" w:hAnsi="Times New Roman"/>
          <w:sz w:val="16"/>
          <w:szCs w:val="16"/>
          <w:i w:val="1"/>
          <w:iCs w:val="1"/>
          <w:color w:val="auto"/>
        </w:rPr>
        <w:t>“Independent Accountants”</w:t>
      </w:r>
      <w:r>
        <w:rPr>
          <w:rFonts w:ascii="Times New Roman" w:cs="Times New Roman" w:eastAsia="Times New Roman" w:hAnsi="Times New Roman"/>
          <w:sz w:val="16"/>
          <w:szCs w:val="16"/>
          <w:color w:val="auto"/>
        </w:rPr>
        <w:t>), in each case reasonably acceptable to the Administrative Agent and the Required Lenders, for purposes of reviewing and delivering the reports or certificates of such accountants required by this Agreement, which may be the firm of independent certified public accountants, independent auditors or independent consultants that performs accounting services for the Borrower or the Collateral Manager. The Borrower may remove any firm of Independent Accountants at any time upon notice to, but without the consent of any of, the Lenders. Upon any resignation by such firm or removal of such firm by the Borrower, the Borrower (or the Collateral Manager on behalf of the Borrower) shall promptly appoint, by a certificate of a Responsible Officer of the Borrower delivered to the Administrative Agent and the Collateral Agent, a successor thereto that shall also be a firm of independent certified public accountants, independent auditors or independent consultants of recognized standing, which may be a firm of independent certified public accountants, independent auditors or independent consultants that performs accounting services for the Borrower or the Collateral Manager. If the Borrower shall fail to appoint a successor Independent Accountants within thirty (30) days after such resignation, the Borrower shall promptly notify the Agents and the Collateral Manager of such failure in writing and the Collateral Manager shall promptly appoint a successor Independent Accountant of recognized standing. The fees of such Independent Accountants and any successor shall be payable by the Borrower.</w:t>
      </w:r>
    </w:p>
    <w:p>
      <w:pPr>
        <w:spacing w:after="0" w:line="168" w:lineRule="exact"/>
        <w:rPr>
          <w:sz w:val="20"/>
          <w:szCs w:val="20"/>
          <w:color w:val="auto"/>
        </w:rPr>
      </w:pPr>
    </w:p>
    <w:p>
      <w:pPr>
        <w:ind w:left="1360" w:right="1400" w:firstLine="40"/>
        <w:spacing w:after="0" w:line="193" w:lineRule="exact"/>
        <w:tabs>
          <w:tab w:leader="none" w:pos="1629"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the Collateral Manager will cause a firm of nationally recognized independent public accountants (who may also render other services to the Collateral Manager) to furnish to the Administrative Agent (with a copy to the Collateral Agent, the Collateral Administrator and the Backup Collateral Manager) once during each 365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day period ending on October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6"/>
          <w:szCs w:val="16"/>
          <w:color w:val="auto"/>
        </w:rPr>
        <w:t xml:space="preserve"> of each calendar year, with the first such report due by no later than October 30, 2021, a report relating to such fiscal year to the effect that (i) such firm has applied certain agreed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upon procedures, and (ii) based on such examination, such firm is of the opinion that the Monthly Reports and Payment Date Reports for such year were prepared in compliance with this Agreement, except for such exceptions as it believes to be immaterial and such other exceptions as will be set forth in such firm’s report (including, with respect to any such exceptions, an explanation of how each such exception arose and reflecting the input/explanation of the Collateral Manager thereto).</w:t>
      </w:r>
    </w:p>
    <w:p>
      <w:pPr>
        <w:spacing w:after="0" w:line="165" w:lineRule="exact"/>
        <w:rPr>
          <w:sz w:val="20"/>
          <w:szCs w:val="20"/>
          <w:color w:val="auto"/>
        </w:rPr>
      </w:pPr>
    </w:p>
    <w:p>
      <w:pPr>
        <w:ind w:left="1360" w:right="1620" w:firstLine="40"/>
        <w:spacing w:after="0" w:line="286" w:lineRule="auto"/>
        <w:rPr>
          <w:sz w:val="20"/>
          <w:szCs w:val="20"/>
          <w:color w:val="auto"/>
        </w:rPr>
      </w:pPr>
      <w:r>
        <w:rPr>
          <w:rFonts w:ascii="Times New Roman" w:cs="Times New Roman" w:eastAsia="Times New Roman" w:hAnsi="Times New Roman"/>
          <w:sz w:val="16"/>
          <w:szCs w:val="16"/>
          <w:i w:val="1"/>
          <w:iCs w:val="1"/>
          <w:color w:val="auto"/>
        </w:rPr>
        <w:t>Section 8.09. Covered Account Details</w:t>
      </w:r>
      <w:r>
        <w:rPr>
          <w:rFonts w:ascii="Times New Roman" w:cs="Times New Roman" w:eastAsia="Times New Roman" w:hAnsi="Times New Roman"/>
          <w:sz w:val="16"/>
          <w:szCs w:val="16"/>
          <w:color w:val="auto"/>
        </w:rPr>
        <w:t>. The account number of each Covered Account is set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forth on Schedule 7 hereto.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IX</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Application of Monies</w:t>
      </w:r>
    </w:p>
    <w:p>
      <w:pPr>
        <w:spacing w:after="0" w:line="187" w:lineRule="exact"/>
        <w:rPr>
          <w:sz w:val="20"/>
          <w:szCs w:val="20"/>
          <w:color w:val="auto"/>
        </w:rPr>
      </w:pPr>
    </w:p>
    <w:p>
      <w:pPr>
        <w:ind w:left="1360" w:right="1520" w:firstLine="40"/>
        <w:spacing w:after="0" w:line="286" w:lineRule="auto"/>
        <w:rPr>
          <w:sz w:val="20"/>
          <w:szCs w:val="20"/>
          <w:color w:val="auto"/>
        </w:rPr>
      </w:pPr>
      <w:r>
        <w:rPr>
          <w:rFonts w:ascii="Times New Roman" w:cs="Times New Roman" w:eastAsia="Times New Roman" w:hAnsi="Times New Roman"/>
          <w:sz w:val="16"/>
          <w:szCs w:val="16"/>
          <w:i w:val="1"/>
          <w:iCs w:val="1"/>
          <w:color w:val="auto"/>
        </w:rPr>
        <w:t>Section 9.01. Disbursements of Monies from Payment Account</w:t>
      </w:r>
      <w:r>
        <w:rPr>
          <w:rFonts w:ascii="Times New Roman" w:cs="Times New Roman" w:eastAsia="Times New Roman" w:hAnsi="Times New Roman"/>
          <w:sz w:val="16"/>
          <w:szCs w:val="16"/>
          <w:color w:val="auto"/>
        </w:rPr>
        <w:t>. (a) Notwithstanding any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provision in this Agreement, but subject to the other subsections of this Section 9.01, on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7" w:name="page228"/>
    <w:bookmarkEnd w:id="227"/>
    <w:p>
      <w:pPr>
        <w:spacing w:after="0" w:line="270" w:lineRule="exact"/>
        <w:rPr>
          <w:sz w:val="20"/>
          <w:szCs w:val="20"/>
          <w:color w:val="auto"/>
        </w:rPr>
      </w:pPr>
    </w:p>
    <w:p>
      <w:pPr>
        <w:ind w:left="1360" w:right="1720"/>
        <w:spacing w:after="0" w:line="266" w:lineRule="auto"/>
        <w:rPr>
          <w:sz w:val="20"/>
          <w:szCs w:val="20"/>
          <w:color w:val="auto"/>
        </w:rPr>
      </w:pPr>
      <w:r>
        <w:rPr>
          <w:rFonts w:ascii="Times New Roman" w:cs="Times New Roman" w:eastAsia="Times New Roman" w:hAnsi="Times New Roman"/>
          <w:sz w:val="16"/>
          <w:szCs w:val="16"/>
          <w:color w:val="auto"/>
        </w:rPr>
        <w:t xml:space="preserve">Payment Date, the Collateral Agent shall disburse amounts transferred from the Collection Account to the applicable Payment Account pursuant to Section 8.02 in accordance with the following priorities (the </w:t>
      </w:r>
      <w:r>
        <w:rPr>
          <w:rFonts w:ascii="Times New Roman" w:cs="Times New Roman" w:eastAsia="Times New Roman" w:hAnsi="Times New Roman"/>
          <w:sz w:val="16"/>
          <w:szCs w:val="16"/>
          <w:i w:val="1"/>
          <w:iCs w:val="1"/>
          <w:color w:val="auto"/>
        </w:rPr>
        <w:t>“Priority of Payments”</w:t>
      </w:r>
      <w:r>
        <w:rPr>
          <w:rFonts w:ascii="Times New Roman" w:cs="Times New Roman" w:eastAsia="Times New Roman" w:hAnsi="Times New Roman"/>
          <w:sz w:val="16"/>
          <w:szCs w:val="16"/>
          <w:color w:val="auto"/>
        </w:rPr>
        <w:t>) and related Payment Date Report:</w:t>
      </w:r>
    </w:p>
    <w:p>
      <w:pPr>
        <w:spacing w:after="0" w:line="145" w:lineRule="exact"/>
        <w:rPr>
          <w:sz w:val="20"/>
          <w:szCs w:val="20"/>
          <w:color w:val="auto"/>
        </w:rPr>
      </w:pPr>
    </w:p>
    <w:p>
      <w:pPr>
        <w:ind w:left="1840" w:right="1500" w:firstLine="44"/>
        <w:spacing w:after="0" w:line="258" w:lineRule="auto"/>
        <w:tabs>
          <w:tab w:leader="none" w:pos="2073"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each Payment Date, Interest Proceeds on deposit in the Interest Collection Subaccounts, to the extent received on or before the related Determination Date (or, if such Determination Date is not a Business Day, the next succeeding Business Day) will be transferred into the applicable Payment Account, to be applied in the following order of priority:</w:t>
      </w:r>
    </w:p>
    <w:p>
      <w:pPr>
        <w:spacing w:after="0" w:line="135" w:lineRule="exact"/>
        <w:rPr>
          <w:rFonts w:ascii="Times New Roman" w:cs="Times New Roman" w:eastAsia="Times New Roman" w:hAnsi="Times New Roman"/>
          <w:sz w:val="16"/>
          <w:szCs w:val="16"/>
          <w:color w:val="auto"/>
        </w:rPr>
      </w:pPr>
    </w:p>
    <w:p>
      <w:pPr>
        <w:ind w:left="2320" w:right="1340" w:firstLine="49"/>
        <w:spacing w:after="0" w:line="195" w:lineRule="exact"/>
        <w:tabs>
          <w:tab w:leader="none" w:pos="2625"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16"/>
          <w:szCs w:val="16"/>
          <w:i w:val="1"/>
          <w:iCs w:val="1"/>
          <w:color w:val="auto"/>
        </w:rPr>
        <w:t>first</w:t>
      </w:r>
      <w:r>
        <w:rPr>
          <w:rFonts w:ascii="Times New Roman" w:cs="Times New Roman" w:eastAsia="Times New Roman" w:hAnsi="Times New Roman"/>
          <w:sz w:val="16"/>
          <w:szCs w:val="16"/>
          <w:color w:val="auto"/>
        </w:rPr>
        <w:t>, to pay all out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pocket costs and expenses of the Collateral Agent incurred in connection with any sale of Collateral or other exercises of its remedial rights pursuant to Section 7.03; (2) </w:t>
      </w:r>
      <w:r>
        <w:rPr>
          <w:rFonts w:ascii="Times New Roman" w:cs="Times New Roman" w:eastAsia="Times New Roman" w:hAnsi="Times New Roman"/>
          <w:sz w:val="16"/>
          <w:szCs w:val="16"/>
          <w:i w:val="1"/>
          <w:iCs w:val="1"/>
          <w:color w:val="auto"/>
        </w:rPr>
        <w:t>second</w:t>
      </w:r>
      <w:r>
        <w:rPr>
          <w:rFonts w:ascii="Times New Roman" w:cs="Times New Roman" w:eastAsia="Times New Roman" w:hAnsi="Times New Roman"/>
          <w:sz w:val="16"/>
          <w:szCs w:val="16"/>
          <w:color w:val="auto"/>
        </w:rPr>
        <w:t xml:space="preserve">, to pay other Administrative Expenses in accordance with the priorities specified in the definition thereof,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amount applied under this clause (A)(2) for such Payment Date shall not exceed the Administrative Expense Cap for such Payment Date, and (3) </w:t>
      </w:r>
      <w:r>
        <w:rPr>
          <w:rFonts w:ascii="Times New Roman" w:cs="Times New Roman" w:eastAsia="Times New Roman" w:hAnsi="Times New Roman"/>
          <w:sz w:val="16"/>
          <w:szCs w:val="16"/>
          <w:i w:val="1"/>
          <w:iCs w:val="1"/>
          <w:color w:val="auto"/>
        </w:rPr>
        <w:t>third</w:t>
      </w:r>
      <w:r>
        <w:rPr>
          <w:rFonts w:ascii="Times New Roman" w:cs="Times New Roman" w:eastAsia="Times New Roman" w:hAnsi="Times New Roman"/>
          <w:sz w:val="16"/>
          <w:szCs w:val="16"/>
          <w:color w:val="auto"/>
        </w:rPr>
        <w:t>, upon appointment of the Backup Collateral Manager as Successor Collateral Manager, to payment of the One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Time Successor Servicer Engagement Fee (as defined in the Backup Collateral Manager Fee Letter);</w:t>
      </w:r>
    </w:p>
    <w:p>
      <w:pPr>
        <w:spacing w:after="0" w:line="170" w:lineRule="exact"/>
        <w:rPr>
          <w:rFonts w:ascii="Times New Roman" w:cs="Times New Roman" w:eastAsia="Times New Roman" w:hAnsi="Times New Roman"/>
          <w:sz w:val="16"/>
          <w:szCs w:val="16"/>
          <w:color w:val="auto"/>
        </w:rPr>
      </w:pPr>
    </w:p>
    <w:p>
      <w:pPr>
        <w:ind w:left="2320" w:right="1380" w:firstLine="49"/>
        <w:spacing w:after="0" w:line="283" w:lineRule="auto"/>
        <w:tabs>
          <w:tab w:leader="none" w:pos="2616"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pay regular scheduled payments, any fees and expenses incurred under any hedge agreement (excluding any hedge termination payments);</w:t>
      </w:r>
    </w:p>
    <w:p>
      <w:pPr>
        <w:spacing w:after="0" w:line="131" w:lineRule="exact"/>
        <w:rPr>
          <w:rFonts w:ascii="Times New Roman" w:cs="Times New Roman" w:eastAsia="Times New Roman" w:hAnsi="Times New Roman"/>
          <w:sz w:val="16"/>
          <w:szCs w:val="16"/>
          <w:color w:val="auto"/>
        </w:rPr>
      </w:pPr>
    </w:p>
    <w:p>
      <w:pPr>
        <w:jc w:val="both"/>
        <w:ind w:left="2320" w:right="1480" w:firstLine="49"/>
        <w:spacing w:after="0" w:line="266" w:lineRule="auto"/>
        <w:tabs>
          <w:tab w:leader="none" w:pos="2616"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Swingline Lender to repay outstanding Swingline Advances (but only to the extent that any Lender has failed to fund its Percentage of such Swingline Advance in accordance with Section 2.02);</w:t>
      </w:r>
    </w:p>
    <w:p>
      <w:pPr>
        <w:spacing w:after="0" w:line="144" w:lineRule="exact"/>
        <w:rPr>
          <w:rFonts w:ascii="Times New Roman" w:cs="Times New Roman" w:eastAsia="Times New Roman" w:hAnsi="Times New Roman"/>
          <w:sz w:val="16"/>
          <w:szCs w:val="16"/>
          <w:color w:val="auto"/>
        </w:rPr>
      </w:pPr>
    </w:p>
    <w:p>
      <w:pPr>
        <w:ind w:left="2640" w:hanging="271"/>
        <w:spacing w:after="0"/>
        <w:tabs>
          <w:tab w:leader="none" w:pos="2640"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BDC to pay accrued and unpaid Senior Collateral Management Fees;</w:t>
      </w:r>
    </w:p>
    <w:p>
      <w:pPr>
        <w:spacing w:after="0" w:line="189" w:lineRule="exact"/>
        <w:rPr>
          <w:rFonts w:ascii="Times New Roman" w:cs="Times New Roman" w:eastAsia="Times New Roman" w:hAnsi="Times New Roman"/>
          <w:sz w:val="16"/>
          <w:szCs w:val="16"/>
          <w:color w:val="auto"/>
        </w:rPr>
      </w:pPr>
    </w:p>
    <w:p>
      <w:pPr>
        <w:jc w:val="both"/>
        <w:ind w:left="2320" w:right="1800" w:firstLine="49"/>
        <w:spacing w:after="0" w:line="266" w:lineRule="auto"/>
        <w:tabs>
          <w:tab w:leader="none" w:pos="2607"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each Lender to pay accrued and unpaid interest on the Advances and Commitment Fees due each such Lender and amounts payable to each such Lender under Section 2.10;</w:t>
      </w:r>
    </w:p>
    <w:p>
      <w:pPr>
        <w:spacing w:after="0" w:line="144" w:lineRule="exact"/>
        <w:rPr>
          <w:rFonts w:ascii="Times New Roman" w:cs="Times New Roman" w:eastAsia="Times New Roman" w:hAnsi="Times New Roman"/>
          <w:sz w:val="16"/>
          <w:szCs w:val="16"/>
          <w:color w:val="auto"/>
        </w:rPr>
      </w:pPr>
    </w:p>
    <w:p>
      <w:pPr>
        <w:ind w:left="2320" w:right="1360" w:firstLine="49"/>
        <w:spacing w:after="0" w:line="255" w:lineRule="auto"/>
        <w:tabs>
          <w:tab w:leader="none" w:pos="2598"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prior to the occurrence and continuance of an Event of Default, if the Maximum Advance Rate Test is not satisfied as of the related Determination Date, to pay the principal of the Advances of each Lender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based on each Lender’s Percentage) until the Maximum Advance Rate Test is satisfied (on a </w:t>
      </w:r>
      <w:r>
        <w:rPr>
          <w:rFonts w:ascii="Times New Roman" w:cs="Times New Roman" w:eastAsia="Times New Roman" w:hAnsi="Times New Roman"/>
          <w:sz w:val="16"/>
          <w:szCs w:val="16"/>
          <w:i w:val="1"/>
          <w:iCs w:val="1"/>
          <w:color w:val="auto"/>
        </w:rPr>
        <w:t>pro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forma </w:t>
      </w:r>
      <w:r>
        <w:rPr>
          <w:rFonts w:ascii="Times New Roman" w:cs="Times New Roman" w:eastAsia="Times New Roman" w:hAnsi="Times New Roman"/>
          <w:sz w:val="16"/>
          <w:szCs w:val="16"/>
          <w:color w:val="auto"/>
        </w:rPr>
        <w:t>basis as at such Determination Date) and (2) during the continuance of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Event of Default, to pay the Advances of each Lender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based on each Lender’s Percentage) until paid in full;</w:t>
      </w:r>
    </w:p>
    <w:p>
      <w:pPr>
        <w:spacing w:after="0" w:line="155" w:lineRule="exact"/>
        <w:rPr>
          <w:rFonts w:ascii="Times New Roman" w:cs="Times New Roman" w:eastAsia="Times New Roman" w:hAnsi="Times New Roman"/>
          <w:sz w:val="16"/>
          <w:szCs w:val="16"/>
          <w:color w:val="auto"/>
        </w:rPr>
      </w:pPr>
    </w:p>
    <w:p>
      <w:pPr>
        <w:ind w:left="2320" w:right="1400" w:firstLine="49"/>
        <w:spacing w:after="0" w:line="266" w:lineRule="auto"/>
        <w:tabs>
          <w:tab w:leader="none" w:pos="2625"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payment or application of amounts referred to in clause (A) above (in the same order of priority specified therein), to the extent not paid in full pursuant to applications under such clauses;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636905</wp:posOffset>
            </wp:positionV>
            <wp:extent cx="526605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8" w:name="page229"/>
    <w:bookmarkEnd w:id="228"/>
    <w:p>
      <w:pPr>
        <w:spacing w:after="0" w:line="270" w:lineRule="exact"/>
        <w:rPr>
          <w:sz w:val="20"/>
          <w:szCs w:val="20"/>
          <w:color w:val="auto"/>
        </w:rPr>
      </w:pPr>
    </w:p>
    <w:p>
      <w:pPr>
        <w:ind w:left="2320" w:right="1420" w:firstLine="49"/>
        <w:spacing w:after="0" w:line="283" w:lineRule="auto"/>
        <w:tabs>
          <w:tab w:leader="none" w:pos="2625" w:val="left"/>
        </w:tabs>
        <w:numPr>
          <w:ilvl w:val="2"/>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pay accrued and unpaid amounts owing to Affected Persons (if any) under Sections 2.09 and 15.03;</w:t>
      </w:r>
    </w:p>
    <w:p>
      <w:pPr>
        <w:spacing w:after="0" w:line="131" w:lineRule="exact"/>
        <w:rPr>
          <w:rFonts w:ascii="Times New Roman" w:cs="Times New Roman" w:eastAsia="Times New Roman" w:hAnsi="Times New Roman"/>
          <w:sz w:val="16"/>
          <w:szCs w:val="16"/>
          <w:color w:val="auto"/>
        </w:rPr>
      </w:pPr>
    </w:p>
    <w:p>
      <w:pPr>
        <w:ind w:left="2320" w:right="1520" w:firstLine="49"/>
        <w:spacing w:after="0" w:line="283" w:lineRule="auto"/>
        <w:tabs>
          <w:tab w:leader="none" w:pos="2562" w:val="left"/>
        </w:tabs>
        <w:numPr>
          <w:ilvl w:val="2"/>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BDC to pay accrued and unpaid Subordinated Collateral Management Fees;</w:t>
      </w:r>
    </w:p>
    <w:p>
      <w:pPr>
        <w:spacing w:after="0" w:line="131" w:lineRule="exact"/>
        <w:rPr>
          <w:rFonts w:ascii="Times New Roman" w:cs="Times New Roman" w:eastAsia="Times New Roman" w:hAnsi="Times New Roman"/>
          <w:sz w:val="16"/>
          <w:szCs w:val="16"/>
          <w:color w:val="auto"/>
        </w:rPr>
      </w:pPr>
    </w:p>
    <w:p>
      <w:pPr>
        <w:ind w:left="2320" w:right="1680" w:firstLine="49"/>
        <w:spacing w:after="0" w:line="283" w:lineRule="auto"/>
        <w:tabs>
          <w:tab w:leader="none" w:pos="2571" w:val="left"/>
        </w:tabs>
        <w:numPr>
          <w:ilvl w:val="2"/>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Reinvestment Period, to the payment of any hedge breakage or termination costs owed by the Borrower;</w:t>
      </w:r>
    </w:p>
    <w:p>
      <w:pPr>
        <w:spacing w:after="0" w:line="131" w:lineRule="exact"/>
        <w:rPr>
          <w:rFonts w:ascii="Times New Roman" w:cs="Times New Roman" w:eastAsia="Times New Roman" w:hAnsi="Times New Roman"/>
          <w:sz w:val="16"/>
          <w:szCs w:val="16"/>
          <w:color w:val="auto"/>
        </w:rPr>
      </w:pPr>
    </w:p>
    <w:p>
      <w:pPr>
        <w:ind w:left="2320" w:right="1480" w:firstLine="49"/>
        <w:spacing w:after="0" w:line="254" w:lineRule="auto"/>
        <w:tabs>
          <w:tab w:leader="none" w:pos="2625" w:val="left"/>
        </w:tabs>
        <w:numPr>
          <w:ilvl w:val="2"/>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remainder to be allocated at the discretion of the Collateral Manager (in written notice to the Agents delivered on or prior to the related Determination Date) to any one or more of the following payments: (i) to the Principal Collection Subaccount for the purchase of additional Collateral Loans (including funding Revolving Collateral Loans and Delayed Drawdown Collateral Loans),</w:t>
      </w:r>
    </w:p>
    <w:p>
      <w:pPr>
        <w:spacing w:after="0" w:line="2" w:lineRule="exact"/>
        <w:rPr>
          <w:rFonts w:ascii="Times New Roman" w:cs="Times New Roman" w:eastAsia="Times New Roman" w:hAnsi="Times New Roman"/>
          <w:sz w:val="16"/>
          <w:szCs w:val="16"/>
          <w:color w:val="auto"/>
        </w:rPr>
      </w:pPr>
    </w:p>
    <w:p>
      <w:pPr>
        <w:ind w:left="2320" w:right="1440" w:firstLine="8"/>
        <w:spacing w:after="0" w:line="260" w:lineRule="auto"/>
        <w:tabs>
          <w:tab w:leader="none" w:pos="2557" w:val="left"/>
        </w:tabs>
        <w:numPr>
          <w:ilvl w:val="1"/>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prepay the Advances, (iii) for deposit into the Revolving Reserve Account, and (iv) to the Borrower;</w:t>
      </w:r>
    </w:p>
    <w:p>
      <w:pPr>
        <w:spacing w:after="0" w:line="146" w:lineRule="exact"/>
        <w:rPr>
          <w:rFonts w:ascii="Times New Roman" w:cs="Times New Roman" w:eastAsia="Times New Roman" w:hAnsi="Times New Roman"/>
          <w:sz w:val="16"/>
          <w:szCs w:val="16"/>
          <w:color w:val="auto"/>
        </w:rPr>
      </w:pPr>
    </w:p>
    <w:p>
      <w:pPr>
        <w:ind w:left="2320" w:right="1420" w:firstLine="49"/>
        <w:spacing w:after="0" w:line="286" w:lineRule="auto"/>
        <w:tabs>
          <w:tab w:leader="none" w:pos="2607" w:val="left"/>
        </w:tabs>
        <w:numPr>
          <w:ilvl w:val="2"/>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Reinvestment Period, to pay the Advances of each Lender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based on each Lender’s Percentage) until paid in full;</w:t>
      </w:r>
    </w:p>
    <w:p>
      <w:pPr>
        <w:spacing w:after="0" w:line="128" w:lineRule="exact"/>
        <w:rPr>
          <w:rFonts w:ascii="Times New Roman" w:cs="Times New Roman" w:eastAsia="Times New Roman" w:hAnsi="Times New Roman"/>
          <w:sz w:val="16"/>
          <w:szCs w:val="16"/>
          <w:color w:val="auto"/>
        </w:rPr>
      </w:pPr>
    </w:p>
    <w:p>
      <w:pPr>
        <w:ind w:left="2320" w:right="1760" w:firstLine="49"/>
        <w:spacing w:after="0" w:line="283" w:lineRule="auto"/>
        <w:tabs>
          <w:tab w:leader="none" w:pos="2652" w:val="left"/>
        </w:tabs>
        <w:numPr>
          <w:ilvl w:val="2"/>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payment of any hedge breakage or termination costs owed by the Borrower;</w:t>
      </w:r>
    </w:p>
    <w:p>
      <w:pPr>
        <w:spacing w:after="0" w:line="131" w:lineRule="exact"/>
        <w:rPr>
          <w:rFonts w:ascii="Times New Roman" w:cs="Times New Roman" w:eastAsia="Times New Roman" w:hAnsi="Times New Roman"/>
          <w:sz w:val="16"/>
          <w:szCs w:val="16"/>
          <w:color w:val="auto"/>
        </w:rPr>
      </w:pPr>
    </w:p>
    <w:p>
      <w:pPr>
        <w:ind w:left="2320" w:right="1440" w:firstLine="49"/>
        <w:spacing w:after="0" w:line="261" w:lineRule="auto"/>
        <w:tabs>
          <w:tab w:leader="none" w:pos="2625" w:val="left"/>
        </w:tabs>
        <w:numPr>
          <w:ilvl w:val="2"/>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payment of any other amounts owed to the Collateral Manager or U.S. Bank Trust Company, National Association or U.S. Bank National Association pursuant to a Facility Document or pursuant to this Agreement (including indemnities); and</w:t>
      </w:r>
    </w:p>
    <w:p>
      <w:pPr>
        <w:spacing w:after="0" w:line="148" w:lineRule="exact"/>
        <w:rPr>
          <w:rFonts w:ascii="Times New Roman" w:cs="Times New Roman" w:eastAsia="Times New Roman" w:hAnsi="Times New Roman"/>
          <w:sz w:val="16"/>
          <w:szCs w:val="16"/>
          <w:color w:val="auto"/>
        </w:rPr>
      </w:pPr>
    </w:p>
    <w:p>
      <w:pPr>
        <w:ind w:left="2320" w:right="1720" w:firstLine="49"/>
        <w:spacing w:after="0" w:line="283" w:lineRule="auto"/>
        <w:tabs>
          <w:tab w:leader="none" w:pos="2625" w:val="left"/>
        </w:tabs>
        <w:numPr>
          <w:ilvl w:val="2"/>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remainder to the Borrower, which amounts may be distributed to the BDC.</w:t>
      </w:r>
    </w:p>
    <w:p>
      <w:pPr>
        <w:spacing w:after="0" w:line="131" w:lineRule="exact"/>
        <w:rPr>
          <w:rFonts w:ascii="Times New Roman" w:cs="Times New Roman" w:eastAsia="Times New Roman" w:hAnsi="Times New Roman"/>
          <w:sz w:val="16"/>
          <w:szCs w:val="16"/>
          <w:color w:val="auto"/>
        </w:rPr>
      </w:pPr>
    </w:p>
    <w:p>
      <w:pPr>
        <w:ind w:left="1840" w:right="1380" w:firstLine="44"/>
        <w:spacing w:after="0" w:line="256" w:lineRule="auto"/>
        <w:tabs>
          <w:tab w:leader="none" w:pos="2118"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each Payment Date, Principal Proceeds on deposit in the Principal Collection Subaccounts that are received on or before the related Determination Date and that are not designated for reinvestment by the Collateral Manager will be transferred to the applicable Payment Account and applied, except for any such Principal Proceeds that will be used to settle binding commitments (entered into prior to the related Determination Date) for the purchase of Collateral Loans, in the following order of priority:</w:t>
      </w:r>
    </w:p>
    <w:p>
      <w:pPr>
        <w:spacing w:after="0" w:line="154" w:lineRule="exact"/>
        <w:rPr>
          <w:rFonts w:ascii="Times New Roman" w:cs="Times New Roman" w:eastAsia="Times New Roman" w:hAnsi="Times New Roman"/>
          <w:sz w:val="16"/>
          <w:szCs w:val="16"/>
          <w:color w:val="auto"/>
        </w:rPr>
      </w:pPr>
    </w:p>
    <w:p>
      <w:pPr>
        <w:ind w:left="2320" w:right="1400" w:firstLine="49"/>
        <w:spacing w:after="0" w:line="266" w:lineRule="auto"/>
        <w:tabs>
          <w:tab w:leader="none" w:pos="2625" w:val="left"/>
        </w:tabs>
        <w:numPr>
          <w:ilvl w:val="2"/>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payment of unpaid amounts under clauses (A) through (G) in clause (i) above (in the same order of priority specified therein), to the extent not paid in full thereunder;</w:t>
      </w:r>
    </w:p>
    <w:p>
      <w:pPr>
        <w:spacing w:after="0" w:line="144" w:lineRule="exact"/>
        <w:rPr>
          <w:rFonts w:ascii="Times New Roman" w:cs="Times New Roman" w:eastAsia="Times New Roman" w:hAnsi="Times New Roman"/>
          <w:sz w:val="16"/>
          <w:szCs w:val="16"/>
          <w:color w:val="auto"/>
        </w:rPr>
      </w:pPr>
    </w:p>
    <w:p>
      <w:pPr>
        <w:jc w:val="both"/>
        <w:ind w:left="2320" w:right="1500" w:firstLine="49"/>
        <w:spacing w:after="0" w:line="261" w:lineRule="auto"/>
        <w:tabs>
          <w:tab w:leader="none" w:pos="2616" w:val="left"/>
        </w:tabs>
        <w:numPr>
          <w:ilvl w:val="2"/>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Reinvestment Period, at the discretion of the Collateral Manager, all remaining amounts shall be applied in any combination of the following four options: (1) to the Principal Collection Subaccount for the purpose of acquiring additional Collateral Loans (including funding Revolving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638810</wp:posOffset>
            </wp:positionV>
            <wp:extent cx="526605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9" w:name="page230"/>
    <w:bookmarkEnd w:id="229"/>
    <w:p>
      <w:pPr>
        <w:spacing w:after="0" w:line="270" w:lineRule="exact"/>
        <w:rPr>
          <w:sz w:val="20"/>
          <w:szCs w:val="20"/>
          <w:color w:val="auto"/>
        </w:rPr>
      </w:pPr>
    </w:p>
    <w:p>
      <w:pPr>
        <w:ind w:left="2320" w:right="1360"/>
        <w:spacing w:after="0" w:line="253" w:lineRule="auto"/>
        <w:rPr>
          <w:sz w:val="20"/>
          <w:szCs w:val="20"/>
          <w:color w:val="auto"/>
        </w:rPr>
      </w:pPr>
      <w:r>
        <w:rPr>
          <w:rFonts w:ascii="Times New Roman" w:cs="Times New Roman" w:eastAsia="Times New Roman" w:hAnsi="Times New Roman"/>
          <w:sz w:val="16"/>
          <w:szCs w:val="16"/>
          <w:color w:val="auto"/>
        </w:rPr>
        <w:t xml:space="preserve">Loans and Delayed Drawdown Collateral Loans), (2) to prepay the Advances, (3) for deposit into the Revolving Reserve Account up to the amount of the Revolving Exposure, and/or (4) to the Borrower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the related Payment Date, the Borrower, or the Collateral Agent on its behalf, has submitted a written request to the Administrative Agent for a direct disbursement of Principal Proceeds to the Borrower, which request shall (I) certify that the Borrower is in compliance with each Collateral Quality Test and Coverage Test and that no Default or Event of Default shall have occurred and be continuing at the time of the request or shall result upon the making of the requested direct disbursement and (II) specify the amount of the requested direct disbursement and the related Payment Date for the direct disbursement;</w:t>
      </w:r>
    </w:p>
    <w:p>
      <w:pPr>
        <w:spacing w:after="0" w:line="155" w:lineRule="exact"/>
        <w:rPr>
          <w:sz w:val="20"/>
          <w:szCs w:val="20"/>
          <w:color w:val="auto"/>
        </w:rPr>
      </w:pPr>
    </w:p>
    <w:p>
      <w:pPr>
        <w:ind w:left="2320" w:right="1420" w:firstLine="49"/>
        <w:spacing w:after="0" w:line="262" w:lineRule="auto"/>
        <w:tabs>
          <w:tab w:leader="none" w:pos="2616" w:val="left"/>
        </w:tabs>
        <w:numPr>
          <w:ilvl w:val="1"/>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the Reinvestment Period, (1) </w:t>
      </w:r>
      <w:r>
        <w:rPr>
          <w:rFonts w:ascii="Times New Roman" w:cs="Times New Roman" w:eastAsia="Times New Roman" w:hAnsi="Times New Roman"/>
          <w:sz w:val="16"/>
          <w:szCs w:val="16"/>
          <w:i w:val="1"/>
          <w:iCs w:val="1"/>
          <w:color w:val="auto"/>
        </w:rPr>
        <w:t>first</w:t>
      </w:r>
      <w:r>
        <w:rPr>
          <w:rFonts w:ascii="Times New Roman" w:cs="Times New Roman" w:eastAsia="Times New Roman" w:hAnsi="Times New Roman"/>
          <w:sz w:val="16"/>
          <w:szCs w:val="16"/>
          <w:color w:val="auto"/>
        </w:rPr>
        <w:t xml:space="preserve">, for deposit into the Revolving Reserve Account until the amounts on deposit therein are equal to the Revolving Reserve Required Amount; and (2) </w:t>
      </w:r>
      <w:r>
        <w:rPr>
          <w:rFonts w:ascii="Times New Roman" w:cs="Times New Roman" w:eastAsia="Times New Roman" w:hAnsi="Times New Roman"/>
          <w:sz w:val="16"/>
          <w:szCs w:val="16"/>
          <w:i w:val="1"/>
          <w:iCs w:val="1"/>
          <w:color w:val="auto"/>
        </w:rPr>
        <w:t>second</w:t>
      </w:r>
      <w:r>
        <w:rPr>
          <w:rFonts w:ascii="Times New Roman" w:cs="Times New Roman" w:eastAsia="Times New Roman" w:hAnsi="Times New Roman"/>
          <w:sz w:val="16"/>
          <w:szCs w:val="16"/>
          <w:color w:val="auto"/>
        </w:rPr>
        <w:t>, to pay the Advances of each Lender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based on each Lender’s Percentage) until the Advances are paid in full;</w:t>
      </w:r>
    </w:p>
    <w:p>
      <w:pPr>
        <w:spacing w:after="0" w:line="146" w:lineRule="exact"/>
        <w:rPr>
          <w:rFonts w:ascii="Times New Roman" w:cs="Times New Roman" w:eastAsia="Times New Roman" w:hAnsi="Times New Roman"/>
          <w:sz w:val="16"/>
          <w:szCs w:val="16"/>
          <w:color w:val="auto"/>
        </w:rPr>
      </w:pPr>
    </w:p>
    <w:p>
      <w:pPr>
        <w:ind w:left="2320" w:right="1700" w:firstLine="49"/>
        <w:spacing w:after="0" w:line="266" w:lineRule="auto"/>
        <w:tabs>
          <w:tab w:leader="none" w:pos="2625" w:val="left"/>
        </w:tabs>
        <w:numPr>
          <w:ilvl w:val="1"/>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Reinvestment Period, to the payment of amounts referred to in clauses (G), (H), (I) and (M) of clause (i) above (in the same order of priority specified therein), to the extent not paid in full thereunder; and</w:t>
      </w:r>
    </w:p>
    <w:p>
      <w:pPr>
        <w:spacing w:after="0" w:line="144" w:lineRule="exact"/>
        <w:rPr>
          <w:rFonts w:ascii="Times New Roman" w:cs="Times New Roman" w:eastAsia="Times New Roman" w:hAnsi="Times New Roman"/>
          <w:sz w:val="16"/>
          <w:szCs w:val="16"/>
          <w:color w:val="auto"/>
        </w:rPr>
      </w:pPr>
    </w:p>
    <w:p>
      <w:pPr>
        <w:ind w:left="2320" w:right="1740" w:firstLine="49"/>
        <w:spacing w:after="0" w:line="283" w:lineRule="auto"/>
        <w:tabs>
          <w:tab w:leader="none" w:pos="2607" w:val="left"/>
        </w:tabs>
        <w:numPr>
          <w:ilvl w:val="1"/>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remainder to the Borrower, which amounts may be distributed to the BDC.</w:t>
      </w:r>
    </w:p>
    <w:p>
      <w:pPr>
        <w:spacing w:after="0" w:line="131" w:lineRule="exact"/>
        <w:rPr>
          <w:rFonts w:ascii="Times New Roman" w:cs="Times New Roman" w:eastAsia="Times New Roman" w:hAnsi="Times New Roman"/>
          <w:sz w:val="16"/>
          <w:szCs w:val="16"/>
          <w:color w:val="auto"/>
        </w:rPr>
      </w:pPr>
    </w:p>
    <w:p>
      <w:pPr>
        <w:ind w:left="1360" w:right="1440" w:firstLine="40"/>
        <w:spacing w:after="0" w:line="261" w:lineRule="auto"/>
        <w:tabs>
          <w:tab w:leader="none" w:pos="1629"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on any Payment Date the amount available in the Payment Accounts is insufficient to make the full amount of the disbursements required by the Payment Date Report, the Collateral Agent shall make the disbursements called for in the order and according to the priority set forth under Section 9.01(a) to the extent funds are available therefor.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X</w:t>
      </w:r>
    </w:p>
    <w:p>
      <w:pPr>
        <w:spacing w:after="0" w:line="19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Sale of Collateral Loans; Purchase of Additional Collateral Loans</w:t>
      </w:r>
    </w:p>
    <w:p>
      <w:pPr>
        <w:spacing w:after="0" w:line="18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i w:val="1"/>
          <w:iCs w:val="1"/>
          <w:color w:val="auto"/>
        </w:rPr>
        <w:t>Section 10.01. Sales of Collateral Loans</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left="1360" w:right="1360" w:firstLine="40"/>
        <w:spacing w:after="0" w:line="259" w:lineRule="auto"/>
        <w:tabs>
          <w:tab w:leader="none" w:pos="1622"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Discretionary Sales of Collateral Loans</w:t>
      </w:r>
      <w:r>
        <w:rPr>
          <w:rFonts w:ascii="Times New Roman" w:cs="Times New Roman" w:eastAsia="Times New Roman" w:hAnsi="Times New Roman"/>
          <w:sz w:val="16"/>
          <w:szCs w:val="16"/>
          <w:color w:val="auto"/>
        </w:rPr>
        <w:t>. Subject to the satisfaction of the conditions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specified in Section 10.04, the Collateral Manager on behalf of the Borrower may, but will not be required to, direct the Collateral Agent to sell, and the Collateral Agent shall sell in the manner directed by the Collateral Manager, any Collateral Loan, Credit Risk Collateral Loan, Defaulted Collateral Loan, or Ineligible Collateral Loan if such sale meets the requirements set forth below:</w:t>
      </w:r>
    </w:p>
    <w:p>
      <w:pPr>
        <w:spacing w:after="0" w:line="149" w:lineRule="exact"/>
        <w:rPr>
          <w:rFonts w:ascii="Times New Roman" w:cs="Times New Roman" w:eastAsia="Times New Roman" w:hAnsi="Times New Roman"/>
          <w:sz w:val="16"/>
          <w:szCs w:val="16"/>
          <w:color w:val="auto"/>
        </w:rPr>
      </w:pPr>
    </w:p>
    <w:p>
      <w:pPr>
        <w:ind w:left="1840" w:right="1360" w:firstLine="44"/>
        <w:spacing w:after="0" w:line="266" w:lineRule="auto"/>
        <w:tabs>
          <w:tab w:leader="none" w:pos="2073"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or Event of Default is continuing or would result upon giving effect thereto (unless, in the case of such a Default, such Default will be cured upon giving effect to such sale and the application of the proceeds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636905</wp:posOffset>
            </wp:positionV>
            <wp:extent cx="526605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0" w:name="page231"/>
    <w:bookmarkEnd w:id="230"/>
    <w:p>
      <w:pPr>
        <w:spacing w:after="0" w:line="270" w:lineRule="exact"/>
        <w:rPr>
          <w:sz w:val="20"/>
          <w:szCs w:val="20"/>
          <w:color w:val="auto"/>
        </w:rPr>
      </w:pPr>
    </w:p>
    <w:p>
      <w:pPr>
        <w:ind w:left="1840" w:right="1440" w:firstLine="44"/>
        <w:spacing w:after="0" w:line="283" w:lineRule="auto"/>
        <w:tabs>
          <w:tab w:leader="none" w:pos="2118"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giving effect thereto and the application of the proceeds thereof, the Maximum Advance Rate Test is satisfied;</w:t>
      </w:r>
    </w:p>
    <w:p>
      <w:pPr>
        <w:spacing w:after="0" w:line="131" w:lineRule="exact"/>
        <w:rPr>
          <w:rFonts w:ascii="Times New Roman" w:cs="Times New Roman" w:eastAsia="Times New Roman" w:hAnsi="Times New Roman"/>
          <w:sz w:val="16"/>
          <w:szCs w:val="16"/>
          <w:color w:val="auto"/>
        </w:rPr>
      </w:pPr>
    </w:p>
    <w:p>
      <w:pPr>
        <w:ind w:left="1840" w:right="1520" w:firstLine="44"/>
        <w:spacing w:after="0" w:line="261" w:lineRule="auto"/>
        <w:tabs>
          <w:tab w:leader="none" w:pos="2163"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giving effect thereto and the application of the proceeds thereof, each other Coverage Test is satisfied and each Collateral Quality Test is satisfied or, if a Collateral Quality Test is not satisfied, either the compliance with any such test is maintained or improved or the Administrative Agent has consented to such sale in its sole discretion;</w:t>
      </w:r>
    </w:p>
    <w:p>
      <w:pPr>
        <w:spacing w:after="0" w:line="148" w:lineRule="exact"/>
        <w:rPr>
          <w:rFonts w:ascii="Times New Roman" w:cs="Times New Roman" w:eastAsia="Times New Roman" w:hAnsi="Times New Roman"/>
          <w:sz w:val="16"/>
          <w:szCs w:val="16"/>
          <w:color w:val="auto"/>
        </w:rPr>
      </w:pPr>
    </w:p>
    <w:p>
      <w:pPr>
        <w:ind w:left="2160" w:hanging="276"/>
        <w:spacing w:after="0"/>
        <w:tabs>
          <w:tab w:leader="none" w:pos="216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sale is made for Cash;</w:t>
      </w:r>
    </w:p>
    <w:p>
      <w:pPr>
        <w:spacing w:after="0" w:line="189" w:lineRule="exact"/>
        <w:rPr>
          <w:rFonts w:ascii="Times New Roman" w:cs="Times New Roman" w:eastAsia="Times New Roman" w:hAnsi="Times New Roman"/>
          <w:sz w:val="16"/>
          <w:szCs w:val="16"/>
          <w:color w:val="auto"/>
        </w:rPr>
      </w:pPr>
    </w:p>
    <w:p>
      <w:pPr>
        <w:ind w:left="1840" w:right="1480" w:firstLine="44"/>
        <w:spacing w:after="0" w:line="283" w:lineRule="auto"/>
        <w:tabs>
          <w:tab w:leader="none" w:pos="2109"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sale is made for a purchase price at least equal to the original percentage of par paid by the Borrower; and</w:t>
      </w:r>
    </w:p>
    <w:p>
      <w:pPr>
        <w:spacing w:after="0" w:line="131" w:lineRule="exact"/>
        <w:rPr>
          <w:rFonts w:ascii="Times New Roman" w:cs="Times New Roman" w:eastAsia="Times New Roman" w:hAnsi="Times New Roman"/>
          <w:sz w:val="16"/>
          <w:szCs w:val="16"/>
          <w:color w:val="auto"/>
        </w:rPr>
      </w:pPr>
    </w:p>
    <w:p>
      <w:pPr>
        <w:jc w:val="both"/>
        <w:ind w:left="1840" w:right="1380" w:firstLine="44"/>
        <w:spacing w:after="0" w:line="261" w:lineRule="auto"/>
        <w:tabs>
          <w:tab w:leader="none" w:pos="2154"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reasonable judgment of the Collateral Manager, there is no adverse selection of such Collateral Loans;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restrictions in clauses (iii), (v) and (vi) above in this Section 10.01(a) shall not apply to sales of Credit Risk Collateral Loans, Defaulted Collateral Loans or Ineligible Collateral Loans.</w:t>
      </w:r>
    </w:p>
    <w:p>
      <w:pPr>
        <w:spacing w:after="0" w:line="148" w:lineRule="exact"/>
        <w:rPr>
          <w:sz w:val="20"/>
          <w:szCs w:val="20"/>
          <w:color w:val="auto"/>
        </w:rPr>
      </w:pPr>
    </w:p>
    <w:p>
      <w:pPr>
        <w:ind w:left="1360" w:right="1380" w:firstLine="484"/>
        <w:spacing w:after="0" w:line="254" w:lineRule="auto"/>
        <w:rPr>
          <w:sz w:val="20"/>
          <w:szCs w:val="20"/>
          <w:color w:val="auto"/>
        </w:rPr>
      </w:pPr>
      <w:r>
        <w:rPr>
          <w:rFonts w:ascii="Times New Roman" w:cs="Times New Roman" w:eastAsia="Times New Roman" w:hAnsi="Times New Roman"/>
          <w:sz w:val="16"/>
          <w:szCs w:val="16"/>
          <w:color w:val="auto"/>
        </w:rPr>
        <w:t xml:space="preserve">Notwithstanding anything above that would otherwise prohibit the sale of a Collateral Loan after the occurrence or during the continuance of a Default or an Event of Default, if the Borrower entered into an agreement to sell any such Collateral Loan prior to the occurrence and continuance of such Default or an Event of Default, but such sale did not settle prior to the occurrence of such Default or an Event of Default, then the Borrower shall be permitted to consummate such sale notwithstanding the occurrence and continuance of such Default or an Event of Default,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sale was not entered into in contemplation of the occurrence of such Default or Event of Default and such settlement occurs within the customary settlement period for similar trades.</w:t>
      </w:r>
    </w:p>
    <w:p>
      <w:pPr>
        <w:spacing w:after="0" w:line="152" w:lineRule="exact"/>
        <w:rPr>
          <w:sz w:val="20"/>
          <w:szCs w:val="20"/>
          <w:color w:val="auto"/>
        </w:rPr>
      </w:pPr>
    </w:p>
    <w:p>
      <w:pPr>
        <w:ind w:left="1360" w:right="1520" w:firstLine="40"/>
        <w:spacing w:after="0" w:line="196" w:lineRule="exact"/>
        <w:tabs>
          <w:tab w:leader="none" w:pos="1633"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Sales of Equity Securities. </w:t>
      </w:r>
      <w:r>
        <w:rPr>
          <w:rFonts w:ascii="Times New Roman" w:cs="Times New Roman" w:eastAsia="Times New Roman" w:hAnsi="Times New Roman"/>
          <w:sz w:val="16"/>
          <w:szCs w:val="16"/>
          <w:color w:val="auto"/>
        </w:rPr>
        <w:t>The Borrower may sell any Equity Security at any time without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restriction, and shall use its commercially reasonable efforts to effect the sale of any Equity Security, regardless of price within forty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five (45) days of receipt if such Equity Security constitutes Margin Stock, unless such sale is prohibited by Applicable Law, in which case such Equity Security should be sold as soon as such sale is permitted by Applicable Law.</w:t>
      </w:r>
    </w:p>
    <w:p>
      <w:pPr>
        <w:spacing w:after="0" w:line="162" w:lineRule="exact"/>
        <w:rPr>
          <w:rFonts w:ascii="Times New Roman" w:cs="Times New Roman" w:eastAsia="Times New Roman" w:hAnsi="Times New Roman"/>
          <w:sz w:val="16"/>
          <w:szCs w:val="16"/>
          <w:color w:val="auto"/>
        </w:rPr>
      </w:pPr>
    </w:p>
    <w:p>
      <w:pPr>
        <w:ind w:left="1360" w:right="1380" w:firstLine="40"/>
        <w:spacing w:after="0" w:line="259" w:lineRule="auto"/>
        <w:tabs>
          <w:tab w:leader="none" w:pos="1622"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Certain Restrictions. </w:t>
      </w:r>
      <w:r>
        <w:rPr>
          <w:rFonts w:ascii="Times New Roman" w:cs="Times New Roman" w:eastAsia="Times New Roman" w:hAnsi="Times New Roman"/>
          <w:sz w:val="16"/>
          <w:szCs w:val="16"/>
          <w:color w:val="auto"/>
        </w:rPr>
        <w:t>In the case of a sale of a Defaulted Collateral Loan, a Credit Risk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Collateral Loan or an Ineligible Collateral Loan to an Affiliate of the Borrower at a price less than the original percentage of par paid by the Borrower, the purchase price shall not be less than the Market Value of such Defaulted Collateral Loan, Credit Risk Collateral Loan or Ineligible Collateral Loan.</w:t>
      </w:r>
    </w:p>
    <w:p>
      <w:pPr>
        <w:spacing w:after="0" w:line="147" w:lineRule="exact"/>
        <w:rPr>
          <w:rFonts w:ascii="Times New Roman" w:cs="Times New Roman" w:eastAsia="Times New Roman" w:hAnsi="Times New Roman"/>
          <w:sz w:val="16"/>
          <w:szCs w:val="16"/>
          <w:color w:val="auto"/>
        </w:rPr>
      </w:pPr>
    </w:p>
    <w:p>
      <w:pPr>
        <w:ind w:left="1360" w:right="1520" w:firstLine="40"/>
        <w:spacing w:after="0" w:line="286" w:lineRule="auto"/>
        <w:tabs>
          <w:tab w:leader="none" w:pos="1633"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Terms of Sales</w:t>
      </w:r>
      <w:r>
        <w:rPr>
          <w:rFonts w:ascii="Times New Roman" w:cs="Times New Roman" w:eastAsia="Times New Roman" w:hAnsi="Times New Roman"/>
          <w:sz w:val="16"/>
          <w:szCs w:val="16"/>
          <w:color w:val="auto"/>
        </w:rPr>
        <w:t>. All sales of Collateral Loans and other property of the Borrower under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provisions above in this Section 10.01 must be exclusively for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1" w:name="page232"/>
    <w:bookmarkEnd w:id="231"/>
    <w:p>
      <w:pPr>
        <w:spacing w:after="0" w:line="26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i w:val="1"/>
          <w:iCs w:val="1"/>
          <w:color w:val="auto"/>
        </w:rPr>
        <w:t>Section 10.02. Purchase of Additional Collateral Loans</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left="1360" w:right="1380" w:firstLine="40"/>
        <w:spacing w:after="0" w:line="254" w:lineRule="auto"/>
        <w:tabs>
          <w:tab w:leader="none" w:pos="1622"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Purchase of Collateral Loans</w:t>
      </w:r>
      <w:r>
        <w:rPr>
          <w:rFonts w:ascii="Times New Roman" w:cs="Times New Roman" w:eastAsia="Times New Roman" w:hAnsi="Times New Roman"/>
          <w:sz w:val="16"/>
          <w:szCs w:val="16"/>
          <w:color w:val="auto"/>
        </w:rPr>
        <w:t>. On any date during the Reinvestment Period, if no Event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Default has occurred and is continuing, the Collateral Manager on behalf of the Borrower may, if each of the conditions specified in this Section 10.02 and Section 10.04 are met, invest Principal Proceeds and accrued interest received with respect to any Collateral Loan to the extent used to pay for accrued interest on additional Collateral Loans in additional Collateral Loans,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no Collateral Loan may be purchased unless each of the following conditions are satisfied as of the date the Collateral Manager commits on behalf of the Borrower to make such purchase, in each case after giving effect to such purchase and all other sales or purchases previously or simultaneously committed to:</w:t>
      </w:r>
    </w:p>
    <w:p>
      <w:pPr>
        <w:spacing w:after="0" w:line="156" w:lineRule="exact"/>
        <w:rPr>
          <w:rFonts w:ascii="Times New Roman" w:cs="Times New Roman" w:eastAsia="Times New Roman" w:hAnsi="Times New Roman"/>
          <w:sz w:val="16"/>
          <w:szCs w:val="16"/>
          <w:color w:val="auto"/>
        </w:rPr>
      </w:pPr>
    </w:p>
    <w:p>
      <w:pPr>
        <w:ind w:left="2080" w:hanging="196"/>
        <w:spacing w:after="0"/>
        <w:tabs>
          <w:tab w:leader="none" w:pos="2080" w:val="left"/>
        </w:tabs>
        <w:numPr>
          <w:ilvl w:val="1"/>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obligation is an Eligible Collateral Loan;</w:t>
      </w:r>
    </w:p>
    <w:p>
      <w:pPr>
        <w:spacing w:after="0" w:line="189" w:lineRule="exact"/>
        <w:rPr>
          <w:rFonts w:ascii="Times New Roman" w:cs="Times New Roman" w:eastAsia="Times New Roman" w:hAnsi="Times New Roman"/>
          <w:sz w:val="16"/>
          <w:szCs w:val="16"/>
          <w:color w:val="auto"/>
        </w:rPr>
      </w:pPr>
    </w:p>
    <w:p>
      <w:pPr>
        <w:ind w:left="1840" w:right="1420" w:firstLine="44"/>
        <w:spacing w:after="0" w:line="266" w:lineRule="auto"/>
        <w:tabs>
          <w:tab w:leader="none" w:pos="2118" w:val="left"/>
        </w:tabs>
        <w:numPr>
          <w:ilvl w:val="1"/>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Collateral Quality Test is satisfied (or, if not satisfied immediately prior to such investment, compliance with such Collateral Quality Test is maintained or improved); and</w:t>
      </w:r>
    </w:p>
    <w:p>
      <w:pPr>
        <w:spacing w:after="0" w:line="144" w:lineRule="exact"/>
        <w:rPr>
          <w:rFonts w:ascii="Times New Roman" w:cs="Times New Roman" w:eastAsia="Times New Roman" w:hAnsi="Times New Roman"/>
          <w:sz w:val="16"/>
          <w:szCs w:val="16"/>
          <w:color w:val="auto"/>
        </w:rPr>
      </w:pPr>
    </w:p>
    <w:p>
      <w:pPr>
        <w:ind w:left="2160" w:hanging="276"/>
        <w:spacing w:after="0"/>
        <w:tabs>
          <w:tab w:leader="none" w:pos="2160" w:val="left"/>
        </w:tabs>
        <w:numPr>
          <w:ilvl w:val="1"/>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Coverage Test is satisfied.</w:t>
      </w:r>
    </w:p>
    <w:p>
      <w:pPr>
        <w:spacing w:after="0" w:line="187" w:lineRule="exact"/>
        <w:rPr>
          <w:rFonts w:ascii="Times New Roman" w:cs="Times New Roman" w:eastAsia="Times New Roman" w:hAnsi="Times New Roman"/>
          <w:sz w:val="16"/>
          <w:szCs w:val="16"/>
          <w:color w:val="auto"/>
        </w:rPr>
      </w:pPr>
    </w:p>
    <w:p>
      <w:pPr>
        <w:ind w:left="1360" w:right="1380" w:firstLine="40"/>
        <w:spacing w:after="0" w:line="194" w:lineRule="exact"/>
        <w:tabs>
          <w:tab w:leader="none" w:pos="1633"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Purchase of Collateral Loans Involving Affiliates</w:t>
      </w:r>
      <w:r>
        <w:rPr>
          <w:rFonts w:ascii="Times New Roman" w:cs="Times New Roman" w:eastAsia="Times New Roman" w:hAnsi="Times New Roman"/>
          <w:sz w:val="16"/>
          <w:szCs w:val="16"/>
          <w:color w:val="auto"/>
        </w:rPr>
        <w:t>. Additional Collateral Loans may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purchased from time to time by the Borrower from the Collateral Manager or any of its Affiliates only if (x) the terms and conditions thereof are no less favorable to the Borrower than the terms it would obtain in a comparable, timely sale with a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Affiliate, (y) the transactions are effected in accordance with all Applicable Laws and (z) such purchase is for an amount equal to or less than the lesser of (A) the original purchase price paid by the Collateral Manager or such Affiliate (after adjustment for any borrowings or repayments and exclusive of interest) and (B) the Collateral Manager’s current mark with respect to such Collateral Loan.</w:t>
      </w:r>
    </w:p>
    <w:p>
      <w:pPr>
        <w:spacing w:after="0" w:line="16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i w:val="1"/>
          <w:iCs w:val="1"/>
          <w:color w:val="auto"/>
        </w:rPr>
        <w:t>Section 10.03. Substitution and Transfer of Loans</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left="1360" w:right="1380" w:firstLine="40"/>
        <w:spacing w:after="0" w:line="259" w:lineRule="auto"/>
        <w:tabs>
          <w:tab w:leader="none" w:pos="1622"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Substitutions</w:t>
      </w:r>
      <w:r>
        <w:rPr>
          <w:rFonts w:ascii="Times New Roman" w:cs="Times New Roman" w:eastAsia="Times New Roman" w:hAnsi="Times New Roman"/>
          <w:sz w:val="16"/>
          <w:szCs w:val="16"/>
          <w:color w:val="auto"/>
        </w:rPr>
        <w:t>. The Borrower may (including in connection with any retransfer of a Collateral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Loan to the BDC under the Purchase and Contribution Agreement) with the consent of the Administrative Agent in its sole discretion replace any Collateral Loan with another Collateral Loan (a </w:t>
      </w:r>
      <w:r>
        <w:rPr>
          <w:rFonts w:ascii="Times New Roman" w:cs="Times New Roman" w:eastAsia="Times New Roman" w:hAnsi="Times New Roman"/>
          <w:sz w:val="16"/>
          <w:szCs w:val="16"/>
          <w:i w:val="1"/>
          <w:iCs w:val="1"/>
          <w:color w:val="auto"/>
        </w:rPr>
        <w:t>“Substitute Loan”</w:t>
      </w:r>
      <w:r>
        <w:rPr>
          <w:rFonts w:ascii="Times New Roman" w:cs="Times New Roman" w:eastAsia="Times New Roman" w:hAnsi="Times New Roman"/>
          <w:sz w:val="16"/>
          <w:szCs w:val="16"/>
          <w:color w:val="auto"/>
        </w:rPr>
        <w:t>), subject to the satisfaction of the conditions set forth below and in Section 10.04(c).</w:t>
      </w:r>
    </w:p>
    <w:p>
      <w:pPr>
        <w:spacing w:after="0" w:line="147" w:lineRule="exact"/>
        <w:rPr>
          <w:rFonts w:ascii="Times New Roman" w:cs="Times New Roman" w:eastAsia="Times New Roman" w:hAnsi="Times New Roman"/>
          <w:sz w:val="16"/>
          <w:szCs w:val="16"/>
          <w:color w:val="auto"/>
        </w:rPr>
      </w:pPr>
    </w:p>
    <w:p>
      <w:pPr>
        <w:ind w:left="1360" w:right="1420" w:firstLine="40"/>
        <w:spacing w:after="0" w:line="268" w:lineRule="auto"/>
        <w:tabs>
          <w:tab w:leader="none" w:pos="1633"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Conditions to Substitution</w:t>
      </w:r>
      <w:r>
        <w:rPr>
          <w:rFonts w:ascii="Times New Roman" w:cs="Times New Roman" w:eastAsia="Times New Roman" w:hAnsi="Times New Roman"/>
          <w:sz w:val="16"/>
          <w:szCs w:val="16"/>
          <w:color w:val="auto"/>
        </w:rPr>
        <w:t>. No substitution of a Collateral Loan with a Substitute Loan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occur unless each of the following conditions is satisfied as of the date of such substitution (as certified to the Agents by the Borrower (or the Collateral Manager on behalf of the Borrower)):</w:t>
      </w:r>
    </w:p>
    <w:p>
      <w:pPr>
        <w:spacing w:after="0" w:line="142" w:lineRule="exact"/>
        <w:rPr>
          <w:rFonts w:ascii="Times New Roman" w:cs="Times New Roman" w:eastAsia="Times New Roman" w:hAnsi="Times New Roman"/>
          <w:sz w:val="16"/>
          <w:szCs w:val="16"/>
          <w:color w:val="auto"/>
        </w:rPr>
      </w:pPr>
    </w:p>
    <w:p>
      <w:pPr>
        <w:ind w:left="2080" w:hanging="196"/>
        <w:spacing w:after="0"/>
        <w:tabs>
          <w:tab w:leader="none" w:pos="2080" w:val="left"/>
        </w:tabs>
        <w:numPr>
          <w:ilvl w:val="1"/>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Substitute Loan is an Eligible Collateral Loan on the date of substitution;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664845</wp:posOffset>
            </wp:positionV>
            <wp:extent cx="526605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2" w:name="page233"/>
    <w:bookmarkEnd w:id="232"/>
    <w:p>
      <w:pPr>
        <w:spacing w:after="0" w:line="270" w:lineRule="exact"/>
        <w:rPr>
          <w:sz w:val="20"/>
          <w:szCs w:val="20"/>
          <w:color w:val="auto"/>
        </w:rPr>
      </w:pPr>
    </w:p>
    <w:p>
      <w:pPr>
        <w:ind w:left="1840" w:right="1380" w:firstLine="44"/>
        <w:spacing w:after="0" w:line="266" w:lineRule="auto"/>
        <w:tabs>
          <w:tab w:leader="none" w:pos="2118"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giving effect to any such substitution, each Collateral Quality Test is satisfied (or, if not satisfied immediately prior to such investment, compliance with such Collateral Quality Test is maintained or improved), and each Coverage Test is satisfied;</w:t>
      </w:r>
    </w:p>
    <w:p>
      <w:pPr>
        <w:spacing w:after="0" w:line="144" w:lineRule="exact"/>
        <w:rPr>
          <w:rFonts w:ascii="Times New Roman" w:cs="Times New Roman" w:eastAsia="Times New Roman" w:hAnsi="Times New Roman"/>
          <w:sz w:val="16"/>
          <w:szCs w:val="16"/>
          <w:color w:val="auto"/>
        </w:rPr>
      </w:pPr>
    </w:p>
    <w:p>
      <w:pPr>
        <w:ind w:left="1840" w:right="1540" w:firstLine="44"/>
        <w:spacing w:after="0" w:line="266" w:lineRule="auto"/>
        <w:tabs>
          <w:tab w:leader="none" w:pos="2163"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the Principal Balances of such Substitute Loans shall be equal to or greater than the sum of the Principal Balances of the Collateral Loans being substituted for;</w:t>
      </w:r>
    </w:p>
    <w:p>
      <w:pPr>
        <w:spacing w:after="0" w:line="144" w:lineRule="exact"/>
        <w:rPr>
          <w:rFonts w:ascii="Times New Roman" w:cs="Times New Roman" w:eastAsia="Times New Roman" w:hAnsi="Times New Roman"/>
          <w:sz w:val="16"/>
          <w:szCs w:val="16"/>
          <w:color w:val="auto"/>
        </w:rPr>
      </w:pPr>
    </w:p>
    <w:p>
      <w:pPr>
        <w:ind w:left="1840" w:right="1400" w:firstLine="44"/>
        <w:spacing w:after="0" w:line="283" w:lineRule="auto"/>
        <w:tabs>
          <w:tab w:leader="none" w:pos="2154"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or Event of Default has occurred and is continuing (before or after giving effect to such substitution);</w:t>
      </w:r>
    </w:p>
    <w:p>
      <w:pPr>
        <w:spacing w:after="0" w:line="131" w:lineRule="exact"/>
        <w:rPr>
          <w:rFonts w:ascii="Times New Roman" w:cs="Times New Roman" w:eastAsia="Times New Roman" w:hAnsi="Times New Roman"/>
          <w:sz w:val="16"/>
          <w:szCs w:val="16"/>
          <w:color w:val="auto"/>
        </w:rPr>
      </w:pPr>
    </w:p>
    <w:p>
      <w:pPr>
        <w:ind w:left="1840" w:right="1460" w:firstLine="44"/>
        <w:spacing w:after="0" w:line="266" w:lineRule="auto"/>
        <w:tabs>
          <w:tab w:leader="none" w:pos="2109"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selection procedure adverse to the interests of the Secured Parties was utilized by the Borrower or the Collateral Manager in the selection of the Substitute Loan(s) or the Collateral Loans being substituted for;</w:t>
      </w:r>
    </w:p>
    <w:p>
      <w:pPr>
        <w:spacing w:after="0" w:line="144" w:lineRule="exact"/>
        <w:rPr>
          <w:rFonts w:ascii="Times New Roman" w:cs="Times New Roman" w:eastAsia="Times New Roman" w:hAnsi="Times New Roman"/>
          <w:sz w:val="16"/>
          <w:szCs w:val="16"/>
          <w:color w:val="auto"/>
        </w:rPr>
      </w:pPr>
    </w:p>
    <w:p>
      <w:pPr>
        <w:ind w:left="1840" w:right="1440" w:firstLine="44"/>
        <w:spacing w:after="0" w:line="258" w:lineRule="auto"/>
        <w:tabs>
          <w:tab w:leader="none" w:pos="2154"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and the Collateral Manager (on behalf of the Borrower) shall agree to pay the legal fees and expenses of the Administrative Agent and the Collateral Agent in connection with any such substitution (including, but not limited to, expenses incurred in connection with the release of the Lien of the Collateral Agent on behalf of the Secured Parties in connection with such sale, substitution or repurchase);</w:t>
      </w:r>
    </w:p>
    <w:p>
      <w:pPr>
        <w:spacing w:after="0" w:line="151" w:lineRule="exact"/>
        <w:rPr>
          <w:rFonts w:ascii="Times New Roman" w:cs="Times New Roman" w:eastAsia="Times New Roman" w:hAnsi="Times New Roman"/>
          <w:sz w:val="16"/>
          <w:szCs w:val="16"/>
          <w:color w:val="auto"/>
        </w:rPr>
      </w:pPr>
    </w:p>
    <w:p>
      <w:pPr>
        <w:jc w:val="both"/>
        <w:ind w:left="1840" w:right="1480" w:firstLine="44"/>
        <w:spacing w:after="0" w:line="266" w:lineRule="auto"/>
        <w:tabs>
          <w:tab w:leader="none" w:pos="2198"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notify the Administrative Agent of any amount to be deposited into the Collection Account in connection with any such substitution and shall deliver to the Custodian the Related Documents for any Substitute Loans;</w:t>
      </w:r>
    </w:p>
    <w:p>
      <w:pPr>
        <w:spacing w:after="0" w:line="144" w:lineRule="exact"/>
        <w:rPr>
          <w:rFonts w:ascii="Times New Roman" w:cs="Times New Roman" w:eastAsia="Times New Roman" w:hAnsi="Times New Roman"/>
          <w:sz w:val="16"/>
          <w:szCs w:val="16"/>
          <w:color w:val="auto"/>
        </w:rPr>
      </w:pPr>
    </w:p>
    <w:p>
      <w:pPr>
        <w:ind w:left="1840" w:right="1360" w:firstLine="44"/>
        <w:spacing w:after="0" w:line="252" w:lineRule="auto"/>
        <w:tabs>
          <w:tab w:leader="none" w:pos="2243"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confirmation of the delivery of a Substitute Loan for each applicable Collateral Loan being substituted for (the date of such confirmation or delivery, the </w:t>
      </w:r>
      <w:r>
        <w:rPr>
          <w:rFonts w:ascii="Times New Roman" w:cs="Times New Roman" w:eastAsia="Times New Roman" w:hAnsi="Times New Roman"/>
          <w:sz w:val="16"/>
          <w:szCs w:val="16"/>
          <w:i w:val="1"/>
          <w:iCs w:val="1"/>
          <w:color w:val="auto"/>
        </w:rPr>
        <w:t>“Retransfer Date”</w:t>
      </w:r>
      <w:r>
        <w:rPr>
          <w:rFonts w:ascii="Times New Roman" w:cs="Times New Roman" w:eastAsia="Times New Roman" w:hAnsi="Times New Roman"/>
          <w:sz w:val="16"/>
          <w:szCs w:val="16"/>
          <w:color w:val="auto"/>
        </w:rPr>
        <w:t>), each applicable Collateral Loan being substituted for shall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removed from the Collateral and the applicable Substitute Loan(s) shall be included in the Collateral. On the Retransfer Date of a Collateral Loan, the Collateral Agent, for the benefit of the Secured Parties, shall automatically and without further action be deemed to release and transfer to the Borrower, without recourse, representation or warranty, all the right, title and interest of the Collateral Agent, for the benefit of the Secured Parties in, to and under such Collateral Loan being substituted for. The Collateral Agent, for the benefit of the Secured Parties, shall, at the sole expense of the Borrower, execute such documents and instruments of transfer as may be prepared by the Collateral Manager, on behalf of the Borrower, and take other such actions as shall reasonably be requested by the Collateral Manager on behalf of the Borrower to effect the release and transfer of such Collateral Loan pursuant to this Section 10.03; and</w:t>
      </w:r>
    </w:p>
    <w:p>
      <w:pPr>
        <w:spacing w:after="0" w:line="160" w:lineRule="exact"/>
        <w:rPr>
          <w:rFonts w:ascii="Times New Roman" w:cs="Times New Roman" w:eastAsia="Times New Roman" w:hAnsi="Times New Roman"/>
          <w:sz w:val="16"/>
          <w:szCs w:val="16"/>
          <w:color w:val="auto"/>
        </w:rPr>
      </w:pPr>
    </w:p>
    <w:p>
      <w:pPr>
        <w:ind w:left="1840" w:right="1500" w:firstLine="44"/>
        <w:spacing w:after="0" w:line="266" w:lineRule="auto"/>
        <w:tabs>
          <w:tab w:leader="none" w:pos="2154"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deliver to the Administrative Agent on the date of such substitution a certificate of a Responsible Officer certifying that each of the foregoing is true and correct as of such date.</w:t>
      </w:r>
    </w:p>
    <w:p>
      <w:pPr>
        <w:spacing w:after="0" w:line="143" w:lineRule="exact"/>
        <w:rPr>
          <w:sz w:val="20"/>
          <w:szCs w:val="20"/>
          <w:color w:val="auto"/>
        </w:rPr>
      </w:pPr>
    </w:p>
    <w:p>
      <w:pPr>
        <w:ind w:left="1360" w:right="1800" w:firstLine="40"/>
        <w:spacing w:after="0" w:line="286" w:lineRule="auto"/>
        <w:rPr>
          <w:sz w:val="20"/>
          <w:szCs w:val="20"/>
          <w:color w:val="auto"/>
        </w:rPr>
      </w:pPr>
      <w:r>
        <w:rPr>
          <w:rFonts w:ascii="Times New Roman" w:cs="Times New Roman" w:eastAsia="Times New Roman" w:hAnsi="Times New Roman"/>
          <w:sz w:val="16"/>
          <w:szCs w:val="16"/>
          <w:i w:val="1"/>
          <w:iCs w:val="1"/>
          <w:color w:val="auto"/>
        </w:rPr>
        <w:t>Section 10.04. Conditions Applicable to All Sale and Purchase Transactions</w:t>
      </w:r>
      <w:r>
        <w:rPr>
          <w:rFonts w:ascii="Times New Roman" w:cs="Times New Roman" w:eastAsia="Times New Roman" w:hAnsi="Times New Roman"/>
          <w:sz w:val="16"/>
          <w:szCs w:val="16"/>
          <w:color w:val="auto"/>
        </w:rPr>
        <w:t>. (a)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transaction effected under this Article X or in connection with the acquisition of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3" w:name="page234"/>
    <w:bookmarkEnd w:id="233"/>
    <w:p>
      <w:pPr>
        <w:spacing w:after="0" w:line="270" w:lineRule="exact"/>
        <w:rPr>
          <w:sz w:val="20"/>
          <w:szCs w:val="20"/>
          <w:color w:val="auto"/>
        </w:rPr>
      </w:pPr>
    </w:p>
    <w:p>
      <w:pPr>
        <w:ind w:left="1360" w:right="1380"/>
        <w:spacing w:after="0" w:line="258" w:lineRule="auto"/>
        <w:rPr>
          <w:sz w:val="20"/>
          <w:szCs w:val="20"/>
          <w:color w:val="auto"/>
        </w:rPr>
      </w:pPr>
      <w:r>
        <w:rPr>
          <w:rFonts w:ascii="Times New Roman" w:cs="Times New Roman" w:eastAsia="Times New Roman" w:hAnsi="Times New Roman"/>
          <w:sz w:val="16"/>
          <w:szCs w:val="16"/>
          <w:color w:val="auto"/>
        </w:rPr>
        <w:t>Collateral Loans shall be conducted on an arm’s length basis and, if effected with a Person that is an Affiliate of the Collateral Manager (or with an account or portfolio for which the Collateral Manager or any of its Affiliates serves as investment adviser), shall be on terms no less favorable to the Borrower than would be the case if such Person were not such an Affiliate or as otherwise expressly permitted in this Agreement.</w:t>
      </w:r>
    </w:p>
    <w:p>
      <w:pPr>
        <w:spacing w:after="0" w:line="151" w:lineRule="exact"/>
        <w:rPr>
          <w:sz w:val="20"/>
          <w:szCs w:val="20"/>
          <w:color w:val="auto"/>
        </w:rPr>
      </w:pPr>
    </w:p>
    <w:p>
      <w:pPr>
        <w:ind w:left="1360" w:right="1360" w:firstLine="40"/>
        <w:spacing w:after="0" w:line="254" w:lineRule="auto"/>
        <w:tabs>
          <w:tab w:leader="none" w:pos="1629" w:val="left"/>
        </w:tabs>
        <w:numPr>
          <w:ilvl w:val="1"/>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each contribution of one or more Collateral Loans from the BDC to the Borrower and upon each acquisition by the Borrower of a Collateral Loan from the BDC, the Collateral Manager or any of their respective Affiliates (each such contribution or other such acquisition, an </w:t>
      </w:r>
      <w:r>
        <w:rPr>
          <w:rFonts w:ascii="Times New Roman" w:cs="Times New Roman" w:eastAsia="Times New Roman" w:hAnsi="Times New Roman"/>
          <w:sz w:val="16"/>
          <w:szCs w:val="16"/>
          <w:i w:val="1"/>
          <w:iCs w:val="1"/>
          <w:color w:val="auto"/>
        </w:rPr>
        <w:t>“Affiliate Loan Acquisition”</w:t>
      </w:r>
      <w:r>
        <w:rPr>
          <w:rFonts w:ascii="Times New Roman" w:cs="Times New Roman" w:eastAsia="Times New Roman" w:hAnsi="Times New Roman"/>
          <w:sz w:val="16"/>
          <w:szCs w:val="16"/>
          <w:color w:val="auto"/>
        </w:rPr>
        <w:t>) (i) all of the Borrower’s right, title and interest to such Collateral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Loan shall be subject to the Lien granted to the Collateral Agent pursuant to this Agreement and</w:t>
      </w:r>
    </w:p>
    <w:p>
      <w:pPr>
        <w:spacing w:after="0" w:line="2" w:lineRule="exact"/>
        <w:rPr>
          <w:rFonts w:ascii="Times New Roman" w:cs="Times New Roman" w:eastAsia="Times New Roman" w:hAnsi="Times New Roman"/>
          <w:sz w:val="16"/>
          <w:szCs w:val="16"/>
          <w:color w:val="auto"/>
        </w:rPr>
      </w:pPr>
    </w:p>
    <w:p>
      <w:pPr>
        <w:ind w:left="1360" w:right="1420"/>
        <w:spacing w:after="0" w:line="253" w:lineRule="auto"/>
        <w:tabs>
          <w:tab w:leader="none" w:pos="1598"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Collateral Loan shall be Delivered to the Collateral Agent (or the Custodian on its behalf, as applicable),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notwithstanding the foregoing, the Related Documents and Loan Checklist may be delivered within ten (10) Business Days of the contribution or acquisition.</w:t>
      </w:r>
    </w:p>
    <w:p>
      <w:pPr>
        <w:spacing w:after="0" w:line="154" w:lineRule="exact"/>
        <w:rPr>
          <w:rFonts w:ascii="Times New Roman" w:cs="Times New Roman" w:eastAsia="Times New Roman" w:hAnsi="Times New Roman"/>
          <w:sz w:val="16"/>
          <w:szCs w:val="16"/>
          <w:color w:val="auto"/>
        </w:rPr>
      </w:pPr>
    </w:p>
    <w:p>
      <w:pPr>
        <w:ind w:left="1360" w:right="1360" w:firstLine="40"/>
        <w:spacing w:after="0" w:line="252" w:lineRule="auto"/>
        <w:tabs>
          <w:tab w:leader="none" w:pos="1620" w:val="left"/>
        </w:tabs>
        <w:numPr>
          <w:ilvl w:val="1"/>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Aggregate Principal Balance of the Collateral Loan(s) which are the subject of any sale to an Affiliate of the Borrower under this Article X or substitution pursuant to Section 10.03, together with the sum of the Aggregate Principal Balance of all Collateral Loans sold to Affiliates or substituted in the 12 month period preceding the proposed date of sale or substitution (or such lesser number of months as shall have elapsed since the Closing Date) shall not exceed 20% of the highest Aggregate Principal Balance of Collateral Loans of the Borrower during such 12-month period (or such higher percentage as agreed to by the Administrative Agent); provided that, the sum of the Aggregate Principal Balance of Defaulted Collateral Loans or Ineligible Collateral Loans substituted or sold by the Borrower to Affiliates of the Collateral Manager may not exceed 10% of the highest Aggregate Principal Balance of Collateral Loans of the Borrower during such 12-month period. For the avoidance of doubt, the foregoing limitations shall not apply to (i) Warranty Loans (as defined in the Purchase and Sale Agreement) or (ii) where Collateral Loans are sold by the Borrower </w:t>
      </w:r>
      <w:r>
        <w:rPr>
          <w:rFonts w:ascii="Times New Roman" w:cs="Times New Roman" w:eastAsia="Times New Roman" w:hAnsi="Times New Roman"/>
          <w:sz w:val="16"/>
          <w:szCs w:val="16"/>
          <w:color w:val="0000FF"/>
        </w:rPr>
        <w:t>(A)</w:t>
      </w:r>
      <w:r>
        <w:rPr>
          <w:rFonts w:ascii="Times New Roman" w:cs="Times New Roman" w:eastAsia="Times New Roman" w:hAnsi="Times New Roman"/>
          <w:sz w:val="16"/>
          <w:szCs w:val="16"/>
          <w:color w:val="auto"/>
        </w:rPr>
        <w:t xml:space="preserve"> in connection with a Permitted Securitization </w:t>
      </w:r>
      <w:r>
        <w:rPr>
          <w:rFonts w:ascii="Times New Roman" w:cs="Times New Roman" w:eastAsia="Times New Roman" w:hAnsi="Times New Roman"/>
          <w:sz w:val="16"/>
          <w:szCs w:val="16"/>
          <w:color w:val="0000FF"/>
        </w:rPr>
        <w:t>or (B) to PSSL or PSSL II from the Sixth Amendment Effective date to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including December 31, 2026 (which such date may be extended with consent from the Administrative Agent)</w:t>
      </w:r>
      <w:r>
        <w:rPr>
          <w:rFonts w:ascii="Times New Roman" w:cs="Times New Roman" w:eastAsia="Times New Roman" w:hAnsi="Times New Roman"/>
          <w:sz w:val="16"/>
          <w:szCs w:val="16"/>
          <w:color w:val="000000"/>
        </w:rPr>
        <w:t>.</w:t>
      </w:r>
    </w:p>
    <w:p>
      <w:pPr>
        <w:spacing w:after="0" w:line="349" w:lineRule="exact"/>
        <w:rPr>
          <w:sz w:val="20"/>
          <w:szCs w:val="20"/>
          <w:color w:val="auto"/>
        </w:rPr>
      </w:pPr>
    </w:p>
    <w:p>
      <w:pPr>
        <w:ind w:left="1360" w:right="1440" w:firstLine="40"/>
        <w:spacing w:after="0" w:line="255" w:lineRule="auto"/>
        <w:rPr>
          <w:sz w:val="20"/>
          <w:szCs w:val="20"/>
          <w:color w:val="auto"/>
        </w:rPr>
      </w:pPr>
      <w:r>
        <w:rPr>
          <w:rFonts w:ascii="Times New Roman" w:cs="Times New Roman" w:eastAsia="Times New Roman" w:hAnsi="Times New Roman"/>
          <w:sz w:val="16"/>
          <w:szCs w:val="16"/>
          <w:i w:val="1"/>
          <w:iCs w:val="1"/>
          <w:color w:val="auto"/>
        </w:rPr>
        <w:t>Section 10.05. Additional Equity Contributions</w:t>
      </w:r>
      <w:r>
        <w:rPr>
          <w:rFonts w:ascii="Times New Roman" w:cs="Times New Roman" w:eastAsia="Times New Roman" w:hAnsi="Times New Roman"/>
          <w:sz w:val="16"/>
          <w:szCs w:val="16"/>
          <w:color w:val="auto"/>
        </w:rPr>
        <w:t>. The BDC may, but shall have no obligation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at any time or from time to time contribute additional equity to the Borrower, including for the purpose of curing any Default, satisfying any Coverage Test, enabling the acquisition or sale of any Collateral Loan or satisfying any conditions under Section 3.02. Each equity contribution shall either be made (i) in Cash, (ii) by assignment and contribution of an Eligible Investment and/or (iii) by assignment and contribution of a Collateral Loan that is an Eligible Collateral Loan. All Cash contributed to the Borrower shall be treated as Principal Proceeds except to the extent that the Collateral Manager specifies that they shall constitute Interest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641985</wp:posOffset>
            </wp:positionV>
            <wp:extent cx="526605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4" w:name="page235"/>
    <w:bookmarkEnd w:id="234"/>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XI</w:t>
      </w:r>
    </w:p>
    <w:p>
      <w:pPr>
        <w:spacing w:after="0" w:line="19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color w:val="auto"/>
        </w:rPr>
        <w:t>Administration and Servicing of Contracts</w:t>
      </w:r>
    </w:p>
    <w:p>
      <w:pPr>
        <w:spacing w:after="0" w:line="18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i w:val="1"/>
          <w:iCs w:val="1"/>
          <w:color w:val="auto"/>
        </w:rPr>
        <w:t>Section 11.01. Designation of the Collateral Manager</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left="1360" w:right="1540" w:firstLine="40"/>
        <w:spacing w:after="0" w:line="256" w:lineRule="auto"/>
        <w:tabs>
          <w:tab w:leader="none" w:pos="1622"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Initial Collateral Manager</w:t>
      </w:r>
      <w:r>
        <w:rPr>
          <w:rFonts w:ascii="Times New Roman" w:cs="Times New Roman" w:eastAsia="Times New Roman" w:hAnsi="Times New Roman"/>
          <w:sz w:val="16"/>
          <w:szCs w:val="16"/>
          <w:color w:val="auto"/>
        </w:rPr>
        <w:t>. The servicing, administering and collection of the Collateral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be conducted in accordance with this Section 11.01 by the Person designated as the Collateral Manager hereunder. PennantPark Investment Advisors LLC is hereby appointed as, and hereby accepts such appointment and agrees to perform the duties and responsibilities, of Collateral Manager pursuant to the terms hereof. The Collateral Manager and the Borrower hereby acknowledge that each of the Secured Parties are third party beneficiaries of the obligations taken by the Collateral Manager hereunder.</w:t>
      </w:r>
    </w:p>
    <w:p>
      <w:pPr>
        <w:spacing w:after="0" w:line="149" w:lineRule="exact"/>
        <w:rPr>
          <w:rFonts w:ascii="Times New Roman" w:cs="Times New Roman" w:eastAsia="Times New Roman" w:hAnsi="Times New Roman"/>
          <w:sz w:val="16"/>
          <w:szCs w:val="16"/>
          <w:color w:val="auto"/>
        </w:rPr>
      </w:pPr>
    </w:p>
    <w:p>
      <w:pPr>
        <w:ind w:left="1360" w:right="1420" w:firstLine="40"/>
        <w:spacing w:after="0" w:line="255" w:lineRule="auto"/>
        <w:tabs>
          <w:tab w:leader="none" w:pos="1633"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Subcontracts</w:t>
      </w:r>
      <w:r>
        <w:rPr>
          <w:rFonts w:ascii="Times New Roman" w:cs="Times New Roman" w:eastAsia="Times New Roman" w:hAnsi="Times New Roman"/>
          <w:sz w:val="16"/>
          <w:szCs w:val="16"/>
          <w:color w:val="auto"/>
        </w:rPr>
        <w:t>. The Collateral Manager may, with the prior written consent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Administrative Agent, subcontract with any other Person for servicing, administering or collecting the Collateral;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the Collateral Manager shall select any such Person with reasonable care and shall be solely responsible for the fees and expenses payable to such Person, (ii) the Collateral Manager shall not be relieved of, and shall remain liable for, the performance of the duties and obligations of the Collateral Manager pursuant to the terms hereof without regard to any subcontracting arrangement and (iii) any such subcontract shall be subject to the provisions hereof.</w:t>
      </w:r>
    </w:p>
    <w:p>
      <w:pPr>
        <w:spacing w:after="0" w:line="15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i w:val="1"/>
          <w:iCs w:val="1"/>
          <w:color w:val="auto"/>
        </w:rPr>
        <w:t>Section 11.02. Duties of the Collateral Manager</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left="1620" w:hanging="220"/>
        <w:spacing w:after="0"/>
        <w:tabs>
          <w:tab w:leader="none" w:pos="162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Duties</w:t>
      </w:r>
      <w:r>
        <w:rPr>
          <w:rFonts w:ascii="Times New Roman" w:cs="Times New Roman" w:eastAsia="Times New Roman" w:hAnsi="Times New Roman"/>
          <w:sz w:val="16"/>
          <w:szCs w:val="16"/>
          <w:color w:val="auto"/>
        </w:rPr>
        <w:t>. The Collateral Manager shall take or cause to be taken all such actions as may be</w:t>
      </w:r>
    </w:p>
    <w:p>
      <w:pPr>
        <w:spacing w:after="0" w:line="27" w:lineRule="exact"/>
        <w:rPr>
          <w:rFonts w:ascii="Times New Roman" w:cs="Times New Roman" w:eastAsia="Times New Roman" w:hAnsi="Times New Roman"/>
          <w:sz w:val="16"/>
          <w:szCs w:val="16"/>
          <w:color w:val="auto"/>
        </w:rPr>
      </w:pPr>
    </w:p>
    <w:p>
      <w:pPr>
        <w:ind w:left="1360" w:right="134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necessary or advisable to service, administer and collect on the Collateral from time to time, all in accordance with Applicable Law and the Collateral Management Standard. Without limiting the foregoing, the duties of the Collateral Manager shall include the following:</w:t>
      </w:r>
    </w:p>
    <w:p>
      <w:pPr>
        <w:spacing w:after="0" w:line="152" w:lineRule="exact"/>
        <w:rPr>
          <w:rFonts w:ascii="Times New Roman" w:cs="Times New Roman" w:eastAsia="Times New Roman" w:hAnsi="Times New Roman"/>
          <w:sz w:val="16"/>
          <w:szCs w:val="16"/>
          <w:color w:val="auto"/>
        </w:rPr>
      </w:pPr>
    </w:p>
    <w:p>
      <w:pPr>
        <w:ind w:left="1840" w:right="1660" w:firstLine="44"/>
        <w:spacing w:after="0" w:line="261" w:lineRule="auto"/>
        <w:tabs>
          <w:tab w:leader="none" w:pos="2073" w:val="left"/>
        </w:tabs>
        <w:numPr>
          <w:ilvl w:val="1"/>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supervising the Collateral, including communicating with Obligors, executing amendments, providing consents and waivers, exercising voting rights, enforcing and collecting on the Collateral and otherwise managing the Collateral on behalf of the Borrower;</w:t>
      </w:r>
    </w:p>
    <w:p>
      <w:pPr>
        <w:spacing w:after="0" w:line="148" w:lineRule="exact"/>
        <w:rPr>
          <w:rFonts w:ascii="Times New Roman" w:cs="Times New Roman" w:eastAsia="Times New Roman" w:hAnsi="Times New Roman"/>
          <w:sz w:val="16"/>
          <w:szCs w:val="16"/>
          <w:color w:val="auto"/>
        </w:rPr>
      </w:pPr>
    </w:p>
    <w:p>
      <w:pPr>
        <w:ind w:left="2120" w:hanging="236"/>
        <w:spacing w:after="0"/>
        <w:tabs>
          <w:tab w:leader="none" w:pos="2120" w:val="left"/>
        </w:tabs>
        <w:numPr>
          <w:ilvl w:val="1"/>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and submitting claims to Obligors on each Collateral Loan;</w:t>
      </w:r>
    </w:p>
    <w:p>
      <w:pPr>
        <w:spacing w:after="0" w:line="189" w:lineRule="exact"/>
        <w:rPr>
          <w:rFonts w:ascii="Times New Roman" w:cs="Times New Roman" w:eastAsia="Times New Roman" w:hAnsi="Times New Roman"/>
          <w:sz w:val="16"/>
          <w:szCs w:val="16"/>
          <w:color w:val="auto"/>
        </w:rPr>
      </w:pPr>
    </w:p>
    <w:p>
      <w:pPr>
        <w:ind w:left="2160" w:hanging="276"/>
        <w:spacing w:after="0"/>
        <w:tabs>
          <w:tab w:leader="none" w:pos="2160" w:val="left"/>
        </w:tabs>
        <w:numPr>
          <w:ilvl w:val="1"/>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all necessary servicing records with respect to the Collateral;</w:t>
      </w:r>
    </w:p>
    <w:p>
      <w:pPr>
        <w:spacing w:after="0" w:line="189" w:lineRule="exact"/>
        <w:rPr>
          <w:rFonts w:ascii="Times New Roman" w:cs="Times New Roman" w:eastAsia="Times New Roman" w:hAnsi="Times New Roman"/>
          <w:sz w:val="16"/>
          <w:szCs w:val="16"/>
          <w:color w:val="auto"/>
        </w:rPr>
      </w:pPr>
    </w:p>
    <w:p>
      <w:pPr>
        <w:ind w:left="1840" w:right="1400" w:firstLine="44"/>
        <w:spacing w:after="0" w:line="258" w:lineRule="auto"/>
        <w:tabs>
          <w:tab w:leader="none" w:pos="2154" w:val="left"/>
        </w:tabs>
        <w:numPr>
          <w:ilvl w:val="1"/>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and implementing administrative and operating procedures (including, without limitation, an ability to recreate servicing records evidencing the Collateral in the event of the destruction of the originals thereof) and keeping and maintaining all documents, books, records and other information reasonably necessary or advisable for the collection of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640715</wp:posOffset>
            </wp:positionV>
            <wp:extent cx="526605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5" w:name="page236"/>
    <w:bookmarkEnd w:id="235"/>
    <w:p>
      <w:pPr>
        <w:spacing w:after="0" w:line="270" w:lineRule="exact"/>
        <w:rPr>
          <w:sz w:val="20"/>
          <w:szCs w:val="20"/>
          <w:color w:val="auto"/>
        </w:rPr>
      </w:pPr>
    </w:p>
    <w:p>
      <w:pPr>
        <w:ind w:left="1840" w:right="1460" w:firstLine="44"/>
        <w:spacing w:after="0" w:line="258" w:lineRule="auto"/>
        <w:tabs>
          <w:tab w:leader="none" w:pos="2109"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delivering to the Administrative Agent, each Lender, the Collateral Administrator or the Collateral Agent, from time to time, such information and servicing records (including information relating to its performance under this Agreement) as the Administrative Agent, the Collateral Administrator or the Collateral Agent may from time to time reasonably request;</w:t>
      </w:r>
    </w:p>
    <w:p>
      <w:pPr>
        <w:spacing w:after="0" w:line="151" w:lineRule="exact"/>
        <w:rPr>
          <w:rFonts w:ascii="Times New Roman" w:cs="Times New Roman" w:eastAsia="Times New Roman" w:hAnsi="Times New Roman"/>
          <w:sz w:val="16"/>
          <w:szCs w:val="16"/>
          <w:color w:val="auto"/>
        </w:rPr>
      </w:pPr>
    </w:p>
    <w:p>
      <w:pPr>
        <w:ind w:left="1840" w:right="1460" w:firstLine="44"/>
        <w:spacing w:after="0" w:line="261" w:lineRule="auto"/>
        <w:tabs>
          <w:tab w:leader="none" w:pos="2154"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each Collateral Loan clearly and unambiguously in its servicing records to reflect that such Collateral Loan is owned by the Borrower and that the Borrower is pledging a security interest therein to the Collateral Agent (for the benefit of the Secured Parties) pursuant to this Agreement;</w:t>
      </w:r>
    </w:p>
    <w:p>
      <w:pPr>
        <w:spacing w:after="0" w:line="148" w:lineRule="exact"/>
        <w:rPr>
          <w:rFonts w:ascii="Times New Roman" w:cs="Times New Roman" w:eastAsia="Times New Roman" w:hAnsi="Times New Roman"/>
          <w:sz w:val="16"/>
          <w:szCs w:val="16"/>
          <w:color w:val="auto"/>
        </w:rPr>
      </w:pPr>
    </w:p>
    <w:p>
      <w:pPr>
        <w:ind w:left="1840" w:right="1420" w:firstLine="44"/>
        <w:spacing w:after="0" w:line="258" w:lineRule="auto"/>
        <w:tabs>
          <w:tab w:leader="none" w:pos="2198"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notifying the Administrative Agent and each Lender of any material action, suit, proceeding, dispute, offset, deduction, defense or counterclaim (1) that is or is threatened to be asserted by an Obligor with respect to any Collateral Loan (or portion thereof) of which it has actual knowledge or has received notice; or (2) that could reasonably be expected to have a Material Adverse Effect;</w:t>
      </w:r>
    </w:p>
    <w:p>
      <w:pPr>
        <w:spacing w:after="0" w:line="151" w:lineRule="exact"/>
        <w:rPr>
          <w:rFonts w:ascii="Times New Roman" w:cs="Times New Roman" w:eastAsia="Times New Roman" w:hAnsi="Times New Roman"/>
          <w:sz w:val="16"/>
          <w:szCs w:val="16"/>
          <w:color w:val="auto"/>
        </w:rPr>
      </w:pPr>
    </w:p>
    <w:p>
      <w:pPr>
        <w:ind w:left="1840" w:right="1360" w:firstLine="44"/>
        <w:spacing w:after="0" w:line="283" w:lineRule="auto"/>
        <w:tabs>
          <w:tab w:leader="none" w:pos="2243"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the perfected security interest of the Collateral Agent, for the benefit of the Secured Parties, in the Collateral;</w:t>
      </w:r>
    </w:p>
    <w:p>
      <w:pPr>
        <w:spacing w:after="0" w:line="131" w:lineRule="exact"/>
        <w:rPr>
          <w:rFonts w:ascii="Times New Roman" w:cs="Times New Roman" w:eastAsia="Times New Roman" w:hAnsi="Times New Roman"/>
          <w:sz w:val="16"/>
          <w:szCs w:val="16"/>
          <w:color w:val="auto"/>
        </w:rPr>
      </w:pPr>
    </w:p>
    <w:p>
      <w:pPr>
        <w:ind w:left="1840" w:right="1360" w:firstLine="44"/>
        <w:spacing w:after="0" w:line="266" w:lineRule="auto"/>
        <w:tabs>
          <w:tab w:leader="none" w:pos="2154"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each Collateral Loan included as part of the Collateral, making copies of the Related Documents available for inspection by the Administrative Agent, upon reasonable notice, at the offices of the Collateral Manager during normal business hours;</w:t>
      </w:r>
    </w:p>
    <w:p>
      <w:pPr>
        <w:spacing w:after="0" w:line="144" w:lineRule="exact"/>
        <w:rPr>
          <w:rFonts w:ascii="Times New Roman" w:cs="Times New Roman" w:eastAsia="Times New Roman" w:hAnsi="Times New Roman"/>
          <w:sz w:val="16"/>
          <w:szCs w:val="16"/>
          <w:color w:val="auto"/>
        </w:rPr>
      </w:pPr>
    </w:p>
    <w:p>
      <w:pPr>
        <w:ind w:left="1840" w:right="1960" w:firstLine="44"/>
        <w:spacing w:after="0" w:line="283" w:lineRule="auto"/>
        <w:tabs>
          <w:tab w:leader="none" w:pos="2109"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directing the Collateral Agent to make payments pursuant to the terms of the Payment Date Report in accordance with the Priority of Payments;</w:t>
      </w:r>
    </w:p>
    <w:p>
      <w:pPr>
        <w:spacing w:after="0" w:line="131" w:lineRule="exact"/>
        <w:rPr>
          <w:rFonts w:ascii="Times New Roman" w:cs="Times New Roman" w:eastAsia="Times New Roman" w:hAnsi="Times New Roman"/>
          <w:sz w:val="16"/>
          <w:szCs w:val="16"/>
          <w:color w:val="auto"/>
        </w:rPr>
      </w:pPr>
    </w:p>
    <w:p>
      <w:pPr>
        <w:ind w:left="2160" w:hanging="276"/>
        <w:spacing w:after="0"/>
        <w:tabs>
          <w:tab w:leader="none" w:pos="2160"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directing the acquisition, sale or substitution of Collateral in accordance with Article</w:t>
      </w:r>
    </w:p>
    <w:p>
      <w:pPr>
        <w:spacing w:after="0" w:line="25" w:lineRule="exact"/>
        <w:rPr>
          <w:rFonts w:ascii="Times New Roman" w:cs="Times New Roman" w:eastAsia="Times New Roman" w:hAnsi="Times New Roman"/>
          <w:sz w:val="16"/>
          <w:szCs w:val="16"/>
          <w:color w:val="auto"/>
        </w:rPr>
      </w:pPr>
    </w:p>
    <w:p>
      <w:pPr>
        <w:ind w:left="18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w:t>
      </w:r>
    </w:p>
    <w:p>
      <w:pPr>
        <w:spacing w:after="0" w:line="171" w:lineRule="exact"/>
        <w:rPr>
          <w:rFonts w:ascii="Times New Roman" w:cs="Times New Roman" w:eastAsia="Times New Roman" w:hAnsi="Times New Roman"/>
          <w:sz w:val="16"/>
          <w:szCs w:val="16"/>
          <w:color w:val="auto"/>
        </w:rPr>
      </w:pPr>
    </w:p>
    <w:p>
      <w:pPr>
        <w:ind w:left="1840" w:right="1620" w:firstLine="44"/>
        <w:spacing w:after="0" w:line="283" w:lineRule="auto"/>
        <w:tabs>
          <w:tab w:leader="none" w:pos="2198"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assistance to the Borrower with respect to the purchase and sale of the Collateral Loans;</w:t>
      </w:r>
    </w:p>
    <w:p>
      <w:pPr>
        <w:spacing w:after="0" w:line="131" w:lineRule="exact"/>
        <w:rPr>
          <w:rFonts w:ascii="Times New Roman" w:cs="Times New Roman" w:eastAsia="Times New Roman" w:hAnsi="Times New Roman"/>
          <w:sz w:val="16"/>
          <w:szCs w:val="16"/>
          <w:color w:val="auto"/>
        </w:rPr>
      </w:pPr>
    </w:p>
    <w:p>
      <w:pPr>
        <w:ind w:left="1840" w:right="1600" w:firstLine="44"/>
        <w:spacing w:after="0" w:line="283" w:lineRule="auto"/>
        <w:tabs>
          <w:tab w:leader="none" w:pos="2243"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instructing the Obligors and the administrative agents on the Collateral Loans to make payments directly into the Collection Account;</w:t>
      </w:r>
    </w:p>
    <w:p>
      <w:pPr>
        <w:spacing w:after="0" w:line="131" w:lineRule="exact"/>
        <w:rPr>
          <w:rFonts w:ascii="Times New Roman" w:cs="Times New Roman" w:eastAsia="Times New Roman" w:hAnsi="Times New Roman"/>
          <w:sz w:val="16"/>
          <w:szCs w:val="16"/>
          <w:color w:val="auto"/>
        </w:rPr>
      </w:pPr>
    </w:p>
    <w:p>
      <w:pPr>
        <w:ind w:left="1840" w:right="1360" w:firstLine="44"/>
        <w:spacing w:after="0" w:line="261" w:lineRule="auto"/>
        <w:tabs>
          <w:tab w:leader="none" w:pos="2234"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cooperating with the Collateral Administrator in preparing the Monthly Reports and Payment Date Reports and in its other duties hereunder and under the Collateral Administration Agreement in the manner and at the times required hereunder and under the Collateral Administration Agreement; and</w:t>
      </w:r>
    </w:p>
    <w:p>
      <w:pPr>
        <w:spacing w:after="0" w:line="148" w:lineRule="exact"/>
        <w:rPr>
          <w:rFonts w:ascii="Times New Roman" w:cs="Times New Roman" w:eastAsia="Times New Roman" w:hAnsi="Times New Roman"/>
          <w:sz w:val="16"/>
          <w:szCs w:val="16"/>
          <w:color w:val="auto"/>
        </w:rPr>
      </w:pPr>
    </w:p>
    <w:p>
      <w:pPr>
        <w:ind w:left="1840" w:right="1540" w:firstLine="44"/>
        <w:spacing w:after="0" w:line="283" w:lineRule="auto"/>
        <w:tabs>
          <w:tab w:leader="none" w:pos="2190"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complying with such other duties and responsibilities as required of the Collateral Manager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628015</wp:posOffset>
            </wp:positionV>
            <wp:extent cx="526605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6" w:name="page237"/>
    <w:bookmarkEnd w:id="236"/>
    <w:p>
      <w:pPr>
        <w:spacing w:after="0" w:line="270" w:lineRule="exact"/>
        <w:rPr>
          <w:sz w:val="20"/>
          <w:szCs w:val="20"/>
          <w:color w:val="auto"/>
        </w:rPr>
      </w:pPr>
    </w:p>
    <w:p>
      <w:pPr>
        <w:ind w:left="1360" w:right="1580" w:firstLine="484"/>
        <w:spacing w:after="0" w:line="261" w:lineRule="auto"/>
        <w:rPr>
          <w:sz w:val="20"/>
          <w:szCs w:val="20"/>
          <w:color w:val="auto"/>
        </w:rPr>
      </w:pPr>
      <w:r>
        <w:rPr>
          <w:rFonts w:ascii="Times New Roman" w:cs="Times New Roman" w:eastAsia="Times New Roman" w:hAnsi="Times New Roman"/>
          <w:sz w:val="16"/>
          <w:szCs w:val="16"/>
          <w:color w:val="auto"/>
        </w:rPr>
        <w:t>It is acknowledged and agreed that in circumstances in which a Person other than the Borrower or the Collateral Manager acts as lead agent with respect to any Collateral Loan, the Collateral Manager shall perform its servicing duties hereunder only to the extent that, as a lender under the Related Documents, it has the right to do so.</w:t>
      </w:r>
    </w:p>
    <w:p>
      <w:pPr>
        <w:spacing w:after="0" w:line="146" w:lineRule="exact"/>
        <w:rPr>
          <w:sz w:val="20"/>
          <w:szCs w:val="20"/>
          <w:color w:val="auto"/>
        </w:rPr>
      </w:pPr>
    </w:p>
    <w:p>
      <w:pPr>
        <w:ind w:left="1360" w:right="1360" w:firstLine="40"/>
        <w:spacing w:after="0" w:line="256" w:lineRule="auto"/>
        <w:tabs>
          <w:tab w:leader="none" w:pos="1633"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Exercise of Remedies Not Release</w:t>
      </w:r>
      <w:r>
        <w:rPr>
          <w:rFonts w:ascii="Times New Roman" w:cs="Times New Roman" w:eastAsia="Times New Roman" w:hAnsi="Times New Roman"/>
          <w:sz w:val="16"/>
          <w:szCs w:val="16"/>
          <w:color w:val="auto"/>
        </w:rPr>
        <w:t>. Notwithstanding anything to the contrary contained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herein, the exercise by the Administrative Agent, the Collateral Agent, each Lender and the Secured Parties of their rights hereunder or any other Facility Document shall not release the Collateral Manager or the Borrower from any of their duties or responsibilities with respect to the Collateral. The Secured Parties, the Administrative Agent, each Lender and the Collateral Agent shall not have any obligation or liability with respect to any Collateral, nor shall any of them be obligated to perform any of the obligations of the Collateral Manager hereunder.</w:t>
      </w:r>
    </w:p>
    <w:p>
      <w:pPr>
        <w:spacing w:after="0" w:line="149" w:lineRule="exact"/>
        <w:rPr>
          <w:rFonts w:ascii="Times New Roman" w:cs="Times New Roman" w:eastAsia="Times New Roman" w:hAnsi="Times New Roman"/>
          <w:sz w:val="16"/>
          <w:szCs w:val="16"/>
          <w:color w:val="auto"/>
        </w:rPr>
      </w:pPr>
    </w:p>
    <w:p>
      <w:pPr>
        <w:ind w:left="1360" w:right="1480" w:firstLine="40"/>
        <w:spacing w:after="0" w:line="257" w:lineRule="auto"/>
        <w:tabs>
          <w:tab w:leader="none" w:pos="1622"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Application of Obligor Payments. </w:t>
      </w:r>
      <w:r>
        <w:rPr>
          <w:rFonts w:ascii="Times New Roman" w:cs="Times New Roman" w:eastAsia="Times New Roman" w:hAnsi="Times New Roman"/>
          <w:sz w:val="16"/>
          <w:szCs w:val="16"/>
          <w:color w:val="auto"/>
        </w:rPr>
        <w:t>Any payment by an Obligor in respect of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indebtedness owed by it to the Borrower shall, except as otherwise specified by such Obligor or otherwise required by contract or law and unless otherwise instructed by the Administrative Agent, be applied as a collection of a payment by such Obligor (starting with the oldest such outstanding payment due) to the extent of any amounts then due and payable thereunder before being applied to any other receivable or other obligation of such Obligor.</w:t>
      </w:r>
    </w:p>
    <w:p>
      <w:pPr>
        <w:spacing w:after="0" w:line="149" w:lineRule="exact"/>
        <w:rPr>
          <w:rFonts w:ascii="Times New Roman" w:cs="Times New Roman" w:eastAsia="Times New Roman" w:hAnsi="Times New Roman"/>
          <w:sz w:val="16"/>
          <w:szCs w:val="16"/>
          <w:color w:val="auto"/>
        </w:rPr>
      </w:pPr>
    </w:p>
    <w:p>
      <w:pPr>
        <w:ind w:left="1360" w:right="1360" w:firstLine="40"/>
        <w:spacing w:after="0" w:line="262" w:lineRule="auto"/>
        <w:tabs>
          <w:tab w:leader="none" w:pos="1633"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Cooperation with Backup Collateral Manager. </w:t>
      </w:r>
      <w:r>
        <w:rPr>
          <w:rFonts w:ascii="Times New Roman" w:cs="Times New Roman" w:eastAsia="Times New Roman" w:hAnsi="Times New Roman"/>
          <w:sz w:val="16"/>
          <w:szCs w:val="16"/>
          <w:color w:val="auto"/>
        </w:rPr>
        <w:t>The Collateral Manager shall perform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duties and take the actions necessary to comply with Article XIII hereof in the manner and at the times set forth therein and shall cooperate with the Backup Collateral Manager in its performance of its duties hereunder.</w:t>
      </w:r>
    </w:p>
    <w:p>
      <w:pPr>
        <w:spacing w:after="0" w:line="144" w:lineRule="exact"/>
        <w:rPr>
          <w:rFonts w:ascii="Times New Roman" w:cs="Times New Roman" w:eastAsia="Times New Roman" w:hAnsi="Times New Roman"/>
          <w:sz w:val="16"/>
          <w:szCs w:val="16"/>
          <w:color w:val="auto"/>
        </w:rPr>
      </w:pPr>
    </w:p>
    <w:p>
      <w:pPr>
        <w:ind w:left="1620" w:hanging="220"/>
        <w:spacing w:after="0"/>
        <w:tabs>
          <w:tab w:leader="none" w:pos="1620"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[Reserved].</w:t>
      </w:r>
    </w:p>
    <w:p>
      <w:pPr>
        <w:spacing w:after="0" w:line="189" w:lineRule="exact"/>
        <w:rPr>
          <w:sz w:val="20"/>
          <w:szCs w:val="20"/>
          <w:color w:val="auto"/>
        </w:rPr>
      </w:pPr>
    </w:p>
    <w:p>
      <w:pPr>
        <w:ind w:left="1360" w:right="1440" w:firstLine="40"/>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Section 11.03. Liability of the Collateral Manager; Indemnification of the Collateral Manager Persons. </w:t>
      </w:r>
      <w:r>
        <w:rPr>
          <w:rFonts w:ascii="Times New Roman" w:cs="Times New Roman" w:eastAsia="Times New Roman" w:hAnsi="Times New Roman"/>
          <w:sz w:val="16"/>
          <w:szCs w:val="16"/>
          <w:color w:val="auto"/>
        </w:rPr>
        <w:t>(a) The Collateral Manager and any of its Affiliates, employees, shareholders,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members, partners, assigns, representatives or agents (each such individual or entity, a “</w:t>
      </w:r>
      <w:r>
        <w:rPr>
          <w:rFonts w:ascii="Times New Roman" w:cs="Times New Roman" w:eastAsia="Times New Roman" w:hAnsi="Times New Roman"/>
          <w:sz w:val="16"/>
          <w:szCs w:val="16"/>
          <w:i w:val="1"/>
          <w:iCs w:val="1"/>
          <w:color w:val="auto"/>
        </w:rPr>
        <w:t>Collateral Manager Person”</w:t>
      </w:r>
      <w:r>
        <w:rPr>
          <w:rFonts w:ascii="Times New Roman" w:cs="Times New Roman" w:eastAsia="Times New Roman" w:hAnsi="Times New Roman"/>
          <w:sz w:val="16"/>
          <w:szCs w:val="16"/>
          <w:color w:val="auto"/>
        </w:rPr>
        <w:t xml:space="preserve">) shall not be liable to the Borrower, any Lender, the Administrative Agent, the Lead Arranger, the Collateral Agent, the Backup Collateral Manager, the Custodian or any other Person for any liability, loss (including amounts paid in settlement), damages, judgments, costs, expenses (including reasonable attorneys’ fees and expenses and accountant’s fees and expenses), demands, charges or claim (collectively, the “ </w:t>
      </w:r>
      <w:r>
        <w:rPr>
          <w:rFonts w:ascii="Times New Roman" w:cs="Times New Roman" w:eastAsia="Times New Roman" w:hAnsi="Times New Roman"/>
          <w:sz w:val="16"/>
          <w:szCs w:val="16"/>
          <w:i w:val="1"/>
          <w:iCs w:val="1"/>
          <w:color w:val="auto"/>
        </w:rPr>
        <w:t>Damages</w:t>
      </w:r>
      <w:r>
        <w:rPr>
          <w:rFonts w:ascii="Times New Roman" w:cs="Times New Roman" w:eastAsia="Times New Roman" w:hAnsi="Times New Roman"/>
          <w:sz w:val="16"/>
          <w:szCs w:val="16"/>
          <w:color w:val="auto"/>
        </w:rPr>
        <w:t xml:space="preserve">”) incurred by reason of any act or omission or alleged act or omission performed or omitted by such Collateral Manager Person, or for any decrease in the value of the Collateral or any other losses suffered by any party;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 Collateral Manager Person shall be liable for any Damages that arise (i) by reason of any act or omission constituting bad faith, willful misconduct, or gross negligence by any Collateral Manager Person in the performance of or reckless disregard of the Collateral Manager’s duties hereunder or (ii) by any breach of the representations and warranties of the Collateral Manager expressly set forth in this Agreement (each such breach, a “</w:t>
      </w:r>
      <w:r>
        <w:rPr>
          <w:rFonts w:ascii="Times New Roman" w:cs="Times New Roman" w:eastAsia="Times New Roman" w:hAnsi="Times New Roman"/>
          <w:sz w:val="16"/>
          <w:szCs w:val="16"/>
          <w:i w:val="1"/>
          <w:iCs w:val="1"/>
          <w:color w:val="auto"/>
        </w:rPr>
        <w:t>Collateral Manager Breach</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both"/>
        <w:ind w:left="1360" w:right="1440" w:firstLine="40"/>
        <w:spacing w:after="0" w:line="266" w:lineRule="auto"/>
        <w:tabs>
          <w:tab w:leader="none" w:pos="1629"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Manager may rely in good faith upon, and will incur no Damages for relying upon, (i) any authoritative source customarily used by firms performing services similar to those services provided by the Collateral Manager under this Agreement, and (ii) the advice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636905</wp:posOffset>
            </wp:positionV>
            <wp:extent cx="526605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7" w:name="page238"/>
    <w:bookmarkEnd w:id="237"/>
    <w:p>
      <w:pPr>
        <w:spacing w:after="0" w:line="270" w:lineRule="exact"/>
        <w:rPr>
          <w:sz w:val="20"/>
          <w:szCs w:val="20"/>
          <w:color w:val="auto"/>
        </w:rPr>
      </w:pPr>
    </w:p>
    <w:p>
      <w:pPr>
        <w:ind w:left="1360" w:right="1680"/>
        <w:spacing w:after="0" w:line="266" w:lineRule="auto"/>
        <w:rPr>
          <w:sz w:val="20"/>
          <w:szCs w:val="20"/>
          <w:color w:val="auto"/>
        </w:rPr>
      </w:pPr>
      <w:r>
        <w:rPr>
          <w:rFonts w:ascii="Times New Roman" w:cs="Times New Roman" w:eastAsia="Times New Roman" w:hAnsi="Times New Roman"/>
          <w:sz w:val="16"/>
          <w:szCs w:val="16"/>
          <w:color w:val="auto"/>
        </w:rPr>
        <w:t>nationally recognized counsel, accountants or other advisors as the Collateral Manager determines reasonably appropriate in connection with the services provided by the Collateral Manager under this Agreement.</w:t>
      </w:r>
    </w:p>
    <w:p>
      <w:pPr>
        <w:spacing w:after="0" w:line="145" w:lineRule="exact"/>
        <w:rPr>
          <w:sz w:val="20"/>
          <w:szCs w:val="20"/>
          <w:color w:val="auto"/>
        </w:rPr>
      </w:pPr>
    </w:p>
    <w:p>
      <w:pPr>
        <w:ind w:left="1360" w:right="1400" w:firstLine="40"/>
        <w:spacing w:after="0" w:line="261" w:lineRule="auto"/>
        <w:tabs>
          <w:tab w:leader="none" w:pos="162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 event shall the Collateral Manager be liable for special, indirect or consequential losses or damages of any kind whatsoever (including but not limited to lost profits) even if the Collateral Manager has been advised of the likelihood of such damages and regardless of the form of such action.</w:t>
      </w:r>
    </w:p>
    <w:p>
      <w:pPr>
        <w:spacing w:after="0" w:line="148" w:lineRule="exact"/>
        <w:rPr>
          <w:rFonts w:ascii="Times New Roman" w:cs="Times New Roman" w:eastAsia="Times New Roman" w:hAnsi="Times New Roman"/>
          <w:sz w:val="16"/>
          <w:szCs w:val="16"/>
          <w:color w:val="auto"/>
        </w:rPr>
      </w:pPr>
    </w:p>
    <w:p>
      <w:pPr>
        <w:ind w:left="1360" w:right="1440" w:firstLine="40"/>
        <w:spacing w:after="0" w:line="255" w:lineRule="auto"/>
        <w:tabs>
          <w:tab w:leader="none" w:pos="1629"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Collateral Manager Person shall be held harmless and be indemnified by the Borrower for any Damages suffered by virtue of any acts or omissions or alleged acts or omissions arising out of the activities of such Collateral Manager Person in the performance of the obligations of the Collateral Manager under this Agreement or as a result of this Agreement, or the Borrower’s ownership interest in any portion of the Collateral Obligations, except to the extent any such Damage arises as a result of a Collateral Manager Breach. All amounts payable pursuant to this Section 11.03 shall be payable in accordance with the Priority of Payments.</w:t>
      </w:r>
    </w:p>
    <w:p>
      <w:pPr>
        <w:spacing w:after="0" w:line="153" w:lineRule="exact"/>
        <w:rPr>
          <w:sz w:val="20"/>
          <w:szCs w:val="20"/>
          <w:color w:val="auto"/>
        </w:rPr>
      </w:pPr>
    </w:p>
    <w:p>
      <w:pPr>
        <w:ind w:left="1360" w:right="1400" w:firstLine="40"/>
        <w:spacing w:after="0" w:line="251" w:lineRule="auto"/>
        <w:rPr>
          <w:sz w:val="20"/>
          <w:szCs w:val="20"/>
          <w:color w:val="auto"/>
        </w:rPr>
      </w:pPr>
      <w:r>
        <w:rPr>
          <w:rFonts w:ascii="Times New Roman" w:cs="Times New Roman" w:eastAsia="Times New Roman" w:hAnsi="Times New Roman"/>
          <w:sz w:val="16"/>
          <w:szCs w:val="16"/>
          <w:i w:val="1"/>
          <w:iCs w:val="1"/>
          <w:color w:val="auto"/>
        </w:rPr>
        <w:t>Section 11.04. Authorization of the Collateral Manager</w:t>
      </w:r>
      <w:r>
        <w:rPr>
          <w:rFonts w:ascii="Times New Roman" w:cs="Times New Roman" w:eastAsia="Times New Roman" w:hAnsi="Times New Roman"/>
          <w:sz w:val="16"/>
          <w:szCs w:val="16"/>
          <w:color w:val="auto"/>
        </w:rPr>
        <w:t>. The Borrower hereby authorizes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Collateral Manager to take any and all reasonable steps in its name and on its behalf necessary or desirable in the determination of the Collateral Manager and not inconsistent with the pledge of the Collateral by the Borrower to the Collateral Agent, on behalf of the Secured Parties, hereunder, to collect all amounts due under any and all Collateral, including, without limitation, endorsing its name on checks and other instruments representing Collections, executing and delivering any and all instruments of satisfaction or cancellation, or of partial or full release or discharge, and all other comparable instruments, with respect to the Collateral and, after the delinquency of any Collateral and to the extent permitted under and in compliance with Applicable Law, to commence proceedings with respect to enforcing payment thereof, to the same extent as the Collateral Manager could have done if it owned such Collateral. The Borrower shall furnish the Collateral Manager (and any successors thereto) with any powers of attorney and other documents necessary or appropriate to enable the Collateral Manager to carry out its collateral management duties hereunder, and shall cooperate with the Collateral Manager to the fullest extent in order to ensure the collectability of the Collateral. In no event shall the Collateral Manager be entitled to make the Secured Parties, the Collateral Agent, the Collateral Administrator, the Backup Collateral Manager, the Administrative Agent or any Lender a party to any litigation without such party’s express prior written consent, or to make the Borrower a party to any litigation (other than any foreclosure or similar collection procedure) without the Administrative Agent’s consent. Following the occurrence and continuance of an Event of Default (unless otherwise waived by the Lenders in accordance with Section 15.01), the Administrative Agent (acting in its sole discretion or at the direction of the Required Lenders) may provide notice to the Collateral Manager (with a copy to the Backup Collateral Manager, the Collateral Administrator, the Custodian and the Collateral Agent) that the Secured Parties are exercising their control rights with respect to the Collateral in accordance with the last paragraph of Section 6.01.</w:t>
      </w:r>
    </w:p>
    <w:p>
      <w:pPr>
        <w:spacing w:after="0" w:line="163" w:lineRule="exact"/>
        <w:rPr>
          <w:sz w:val="20"/>
          <w:szCs w:val="20"/>
          <w:color w:val="auto"/>
        </w:rPr>
      </w:pPr>
    </w:p>
    <w:p>
      <w:pPr>
        <w:jc w:val="both"/>
        <w:ind w:left="1360" w:right="1500" w:firstLine="40"/>
        <w:spacing w:after="0" w:line="268" w:lineRule="auto"/>
        <w:rPr>
          <w:sz w:val="20"/>
          <w:szCs w:val="20"/>
          <w:color w:val="auto"/>
        </w:rPr>
      </w:pPr>
      <w:r>
        <w:rPr>
          <w:rFonts w:ascii="Times New Roman" w:cs="Times New Roman" w:eastAsia="Times New Roman" w:hAnsi="Times New Roman"/>
          <w:sz w:val="16"/>
          <w:szCs w:val="16"/>
          <w:i w:val="1"/>
          <w:iCs w:val="1"/>
          <w:color w:val="auto"/>
        </w:rPr>
        <w:t>Section 11.05. Realization Upon Defaulted Collateral Loans</w:t>
      </w:r>
      <w:r>
        <w:rPr>
          <w:rFonts w:ascii="Times New Roman" w:cs="Times New Roman" w:eastAsia="Times New Roman" w:hAnsi="Times New Roman"/>
          <w:sz w:val="16"/>
          <w:szCs w:val="16"/>
          <w:color w:val="auto"/>
        </w:rPr>
        <w:t>. The Collateral Manager will use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reasonable efforts consistent with the Collateral Management Standard, this Agreement and the Related Documents to exercise (on behalf of the Borrower) available remedies (which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635000</wp:posOffset>
            </wp:positionV>
            <wp:extent cx="526605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8" w:name="page239"/>
    <w:bookmarkEnd w:id="238"/>
    <w:p>
      <w:pPr>
        <w:spacing w:after="0" w:line="270" w:lineRule="exact"/>
        <w:rPr>
          <w:sz w:val="20"/>
          <w:szCs w:val="20"/>
          <w:color w:val="auto"/>
        </w:rPr>
      </w:pPr>
    </w:p>
    <w:p>
      <w:pPr>
        <w:ind w:left="1360" w:right="1380"/>
        <w:spacing w:after="0" w:line="252" w:lineRule="auto"/>
        <w:rPr>
          <w:sz w:val="20"/>
          <w:szCs w:val="20"/>
          <w:color w:val="auto"/>
        </w:rPr>
      </w:pPr>
      <w:r>
        <w:rPr>
          <w:rFonts w:ascii="Times New Roman" w:cs="Times New Roman" w:eastAsia="Times New Roman" w:hAnsi="Times New Roman"/>
          <w:sz w:val="16"/>
          <w:szCs w:val="16"/>
          <w:color w:val="auto"/>
        </w:rPr>
        <w:t>include liquidating, foreclosing upon or repossessing, as applicable, or otherwise comparably converting the ownership of any related property) with respect to any Defaulted Collateral Loan. The Collateral Manager will comply with the Collateral Management Standard, the Related Documents and Applicable Law in realizing upon such related property, and employ practices and procedures, including reasonable efforts, consistent with the Collateral Management Standard and the Related Documents, to enforce all obligations of Obligors. Without limiting the generality of the foregoing, the Collateral Manager may cause the sale of any such related property to the Collateral Manager or its Affiliates for a purchase price equal to the then fair market value thereof, any such sale to be evidenced by a certificate of a Responsible Officer of the Collateral Manager delivered to the Administrative Agent setting forth the Collateral Loan, the related property, the sale price of the related property and certifying that such sale price is the fair market value of such related property. The Collateral Manager will remit to the Collection Account the recoveries received in connection with the sale or disposition of related property relating to any Defaulted Collateral Loan hereunder.</w:t>
      </w:r>
    </w:p>
    <w:p>
      <w:pPr>
        <w:spacing w:after="0" w:line="159" w:lineRule="exact"/>
        <w:rPr>
          <w:sz w:val="20"/>
          <w:szCs w:val="20"/>
          <w:color w:val="auto"/>
        </w:rPr>
      </w:pPr>
    </w:p>
    <w:p>
      <w:pPr>
        <w:ind w:left="1360" w:right="1420" w:firstLine="40"/>
        <w:spacing w:after="0" w:line="254" w:lineRule="auto"/>
        <w:rPr>
          <w:sz w:val="20"/>
          <w:szCs w:val="20"/>
          <w:color w:val="auto"/>
        </w:rPr>
      </w:pPr>
      <w:r>
        <w:rPr>
          <w:rFonts w:ascii="Times New Roman" w:cs="Times New Roman" w:eastAsia="Times New Roman" w:hAnsi="Times New Roman"/>
          <w:sz w:val="16"/>
          <w:szCs w:val="16"/>
          <w:i w:val="1"/>
          <w:iCs w:val="1"/>
          <w:color w:val="auto"/>
        </w:rPr>
        <w:t>Section 11.06. Collateral Management Compensation</w:t>
      </w:r>
      <w:r>
        <w:rPr>
          <w:rFonts w:ascii="Times New Roman" w:cs="Times New Roman" w:eastAsia="Times New Roman" w:hAnsi="Times New Roman"/>
          <w:sz w:val="16"/>
          <w:szCs w:val="16"/>
          <w:color w:val="auto"/>
        </w:rPr>
        <w:t>. As compensation for its servicing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collateral management activities hereunder and reimbursement for its expenses, the Collateral Manager shall be entitled to receive the Senior and Subordinated Collateral Management Fees to the extent of funds available therefor pursuant to the Priority of Payments, as applicable. In consideration of the transactions contemplated by the investment advisory agreement between as PennantPark Investment Advisers, LLC and the BDC, for so long as PennantPark Investment Advisers, LLC is the Collateral Manager, the Collateral Manager hereby irrevocably directs the Borrower and the Collateral Agent to pay all Senior Collateral Management Fees and Subordinated Collateral Management Fees payable to the Collateral Manager hereunder directly to the BDC.</w:t>
      </w:r>
    </w:p>
    <w:p>
      <w:pPr>
        <w:spacing w:after="0" w:line="151" w:lineRule="exact"/>
        <w:rPr>
          <w:sz w:val="20"/>
          <w:szCs w:val="20"/>
          <w:color w:val="auto"/>
        </w:rPr>
      </w:pPr>
    </w:p>
    <w:p>
      <w:pPr>
        <w:ind w:left="1360" w:right="1380" w:firstLine="40"/>
        <w:spacing w:after="0" w:line="254" w:lineRule="auto"/>
        <w:rPr>
          <w:sz w:val="20"/>
          <w:szCs w:val="20"/>
          <w:color w:val="auto"/>
        </w:rPr>
      </w:pPr>
      <w:r>
        <w:rPr>
          <w:rFonts w:ascii="Times New Roman" w:cs="Times New Roman" w:eastAsia="Times New Roman" w:hAnsi="Times New Roman"/>
          <w:sz w:val="16"/>
          <w:szCs w:val="16"/>
          <w:i w:val="1"/>
          <w:iCs w:val="1"/>
          <w:color w:val="auto"/>
        </w:rPr>
        <w:t>Section 11.07. Payment of Certain Expenses by Collateral Manager</w:t>
      </w:r>
      <w:r>
        <w:rPr>
          <w:rFonts w:ascii="Times New Roman" w:cs="Times New Roman" w:eastAsia="Times New Roman" w:hAnsi="Times New Roman"/>
          <w:sz w:val="16"/>
          <w:szCs w:val="16"/>
          <w:color w:val="auto"/>
        </w:rPr>
        <w:t>. The Collateral Manager (if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Collateral Manager is an Affiliate of the Borrower) will be required to pay all expenses incurred by it in connection with its activities under this Agreement, including fees and disbursements of its independent accountants, Taxes imposed on the Collateral Manager, expenses incurred by the Collateral Manager in connection with the production of reports pursuant to this Agreement, and all other fees and expenses not expressly stated under this Agreement for the account of the Borrower. The Collateral Manager shall be required to pay such expenses for its own account and shall not be entitled to any payment therefor other than the Senior or Subordinated Collateral Management Fees.</w:t>
      </w:r>
    </w:p>
    <w:p>
      <w:pPr>
        <w:spacing w:after="0" w:line="154" w:lineRule="exact"/>
        <w:rPr>
          <w:sz w:val="20"/>
          <w:szCs w:val="20"/>
          <w:color w:val="auto"/>
        </w:rPr>
      </w:pPr>
    </w:p>
    <w:p>
      <w:pPr>
        <w:ind w:left="1360" w:right="1480" w:firstLine="40"/>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Section 11.08. The Collateral Manager Not to Resign; Assignment </w:t>
      </w:r>
      <w:r>
        <w:rPr>
          <w:rFonts w:ascii="Times New Roman" w:cs="Times New Roman" w:eastAsia="Times New Roman" w:hAnsi="Times New Roman"/>
          <w:sz w:val="16"/>
          <w:szCs w:val="16"/>
          <w:color w:val="auto"/>
        </w:rPr>
        <w:t>. The Collateral Manager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not resign from the obligations and duties hereby imposed on it except upon the Collateral Manager’s determination that the performance of its duties hereunder is or becomes impermissible under Applicable Law. Any such determination permitting the resignation of the Collateral Manager shall be evidenced by an opinion of counsel to such effect delivered to the Administrative Agent and each Lender. No such resignation shall become effective until a Successor Collateral Manager shall have assumed the responsibilities and obligations of the Collateral Manager in accordance with Section 11.09.</w:t>
      </w:r>
    </w:p>
    <w:p>
      <w:pPr>
        <w:spacing w:after="0" w:line="151" w:lineRule="exact"/>
        <w:rPr>
          <w:sz w:val="20"/>
          <w:szCs w:val="20"/>
          <w:color w:val="auto"/>
        </w:rPr>
      </w:pPr>
    </w:p>
    <w:p>
      <w:pPr>
        <w:ind w:left="1360" w:right="1500" w:firstLine="40"/>
        <w:spacing w:after="0" w:line="286" w:lineRule="auto"/>
        <w:rPr>
          <w:sz w:val="20"/>
          <w:szCs w:val="20"/>
          <w:color w:val="auto"/>
        </w:rPr>
      </w:pPr>
      <w:r>
        <w:rPr>
          <w:rFonts w:ascii="Times New Roman" w:cs="Times New Roman" w:eastAsia="Times New Roman" w:hAnsi="Times New Roman"/>
          <w:sz w:val="16"/>
          <w:szCs w:val="16"/>
          <w:i w:val="1"/>
          <w:iCs w:val="1"/>
          <w:color w:val="auto"/>
        </w:rPr>
        <w:t>Section 11.09. Appointment of Successor Collateral Manager</w:t>
      </w:r>
      <w:r>
        <w:rPr>
          <w:rFonts w:ascii="Times New Roman" w:cs="Times New Roman" w:eastAsia="Times New Roman" w:hAnsi="Times New Roman"/>
          <w:sz w:val="16"/>
          <w:szCs w:val="16"/>
          <w:color w:val="auto"/>
        </w:rPr>
        <w:t>. (a) Upon resignation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Collateral Manager pursuant to Section 11.08 or the occurrence and continuance of a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9" w:name="page240"/>
    <w:bookmarkEnd w:id="239"/>
    <w:p>
      <w:pPr>
        <w:spacing w:after="0" w:line="270" w:lineRule="exact"/>
        <w:rPr>
          <w:sz w:val="20"/>
          <w:szCs w:val="20"/>
          <w:color w:val="auto"/>
        </w:rPr>
      </w:pPr>
    </w:p>
    <w:p>
      <w:pPr>
        <w:ind w:left="1360" w:right="1380"/>
        <w:spacing w:after="0" w:line="252" w:lineRule="auto"/>
        <w:rPr>
          <w:sz w:val="20"/>
          <w:szCs w:val="20"/>
          <w:color w:val="auto"/>
        </w:rPr>
      </w:pPr>
      <w:r>
        <w:rPr>
          <w:rFonts w:ascii="Times New Roman" w:cs="Times New Roman" w:eastAsia="Times New Roman" w:hAnsi="Times New Roman"/>
          <w:sz w:val="16"/>
          <w:szCs w:val="16"/>
          <w:color w:val="auto"/>
        </w:rPr>
        <w:t xml:space="preserve">Manager Event of Default or a Collateral Manager Replacement Event, the Administrative Agent may (with the consent of the Required Lenders) at any time appoint a successor collateral manager (the </w:t>
      </w:r>
      <w:r>
        <w:rPr>
          <w:rFonts w:ascii="Times New Roman" w:cs="Times New Roman" w:eastAsia="Times New Roman" w:hAnsi="Times New Roman"/>
          <w:sz w:val="16"/>
          <w:szCs w:val="16"/>
          <w:i w:val="1"/>
          <w:iCs w:val="1"/>
          <w:color w:val="auto"/>
        </w:rPr>
        <w:t>“Successor Collateral Manager”</w:t>
      </w:r>
      <w:r>
        <w:rPr>
          <w:rFonts w:ascii="Times New Roman" w:cs="Times New Roman" w:eastAsia="Times New Roman" w:hAnsi="Times New Roman"/>
          <w:sz w:val="16"/>
          <w:szCs w:val="16"/>
          <w:color w:val="auto"/>
        </w:rPr>
        <w:t xml:space="preserve">), which, for the avoidance of doubt may be the Backup Collateral Manager, the Administrative Agent or any Lender, and such Successor Collateral Manager shall accept its appointment by a written assumption in a form acceptable to the Administrative Agent. No assignment of this Agreement by the Collateral Manager (including, without limitation, a change in control or management of the Collateral Manager which would be deemed an “assignment” under the Investment Advisers Act of 1940, as amended) shall be made unless such assignment is consented to in writing by the Borrower, </w:t>
      </w:r>
      <w:r>
        <w:rPr>
          <w:rFonts w:ascii="Times New Roman" w:cs="Times New Roman" w:eastAsia="Times New Roman" w:hAnsi="Times New Roman"/>
          <w:sz w:val="16"/>
          <w:szCs w:val="16"/>
          <w:i w:val="1"/>
          <w:iCs w:val="1"/>
          <w:color w:val="auto"/>
        </w:rPr>
        <w:t xml:space="preserve">provided, however, </w:t>
      </w:r>
      <w:r>
        <w:rPr>
          <w:rFonts w:ascii="Times New Roman" w:cs="Times New Roman" w:eastAsia="Times New Roman" w:hAnsi="Times New Roman"/>
          <w:sz w:val="16"/>
          <w:szCs w:val="16"/>
          <w:color w:val="auto"/>
        </w:rPr>
        <w:t>that nothing herein shall be construed to restrict the ability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Administrative Agent to replace the Collateral Manager upon the occurrence of a Collateral Manager Event of Default or a Collateral Manager Replacement Event pursuant to Section 11.09 hereof or any obligations of the Collateral Manager in connection with such provisions.</w:t>
      </w:r>
    </w:p>
    <w:p>
      <w:pPr>
        <w:spacing w:after="0" w:line="160" w:lineRule="exact"/>
        <w:rPr>
          <w:sz w:val="20"/>
          <w:szCs w:val="20"/>
          <w:color w:val="auto"/>
        </w:rPr>
      </w:pPr>
    </w:p>
    <w:p>
      <w:pPr>
        <w:ind w:left="1360" w:right="1380" w:firstLine="40"/>
        <w:spacing w:after="0" w:line="251" w:lineRule="auto"/>
        <w:tabs>
          <w:tab w:leader="none" w:pos="1629"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its appointment (the “</w:t>
      </w:r>
      <w:r>
        <w:rPr>
          <w:rFonts w:ascii="Times New Roman" w:cs="Times New Roman" w:eastAsia="Times New Roman" w:hAnsi="Times New Roman"/>
          <w:sz w:val="16"/>
          <w:szCs w:val="16"/>
          <w:i w:val="1"/>
          <w:iCs w:val="1"/>
          <w:color w:val="auto"/>
        </w:rPr>
        <w:t>Assumption Date</w:t>
      </w:r>
      <w:r>
        <w:rPr>
          <w:rFonts w:ascii="Times New Roman" w:cs="Times New Roman" w:eastAsia="Times New Roman" w:hAnsi="Times New Roman"/>
          <w:sz w:val="16"/>
          <w:szCs w:val="16"/>
          <w:color w:val="auto"/>
        </w:rPr>
        <w:t xml:space="preserve">”), the Successor Collateral Manager shall be the successor in all respects to the Collateral Manager with respect to collateral management functions under this Agreement and shall be subject to all the responsibilities, duties and liabilities relating thereto placed on the Collateral Manager by the terms and provisions hereof, and all references in this Agreement to the Collateral Manager shall be deemed to refer to the Successor Collateral Manager;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Successor Collateral Manager shall not (i) be deemed to have assumed or to become liable for, or otherwise have any liability for, any duties, responsibilities, actions performed, breaches, defaults, claims, obligations or liabilities of the terminated Collateral Manager or any other predecessor Collateral Manager arising before the Assumption Date, (ii) have any obligation to pay any taxes required to be paid by the terminated Collateral Manager or any other predecessor Collateral Manager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Successor Collateral Manager shall pay any income taxes for which it is liable), (iii) have any liability for any failure to perform its duties as Collateral Manager, or any loss or damages arising from such failure, that results from the actions (or inaction) of the terminated Collateral Manager or any other predecessor Collateral Manager on or before the Assumption Date, (iv) have any obligation to perform advancing or repurchase obligations, if any, of the Borrower, the terminated Collateral Manager or any other predecessor Collateral Manager unless it elects to do so in its sole discretion, (v) have any obligation to pay any of the fees and expenses of any other party to the transaction contemplated by this Agreement or any Facility Document, (vi) have any liability with respect to any of the representations and warranties of the Collateral Manager under this Agreement, (vii) have any obligation to expend or risk its own funds or otherwise incur any financial liability in the performance of its duties hereunder or in the exercise of any of its rights and powers, if, in its reasonable judgment, it shall believe that repayment of such funds or adequate indemnity against such risk or liability is not assured to it and (viii) have any obligation to file or record any financing statements or other documents in order to perfect or continue any security interests contemplated by this Agreement unless it has been directed by the Administrative Agent to make such filing or recordation. The indemnification obligations of the Successor Collateral Manager, upon becoming a Successor Collateral Manager, are expressly limited to those arising on account of its failure to act in good faith and with reasonable care under the circumstances.</w:t>
      </w:r>
    </w:p>
    <w:p>
      <w:pPr>
        <w:spacing w:after="0" w:line="161" w:lineRule="exact"/>
        <w:rPr>
          <w:rFonts w:ascii="Times New Roman" w:cs="Times New Roman" w:eastAsia="Times New Roman" w:hAnsi="Times New Roman"/>
          <w:sz w:val="16"/>
          <w:szCs w:val="16"/>
          <w:color w:val="auto"/>
        </w:rPr>
      </w:pPr>
    </w:p>
    <w:p>
      <w:pPr>
        <w:ind w:left="1360" w:right="1560" w:firstLine="40"/>
        <w:spacing w:after="0" w:line="283" w:lineRule="auto"/>
        <w:tabs>
          <w:tab w:leader="none" w:pos="162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Manager agrees to cooperate and use its commercially reasonable efforts in effecting the transition of the responsibilities and rights of servicing of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628015</wp:posOffset>
            </wp:positionV>
            <wp:extent cx="526605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0" w:name="page241"/>
    <w:bookmarkEnd w:id="240"/>
    <w:p>
      <w:pPr>
        <w:spacing w:after="0" w:line="270" w:lineRule="exact"/>
        <w:rPr>
          <w:sz w:val="20"/>
          <w:szCs w:val="20"/>
          <w:color w:val="auto"/>
        </w:rPr>
      </w:pPr>
    </w:p>
    <w:p>
      <w:pPr>
        <w:ind w:left="1360" w:right="1380"/>
        <w:spacing w:after="0" w:line="252" w:lineRule="auto"/>
        <w:rPr>
          <w:sz w:val="20"/>
          <w:szCs w:val="20"/>
          <w:color w:val="auto"/>
        </w:rPr>
      </w:pPr>
      <w:r>
        <w:rPr>
          <w:rFonts w:ascii="Times New Roman" w:cs="Times New Roman" w:eastAsia="Times New Roman" w:hAnsi="Times New Roman"/>
          <w:sz w:val="16"/>
          <w:szCs w:val="16"/>
          <w:color w:val="auto"/>
        </w:rPr>
        <w:t>including, without limitation, the transfer to the Successor Collateral Manager for the administration by it of all cash amounts that shall at the time be held by the Collateral Manager for deposit, or have been deposited by the Collateral Manager, or thereafter received with respect to the Collateral and the delivery to the Successor Collateral Manager in an orderly and timely fashion of all files and records with respect to the Collateral and a computer data file in readable form containing all information necessary to enable the Successor Collateral Manager to service the Collateral. In addition, the Collateral Manager agrees to cooperate and use its commercially reasonable efforts in providing, at the expense of the Collateral Manager, the Successor Collateral Manager with reasonable access (including at the premises of the Collateral Manager) to the employees of the Collateral Manager, and any and all of the books, records (in electronic or other form) or other information reasonably requested by it to enable the Successor Collateral Manager to assume the servicing functions hereunder and under this Agreement and to maintain a list of key servicing personnel and contact information.</w:t>
      </w:r>
    </w:p>
    <w:p>
      <w:pPr>
        <w:spacing w:after="0" w:line="162" w:lineRule="exact"/>
        <w:rPr>
          <w:sz w:val="20"/>
          <w:szCs w:val="20"/>
          <w:color w:val="auto"/>
        </w:rPr>
      </w:pPr>
    </w:p>
    <w:p>
      <w:pPr>
        <w:ind w:left="1360" w:right="1380" w:firstLine="40"/>
        <w:spacing w:after="0" w:line="252" w:lineRule="auto"/>
        <w:tabs>
          <w:tab w:leader="none" w:pos="1629"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Successor Collateral Manager’s assumption of, and its agreement to perform and observe, all duties, responsibilities and obligations of the Collateral Manager under this Agreement arising on and after the Assumption Date, the Successor Collateral Manager shall not be deemed to have assumed or to become liable for, or otherwise have any liability for, any duties, responsibilities, obligations or liabilities of the initial Collateral Manager or any other predecessor Collateral Manager arising under the terms of this Agreement, arising by operation of law or otherwise with respect to the period ending on the Assumption Date, including, without limitation, any liability for, any duties, responsibilities, obligations or liabilities of the initial Collateral Manager or any other predecessor Collateral Manager arising on or before the Assumption Date under this Agreement, regardless of when the liability, duty, responsibility or obligation of the initial Collateral Manager or any other predecessor Collateral Manager therefor arose, whether provided by the terms of this Agreement arising by operation of law or otherwise, and in no case will the Successor Collateral Manager have any liability for any failure to perform its duties as Collateral Manager, or any loss or damages arising from such failure, that results from the actions (or inaction) of the initial Collateral Manager or any other predecessor Collateral Manager on or before the Assumption Date.</w:t>
      </w:r>
    </w:p>
    <w:p>
      <w:pPr>
        <w:spacing w:after="0" w:line="157" w:lineRule="exact"/>
        <w:rPr>
          <w:rFonts w:ascii="Times New Roman" w:cs="Times New Roman" w:eastAsia="Times New Roman" w:hAnsi="Times New Roman"/>
          <w:sz w:val="16"/>
          <w:szCs w:val="16"/>
          <w:color w:val="auto"/>
        </w:rPr>
      </w:pPr>
    </w:p>
    <w:p>
      <w:pPr>
        <w:ind w:left="1360" w:right="1420" w:firstLine="40"/>
        <w:spacing w:after="0" w:line="266" w:lineRule="auto"/>
        <w:tabs>
          <w:tab w:leader="none" w:pos="162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Successor Collateral Manager undertakes to perform only such duties and obligations as are specifically set forth in this Agreement, it being expressly understood by all parties hereto that there are no implied duties or obligations of the Successor Collateral Manager hereunder.</w:t>
      </w:r>
    </w:p>
    <w:p>
      <w:pPr>
        <w:spacing w:after="0" w:line="144" w:lineRule="exact"/>
        <w:rPr>
          <w:rFonts w:ascii="Times New Roman" w:cs="Times New Roman" w:eastAsia="Times New Roman" w:hAnsi="Times New Roman"/>
          <w:sz w:val="16"/>
          <w:szCs w:val="16"/>
          <w:color w:val="auto"/>
        </w:rPr>
      </w:pPr>
    </w:p>
    <w:p>
      <w:pPr>
        <w:ind w:left="1360" w:right="1400" w:firstLine="40"/>
        <w:spacing w:after="0" w:line="194" w:lineRule="exact"/>
        <w:tabs>
          <w:tab w:leader="none" w:pos="1602"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contained in this Agreement or any Facility Document to the contrary, the Successor Collateral Manager is authorized to accept and rely on all of the accounting, records (including computer records) and work of the prior Collateral Manager relating to the Collateral Loans (collectively, the </w:t>
      </w:r>
      <w:r>
        <w:rPr>
          <w:rFonts w:ascii="Times New Roman" w:cs="Times New Roman" w:eastAsia="Times New Roman" w:hAnsi="Times New Roman"/>
          <w:sz w:val="16"/>
          <w:szCs w:val="16"/>
          <w:i w:val="1"/>
          <w:iCs w:val="1"/>
          <w:color w:val="auto"/>
        </w:rPr>
        <w:t>“Predecessor Collateral Manager Work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Product”</w:t>
      </w:r>
      <w:r>
        <w:rPr>
          <w:rFonts w:ascii="Times New Roman" w:cs="Times New Roman" w:eastAsia="Times New Roman" w:hAnsi="Times New Roman"/>
          <w:sz w:val="16"/>
          <w:szCs w:val="16"/>
          <w:color w:val="auto"/>
        </w:rPr>
        <w:t>) without any audit or other examination thereof, except to the extent that it knows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records or work product to be incorrect, and such Successor Collateral Manager shall have no duty, responsibility, obligation or liability for the acts and omissions of the prior Collateral Manager or any other predecessor Collateral Manager. If any error, inaccuracy, omission or incorrect or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standard practice or procedure (collectively, </w:t>
      </w:r>
      <w:r>
        <w:rPr>
          <w:rFonts w:ascii="Times New Roman" w:cs="Times New Roman" w:eastAsia="Times New Roman" w:hAnsi="Times New Roman"/>
          <w:sz w:val="16"/>
          <w:szCs w:val="16"/>
          <w:i w:val="1"/>
          <w:iCs w:val="1"/>
          <w:color w:val="auto"/>
        </w:rPr>
        <w:t>“Errors”</w:t>
      </w:r>
      <w:r>
        <w:rPr>
          <w:rFonts w:ascii="Times New Roman" w:cs="Times New Roman" w:eastAsia="Times New Roman" w:hAnsi="Times New Roman"/>
          <w:sz w:val="16"/>
          <w:szCs w:val="16"/>
          <w:color w:val="auto"/>
        </w:rPr>
        <w:t>) exist in any Predecessor Collateral Manager Work Product and such Errors make it materially more difficult to service or should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649605</wp:posOffset>
            </wp:positionV>
            <wp:extent cx="526605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1" w:name="page242"/>
    <w:bookmarkEnd w:id="241"/>
    <w:p>
      <w:pPr>
        <w:spacing w:after="0" w:line="270" w:lineRule="exact"/>
        <w:rPr>
          <w:sz w:val="20"/>
          <w:szCs w:val="20"/>
          <w:color w:val="auto"/>
        </w:rPr>
      </w:pPr>
    </w:p>
    <w:p>
      <w:pPr>
        <w:ind w:left="1360" w:right="1520"/>
        <w:spacing w:after="0" w:line="253" w:lineRule="auto"/>
        <w:rPr>
          <w:sz w:val="20"/>
          <w:szCs w:val="20"/>
          <w:color w:val="auto"/>
        </w:rPr>
      </w:pPr>
      <w:r>
        <w:rPr>
          <w:rFonts w:ascii="Times New Roman" w:cs="Times New Roman" w:eastAsia="Times New Roman" w:hAnsi="Times New Roman"/>
          <w:sz w:val="16"/>
          <w:szCs w:val="16"/>
          <w:color w:val="auto"/>
        </w:rPr>
        <w:t xml:space="preserve">or materially contribute to the Successor Collateral Manager making or continuing any Errors (collectively, </w:t>
      </w:r>
      <w:r>
        <w:rPr>
          <w:rFonts w:ascii="Times New Roman" w:cs="Times New Roman" w:eastAsia="Times New Roman" w:hAnsi="Times New Roman"/>
          <w:sz w:val="16"/>
          <w:szCs w:val="16"/>
          <w:i w:val="1"/>
          <w:iCs w:val="1"/>
          <w:color w:val="auto"/>
        </w:rPr>
        <w:t>“Continued Errors”</w:t>
      </w:r>
      <w:r>
        <w:rPr>
          <w:rFonts w:ascii="Times New Roman" w:cs="Times New Roman" w:eastAsia="Times New Roman" w:hAnsi="Times New Roman"/>
          <w:sz w:val="16"/>
          <w:szCs w:val="16"/>
          <w:color w:val="auto"/>
        </w:rPr>
        <w:t xml:space="preserve">), such Successor Collateral Manager shall have no duty, responsibility, obligation or liability for such Continued Errors;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Successor Collateral Manager agrees to use commercially reasonable efforts to prevent further Continued Errors. In the event that the Successor Collateral Manager becomes aware of Errors or Continued Errors, it shall, with the prior consent of the Administrative Agent, use its commercially reasonable efforts to reconstruct and reconcile such data as is commercially reasonable to correct such Errors and Continued Errors and to prevent future Continued Errors. The Successor Collateral Manager shall be entitled to recover its costs thereby expended in accordance with the Priority of Payments.</w:t>
      </w:r>
    </w:p>
    <w:p>
      <w:pPr>
        <w:spacing w:after="0" w:line="159" w:lineRule="exact"/>
        <w:rPr>
          <w:sz w:val="20"/>
          <w:szCs w:val="20"/>
          <w:color w:val="auto"/>
        </w:rPr>
      </w:pPr>
    </w:p>
    <w:p>
      <w:pPr>
        <w:ind w:left="1360" w:right="1420" w:firstLine="40"/>
        <w:spacing w:after="0" w:line="194" w:lineRule="exact"/>
        <w:tabs>
          <w:tab w:leader="none" w:pos="1629"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Manager will, upon the request of the Successor Collateral Manager, provide the Successor Collateral Manager with a power of attorney providing that the Successor Collateral Manager is authorized and empowered to execute and deliver, on behalf of the Collateral Manager, as attorney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fact or otherwise, any and all documents and other instruments, and to do so or accomplish all other acts or things necessary or appropriate to effect the purposes of such notice of termination or to perform the duties of the Collateral Manager under this Agreement.</w:t>
      </w:r>
    </w:p>
    <w:p>
      <w:pPr>
        <w:spacing w:after="0" w:line="165" w:lineRule="exact"/>
        <w:rPr>
          <w:rFonts w:ascii="Times New Roman" w:cs="Times New Roman" w:eastAsia="Times New Roman" w:hAnsi="Times New Roman"/>
          <w:sz w:val="16"/>
          <w:szCs w:val="16"/>
          <w:color w:val="auto"/>
        </w:rPr>
      </w:pPr>
    </w:p>
    <w:p>
      <w:pPr>
        <w:ind w:left="1360" w:right="1400" w:firstLine="40"/>
        <w:spacing w:after="0" w:line="258" w:lineRule="auto"/>
        <w:tabs>
          <w:tab w:leader="none" w:pos="1629"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Successor Collateral Manager shall not be liable for an action or omission to act hereunder, except for its own willful misconduct, gross negligence or bad faith. Under no circumstances will the Successor Collateral Manager be liable for indirect, special, consequential or incidental damages, such as loss of use, revenue or profit. In no event shall the Successor Collateral Manager be liable to the Borrower for any bad debts or other defaults by Obligors.</w:t>
      </w:r>
    </w:p>
    <w:p>
      <w:pPr>
        <w:spacing w:after="0" w:line="151" w:lineRule="exact"/>
        <w:rPr>
          <w:rFonts w:ascii="Times New Roman" w:cs="Times New Roman" w:eastAsia="Times New Roman" w:hAnsi="Times New Roman"/>
          <w:sz w:val="16"/>
          <w:szCs w:val="16"/>
          <w:color w:val="auto"/>
        </w:rPr>
      </w:pPr>
    </w:p>
    <w:p>
      <w:pPr>
        <w:ind w:left="1360" w:right="1400" w:firstLine="40"/>
        <w:spacing w:after="0" w:line="266" w:lineRule="auto"/>
        <w:tabs>
          <w:tab w:leader="none" w:pos="1593"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herein, the Successor Collateral Manager shall have no duty to review any information regarding the Collateral Manager, including any financial statements or the information set forth herein.</w:t>
      </w:r>
    </w:p>
    <w:p>
      <w:pPr>
        <w:spacing w:after="0" w:line="144" w:lineRule="exact"/>
        <w:rPr>
          <w:rFonts w:ascii="Times New Roman" w:cs="Times New Roman" w:eastAsia="Times New Roman" w:hAnsi="Times New Roman"/>
          <w:sz w:val="16"/>
          <w:szCs w:val="16"/>
          <w:color w:val="auto"/>
        </w:rPr>
      </w:pPr>
    </w:p>
    <w:p>
      <w:pPr>
        <w:ind w:left="1360" w:right="1400" w:firstLine="40"/>
        <w:spacing w:after="0" w:line="254" w:lineRule="auto"/>
        <w:tabs>
          <w:tab w:leader="none" w:pos="1593"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Successor Collateral Manager is prevented from fulfilling its obligations hereunder as a result of government actions, regulations, fires, strikes, accidents, acts of God or other causes beyond the control of such party, the Successor Collateral Manager shall use commercially reasonable efforts to resume performance as soon as reasonably possible, and the Successor Collateral Manager’s obligations shall be suspended for a reasonable time during which such conditions exist. Except as set forth herein, the Backup Collateral Manager shall have no duty to review any information regarding the Collateral Manager, including any financial statements or the information set forth herein.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XII</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Agents</w:t>
      </w:r>
    </w:p>
    <w:p>
      <w:pPr>
        <w:spacing w:after="0" w:line="187" w:lineRule="exact"/>
        <w:rPr>
          <w:sz w:val="20"/>
          <w:szCs w:val="20"/>
          <w:color w:val="auto"/>
        </w:rPr>
      </w:pPr>
    </w:p>
    <w:p>
      <w:pPr>
        <w:ind w:left="1360" w:right="1380" w:firstLine="40"/>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Section 12.01. Authorization and Action </w:t>
      </w:r>
      <w:r>
        <w:rPr>
          <w:rFonts w:ascii="Times New Roman" w:cs="Times New Roman" w:eastAsia="Times New Roman" w:hAnsi="Times New Roman"/>
          <w:sz w:val="16"/>
          <w:szCs w:val="16"/>
          <w:color w:val="auto"/>
        </w:rPr>
        <w:t>. Each Lender hereby irrevocably appoints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authorizes the Administrative Agent and the Collateral Agent to take such action as agent on its behalf and to exercise such powers under this Agreement and, to the extent applicable, the other Facility Documents as are delegated to such Agent by the terms hereof and thereof, together with such powers as are reasonably incidental thereto, subject to the terms hereof. No Agent shall have any duties or responsibilities, except those expressly set forth herein or in the other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641350</wp:posOffset>
            </wp:positionV>
            <wp:extent cx="526605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2" w:name="page243"/>
    <w:bookmarkEnd w:id="242"/>
    <w:p>
      <w:pPr>
        <w:spacing w:after="0" w:line="270" w:lineRule="exact"/>
        <w:rPr>
          <w:sz w:val="20"/>
          <w:szCs w:val="20"/>
          <w:color w:val="auto"/>
        </w:rPr>
      </w:pPr>
    </w:p>
    <w:p>
      <w:pPr>
        <w:ind w:left="1360" w:right="1340"/>
        <w:spacing w:after="0" w:line="252" w:lineRule="auto"/>
        <w:rPr>
          <w:sz w:val="20"/>
          <w:szCs w:val="20"/>
          <w:color w:val="auto"/>
        </w:rPr>
      </w:pPr>
      <w:r>
        <w:rPr>
          <w:rFonts w:ascii="Times New Roman" w:cs="Times New Roman" w:eastAsia="Times New Roman" w:hAnsi="Times New Roman"/>
          <w:sz w:val="16"/>
          <w:szCs w:val="16"/>
          <w:color w:val="auto"/>
        </w:rPr>
        <w:t xml:space="preserve">Documents, or any fiduciary relationship with any Secured Party, and no implied covenants, functions, responsibilities, duties or obligations or liabilities on the part of such Agent shall be read into this Agreement or any other Facility Document to which such Agent is a party (if any) as duties on its part to be performed or observed. No Agent shall have or be construed to have any other duties or responsibilities in respect of this Agreement and the transactions contemplated hereby. As to any matters not expressly provided for by this Agreement or the other Facility Documents, no Agent shall be required to exercise any discretion or take any action, but shall be required to act or to refrain from acting (and shall be fully protected in so acting or refraining from acting) upon the written instructions of the Required Lenders or, with respect to the Collateral Agent, the Administrative Agent;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Agent shall not be required to take any action which exposes such Agent, in its judgment, to personal liability, cost or expense or which is contrary to this Agreement, the other Facility Documents or Applicable Law, or would be, in its judgment, contrary to its duties hereunder, under any other Facility Document or under Applicable Law. Each Lender agrees that in any instance in which the Facility Documents provide that an Agent’s consent may not be unreasonably withheld, provide for the exercise of such Agent’s reasonable discretion, or provide to a similar effect, it shall not in its instructions (or, by refusing to provide instruction) to such Agent withhold its consent or exercise its discretion in an unreasonable manner.</w:t>
      </w:r>
    </w:p>
    <w:p>
      <w:pPr>
        <w:spacing w:after="0" w:line="155" w:lineRule="exact"/>
        <w:rPr>
          <w:sz w:val="20"/>
          <w:szCs w:val="20"/>
          <w:color w:val="auto"/>
        </w:rPr>
      </w:pPr>
    </w:p>
    <w:p>
      <w:pPr>
        <w:ind w:left="1360" w:right="1340" w:firstLine="525"/>
        <w:spacing w:after="0" w:line="252" w:lineRule="auto"/>
        <w:rPr>
          <w:sz w:val="20"/>
          <w:szCs w:val="20"/>
          <w:color w:val="auto"/>
        </w:rPr>
      </w:pPr>
      <w:r>
        <w:rPr>
          <w:rFonts w:ascii="Times New Roman" w:cs="Times New Roman" w:eastAsia="Times New Roman" w:hAnsi="Times New Roman"/>
          <w:sz w:val="16"/>
          <w:szCs w:val="16"/>
          <w:color w:val="auto"/>
        </w:rPr>
        <w:t>If the Collateral Agent has been requested or directed by the Required Lenders to take any action pursuant to any provision of this Agreement or any other Facility Document, the Collateral Agent shall not be under any obligation to exercise any of the rights or powers vested in it by this Agreement or such Facility Document in the manner so requested unless it shall have been provided indemnity reasonably satisfactory to it against the costs, expenses and liabilities which may be incurred by it in compliance with or in performing such request or direction. No provision of this Agreement or any Facility Document shall otherwise be construed to require the Collateral Agent to expend or risk its own funds or to take any action that could in its judgment cause it to incur any cost, expenses or liability, unless it is provided indemnity acceptable to it against any such expenditure, risk, costs, expense or liability. For the avoidance of doubt, the Collateral Agent shall not have any duty or obligation to take any affirmative action to exercise or enforce any power, right or remedy available to it under this Agreement or any Facility Document or Related Document unless and until directed by the Required Lenders (or the Administrative Agent on their behalf).</w:t>
      </w:r>
    </w:p>
    <w:p>
      <w:pPr>
        <w:spacing w:after="0" w:line="161" w:lineRule="exact"/>
        <w:rPr>
          <w:sz w:val="20"/>
          <w:szCs w:val="20"/>
          <w:color w:val="auto"/>
        </w:rPr>
      </w:pPr>
    </w:p>
    <w:p>
      <w:pPr>
        <w:ind w:left="1360" w:right="1380" w:firstLine="484"/>
        <w:spacing w:after="0" w:line="253" w:lineRule="auto"/>
        <w:rPr>
          <w:sz w:val="20"/>
          <w:szCs w:val="20"/>
          <w:color w:val="auto"/>
        </w:rPr>
      </w:pPr>
      <w:r>
        <w:rPr>
          <w:rFonts w:ascii="Times New Roman" w:cs="Times New Roman" w:eastAsia="Times New Roman" w:hAnsi="Times New Roman"/>
          <w:sz w:val="16"/>
          <w:szCs w:val="16"/>
          <w:color w:val="auto"/>
        </w:rPr>
        <w:t>Neither the Collateral Agent nor any officer, agent or representative thereof shall be personally liable for any action taken by any such person in accordance with any notice given by the Required Lenders (or the Administrative Agent on their behalf) pursuant to the terms of this Agreement or any other Facility Document even if, at the time such action is taken by any such person, the Required Lenders or persons purporting to be the Required Lenders are not entitled to give such notice, except where the Responsible Officer of the Collateral Agent has actual knowledge (without any duty of inquiry or investigation on its part) that such Required Lenders or persons purporting to be the Required Lenders are not entitled to give such notice. If any dispute or disagreement shall arise as to the allocation of any sum of money received by the Collateral Agent hereunder or under any Facility Document, the Collateral Agent shall have the right to deliver such sum to a court of competent jurisdiction and therein commence an action for interpleader.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643255</wp:posOffset>
            </wp:positionV>
            <wp:extent cx="526605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3" w:name="page244"/>
    <w:bookmarkEnd w:id="243"/>
    <w:p>
      <w:pPr>
        <w:spacing w:after="0" w:line="270" w:lineRule="exact"/>
        <w:rPr>
          <w:sz w:val="20"/>
          <w:szCs w:val="20"/>
          <w:color w:val="auto"/>
        </w:rPr>
      </w:pPr>
    </w:p>
    <w:p>
      <w:pPr>
        <w:ind w:left="1360" w:right="1420" w:firstLine="484"/>
        <w:spacing w:after="0" w:line="194" w:lineRule="exact"/>
        <w:rPr>
          <w:sz w:val="20"/>
          <w:szCs w:val="20"/>
          <w:color w:val="auto"/>
        </w:rPr>
      </w:pPr>
      <w:r>
        <w:rPr>
          <w:rFonts w:ascii="Times New Roman" w:cs="Times New Roman" w:eastAsia="Times New Roman" w:hAnsi="Times New Roman"/>
          <w:sz w:val="16"/>
          <w:szCs w:val="16"/>
          <w:color w:val="auto"/>
        </w:rPr>
        <w:t xml:space="preserve">If in performing its duties under this Agreement, the Collateral Agent is required to decide between alternative courses of action, it may request written instructions from the Administrative Agent as to the course of action desired by it. If the Collateral Agent does not receive such instructions within two (2) Business Days after it has requested them, the Collateral Agent may, but shall be under no duty to, take or refrain from taking any such courses of action. The Collateral Agent shall act in accordance with instructions received after such two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Business Day period except to the extent it has already, in good faith, taken or committed itself to take, action inconsistent with such instructions.</w:t>
      </w:r>
    </w:p>
    <w:p>
      <w:pPr>
        <w:spacing w:after="0" w:line="164" w:lineRule="exact"/>
        <w:rPr>
          <w:sz w:val="20"/>
          <w:szCs w:val="20"/>
          <w:color w:val="auto"/>
        </w:rPr>
      </w:pPr>
    </w:p>
    <w:p>
      <w:pPr>
        <w:ind w:left="1360" w:right="1380" w:firstLine="484"/>
        <w:spacing w:after="0" w:line="252" w:lineRule="auto"/>
        <w:rPr>
          <w:sz w:val="20"/>
          <w:szCs w:val="20"/>
          <w:color w:val="auto"/>
        </w:rPr>
      </w:pPr>
      <w:r>
        <w:rPr>
          <w:rFonts w:ascii="Times New Roman" w:cs="Times New Roman" w:eastAsia="Times New Roman" w:hAnsi="Times New Roman"/>
          <w:sz w:val="16"/>
          <w:szCs w:val="16"/>
          <w:color w:val="auto"/>
        </w:rPr>
        <w:t>The Collateral Agent, the Collateral Administrator, the Backup Collateral Manager and the Custodian shall be under no obligation to (i) monitor, determine or verify the unavailability or cessation of LIBOR, Daily Simple SOFR, Daily Simple RFR, SOFR, Term SOFR, Benchmark, Benchmark Replacement (or other applicable interest rate), or whether or when there has occurred, or to give notice to any other transaction party of the occurrence of (except as expressly provided herein), any Benchmark Transition Event or any amendment or change required to be made to the applicable interest rate, (ii) select, determine or designate any LIBOR, Daily Simple SOFR, Daily Simple RFR, SOFR, Term SOFR, Benchmark, Benchmark Replacement or other successor or replacement benchmark index, or whether any conditions to the designation of such a rate have been satisfied, (iii) select, determine or designate any Benchmark Replacement Adjustment or other modifier to any replacement or successor index, or</w:t>
      </w:r>
    </w:p>
    <w:p>
      <w:pPr>
        <w:spacing w:after="0" w:line="2" w:lineRule="exact"/>
        <w:rPr>
          <w:sz w:val="20"/>
          <w:szCs w:val="20"/>
          <w:color w:val="auto"/>
        </w:rPr>
      </w:pPr>
    </w:p>
    <w:p>
      <w:pPr>
        <w:ind w:left="1360" w:right="1480"/>
        <w:spacing w:after="0" w:line="260" w:lineRule="auto"/>
        <w:tabs>
          <w:tab w:leader="none" w:pos="1633"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whether or what Benchmark Replacement Conforming Changes are necessary or advisable, if any, in connection with any of the foregoing.</w:t>
      </w:r>
    </w:p>
    <w:p>
      <w:pPr>
        <w:spacing w:after="0" w:line="148" w:lineRule="exact"/>
        <w:rPr>
          <w:sz w:val="20"/>
          <w:szCs w:val="20"/>
          <w:color w:val="auto"/>
        </w:rPr>
      </w:pPr>
    </w:p>
    <w:p>
      <w:pPr>
        <w:ind w:left="1360" w:right="1360" w:firstLine="484"/>
        <w:spacing w:after="0" w:line="254" w:lineRule="auto"/>
        <w:rPr>
          <w:sz w:val="20"/>
          <w:szCs w:val="20"/>
          <w:color w:val="auto"/>
        </w:rPr>
      </w:pPr>
      <w:r>
        <w:rPr>
          <w:rFonts w:ascii="Times New Roman" w:cs="Times New Roman" w:eastAsia="Times New Roman" w:hAnsi="Times New Roman"/>
          <w:sz w:val="16"/>
          <w:szCs w:val="16"/>
          <w:color w:val="auto"/>
        </w:rPr>
        <w:t>The Collateral Agent, the Collateral Administrator, the Backup Collateral Manager and the Custodian shall not be liable for any inability, failure or delay on its part to perform any of its duties set forth in this Agreement as a result of the unavailability of LIBOR, Daily Simple SOFR, Daily Simple RFR, SOFR, Term SOFR, Benchmark, Benchmark Replacement (or other applicable interest rate) and absence of a designated replacement Interest Rate, including as a result of any inability, delay, error or inaccuracy on the part of any other transaction party, including without limitation the Administrative Agent or any Lender, in providing any direction, instruction, notice or information required or contemplated by the terms of this Agreement and reasonably required for the performance of such duties.</w:t>
      </w:r>
    </w:p>
    <w:p>
      <w:pPr>
        <w:spacing w:after="0" w:line="152" w:lineRule="exact"/>
        <w:rPr>
          <w:sz w:val="20"/>
          <w:szCs w:val="20"/>
          <w:color w:val="auto"/>
        </w:rPr>
      </w:pPr>
    </w:p>
    <w:p>
      <w:pPr>
        <w:ind w:left="1360" w:right="1440" w:firstLine="40"/>
        <w:spacing w:after="0" w:line="196" w:lineRule="exact"/>
        <w:rPr>
          <w:sz w:val="20"/>
          <w:szCs w:val="20"/>
          <w:color w:val="auto"/>
        </w:rPr>
      </w:pPr>
      <w:r>
        <w:rPr>
          <w:rFonts w:ascii="Times New Roman" w:cs="Times New Roman" w:eastAsia="Times New Roman" w:hAnsi="Times New Roman"/>
          <w:sz w:val="16"/>
          <w:szCs w:val="16"/>
          <w:i w:val="1"/>
          <w:iCs w:val="1"/>
          <w:color w:val="auto"/>
        </w:rPr>
        <w:t>Section 12.02. Delegation of Duties</w:t>
      </w:r>
      <w:r>
        <w:rPr>
          <w:rFonts w:ascii="Times New Roman" w:cs="Times New Roman" w:eastAsia="Times New Roman" w:hAnsi="Times New Roman"/>
          <w:sz w:val="16"/>
          <w:szCs w:val="16"/>
          <w:color w:val="auto"/>
        </w:rPr>
        <w:t>. Each Agent may execute any of its duties under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and each other Facility Document by or through agents or attorneys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fact and shall be entitled to advice of counsel concerning all matters pertaining to such duties. No Agent shall be responsible for the negligence or misconduct of any agents or attorneys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fact selected by it with reasonable care.</w:t>
      </w:r>
    </w:p>
    <w:p>
      <w:pPr>
        <w:spacing w:after="0" w:line="163" w:lineRule="exact"/>
        <w:rPr>
          <w:sz w:val="20"/>
          <w:szCs w:val="20"/>
          <w:color w:val="auto"/>
        </w:rPr>
      </w:pPr>
    </w:p>
    <w:p>
      <w:pPr>
        <w:ind w:left="1360" w:right="1440" w:firstLine="40"/>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Section 12.03. Agent’s Reliance, Etc. </w:t>
      </w:r>
      <w:r>
        <w:rPr>
          <w:rFonts w:ascii="Times New Roman" w:cs="Times New Roman" w:eastAsia="Times New Roman" w:hAnsi="Times New Roman"/>
          <w:sz w:val="16"/>
          <w:szCs w:val="16"/>
          <w:color w:val="auto"/>
        </w:rPr>
        <w:t>(a) Neither Agent nor any of its respective directors,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officers, agents or employees shall be liable for any action taken or omitted to be taken by it or them under or in connection with this Agreement or any of the other Facility Documents, except for its or their own gross negligence or willful misconduct. Without limiting the generality of the foregoing, each Agent: (i) may consult with legal counsel (including, without limitation, counsel for the Borrower or the Collateral Manager or any of their Affiliates) and independent public accountants and other experts selected by it and shall not be liable for any action taken or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641985</wp:posOffset>
            </wp:positionV>
            <wp:extent cx="526605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4" w:name="page245"/>
    <w:bookmarkEnd w:id="244"/>
    <w:p>
      <w:pPr>
        <w:spacing w:after="0" w:line="270" w:lineRule="exact"/>
        <w:rPr>
          <w:sz w:val="20"/>
          <w:szCs w:val="20"/>
          <w:color w:val="auto"/>
        </w:rPr>
      </w:pPr>
    </w:p>
    <w:p>
      <w:pPr>
        <w:ind w:left="1360" w:right="1380"/>
        <w:spacing w:after="0" w:line="251" w:lineRule="auto"/>
        <w:rPr>
          <w:sz w:val="20"/>
          <w:szCs w:val="20"/>
          <w:color w:val="auto"/>
        </w:rPr>
      </w:pPr>
      <w:r>
        <w:rPr>
          <w:rFonts w:ascii="Times New Roman" w:cs="Times New Roman" w:eastAsia="Times New Roman" w:hAnsi="Times New Roman"/>
          <w:sz w:val="16"/>
          <w:szCs w:val="16"/>
          <w:color w:val="auto"/>
        </w:rPr>
        <w:t>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monitor, ascertain or to inquire as to the performance or observance of any of the terms, covenants or conditions of this Agreement, the other Facility Documents or any Related Documents on the part of the Borrower or the Collateral Manager or any other Person or to inspect the property (including the books and records) of the Borrower or the Collateral Manager; (iv) shall not be responsible to any Secured Party or any other Person for the due execution, legality, validity, enforceability, genuineness, sufficiency or value of any Collateral, this Agreement, the other Facility Documents, any Related Document or any other instrument or document furnished pursuant hereto or thereto or for the validity, perfection, priority or enforceability of the Liens on the Collateral; and (v) shall incur no liability under or in respect of this Agreement or any other Facility Document by relying on, acting upon (or by refraining from action in reliance on) any notice, consent, certificate (including for the avoidance of doubt, the Borrowing Base Certificate), instruction or waiver, report, statement, opinion, direction or other instrument or writing (which may be delivered by telecopier, email, cable or telex, if acceptable to it) believed by it to be genuine and believe by it to be signed or sent by the proper party or parties. No Agent shall have any liability to the Borrower or any Lender or any other Person for the Borrower’s, the Collateral Manager’s or any Lender’s, as the case may be, performance of, or failure to perform, any of their respective obligations and duties under this Agreement or any other Facility Document.</w:t>
      </w:r>
    </w:p>
    <w:p>
      <w:pPr>
        <w:spacing w:after="0" w:line="166" w:lineRule="exact"/>
        <w:rPr>
          <w:sz w:val="20"/>
          <w:szCs w:val="20"/>
          <w:color w:val="auto"/>
        </w:rPr>
      </w:pPr>
    </w:p>
    <w:p>
      <w:pPr>
        <w:ind w:left="1360" w:right="1360" w:firstLine="40"/>
        <w:spacing w:after="0" w:line="251" w:lineRule="auto"/>
        <w:tabs>
          <w:tab w:leader="none" w:pos="1629"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Agent shall be liable for the actions of omissions of any other Agent (including without limitation concerning the application of funds), or under any duty to monitor or investigate compliance on the part of any other Agent with the terms or requirements of this Agreement, any Facility Documents or any Related Documents, or their duties thereunder. Each Agent shall be entitled to assume the due authority of any signatory and genuineness of any signature appearing on any instrument or document it may receive (including, without limitation, each Notice of Borrowing received hereunder). No Agent shall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without limitation for refusing to exercise discretion or for withholding its consent in the absence of its receipt of, or resulting from a failure, delay or refusal on the part of the Required Lenders to provide, written instruction to exercise such discretion or grant such consent from the Required Lenders, as applicable). No Agent shall be liable for any error of judgment made in good faith unless it shall be proven by a court of competent jurisdiction that such Agent was grossly negligent in ascertaining the relevant facts. Nothing herein or in any Facility Documents or Related Documents shall obligate any Agent to advance, expend or risk its own funds, or to take any action which in its reasonable judgment may cause it to incur any expense or financial or other liability for which it is not adequately indemnified. No Agent shall be liable for any indirect, special or consequential damages (included but not limited to lost profits) whatsoever, even if it has been informed of the likelihood thereof and regardless of the form of action. No Agent shall be charged with knowledge or notice of any matter unless actually known to a Responsible Officer of such Agent, or unless and to the extent written notice of such matter is received by such Agent at its address in accordance with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648970</wp:posOffset>
            </wp:positionV>
            <wp:extent cx="526605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5" w:name="page246"/>
    <w:bookmarkEnd w:id="245"/>
    <w:p>
      <w:pPr>
        <w:spacing w:after="0" w:line="270" w:lineRule="exact"/>
        <w:rPr>
          <w:sz w:val="20"/>
          <w:szCs w:val="20"/>
          <w:color w:val="auto"/>
        </w:rPr>
      </w:pPr>
    </w:p>
    <w:p>
      <w:pPr>
        <w:ind w:left="1360" w:right="1440"/>
        <w:spacing w:after="0" w:line="254" w:lineRule="auto"/>
        <w:rPr>
          <w:sz w:val="20"/>
          <w:szCs w:val="20"/>
          <w:color w:val="auto"/>
        </w:rPr>
      </w:pPr>
      <w:r>
        <w:rPr>
          <w:rFonts w:ascii="Times New Roman" w:cs="Times New Roman" w:eastAsia="Times New Roman" w:hAnsi="Times New Roman"/>
          <w:sz w:val="16"/>
          <w:szCs w:val="16"/>
          <w:color w:val="auto"/>
        </w:rPr>
        <w:t>15.02. Any permissive grant of power to an Agent hereunder shall not be construed to be a duty to act. Neither Agent shall be bound to make any investigation into the facts or matters stated in any resolution, certificate, statement, instrument, opinion, report, notice, request, consent, entitlement order, approval or other paper or document. Neither Agent shall be liable for any error of judgment, or for any act done or step taken or omitted by it, in good faith, or for any mistakes of fact or law, or for anything that it may do or refrain from doing in connection herewith except in the case of its willful misconduct, bad faith, reckless disregard or grossly negligent performance or omission of its duties.</w:t>
      </w:r>
    </w:p>
    <w:p>
      <w:pPr>
        <w:spacing w:after="0" w:line="157" w:lineRule="exact"/>
        <w:rPr>
          <w:sz w:val="20"/>
          <w:szCs w:val="20"/>
          <w:color w:val="auto"/>
        </w:rPr>
      </w:pPr>
    </w:p>
    <w:p>
      <w:pPr>
        <w:ind w:left="1360" w:right="1520" w:firstLine="40"/>
        <w:spacing w:after="0" w:line="261" w:lineRule="auto"/>
        <w:tabs>
          <w:tab w:leader="none" w:pos="162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Agent shall be responsible or liable for delays or failures in performance resulting from acts beyond its control. Such acts shall include but not be limited to acts of God, strikes, lockouts, riots, acts of war, epidemics, governmental regulations imposed after the fact, fire, communication line failures, computer viruses, power failures, earthquakes or other disasters.</w:t>
      </w:r>
    </w:p>
    <w:p>
      <w:pPr>
        <w:spacing w:after="0" w:line="148" w:lineRule="exact"/>
        <w:rPr>
          <w:rFonts w:ascii="Times New Roman" w:cs="Times New Roman" w:eastAsia="Times New Roman" w:hAnsi="Times New Roman"/>
          <w:sz w:val="16"/>
          <w:szCs w:val="16"/>
          <w:color w:val="auto"/>
        </w:rPr>
      </w:pPr>
    </w:p>
    <w:p>
      <w:pPr>
        <w:ind w:left="1360" w:right="1380" w:firstLine="40"/>
        <w:spacing w:after="0" w:line="254" w:lineRule="auto"/>
        <w:tabs>
          <w:tab w:leader="none" w:pos="1629"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delivery of reports, and other documents and information to the Collateral Agent hereunder or under any other Facility Document is for informational purposes only and the Collateral Agent’s receipt of such documents and information shall not constitute constructive notice of any information contained therein or determinable from information contained therein. The Collateral Agent is hereby authorized and directed to execute and deliver the other Facility Documents to which it is a party. Whether or not expressly stated in such Facility Documents, in performing (or refraining from acting) thereunder, the Collateral Agent shall have all of the rights, benefits, protections and indemnities that are afforded to it in this Agreement.</w:t>
      </w:r>
    </w:p>
    <w:p>
      <w:pPr>
        <w:spacing w:after="0" w:line="157" w:lineRule="exact"/>
        <w:rPr>
          <w:rFonts w:ascii="Times New Roman" w:cs="Times New Roman" w:eastAsia="Times New Roman" w:hAnsi="Times New Roman"/>
          <w:sz w:val="16"/>
          <w:szCs w:val="16"/>
          <w:color w:val="auto"/>
        </w:rPr>
      </w:pPr>
    </w:p>
    <w:p>
      <w:pPr>
        <w:ind w:left="1360" w:right="1400" w:firstLine="40"/>
        <w:spacing w:after="0" w:line="251" w:lineRule="auto"/>
        <w:tabs>
          <w:tab w:leader="none" w:pos="162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Lender acknowledges that except as expressly set forth in this Agreement, the Collateral Agent has not made any representation or warranty to it, and that no act by the Collateral Agent hereafter taken, including any consent and acceptance of any assignment or review of the affairs of the Borrower, shall be deemed to constitute any representation or warranty by the Collateral Agent to any Secured Party as to any matter. Each Lender represents to the Collateral Agent that it has, independently and without reliance upon the Collateral Agent and based on such documents and information as it has deemed appropriate, made its own appraisal of and investigation into the business, prospects, operations, property, financial and other condition and creditworthiness of the Borrower, and made its own decision to enter into this Agreement and the other Facility Documents to which it is a party. Each Lender also represents that it will, independently and without reliance upon the Collateral Agent or any other Secured Party and based on such documents and information as it shall deem appropriate at the time, continue to make its own credit decisions in taking or not taking action under this Agreement and the Facility Documents, and to make such investigations as it deems necessary to inform itself as to the business, prospects, operations, property, financial and other condition and creditworthiness of the Borrower and the Collateral Manager. The Collateral Agent shall not have any duty or responsibility to provide any Secured Party with any credit or other information concerning the business, prospects, operations, property, financial or other condition or creditworthiness of the Borrower or Collateral Manager which may come into the possession of the Collateral Agent.</w:t>
      </w:r>
    </w:p>
    <w:p>
      <w:pPr>
        <w:spacing w:after="0" w:line="165" w:lineRule="exact"/>
        <w:rPr>
          <w:sz w:val="20"/>
          <w:szCs w:val="20"/>
          <w:color w:val="auto"/>
        </w:rPr>
      </w:pPr>
    </w:p>
    <w:p>
      <w:pPr>
        <w:ind w:left="1360" w:right="1420" w:firstLine="40"/>
        <w:spacing w:after="0" w:line="268" w:lineRule="auto"/>
        <w:rPr>
          <w:sz w:val="20"/>
          <w:szCs w:val="20"/>
          <w:color w:val="auto"/>
        </w:rPr>
      </w:pPr>
      <w:r>
        <w:rPr>
          <w:rFonts w:ascii="Times New Roman" w:cs="Times New Roman" w:eastAsia="Times New Roman" w:hAnsi="Times New Roman"/>
          <w:sz w:val="16"/>
          <w:szCs w:val="16"/>
          <w:i w:val="1"/>
          <w:iCs w:val="1"/>
          <w:color w:val="auto"/>
        </w:rPr>
        <w:t>Section 12.04. Indemnification</w:t>
      </w:r>
      <w:r>
        <w:rPr>
          <w:rFonts w:ascii="Times New Roman" w:cs="Times New Roman" w:eastAsia="Times New Roman" w:hAnsi="Times New Roman"/>
          <w:sz w:val="16"/>
          <w:szCs w:val="16"/>
          <w:color w:val="auto"/>
        </w:rPr>
        <w:t>. Each of the Lenders agrees to indemnify and hold the Agents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the Backup Collateral Manager harmless (to the extent not reimbursed by or on behalf of the Borrower pursuant to Section 15.04 or otherwise) from and against any and all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635000</wp:posOffset>
            </wp:positionV>
            <wp:extent cx="526605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6" w:name="page247"/>
    <w:bookmarkEnd w:id="246"/>
    <w:p>
      <w:pPr>
        <w:spacing w:after="0" w:line="270" w:lineRule="exact"/>
        <w:rPr>
          <w:sz w:val="20"/>
          <w:szCs w:val="20"/>
          <w:color w:val="auto"/>
        </w:rPr>
      </w:pPr>
    </w:p>
    <w:p>
      <w:pPr>
        <w:ind w:left="1360" w:right="1360"/>
        <w:spacing w:after="0" w:line="251" w:lineRule="auto"/>
        <w:rPr>
          <w:sz w:val="20"/>
          <w:szCs w:val="20"/>
          <w:color w:val="auto"/>
        </w:rPr>
      </w:pPr>
      <w:r>
        <w:rPr>
          <w:rFonts w:ascii="Times New Roman" w:cs="Times New Roman" w:eastAsia="Times New Roman" w:hAnsi="Times New Roman"/>
          <w:sz w:val="16"/>
          <w:szCs w:val="16"/>
          <w:color w:val="auto"/>
        </w:rPr>
        <w:t xml:space="preserve">obligations, losses, damages, penalties, actions, judgments, suits, costs, expenses (including, without limitation, attorneys fees and expenses) or disbursements of any kind or nature whatsoever which may be imposed on, incurred by, or asserted against the Agents in any way relating to or arising out of this Agreement or any other Facility Document or any Related Document or any action taken or omitted by the Agents under this Agreement or any other Facility Document or any Related Document;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Lender shall be liable to any Agent for any portion of such liabilities, obligations, losses, damages, penalties, actions, judgments, suits, costs, expenses or disbursements resulting from such Agent’s gross negligence or willful misconduct; and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no Lender shall be liable to the Collateral Agent for any portion of such liabilities, obligations, losses, damages, penalties, actions, judgments, suits, costs, expenses or disbursements (for purposes hereof, </w:t>
      </w:r>
      <w:r>
        <w:rPr>
          <w:rFonts w:ascii="Times New Roman" w:cs="Times New Roman" w:eastAsia="Times New Roman" w:hAnsi="Times New Roman"/>
          <w:sz w:val="16"/>
          <w:szCs w:val="16"/>
          <w:i w:val="1"/>
          <w:iCs w:val="1"/>
          <w:color w:val="auto"/>
        </w:rPr>
        <w:t>“Liabilities”</w:t>
      </w:r>
      <w:r>
        <w:rPr>
          <w:rFonts w:ascii="Times New Roman" w:cs="Times New Roman" w:eastAsia="Times New Roman" w:hAnsi="Times New Roman"/>
          <w:sz w:val="16"/>
          <w:szCs w:val="16"/>
          <w:color w:val="auto"/>
        </w:rPr>
        <w:t>) unless such Liabilities are imposed on, incurred by, or asserted against the Collateral Agent as a result of any action taken, or not taken, by the Collateral Agent at the direction of the Administrative Agent or such Lender or Lenders, as the case may be, in accordance with the terms and conditions set forth in this Agreement (it being understood and agreed that the Collateral Agent shall be under no obligation to exercise or to honor any of the rights or powers vested in it by this Agreement at the request or direction of any of the Lenders (or other Persons authorized or permitted under the terms hereof to make such request or give such direction) pursuant to this Agreement or any of the other Facility Documents, unless such Lenders shall have provided to the Collateral Agent security or indemnity reasonably satisfactory to it against the costs, expenses (including reasonable and documented attorney’s fees and expenses) and Liabilities which might reasonably be incurred by it in compliance with such request or direction, whether such indemnity is provided under this Section 12.04 or otherwise) . The rights of the Agents and obligations of the Lenders under or pursuant to this Section 12.04 shall survive the termination of this Agreement, and the earlier removal or resignation of the any Agent hereunder.</w:t>
      </w:r>
    </w:p>
    <w:p>
      <w:pPr>
        <w:spacing w:after="0" w:line="161" w:lineRule="exact"/>
        <w:rPr>
          <w:sz w:val="20"/>
          <w:szCs w:val="20"/>
          <w:color w:val="auto"/>
        </w:rPr>
      </w:pPr>
    </w:p>
    <w:p>
      <w:pPr>
        <w:ind w:left="1360" w:right="1360" w:firstLine="40"/>
        <w:spacing w:after="0" w:line="251" w:lineRule="auto"/>
        <w:rPr>
          <w:sz w:val="20"/>
          <w:szCs w:val="20"/>
          <w:color w:val="auto"/>
        </w:rPr>
      </w:pPr>
      <w:r>
        <w:rPr>
          <w:rFonts w:ascii="Times New Roman" w:cs="Times New Roman" w:eastAsia="Times New Roman" w:hAnsi="Times New Roman"/>
          <w:sz w:val="16"/>
          <w:szCs w:val="16"/>
          <w:i w:val="1"/>
          <w:iCs w:val="1"/>
          <w:color w:val="auto"/>
        </w:rPr>
        <w:t>Section 12.05. Successor Agents</w:t>
      </w:r>
      <w:r>
        <w:rPr>
          <w:rFonts w:ascii="Times New Roman" w:cs="Times New Roman" w:eastAsia="Times New Roman" w:hAnsi="Times New Roman"/>
          <w:sz w:val="16"/>
          <w:szCs w:val="16"/>
          <w:color w:val="auto"/>
        </w:rPr>
        <w:t>. Subject to the terms of this Section 12.05, each Agent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upon thirty (30) days’ notice to the Lenders and the Borrower, resign as Administrative Agent or Collateral Agent, as applicable. If an Agent shall resign then the Required Lenders shall appoint a successor agent. If for any reason a successor agent is not so appointed and does not accept such appointment within thirty (30) days of notice of resignation such Agent may appoint a successor agent. The appointment of any successor Agent shall be subject to the prior written consent of the Borrower (which consent shall not be unreasonably withheld or delayed);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consent of the Borrower to any such appointment shall not be required if (i) an Event of Default shall have occurred and is continuing or, (ii) if such successor Agent is a Lender or an Affiliate of such Agent or any Lender. Any resignation of an Agent shall be effective upon the appointment of a successor agent pursuant to this Section 12.05. After the effectiveness of any retiring Agent’s resignation hereunder as Agent, the retiring Agent shall be discharged from its duties and obligations hereunder and under the other Facility Documents and the provisions of this Article XII shall continue in effect for its benefit with respect to any actions taken or omitted to be taken by it while it was Agent under this Agreement and under the other Facility Documents. Any Person (i) into which the Collateral Agent may be merged or consolidated, (ii) that may result from any merger or consolidation to which the Collateral Agent shall be a party, or (iii) that may succeed to the corporate trust properties and assets of the Collateral Agent substantially as a whole, shall be the successor to the Collateral Agent under this Agreement without further act of any of the parties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652145</wp:posOffset>
            </wp:positionV>
            <wp:extent cx="526605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7" w:name="page248"/>
    <w:bookmarkEnd w:id="247"/>
    <w:p>
      <w:pPr>
        <w:spacing w:after="0" w:line="268" w:lineRule="exact"/>
        <w:rPr>
          <w:sz w:val="20"/>
          <w:szCs w:val="20"/>
          <w:color w:val="auto"/>
        </w:rPr>
      </w:pPr>
    </w:p>
    <w:p>
      <w:pPr>
        <w:ind w:left="1360" w:right="1340" w:firstLine="40"/>
        <w:spacing w:after="0" w:line="257" w:lineRule="auto"/>
        <w:rPr>
          <w:sz w:val="20"/>
          <w:szCs w:val="20"/>
          <w:color w:val="auto"/>
        </w:rPr>
      </w:pPr>
      <w:r>
        <w:rPr>
          <w:rFonts w:ascii="Times New Roman" w:cs="Times New Roman" w:eastAsia="Times New Roman" w:hAnsi="Times New Roman"/>
          <w:sz w:val="16"/>
          <w:szCs w:val="16"/>
          <w:i w:val="1"/>
          <w:iCs w:val="1"/>
          <w:color w:val="auto"/>
        </w:rPr>
        <w:t>Section 12.06. Administrative Agent’s Capacity as a Lender</w:t>
      </w:r>
      <w:r>
        <w:rPr>
          <w:rFonts w:ascii="Times New Roman" w:cs="Times New Roman" w:eastAsia="Times New Roman" w:hAnsi="Times New Roman"/>
          <w:sz w:val="16"/>
          <w:szCs w:val="16"/>
          <w:color w:val="auto"/>
        </w:rPr>
        <w:t>. The Person serving as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50" w:lineRule="exact"/>
        <w:rPr>
          <w:sz w:val="20"/>
          <w:szCs w:val="20"/>
          <w:color w:val="auto"/>
        </w:rPr>
      </w:pPr>
    </w:p>
    <w:p>
      <w:pPr>
        <w:ind w:left="1360" w:right="1360" w:firstLine="40"/>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Section 12.07. Erroneous Payments </w:t>
      </w:r>
      <w:r>
        <w:rPr>
          <w:rFonts w:ascii="Times New Roman" w:cs="Times New Roman" w:eastAsia="Times New Roman" w:hAnsi="Times New Roman"/>
          <w:sz w:val="16"/>
          <w:szCs w:val="16"/>
          <w:color w:val="auto"/>
        </w:rPr>
        <w:t>(a) If the Administrative Agent or the Collateral Agent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notifies a Lender, Secured Party, or any Person who has received funds on behalf of a Lender or Secured Party (any such Lender, Secured Party or other recipient, a “</w:t>
      </w:r>
      <w:r>
        <w:rPr>
          <w:rFonts w:ascii="Times New Roman" w:cs="Times New Roman" w:eastAsia="Times New Roman" w:hAnsi="Times New Roman"/>
          <w:sz w:val="16"/>
          <w:szCs w:val="16"/>
          <w:i w:val="1"/>
          <w:iCs w:val="1"/>
          <w:color w:val="auto"/>
        </w:rPr>
        <w:t>Payment Recipient</w:t>
      </w:r>
      <w:r>
        <w:rPr>
          <w:rFonts w:ascii="Times New Roman" w:cs="Times New Roman" w:eastAsia="Times New Roman" w:hAnsi="Times New Roman"/>
          <w:sz w:val="16"/>
          <w:szCs w:val="16"/>
          <w:color w:val="auto"/>
        </w:rPr>
        <w:t xml:space="preserve">”) that the Administrative Agent or the Collateral Agent has determined in its sole discretion (whether or not after receipt of any notice under immediately succeeding clause (b)) that any funds received by such Payment Recipient from the Administrative Agent, the Collateral Agent or any of their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 </w:t>
      </w:r>
      <w:r>
        <w:rPr>
          <w:rFonts w:ascii="Times New Roman" w:cs="Times New Roman" w:eastAsia="Times New Roman" w:hAnsi="Times New Roman"/>
          <w:sz w:val="16"/>
          <w:szCs w:val="16"/>
          <w:i w:val="1"/>
          <w:iCs w:val="1"/>
          <w:color w:val="auto"/>
        </w:rPr>
        <w:t>Erroneous Payment</w:t>
      </w:r>
      <w:r>
        <w:rPr>
          <w:rFonts w:ascii="Times New Roman" w:cs="Times New Roman" w:eastAsia="Times New Roman" w:hAnsi="Times New Roman"/>
          <w:sz w:val="16"/>
          <w:szCs w:val="16"/>
          <w:color w:val="auto"/>
        </w:rPr>
        <w:t>”) and demands the return of such Erroneous Payment (or a portion thereof), such Erroneous Payment shall at all times remain the property of the Administrative Agent or the Collateral Agent and shall be segregated by the Payment Recipient and held in trust for the benefit of the Administrative Agent or the Collateral Agent, and such Lender or Secured Party shall (or, with respect to any Payment Recipient who received such funds on its behalf, shall cause such Payment Recipient to) promptly, but in no event later than two Business Days thereafter, return to the Administrative Agent or the Collateral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or the Collateral Agent in same day funds at the greater of the Federal Funds Rate and a rate determined by the Administrative Agent in accordance with banking industry rules on interbank compensation from time to time in effect. A notice of the Administrative Agent or the Collateral Agent to any Payment Recipient under this clause (a) shall be conclusive, absent manifest error.</w:t>
      </w:r>
    </w:p>
    <w:p>
      <w:pPr>
        <w:spacing w:after="0" w:line="165" w:lineRule="exact"/>
        <w:rPr>
          <w:sz w:val="20"/>
          <w:szCs w:val="20"/>
          <w:color w:val="auto"/>
        </w:rPr>
      </w:pPr>
    </w:p>
    <w:p>
      <w:pPr>
        <w:ind w:left="1620" w:hanging="220"/>
        <w:spacing w:after="0"/>
        <w:tabs>
          <w:tab w:leader="none" w:pos="162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immediately preceding clause (a), each Lender or Secured Party, or any</w:t>
      </w:r>
    </w:p>
    <w:p>
      <w:pPr>
        <w:spacing w:after="0" w:line="25" w:lineRule="exact"/>
        <w:rPr>
          <w:rFonts w:ascii="Times New Roman" w:cs="Times New Roman" w:eastAsia="Times New Roman" w:hAnsi="Times New Roman"/>
          <w:sz w:val="16"/>
          <w:szCs w:val="16"/>
          <w:color w:val="auto"/>
        </w:rPr>
      </w:pPr>
    </w:p>
    <w:p>
      <w:pPr>
        <w:ind w:left="1360" w:right="1360"/>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 who has received funds on behalf of a Lender or Secured Party, hereby further agrees that if it receives a payment, prepayment or repayment (whether received as a payment, prepayment or repayment of principal, interest, fees, distribution or otherwise) from the Administrative Agent or the Collateral Agent (or any of their Affiliates) (x) that is in a different amount than, or on a different date from, that specified in a notice of payment, prepayment or repayment sent by the Administrative Agent or the Collateral Agent (or any of their Affiliates) with respect to such payment, prepayment or repayment, (y) that was not preceded or accompanied by a notice of payment, prepayment or repayment sent by the Administrative Agent or the Collateral Agent (or any of their Affiliates), or (z) that such Lender or Secured Party, or other such recipient, otherwise becomes aware was transmitted, or received, in error or by mistake (in whole or in part) in each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643890</wp:posOffset>
            </wp:positionV>
            <wp:extent cx="526605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8" w:name="page249"/>
    <w:bookmarkEnd w:id="248"/>
    <w:p>
      <w:pPr>
        <w:spacing w:after="0" w:line="270" w:lineRule="exact"/>
        <w:rPr>
          <w:sz w:val="20"/>
          <w:szCs w:val="20"/>
          <w:color w:val="auto"/>
        </w:rPr>
      </w:pPr>
    </w:p>
    <w:p>
      <w:pPr>
        <w:ind w:left="1360" w:right="1620" w:firstLine="40"/>
        <w:spacing w:after="0" w:line="261" w:lineRule="auto"/>
        <w:tabs>
          <w:tab w:leader="none" w:pos="1593"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in the case of immediately preceding clauses (x) or (y), an error shall be presumed to have been made (absent written confirmation from the Administrative Agent or the Collateral Agent to the contrary) or (B) an error has been made (in the case of immediately preceding clause (z)), in each case, with respect to such payment, prepayment or repayment; and</w:t>
      </w:r>
    </w:p>
    <w:p>
      <w:pPr>
        <w:spacing w:after="0" w:line="148" w:lineRule="exact"/>
        <w:rPr>
          <w:rFonts w:ascii="Times New Roman" w:cs="Times New Roman" w:eastAsia="Times New Roman" w:hAnsi="Times New Roman"/>
          <w:sz w:val="16"/>
          <w:szCs w:val="16"/>
          <w:color w:val="auto"/>
        </w:rPr>
      </w:pPr>
    </w:p>
    <w:p>
      <w:pPr>
        <w:ind w:left="1360" w:right="1380" w:firstLine="40"/>
        <w:spacing w:after="0" w:line="258" w:lineRule="auto"/>
        <w:tabs>
          <w:tab w:leader="none" w:pos="1638"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Lender or Secured Party shall (and shall cause any other recipient that receives funds on its respective behalf to) promptly (and, in all events, within one Business Day of its knowledge of such error) notify the Administrative Agent or the Collateral Agent of its receipt of such payment, prepayment or repayment, the details thereof (in reasonable detail) and that it is so notifying the Administrative Agent or the Collateral Agent pursuant to this Section 12.07(b).</w:t>
      </w:r>
    </w:p>
    <w:p>
      <w:pPr>
        <w:spacing w:after="0" w:line="151" w:lineRule="exact"/>
        <w:rPr>
          <w:sz w:val="20"/>
          <w:szCs w:val="20"/>
          <w:color w:val="auto"/>
        </w:rPr>
      </w:pPr>
    </w:p>
    <w:p>
      <w:pPr>
        <w:ind w:left="1360" w:right="1420" w:firstLine="40"/>
        <w:spacing w:after="0" w:line="256" w:lineRule="auto"/>
        <w:tabs>
          <w:tab w:leader="none" w:pos="1620"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Lender or Secured Party hereby authorizes the Administrative Agent and the Collateral Agent to set off, net and apply any and all amounts at any time owing to such Lender or Secured Party under any Facility Document, or otherwise payable or distributable by the Administrative Agent or the Collateral Agent to such Lender or Secured Party from any source, against any amount due to the Administrative Agent or the Collateral Agent under immediately preceding clause (a) or under the indemnification provisions of this Agreement.</w:t>
      </w:r>
    </w:p>
    <w:p>
      <w:pPr>
        <w:spacing w:after="0" w:line="154" w:lineRule="exact"/>
        <w:rPr>
          <w:rFonts w:ascii="Times New Roman" w:cs="Times New Roman" w:eastAsia="Times New Roman" w:hAnsi="Times New Roman"/>
          <w:sz w:val="16"/>
          <w:szCs w:val="16"/>
          <w:color w:val="auto"/>
        </w:rPr>
      </w:pPr>
    </w:p>
    <w:p>
      <w:pPr>
        <w:ind w:left="1360" w:right="1360" w:firstLine="40"/>
        <w:spacing w:after="0" w:line="251" w:lineRule="auto"/>
        <w:tabs>
          <w:tab w:leader="none" w:pos="1629"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an Erroneous Payment (or portion thereof) is not recovered by the Administrative Agent or the Collateral Agent for any reason, after demand therefor by the Administrative Agent or the Collateral Agent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6"/>
          <w:szCs w:val="16"/>
          <w:i w:val="1"/>
          <w:iCs w:val="1"/>
          <w:color w:val="auto"/>
        </w:rPr>
        <w:t>Erroneous Payment Return Deficiency</w:t>
      </w:r>
      <w:r>
        <w:rPr>
          <w:rFonts w:ascii="Times New Roman" w:cs="Times New Roman" w:eastAsia="Times New Roman" w:hAnsi="Times New Roman"/>
          <w:sz w:val="16"/>
          <w:szCs w:val="16"/>
          <w:color w:val="auto"/>
        </w:rPr>
        <w:t>”), upon the Administrative Agent or the Collateral Agent’s notice to such Lender at any time, (i) such Lender shall be deemed to have assigned its Advances (but not its Commitments) of the relevant Class with respect to which such Erroneous Payment was made (the “</w:t>
      </w:r>
      <w:r>
        <w:rPr>
          <w:rFonts w:ascii="Times New Roman" w:cs="Times New Roman" w:eastAsia="Times New Roman" w:hAnsi="Times New Roman"/>
          <w:sz w:val="16"/>
          <w:szCs w:val="16"/>
          <w:i w:val="1"/>
          <w:iCs w:val="1"/>
          <w:color w:val="auto"/>
        </w:rPr>
        <w:t>Erroneous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Payment Impacted Class</w:t>
      </w:r>
      <w:r>
        <w:rPr>
          <w:rFonts w:ascii="Times New Roman" w:cs="Times New Roman" w:eastAsia="Times New Roman" w:hAnsi="Times New Roman"/>
          <w:sz w:val="16"/>
          <w:szCs w:val="16"/>
          <w:color w:val="auto"/>
        </w:rPr>
        <w:t>”) in an amount equal to the Erroneous Payment Return Deficiency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lesser amount as the Administrative Agent or the Collateral Agent may specify) (such assignment of the Advances (but not Commitments) of the Erroneous Payment Impacted Class, the “</w:t>
      </w:r>
      <w:r>
        <w:rPr>
          <w:rFonts w:ascii="Times New Roman" w:cs="Times New Roman" w:eastAsia="Times New Roman" w:hAnsi="Times New Roman"/>
          <w:sz w:val="16"/>
          <w:szCs w:val="16"/>
          <w:i w:val="1"/>
          <w:iCs w:val="1"/>
          <w:color w:val="auto"/>
        </w:rPr>
        <w:t>Erroneous Payment Deficiency Assignment</w:t>
      </w:r>
      <w:r>
        <w:rPr>
          <w:rFonts w:ascii="Times New Roman" w:cs="Times New Roman" w:eastAsia="Times New Roman" w:hAnsi="Times New Roman"/>
          <w:sz w:val="16"/>
          <w:szCs w:val="16"/>
          <w:color w:val="auto"/>
        </w:rPr>
        <w:t>”) at par plus any accrued and unpaid interest (with the assignment fee to be waived by the Administrative Agent in such instance), and is hereby (together with the Borrower) deemed to execute and deliver an Assignment and Acceptance (or, to the extent applicable, an agreement incorporating an Assignment and Acceptance by reference pursuant to a platform as to which the Administrative Agent and such parties are participants) with respect to such Erroneous Payment Deficiency Assignment, and such Lender shall deliver any promissory notes evidencing such Advances to the Borrower or the Administrative Agent, (ii) the Administrative Agent or the Collateral Agent as the assignee Lender shall be deemed to acquire the Erroneous Payment Deficiency Assignment, (iii) upon such deemed acquisition, the Administrative Agent or the Collateral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may reflect in the Register its ownership interest or the Collateral Agent’s ownership in the Advances subject to the Erroneous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768985</wp:posOffset>
            </wp:positionV>
            <wp:extent cx="526605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9" w:name="page250"/>
    <w:bookmarkEnd w:id="249"/>
    <w:p>
      <w:pPr>
        <w:spacing w:after="0" w:line="270" w:lineRule="exact"/>
        <w:rPr>
          <w:sz w:val="20"/>
          <w:szCs w:val="20"/>
          <w:color w:val="auto"/>
        </w:rPr>
      </w:pPr>
    </w:p>
    <w:p>
      <w:pPr>
        <w:ind w:left="1360" w:right="1360"/>
        <w:spacing w:after="0" w:line="252" w:lineRule="auto"/>
        <w:rPr>
          <w:sz w:val="20"/>
          <w:szCs w:val="20"/>
          <w:color w:val="auto"/>
        </w:rPr>
      </w:pPr>
      <w:r>
        <w:rPr>
          <w:rFonts w:ascii="Times New Roman" w:cs="Times New Roman" w:eastAsia="Times New Roman" w:hAnsi="Times New Roman"/>
          <w:sz w:val="16"/>
          <w:szCs w:val="16"/>
          <w:color w:val="auto"/>
        </w:rPr>
        <w:t>Deficiency Assignment. Each of the Administrative Agent and the Collateral Agent may, in its discretion, sell any Advances acquired pursuant to an Erroneous Payment Deficiency Assignment and upon receipt of the proceeds of such sale, the Erroneous Payment Return Deficiency owing by the applicable Lender shall be reduced by the net proceeds of the sale of such Advance (or portion thereof), and the Administrative Agent and the Collateral Agent shall retain all other rights, remedies and claims against such Lender (and/or against any recipient that receives funds on its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or the Collateral Agent has sold an Advance (or portion thereof) acquired pursuant to an Erroneous Payment Deficiency Assignment, and irrespective of whether the Administrative Agent or the Collateral Agent may be equitably subrogated, the Administrative Agent and the Collateral Agent shall be contractually subrogated to all the rights and interests of the applicable Lender or Secured Party under the Facility Documents with respect to each Erroneous Payment Return Deficiency (the “</w:t>
      </w:r>
      <w:r>
        <w:rPr>
          <w:rFonts w:ascii="Times New Roman" w:cs="Times New Roman" w:eastAsia="Times New Roman" w:hAnsi="Times New Roman"/>
          <w:sz w:val="16"/>
          <w:szCs w:val="16"/>
          <w:i w:val="1"/>
          <w:iCs w:val="1"/>
          <w:color w:val="auto"/>
        </w:rPr>
        <w:t>Erroneous Payment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Subrogation Rights</w:t>
      </w:r>
      <w:r>
        <w:rPr>
          <w:rFonts w:ascii="Times New Roman" w:cs="Times New Roman" w:eastAsia="Times New Roman" w:hAnsi="Times New Roman"/>
          <w:sz w:val="16"/>
          <w:szCs w:val="16"/>
          <w:color w:val="auto"/>
        </w:rPr>
        <w:t>”).</w:t>
      </w:r>
    </w:p>
    <w:p>
      <w:pPr>
        <w:spacing w:after="0" w:line="351" w:lineRule="exact"/>
        <w:rPr>
          <w:sz w:val="20"/>
          <w:szCs w:val="20"/>
          <w:color w:val="auto"/>
        </w:rPr>
      </w:pPr>
    </w:p>
    <w:p>
      <w:pPr>
        <w:ind w:left="1360" w:right="1540" w:firstLine="40"/>
        <w:spacing w:after="0" w:line="258" w:lineRule="auto"/>
        <w:tabs>
          <w:tab w:leader="none" w:pos="162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hereto agree that an Erroneous Payment shall not pay, prepay, repay, discharge or otherwise satisfy any Obligations owed by the Borrower, except, in each case, to the extent such Erroneous Payment is, and solely with respect to the amount of such Erroneous Payment that is, comprised of funds received by the Administrative Agent or the Collateral Agent from the Borrower for the purpose of making such Erroneous Payment.</w:t>
      </w:r>
    </w:p>
    <w:p>
      <w:pPr>
        <w:spacing w:after="0" w:line="151" w:lineRule="exact"/>
        <w:rPr>
          <w:rFonts w:ascii="Times New Roman" w:cs="Times New Roman" w:eastAsia="Times New Roman" w:hAnsi="Times New Roman"/>
          <w:sz w:val="16"/>
          <w:szCs w:val="16"/>
          <w:color w:val="auto"/>
        </w:rPr>
      </w:pPr>
    </w:p>
    <w:p>
      <w:pPr>
        <w:ind w:left="1360" w:right="1380" w:firstLine="40"/>
        <w:spacing w:after="0" w:line="256" w:lineRule="auto"/>
        <w:tabs>
          <w:tab w:leader="none" w:pos="1602"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or the Collateral Agent for the return of any Erroneous Payment received, including without limitation waiver of any defense based on “discharge for value” or any similar doctrine.</w:t>
      </w:r>
    </w:p>
    <w:p>
      <w:pPr>
        <w:spacing w:after="0" w:line="154" w:lineRule="exact"/>
        <w:rPr>
          <w:sz w:val="20"/>
          <w:szCs w:val="20"/>
          <w:color w:val="auto"/>
        </w:rPr>
      </w:pPr>
    </w:p>
    <w:p>
      <w:pPr>
        <w:ind w:left="1360" w:right="1500"/>
        <w:spacing w:after="0" w:line="258" w:lineRule="auto"/>
        <w:rPr>
          <w:sz w:val="20"/>
          <w:szCs w:val="20"/>
          <w:color w:val="auto"/>
        </w:rPr>
      </w:pPr>
      <w:r>
        <w:rPr>
          <w:rFonts w:ascii="Times New Roman" w:cs="Times New Roman" w:eastAsia="Times New Roman" w:hAnsi="Times New Roman"/>
          <w:sz w:val="16"/>
          <w:szCs w:val="16"/>
          <w:color w:val="auto"/>
        </w:rPr>
        <w:t>Each party’s obligations, agreements and waivers under this Section 12.07 shall survive the resignation or replacement of the Administrative Agent or the Collateral Agent, any transfer of rights or obligations by, or the replacement of, a Lender, the termination of the Commitments and/or the repayment, satisfaction or discharge of all Obligations (or any portion thereof) under any Facility Document.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XIII</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Backup Collateral Manager</w:t>
      </w:r>
    </w:p>
    <w:p>
      <w:pPr>
        <w:spacing w:after="0" w:line="187" w:lineRule="exact"/>
        <w:rPr>
          <w:sz w:val="20"/>
          <w:szCs w:val="20"/>
          <w:color w:val="auto"/>
        </w:rPr>
      </w:pPr>
    </w:p>
    <w:p>
      <w:pPr>
        <w:jc w:val="both"/>
        <w:ind w:left="1360" w:right="1500" w:firstLine="40"/>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Section 13.01. Duties of the Backup Collateral Manager. </w:t>
      </w:r>
      <w:r>
        <w:rPr>
          <w:rFonts w:ascii="Times New Roman" w:cs="Times New Roman" w:eastAsia="Times New Roman" w:hAnsi="Times New Roman"/>
          <w:sz w:val="16"/>
          <w:szCs w:val="16"/>
          <w:color w:val="auto"/>
        </w:rPr>
        <w:t>(a) On or before the Closing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Collateral Manager shall deliver to the Backup Collateral Manager the information required to be set forth in the Monthly Report in hard copy and in EXCEL or a comparable format.</w:t>
      </w:r>
    </w:p>
    <w:p>
      <w:pPr>
        <w:spacing w:after="0" w:line="142" w:lineRule="exact"/>
        <w:rPr>
          <w:sz w:val="20"/>
          <w:szCs w:val="20"/>
          <w:color w:val="auto"/>
        </w:rPr>
      </w:pPr>
    </w:p>
    <w:p>
      <w:pPr>
        <w:ind w:left="1360" w:right="1560" w:firstLine="40"/>
        <w:spacing w:after="0" w:line="266" w:lineRule="auto"/>
        <w:tabs>
          <w:tab w:leader="none" w:pos="1629"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Backup Collateral Manager undertakes to perform only such duties and obligations as are specifically set forth in this Agreement, it being expressly understood by all parties hereto that there are no implied duties or obligations of the Backup Collateral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636905</wp:posOffset>
            </wp:positionV>
            <wp:extent cx="526605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0" w:name="page251"/>
    <w:bookmarkEnd w:id="250"/>
    <w:p>
      <w:pPr>
        <w:spacing w:after="0" w:line="270" w:lineRule="exact"/>
        <w:rPr>
          <w:sz w:val="20"/>
          <w:szCs w:val="20"/>
          <w:color w:val="auto"/>
        </w:rPr>
      </w:pPr>
    </w:p>
    <w:p>
      <w:pPr>
        <w:ind w:left="1360" w:right="1400"/>
        <w:spacing w:after="0" w:line="252" w:lineRule="auto"/>
        <w:rPr>
          <w:sz w:val="20"/>
          <w:szCs w:val="20"/>
          <w:color w:val="auto"/>
        </w:rPr>
      </w:pPr>
      <w:r>
        <w:rPr>
          <w:rFonts w:ascii="Times New Roman" w:cs="Times New Roman" w:eastAsia="Times New Roman" w:hAnsi="Times New Roman"/>
          <w:sz w:val="16"/>
          <w:szCs w:val="16"/>
          <w:color w:val="auto"/>
        </w:rPr>
        <w:t>hereunder. Without limiting the generality of the foregoing, the Backup Collateral Manager, except as expressly set forth herein, shall have no obligation to supervise, verify, monitor or administer the performance of the Collateral Manager or the Borrower and shall have no liability for any action taken or omitted by the Collateral Manager (including any successor to the Collateral Manager) or the Borrower. The Backup Collateral Manager may act through its agents, attorneys and custodians in performing any of its duties and obligations under this Agreement, it being understood by the parties hereto that the Backup Collateral Manager will be responsible for any willful misconduct or gross negligence on the part of such agents, attorneys or custodians acting for and on behalf of the Backup Collateral Manager. Neither the Backup Collateral Manager nor any of its officers, directors, employees or agents shall be liable, directly or indirectly, for any damages or expenses arising out of the services performed under this Agreement other than damages or expenses that result from the gross negligence or willful misconduct of it or them or the failure to perform materially in accordance with this Agreement.</w:t>
      </w:r>
    </w:p>
    <w:p>
      <w:pPr>
        <w:spacing w:after="0" w:line="160" w:lineRule="exact"/>
        <w:rPr>
          <w:sz w:val="20"/>
          <w:szCs w:val="20"/>
          <w:color w:val="auto"/>
        </w:rPr>
      </w:pPr>
    </w:p>
    <w:p>
      <w:pPr>
        <w:ind w:left="1360" w:right="1380" w:firstLine="40"/>
        <w:spacing w:after="0" w:line="257" w:lineRule="auto"/>
        <w:rPr>
          <w:sz w:val="20"/>
          <w:szCs w:val="20"/>
          <w:color w:val="auto"/>
        </w:rPr>
      </w:pPr>
      <w:r>
        <w:rPr>
          <w:rFonts w:ascii="Times New Roman" w:cs="Times New Roman" w:eastAsia="Times New Roman" w:hAnsi="Times New Roman"/>
          <w:sz w:val="16"/>
          <w:szCs w:val="16"/>
          <w:i w:val="1"/>
          <w:iCs w:val="1"/>
          <w:color w:val="auto"/>
        </w:rPr>
        <w:t>Section 13.02. Fees of Backup Collateral Manager</w:t>
      </w:r>
      <w:r>
        <w:rPr>
          <w:rFonts w:ascii="Times New Roman" w:cs="Times New Roman" w:eastAsia="Times New Roman" w:hAnsi="Times New Roman"/>
          <w:sz w:val="16"/>
          <w:szCs w:val="16"/>
          <w:color w:val="auto"/>
        </w:rPr>
        <w:t>. (a) For the performance of its backup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servicing duties hereunder, the Backup Collateral Manager shall be entitled to the fees and expenses set forth in the Backup Collateral Manager Fee Letter. The Backup Collateral Manager shall invoice the Borrower on a monthly basis for such fees and expenses. Payment shall be made by the Borrower to the extent funds are available for that purpose in accordance with the Priority of Payments.</w:t>
      </w:r>
    </w:p>
    <w:p>
      <w:pPr>
        <w:spacing w:after="0" w:line="152" w:lineRule="exact"/>
        <w:rPr>
          <w:sz w:val="20"/>
          <w:szCs w:val="20"/>
          <w:color w:val="auto"/>
        </w:rPr>
      </w:pPr>
    </w:p>
    <w:p>
      <w:pPr>
        <w:ind w:left="1360" w:right="1460" w:firstLine="40"/>
        <w:spacing w:after="0" w:line="195" w:lineRule="exact"/>
        <w:tabs>
          <w:tab w:leader="none" w:pos="1629"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Borrower fails to make timely payment of fees and expenses for services performed by the Backup Collateral Manager under this Agreement, the Backup Collateral Manager shall give the Collateral Administrators, the Administrative Agent and the Collateral Manager written notice of such nonpayment. The Administrative Agent may elect to pay the Backup Collateral Manager all then past due servicing fees and expenses owed to the Backup Collateral Manager, and the Borrower agrees to reimburse the Administrative Agent therefor on demand, together with interest thereon at the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Default Rate.</w:t>
      </w:r>
    </w:p>
    <w:p>
      <w:pPr>
        <w:spacing w:after="0" w:line="158" w:lineRule="exact"/>
        <w:rPr>
          <w:sz w:val="20"/>
          <w:szCs w:val="20"/>
          <w:color w:val="auto"/>
        </w:rPr>
      </w:pPr>
    </w:p>
    <w:p>
      <w:pPr>
        <w:ind w:left="1360" w:right="1440" w:firstLine="40"/>
        <w:spacing w:after="0" w:line="254" w:lineRule="auto"/>
        <w:rPr>
          <w:sz w:val="20"/>
          <w:szCs w:val="20"/>
          <w:color w:val="auto"/>
        </w:rPr>
      </w:pPr>
      <w:r>
        <w:rPr>
          <w:rFonts w:ascii="Times New Roman" w:cs="Times New Roman" w:eastAsia="Times New Roman" w:hAnsi="Times New Roman"/>
          <w:sz w:val="16"/>
          <w:szCs w:val="16"/>
          <w:i w:val="1"/>
          <w:iCs w:val="1"/>
          <w:color w:val="auto"/>
        </w:rPr>
        <w:t>Section 13.03. Assumption of Servicing Duties</w:t>
      </w:r>
      <w:r>
        <w:rPr>
          <w:rFonts w:ascii="Times New Roman" w:cs="Times New Roman" w:eastAsia="Times New Roman" w:hAnsi="Times New Roman"/>
          <w:sz w:val="16"/>
          <w:szCs w:val="16"/>
          <w:color w:val="auto"/>
        </w:rPr>
        <w:t>. (a) Upon written notification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Administrative Agent to the Backup Collateral Manager and the Collateral Manager, which notice shall be binding upon the Collateral Manager, requesting the Backup Collateral Manager to become primary Collateral Manager with respect to the Collateral, the Backup Collateral Manager shall become Successor Collateral Manager under this Agreement in accordance with Section 11.09 hereof. Within thirty (30) Business Days following the aforesaid notice of Administrative Agent, the Backup Collateral Manager will commence the performance of such servicing duties as Successor Collateral Manager in accordance with the terms and conditions of this Agreement.</w:t>
      </w:r>
    </w:p>
    <w:p>
      <w:pPr>
        <w:spacing w:after="0" w:line="156" w:lineRule="exact"/>
        <w:rPr>
          <w:sz w:val="20"/>
          <w:szCs w:val="20"/>
          <w:color w:val="auto"/>
        </w:rPr>
      </w:pPr>
    </w:p>
    <w:p>
      <w:pPr>
        <w:ind w:left="1360" w:right="1360" w:firstLine="40"/>
        <w:spacing w:after="0" w:line="256" w:lineRule="auto"/>
        <w:tabs>
          <w:tab w:leader="none" w:pos="1629"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Backup Collateral Manager will have the right to assign its obligations hereunder with the prior written consent of the Administrative Agent and the Required Lenders, which consent shall not be unreasonably withheld. In addition, the Backup Collateral Manager may execute any of its duties under this Agreement (both as Backup Collateral Manager and as Successor Collateral Manager) by or through agents;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Backup Collateral Manager shall remain primarily liable for the due performance of its duties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642620</wp:posOffset>
            </wp:positionV>
            <wp:extent cx="526605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1" w:name="page252"/>
    <w:bookmarkEnd w:id="251"/>
    <w:p>
      <w:pPr>
        <w:spacing w:after="0" w:line="268" w:lineRule="exact"/>
        <w:rPr>
          <w:sz w:val="20"/>
          <w:szCs w:val="20"/>
          <w:color w:val="auto"/>
        </w:rPr>
      </w:pPr>
    </w:p>
    <w:p>
      <w:pPr>
        <w:ind w:left="1360" w:right="1380" w:firstLine="40"/>
        <w:spacing w:after="0" w:line="252" w:lineRule="auto"/>
        <w:rPr>
          <w:sz w:val="20"/>
          <w:szCs w:val="20"/>
          <w:color w:val="auto"/>
        </w:rPr>
      </w:pPr>
      <w:r>
        <w:rPr>
          <w:rFonts w:ascii="Times New Roman" w:cs="Times New Roman" w:eastAsia="Times New Roman" w:hAnsi="Times New Roman"/>
          <w:sz w:val="16"/>
          <w:szCs w:val="16"/>
          <w:i w:val="1"/>
          <w:iCs w:val="1"/>
          <w:color w:val="auto"/>
        </w:rPr>
        <w:t>Section 13.04. Indemnity</w:t>
      </w:r>
      <w:r>
        <w:rPr>
          <w:rFonts w:ascii="Times New Roman" w:cs="Times New Roman" w:eastAsia="Times New Roman" w:hAnsi="Times New Roman"/>
          <w:sz w:val="16"/>
          <w:szCs w:val="16"/>
          <w:color w:val="auto"/>
        </w:rPr>
        <w:t>. The Collateral Manager agrees to indemnify the Backup Collateral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Manager and each of its Affiliates and the officers, directors, employees, members and agents thereof, forthwith on demand, from and against any and all damages, losses, claims, liabilities and related costs and expenses, including reasonable and documented attorneys’ fees and disbursements (all of the foregoing being collectively referred to as “</w:t>
      </w:r>
      <w:r>
        <w:rPr>
          <w:rFonts w:ascii="Times New Roman" w:cs="Times New Roman" w:eastAsia="Times New Roman" w:hAnsi="Times New Roman"/>
          <w:sz w:val="16"/>
          <w:szCs w:val="16"/>
          <w:i w:val="1"/>
          <w:iCs w:val="1"/>
          <w:color w:val="auto"/>
        </w:rPr>
        <w:t>Backup Collateral Manager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Indemnified Amounts</w:t>
      </w:r>
      <w:r>
        <w:rPr>
          <w:rFonts w:ascii="Times New Roman" w:cs="Times New Roman" w:eastAsia="Times New Roman" w:hAnsi="Times New Roman"/>
          <w:sz w:val="16"/>
          <w:szCs w:val="16"/>
          <w:color w:val="auto"/>
        </w:rPr>
        <w:t>”) awarded against or incurred by, any such indemnified party arising out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or as a result of (i) any illegal act or omission by the Collateral Manager, or (ii) the failure of the Collateral Manager to comply with its duties or obligations in accordance with this Agreement (including the reasonable and documented attorneys’ fees and disbursements incurred in enforcing the Collateral Manager’s obligations hereunder), </w:t>
      </w:r>
      <w:r>
        <w:rPr>
          <w:rFonts w:ascii="Times New Roman" w:cs="Times New Roman" w:eastAsia="Times New Roman" w:hAnsi="Times New Roman"/>
          <w:sz w:val="16"/>
          <w:szCs w:val="16"/>
          <w:i w:val="1"/>
          <w:iCs w:val="1"/>
          <w:color w:val="auto"/>
        </w:rPr>
        <w:t>excluding, however</w:t>
      </w:r>
      <w:r>
        <w:rPr>
          <w:rFonts w:ascii="Times New Roman" w:cs="Times New Roman" w:eastAsia="Times New Roman" w:hAnsi="Times New Roman"/>
          <w:sz w:val="16"/>
          <w:szCs w:val="16"/>
          <w:color w:val="auto"/>
        </w:rPr>
        <w:t>, Backup Collateral Manager Indemnified Amounts to the extent resulting from (A) gross negligence, willful misconduct or bad faith on the part of such Indemnified Party, (B) a claim brought by the Collateral Manager against an indemnified party for breach in bad faith of such indemnified party’s obligations hereunder or under any other Facility Document as to which such bad faith shall have been found to exist by final order of the applicable court. The provisions of this Section 13.04 shall survive termination of this Agreement and the resignation or removal of the Backup Collateral Manager.</w:t>
      </w:r>
    </w:p>
    <w:p>
      <w:pPr>
        <w:spacing w:after="0" w:line="156" w:lineRule="exact"/>
        <w:rPr>
          <w:sz w:val="20"/>
          <w:szCs w:val="20"/>
          <w:color w:val="auto"/>
        </w:rPr>
      </w:pPr>
    </w:p>
    <w:p>
      <w:pPr>
        <w:ind w:left="1360" w:right="1460" w:firstLine="40"/>
        <w:spacing w:after="0" w:line="259" w:lineRule="auto"/>
        <w:rPr>
          <w:sz w:val="20"/>
          <w:szCs w:val="20"/>
          <w:color w:val="auto"/>
        </w:rPr>
      </w:pPr>
      <w:r>
        <w:rPr>
          <w:rFonts w:ascii="Times New Roman" w:cs="Times New Roman" w:eastAsia="Times New Roman" w:hAnsi="Times New Roman"/>
          <w:sz w:val="16"/>
          <w:szCs w:val="16"/>
          <w:i w:val="1"/>
          <w:iCs w:val="1"/>
          <w:color w:val="auto"/>
        </w:rPr>
        <w:t>Section 13.05. Additional Provisions Applicable to Backup Collateral Manager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Notwithstanding anything to the contrary in this Agreement, in the event that the Backup Collateral Manager becomes the Successor Collateral Manager pursuant to Section 11.09, the following provisions shall be deemed applicable to the Backup Collateral Manager as Successor Collateral Manager:</w:t>
      </w:r>
    </w:p>
    <w:p>
      <w:pPr>
        <w:spacing w:after="0" w:line="149" w:lineRule="exact"/>
        <w:rPr>
          <w:sz w:val="20"/>
          <w:szCs w:val="20"/>
          <w:color w:val="auto"/>
        </w:rPr>
      </w:pPr>
    </w:p>
    <w:p>
      <w:pPr>
        <w:ind w:left="1840" w:right="1420" w:firstLine="44"/>
        <w:spacing w:after="0" w:line="258" w:lineRule="auto"/>
        <w:tabs>
          <w:tab w:leader="none" w:pos="210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Backup Collateral Manager’s duties as successor Collateral Manager pursuant to Section 11.02(a)(viii) shall be limited solely to maintaining the perfection of liens on the Collateral in favor of the Administrative Agent on behalf of the Secured Parties by preparing and filing or recording continuation statements and other documents or instruments as directed by the Administrative Agent;</w:t>
      </w:r>
    </w:p>
    <w:p>
      <w:pPr>
        <w:spacing w:after="0" w:line="135" w:lineRule="exact"/>
        <w:rPr>
          <w:rFonts w:ascii="Times New Roman" w:cs="Times New Roman" w:eastAsia="Times New Roman" w:hAnsi="Times New Roman"/>
          <w:sz w:val="16"/>
          <w:szCs w:val="16"/>
          <w:color w:val="auto"/>
        </w:rPr>
      </w:pPr>
    </w:p>
    <w:p>
      <w:pPr>
        <w:ind w:left="1840" w:right="1460" w:firstLine="44"/>
        <w:spacing w:after="0" w:line="198" w:lineRule="exact"/>
        <w:tabs>
          <w:tab w:leader="none" w:pos="2109"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Backup Collateral Manager shall not be required to deliver the agreed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upon procedures report pursuant to Section 8.08 unless the costs and expenses of the Backup Collateral Manager in obtaining such report shall be paid by the Borrower in accordance with the Priority of Payments (which the Borrower hereby agrees to pay) or by one or more Agents or Lenders in its or their sole discretion;</w:t>
      </w:r>
    </w:p>
    <w:p>
      <w:pPr>
        <w:spacing w:after="0" w:line="167" w:lineRule="exact"/>
        <w:rPr>
          <w:rFonts w:ascii="Times New Roman" w:cs="Times New Roman" w:eastAsia="Times New Roman" w:hAnsi="Times New Roman"/>
          <w:sz w:val="16"/>
          <w:szCs w:val="16"/>
          <w:color w:val="auto"/>
        </w:rPr>
      </w:pPr>
    </w:p>
    <w:p>
      <w:pPr>
        <w:ind w:left="1840" w:right="1520" w:firstLine="44"/>
        <w:spacing w:after="0" w:line="258" w:lineRule="auto"/>
        <w:tabs>
          <w:tab w:leader="none" w:pos="210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Backup Collateral Manager as Successor Collateral Manager shall be entitled to receive at least five (5) Business Days’ written notice prior to any inspection of its premises pursuant to Section 5.03(c), and such visits will occur no more than twice per year so long as the Backup Collateral Manager is not in default as Successor Collateral Manager;</w:t>
      </w:r>
    </w:p>
    <w:p>
      <w:pPr>
        <w:spacing w:after="0" w:line="151" w:lineRule="exact"/>
        <w:rPr>
          <w:rFonts w:ascii="Times New Roman" w:cs="Times New Roman" w:eastAsia="Times New Roman" w:hAnsi="Times New Roman"/>
          <w:sz w:val="16"/>
          <w:szCs w:val="16"/>
          <w:color w:val="auto"/>
        </w:rPr>
      </w:pPr>
    </w:p>
    <w:p>
      <w:pPr>
        <w:ind w:left="1840" w:right="1460" w:firstLine="44"/>
        <w:spacing w:after="0" w:line="261" w:lineRule="auto"/>
        <w:tabs>
          <w:tab w:leader="none" w:pos="2109"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the Backup Collateral Manager merges into another Person or conveys or transfers its assets to a third party and the surviving entity assumes the duties of the Backup Collateral Manager hereunder, this Agreement shall remain in force,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638810</wp:posOffset>
            </wp:positionV>
            <wp:extent cx="526605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2" w:name="page253"/>
    <w:bookmarkEnd w:id="252"/>
    <w:p>
      <w:pPr>
        <w:spacing w:after="0" w:line="270" w:lineRule="exact"/>
        <w:rPr>
          <w:sz w:val="20"/>
          <w:szCs w:val="20"/>
          <w:color w:val="auto"/>
        </w:rPr>
      </w:pPr>
    </w:p>
    <w:p>
      <w:pPr>
        <w:ind w:left="1840" w:right="1440"/>
        <w:spacing w:after="0" w:line="283" w:lineRule="auto"/>
        <w:rPr>
          <w:sz w:val="20"/>
          <w:szCs w:val="20"/>
          <w:color w:val="auto"/>
        </w:rPr>
      </w:pPr>
      <w:r>
        <w:rPr>
          <w:rFonts w:ascii="Times New Roman" w:cs="Times New Roman" w:eastAsia="Times New Roman" w:hAnsi="Times New Roman"/>
          <w:sz w:val="16"/>
          <w:szCs w:val="16"/>
          <w:color w:val="auto"/>
        </w:rPr>
        <w:t>terms hereof shall govern the relationship between the Borrower and the successor to the Backup Collateral Manager; and</w:t>
      </w:r>
    </w:p>
    <w:p>
      <w:pPr>
        <w:spacing w:after="0" w:line="131" w:lineRule="exact"/>
        <w:rPr>
          <w:sz w:val="20"/>
          <w:szCs w:val="20"/>
          <w:color w:val="auto"/>
        </w:rPr>
      </w:pPr>
    </w:p>
    <w:p>
      <w:pPr>
        <w:ind w:left="1840" w:right="1580" w:firstLine="44"/>
        <w:spacing w:after="0" w:line="261" w:lineRule="auto"/>
        <w:tabs>
          <w:tab w:leader="none" w:pos="210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indemnification obligations of the Backup Collateral Manager upon becoming Successor Collateral Manager hereunder are expressly limited to those instances of willful misconduct, gross negligence or bad faith of the Backup Collateral Manager as Successor Collateral Manager.</w:t>
      </w:r>
    </w:p>
    <w:p>
      <w:pPr>
        <w:spacing w:after="0" w:line="148" w:lineRule="exact"/>
        <w:rPr>
          <w:rFonts w:ascii="Times New Roman" w:cs="Times New Roman" w:eastAsia="Times New Roman" w:hAnsi="Times New Roman"/>
          <w:sz w:val="16"/>
          <w:szCs w:val="16"/>
          <w:color w:val="auto"/>
        </w:rPr>
      </w:pPr>
    </w:p>
    <w:p>
      <w:pPr>
        <w:ind w:left="1840" w:right="1580" w:firstLine="44"/>
        <w:spacing w:after="0" w:line="254" w:lineRule="auto"/>
        <w:tabs>
          <w:tab w:leader="none" w:pos="2082"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Foreign Loans, the Backup Collateral Manager acting as Successor Collateral Manager shall only be responsible for invoicing and acting as a system of record and shall not be responsible for exercising the Borrower’s rights and remedies with respect to such Foreign Loans. In the event that the Backup Collateral Manager becomes the Successor Collateral Manager, to the extent the Borrower’s rights and remedies with respect to a Foreign Loan are to be exercised, upon direction of the Administrative Agent, the Collateral Agent shall engage a Foreign Loan servicer to exercise such rights and remedies in the applicable jurisdiction.</w:t>
      </w:r>
    </w:p>
    <w:p>
      <w:pPr>
        <w:spacing w:after="0" w:line="157" w:lineRule="exact"/>
        <w:rPr>
          <w:rFonts w:ascii="Times New Roman" w:cs="Times New Roman" w:eastAsia="Times New Roman" w:hAnsi="Times New Roman"/>
          <w:sz w:val="16"/>
          <w:szCs w:val="16"/>
          <w:color w:val="auto"/>
        </w:rPr>
      </w:pPr>
    </w:p>
    <w:p>
      <w:pPr>
        <w:ind w:left="1840" w:right="1400" w:firstLine="44"/>
        <w:spacing w:after="0" w:line="253" w:lineRule="auto"/>
        <w:tabs>
          <w:tab w:leader="none" w:pos="2109"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avoidance of doubt, if the Backup Collateral Manager becomes the Successor Collateral Manager, the Administrative Agent shall provide written instructions to the Successor Collateral Manager with respect to any discretionary actions, including but not limited to any actions under Article X and XI, sales of Collateral Loans or executing amendments, providing consents and waivers or exercising any voting rights with respect to the Collateral Loans. If the Backup Collateral Manager becomes the Successor Collateral Manager, then it shall not be obligated to take any discretionary actions under this Agreement or any related agreement, other than normal and customary invoicing and collecting from the Obligors under the Collateral, unless directed in writing by the Administrative Agent.</w:t>
      </w:r>
    </w:p>
    <w:p>
      <w:pPr>
        <w:spacing w:after="0" w:line="157" w:lineRule="exact"/>
        <w:rPr>
          <w:sz w:val="20"/>
          <w:szCs w:val="20"/>
          <w:color w:val="auto"/>
        </w:rPr>
      </w:pPr>
    </w:p>
    <w:p>
      <w:pPr>
        <w:ind w:left="1360" w:right="1400" w:firstLine="40"/>
        <w:spacing w:after="0" w:line="253" w:lineRule="auto"/>
        <w:rPr>
          <w:sz w:val="20"/>
          <w:szCs w:val="20"/>
          <w:color w:val="auto"/>
        </w:rPr>
      </w:pPr>
      <w:r>
        <w:rPr>
          <w:rFonts w:ascii="Times New Roman" w:cs="Times New Roman" w:eastAsia="Times New Roman" w:hAnsi="Times New Roman"/>
          <w:sz w:val="16"/>
          <w:szCs w:val="16"/>
          <w:i w:val="1"/>
          <w:iCs w:val="1"/>
          <w:color w:val="auto"/>
        </w:rPr>
        <w:t>Section 13.06. Resignation of the Backup Collateral Manager</w:t>
      </w:r>
      <w:r>
        <w:rPr>
          <w:rFonts w:ascii="Times New Roman" w:cs="Times New Roman" w:eastAsia="Times New Roman" w:hAnsi="Times New Roman"/>
          <w:sz w:val="16"/>
          <w:szCs w:val="16"/>
          <w:color w:val="auto"/>
        </w:rPr>
        <w:t>. Notwithstanding the provisions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above, the Backup Collateral Manager may resign, either as Backup Collateral Manager or as Successor Collateral Manager, upon ninety (90) days prior written notice to the Administrative Agent, the Collateral Agent and the Borrower: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such resignation shall not become effective until there is a replacement Successor Collateral Manager or Backup Collateral Manager in place that is acceptable to the Collateral Agent, the Administrative Agent, and, unless an Event of Default shall have occurred and be continuing, the Borrower, in each case in their sole discretion. Upon the resignation of the Backup Collateral Manager, the Administrative Agent shall appoint a successor Backup Collateral Manager (subject to the previous sentence) and if it does not do so within thirty (30) days of the Backup Collateral Manager’s resignation, the Backup Collateral Manager may petition a court of competent jurisdiction for the appointment of a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644525</wp:posOffset>
            </wp:positionV>
            <wp:extent cx="526605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3" w:name="page254"/>
    <w:bookmarkEnd w:id="253"/>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XIV</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Custodian</w:t>
      </w:r>
    </w:p>
    <w:p>
      <w:pPr>
        <w:spacing w:after="0" w:line="18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i w:val="1"/>
          <w:iCs w:val="1"/>
          <w:color w:val="auto"/>
        </w:rPr>
        <w:t>Section 14.01. Designation of Custodian</w:t>
      </w:r>
    </w:p>
    <w:p>
      <w:pPr>
        <w:spacing w:after="0" w:line="189" w:lineRule="exact"/>
        <w:rPr>
          <w:sz w:val="20"/>
          <w:szCs w:val="20"/>
          <w:color w:val="auto"/>
        </w:rPr>
      </w:pPr>
    </w:p>
    <w:p>
      <w:pPr>
        <w:ind w:left="1360" w:right="1360" w:firstLine="40"/>
        <w:spacing w:after="0" w:line="257" w:lineRule="auto"/>
        <w:tabs>
          <w:tab w:leader="none" w:pos="1622"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Initial Custodian</w:t>
      </w:r>
      <w:r>
        <w:rPr>
          <w:rFonts w:ascii="Times New Roman" w:cs="Times New Roman" w:eastAsia="Times New Roman" w:hAnsi="Times New Roman"/>
          <w:sz w:val="16"/>
          <w:szCs w:val="16"/>
          <w:color w:val="auto"/>
        </w:rPr>
        <w:t>. The role of Custodian with respect to the Collateral Loans shall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conducted by the Person designated as Custodian hereunder from time to time in accordance with this Section 14.01. Until the Administrative Agent shall give to U.S. Bank National Association a Custodian Termination Notice, U.S. Bank National Association is hereby appointed as, and hereby accepts such appointment and agrees to perform the duties and obligations of, Custodian pursuant to the terms hereof.</w:t>
      </w:r>
    </w:p>
    <w:p>
      <w:pPr>
        <w:spacing w:after="0" w:line="149" w:lineRule="exact"/>
        <w:rPr>
          <w:rFonts w:ascii="Times New Roman" w:cs="Times New Roman" w:eastAsia="Times New Roman" w:hAnsi="Times New Roman"/>
          <w:sz w:val="16"/>
          <w:szCs w:val="16"/>
          <w:color w:val="auto"/>
        </w:rPr>
      </w:pPr>
    </w:p>
    <w:p>
      <w:pPr>
        <w:ind w:left="1360" w:right="1380" w:firstLine="40"/>
        <w:spacing w:after="0" w:line="257" w:lineRule="auto"/>
        <w:tabs>
          <w:tab w:leader="none" w:pos="1633"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Successor Custodian</w:t>
      </w:r>
      <w:r>
        <w:rPr>
          <w:rFonts w:ascii="Times New Roman" w:cs="Times New Roman" w:eastAsia="Times New Roman" w:hAnsi="Times New Roman"/>
          <w:sz w:val="16"/>
          <w:szCs w:val="16"/>
          <w:color w:val="auto"/>
        </w:rPr>
        <w:t>. Upon the Custodian’s receipt of a Custodian Termination Notice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Administrative Agent of the designation of a successor Custodian pursuant to the provisions of Section 14.05, the Custodian agrees that it will terminate its activities as Custodian hereunder. Upon the resignation of the Custodian, the Administrative Agent shall appoint a successor Custodian and if it does not do so within thirty (30) days of the Custodian’s resignation, the Custodian may petition a court of competent jurisdiction for the appointment of a successor.</w:t>
      </w:r>
    </w:p>
    <w:p>
      <w:pPr>
        <w:spacing w:after="0" w:line="15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i w:val="1"/>
          <w:iCs w:val="1"/>
          <w:color w:val="auto"/>
        </w:rPr>
        <w:t>Section 14.02. Duties of Custodian</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left="1360" w:right="1400" w:firstLine="40"/>
        <w:spacing w:after="0" w:line="257" w:lineRule="auto"/>
        <w:tabs>
          <w:tab w:leader="none" w:pos="1622"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Appointment</w:t>
      </w:r>
      <w:r>
        <w:rPr>
          <w:rFonts w:ascii="Times New Roman" w:cs="Times New Roman" w:eastAsia="Times New Roman" w:hAnsi="Times New Roman"/>
          <w:sz w:val="16"/>
          <w:szCs w:val="16"/>
          <w:color w:val="auto"/>
        </w:rPr>
        <w:t>. Each of the Borrower and the Administrative Agent hereby designate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appoint the Custodian to act as its agent and hereby authorizes the Custodian to take such actions on its behalf and to exercise such powers and perform such duties as are expressly granted to the Custodian by this Agreement. The Custodian hereby accepts such agency appointment to act as Custodian pursuant to the terms of this Agreement, until its resignation or removal as Custodian pursuant to the terms hereof.</w:t>
      </w:r>
    </w:p>
    <w:p>
      <w:pPr>
        <w:spacing w:after="0" w:line="149" w:lineRule="exact"/>
        <w:rPr>
          <w:rFonts w:ascii="Times New Roman" w:cs="Times New Roman" w:eastAsia="Times New Roman" w:hAnsi="Times New Roman"/>
          <w:sz w:val="16"/>
          <w:szCs w:val="16"/>
          <w:color w:val="auto"/>
        </w:rPr>
      </w:pPr>
    </w:p>
    <w:p>
      <w:pPr>
        <w:jc w:val="both"/>
        <w:ind w:left="1360" w:right="1520" w:firstLine="40"/>
        <w:spacing w:after="0" w:line="268" w:lineRule="auto"/>
        <w:tabs>
          <w:tab w:leader="none" w:pos="1633"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Duties</w:t>
      </w:r>
      <w:r>
        <w:rPr>
          <w:rFonts w:ascii="Times New Roman" w:cs="Times New Roman" w:eastAsia="Times New Roman" w:hAnsi="Times New Roman"/>
          <w:sz w:val="16"/>
          <w:szCs w:val="16"/>
          <w:color w:val="auto"/>
        </w:rPr>
        <w:t>. On or before the Funding Effective Date, and until its removal pursuant to Section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14.5, the Custodian shall perform, on behalf of the Administrative Agent and the other Secured Parties, the following duties and obligations:</w:t>
      </w:r>
    </w:p>
    <w:p>
      <w:pPr>
        <w:spacing w:after="0" w:line="142" w:lineRule="exact"/>
        <w:rPr>
          <w:rFonts w:ascii="Times New Roman" w:cs="Times New Roman" w:eastAsia="Times New Roman" w:hAnsi="Times New Roman"/>
          <w:sz w:val="16"/>
          <w:szCs w:val="16"/>
          <w:color w:val="auto"/>
        </w:rPr>
      </w:pPr>
    </w:p>
    <w:p>
      <w:pPr>
        <w:ind w:left="1840" w:right="1380" w:firstLine="44"/>
        <w:spacing w:after="0" w:line="252" w:lineRule="auto"/>
        <w:tabs>
          <w:tab w:leader="none" w:pos="2073"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Custodian shall take and retain custody of the Related Documents delivered by the Borrower pursuant to Section 7.05 in accordance with the terms and conditions of this Agreement, all for the benefit of the Secured Parties and subject to the Lien thereon in favor of the Administrative Agent, as agent for the Secured Parties. Within five (5) Business Days of its receipt of the Related Documents and Loan Checklist, the Custodian shall review the Related Documents delivered to it to confirm that (A) if the files delivered per the following sentence indicate that any document must contain an original signature, each such document appears to bear the original signature, or if the file indicates that such document may contain a copy of a signature, that such copies appear to bear a reproduction of such signature and (B) based on a review of the applicable note, the related initial principal loan balance when entered into or obtained by the Borrower, loan identification number and Obligor name with respect to such Collateral Loan is referenced on the related Loan Checklist and is does not appear to be a duplicate Collateral Loan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647065</wp:posOffset>
            </wp:positionV>
            <wp:extent cx="526605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4" w:name="page255"/>
    <w:bookmarkEnd w:id="254"/>
    <w:p>
      <w:pPr>
        <w:spacing w:after="0" w:line="268" w:lineRule="exact"/>
        <w:rPr>
          <w:sz w:val="20"/>
          <w:szCs w:val="20"/>
          <w:color w:val="auto"/>
        </w:rPr>
      </w:pPr>
    </w:p>
    <w:p>
      <w:pPr>
        <w:ind w:left="1840" w:right="1340"/>
        <w:spacing w:after="0" w:line="193" w:lineRule="exact"/>
        <w:rPr>
          <w:sz w:val="20"/>
          <w:szCs w:val="20"/>
          <w:color w:val="auto"/>
        </w:rPr>
      </w:pPr>
      <w:r>
        <w:rPr>
          <w:rFonts w:ascii="Times New Roman" w:cs="Times New Roman" w:eastAsia="Times New Roman" w:hAnsi="Times New Roman"/>
          <w:sz w:val="16"/>
          <w:szCs w:val="16"/>
          <w:color w:val="auto"/>
        </w:rPr>
        <w:t xml:space="preserve">items (A) through (B) collectively, the </w:t>
      </w:r>
      <w:r>
        <w:rPr>
          <w:rFonts w:ascii="Times New Roman" w:cs="Times New Roman" w:eastAsia="Times New Roman" w:hAnsi="Times New Roman"/>
          <w:sz w:val="16"/>
          <w:szCs w:val="16"/>
          <w:i w:val="1"/>
          <w:iCs w:val="1"/>
          <w:color w:val="auto"/>
        </w:rPr>
        <w:t>“Review Criteria”</w:t>
      </w:r>
      <w:r>
        <w:rPr>
          <w:rFonts w:ascii="Times New Roman" w:cs="Times New Roman" w:eastAsia="Times New Roman" w:hAnsi="Times New Roman"/>
          <w:sz w:val="16"/>
          <w:szCs w:val="16"/>
          <w:color w:val="auto"/>
        </w:rPr>
        <w:t>). In order to facilitate the foregoing review by the Custodian, in connection with each delivery of Related Documents hereunder to the Custodian, the Collateral Manager shall provide to the Custodian an electronic file (in EXCEL or a comparable format acceptable to the Custodian) or the related Loan Checklist that contains a list of all Related Documents and whether they require original signatures, the loan identification number and the name of the Obligor and the initial principal loan balance when entered into or obtained by the Borrower with respect to each related Collateral Loan. If, at the conclusion of such review, the Custodian shall determine that (1) the initial principal loan balances of the Collateral Loans with respect to which it has received Related Documents is less than as set forth on the electronic file, the Custodian shall promptly notify the Administrative Agent, the Borrower and the Collateral Manager of such discrepancy, and (2) any Review Criteria is not satisfied, the Custodian shall within one (1) Business Day notify the Collateral Manager of such determination and provide the Collateral Manager and the Borrower with a list of the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complying Collateral Loans and the applicable Review Criteria that they fail to satisfy. The Collateral Manager shall have ten (10) Business Days to correct any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compliance with any Review Criteria. In addition, if requested in writing in the form of Exhibit G by the Collateral Manager and approved by the Administrative Agent within ten (10) Business Days of the Custodian’s delivery of such report, the Custodian shall return the Related Documents for any Collateral Loan which fails to satisfy a Review Criteria to the Borrower. Other than the foregoing, the Custodian shall not have any responsibility for reviewing any Related Documents.</w:t>
      </w:r>
    </w:p>
    <w:p>
      <w:pPr>
        <w:spacing w:after="0" w:line="168" w:lineRule="exact"/>
        <w:rPr>
          <w:sz w:val="20"/>
          <w:szCs w:val="20"/>
          <w:color w:val="auto"/>
        </w:rPr>
      </w:pPr>
    </w:p>
    <w:p>
      <w:pPr>
        <w:ind w:left="1840" w:right="1480" w:firstLine="44"/>
        <w:spacing w:after="0" w:line="258" w:lineRule="auto"/>
        <w:tabs>
          <w:tab w:leader="none" w:pos="2118"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taking and retaining custody of the Related Documents, the Custodian shall be deemed to be acting as the agent of the Secured Parties; provided that the Custodian makes no representations as to the existence, perfection or priority of any Lien on the Related Documents or the instruments therein; and provided further that the Custodian’s duties as agent shall be limited to those expressly contemplated herein.</w:t>
      </w:r>
    </w:p>
    <w:p>
      <w:pPr>
        <w:spacing w:after="0" w:line="151" w:lineRule="exact"/>
        <w:rPr>
          <w:rFonts w:ascii="Times New Roman" w:cs="Times New Roman" w:eastAsia="Times New Roman" w:hAnsi="Times New Roman"/>
          <w:sz w:val="16"/>
          <w:szCs w:val="16"/>
          <w:color w:val="auto"/>
        </w:rPr>
      </w:pPr>
    </w:p>
    <w:p>
      <w:pPr>
        <w:ind w:left="1840" w:right="1380" w:firstLine="44"/>
        <w:spacing w:after="0" w:line="254" w:lineRule="auto"/>
        <w:tabs>
          <w:tab w:leader="none" w:pos="2163"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Related Documents that are originals or copies shall be kept in fire resistant vaults, rooms or cabinets at the Document Custodian Facilities. All Related Documents that are originals or copies shall be placed together with an appropriate identifying label and maintained in such a manner so as to permit retrieval and access. All Related Documents that are originals or copies shall be clearly segregated from any other documents or instruments maintained by the Custodian. All Related Documents that are delivered to the Custodian in electronic format shall be saved onto disks and/or onto the Custodian’s secure computer system, and maintained in a manner so as to permit retrieval and access.</w:t>
      </w:r>
    </w:p>
    <w:p>
      <w:pPr>
        <w:spacing w:after="0" w:line="154" w:lineRule="exact"/>
        <w:rPr>
          <w:rFonts w:ascii="Times New Roman" w:cs="Times New Roman" w:eastAsia="Times New Roman" w:hAnsi="Times New Roman"/>
          <w:sz w:val="16"/>
          <w:szCs w:val="16"/>
          <w:color w:val="auto"/>
        </w:rPr>
      </w:pPr>
    </w:p>
    <w:p>
      <w:pPr>
        <w:ind w:left="1840" w:right="1460" w:firstLine="44"/>
        <w:spacing w:after="0" w:line="197" w:lineRule="exact"/>
        <w:tabs>
          <w:tab w:leader="none" w:pos="2154"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each Payment Date, the Custodian shall provide a written report to the Administrative Agent and the Collateral Manager (in a form acceptable to the Administrative Agent) identifying each Collateral Loan for which it holds Related Documents, the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complying Collateral Loans and the applicable Review Criteria that any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complying Collateral Loan fails to satisfy.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645795</wp:posOffset>
            </wp:positionV>
            <wp:extent cx="526605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5" w:name="page256"/>
    <w:bookmarkEnd w:id="255"/>
    <w:p>
      <w:pPr>
        <w:spacing w:after="0" w:line="270" w:lineRule="exact"/>
        <w:rPr>
          <w:sz w:val="20"/>
          <w:szCs w:val="20"/>
          <w:color w:val="auto"/>
        </w:rPr>
      </w:pPr>
    </w:p>
    <w:p>
      <w:pPr>
        <w:ind w:left="1840" w:right="1380" w:firstLine="44"/>
        <w:spacing w:after="0" w:line="283" w:lineRule="auto"/>
        <w:tabs>
          <w:tab w:leader="none" w:pos="2109"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performing its duties, the Custodian shall use a similar degree of care and attention as it employs with respect to similar collateral that it holds as Custodian for others.</w:t>
      </w:r>
    </w:p>
    <w:p>
      <w:pPr>
        <w:spacing w:after="0" w:line="131" w:lineRule="exact"/>
        <w:rPr>
          <w:rFonts w:ascii="Times New Roman" w:cs="Times New Roman" w:eastAsia="Times New Roman" w:hAnsi="Times New Roman"/>
          <w:sz w:val="16"/>
          <w:szCs w:val="16"/>
          <w:color w:val="auto"/>
        </w:rPr>
      </w:pPr>
    </w:p>
    <w:p>
      <w:pPr>
        <w:ind w:left="1840" w:right="1440" w:firstLine="44"/>
        <w:spacing w:after="0" w:line="261" w:lineRule="auto"/>
        <w:tabs>
          <w:tab w:leader="none" w:pos="2154"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 event shall the Custodian be liable for special, indirect or consequential losses or damages of any kind whatsoever (including but not limited to lost profits) even if the Custodian has been advised of the likelihood of such damages and regardless of the form of such action.</w:t>
      </w:r>
    </w:p>
    <w:p>
      <w:pPr>
        <w:spacing w:after="0" w:line="148" w:lineRule="exact"/>
        <w:rPr>
          <w:rFonts w:ascii="Times New Roman" w:cs="Times New Roman" w:eastAsia="Times New Roman" w:hAnsi="Times New Roman"/>
          <w:sz w:val="16"/>
          <w:szCs w:val="16"/>
          <w:color w:val="auto"/>
        </w:rPr>
      </w:pPr>
    </w:p>
    <w:p>
      <w:pPr>
        <w:ind w:left="1840" w:right="1380" w:firstLine="44"/>
        <w:spacing w:after="0" w:line="193" w:lineRule="exact"/>
        <w:tabs>
          <w:tab w:leader="none" w:pos="2198"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herein to the contrary, delivery of the Collateral Loans acquired by the Borrower which constitute Noteless Loans or Participations or which are otherwise not evidenced by a “security” or “instrument” as defined in Section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102 and Section 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102(a)(47) of the UCC, respectively, shall be made by delivery to the Custodian of (i) in the case of a Noteless Loan, a copy of the loan register with respect to such Noteless Loan evidencing registration of such Collateral Loan on the books and records of the applicable obligor or bank agent to the name of the Borrower (or its nominee) or a copy (which may be a facsimile copy) of an assignment agreement in favor of the Borrower as assignee, and (ii) in the case of a Participation, a copy of the related participation agreement. Any duty on the part of the Custodian with respect to the custody of such Collateral Loans shall be limited to the exercise of reasonable care by the Custodian in the physical custody of any such Related Documents and other documents delivered to it, and any related instrument, security, credit agreement, assignment agreement and/or other agreements or documents, if any (collectively, “</w:t>
      </w:r>
      <w:r>
        <w:rPr>
          <w:rFonts w:ascii="Times New Roman" w:cs="Times New Roman" w:eastAsia="Times New Roman" w:hAnsi="Times New Roman"/>
          <w:sz w:val="16"/>
          <w:szCs w:val="16"/>
          <w:i w:val="1"/>
          <w:iCs w:val="1"/>
          <w:color w:val="auto"/>
        </w:rPr>
        <w:t>Financing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Documents</w:t>
      </w:r>
      <w:r>
        <w:rPr>
          <w:rFonts w:ascii="Times New Roman" w:cs="Times New Roman" w:eastAsia="Times New Roman" w:hAnsi="Times New Roman"/>
          <w:sz w:val="16"/>
          <w:szCs w:val="16"/>
          <w:color w:val="auto"/>
        </w:rPr>
        <w:t>”), that may be delivered to it.</w:t>
      </w:r>
    </w:p>
    <w:p>
      <w:pPr>
        <w:spacing w:after="0" w:line="170" w:lineRule="exact"/>
        <w:rPr>
          <w:rFonts w:ascii="Times New Roman" w:cs="Times New Roman" w:eastAsia="Times New Roman" w:hAnsi="Times New Roman"/>
          <w:sz w:val="16"/>
          <w:szCs w:val="16"/>
          <w:color w:val="auto"/>
        </w:rPr>
      </w:pPr>
    </w:p>
    <w:p>
      <w:pPr>
        <w:ind w:left="1840" w:right="1380" w:firstLine="44"/>
        <w:spacing w:after="0" w:line="194" w:lineRule="exact"/>
        <w:tabs>
          <w:tab w:leader="none" w:pos="2243"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Custodian may assume the genuineness of any such Financing Document it may receive and the genuineness and due authority of any signatures appearing thereon, and shall be entitled to assume that each such Financing Document it may receive is what it purports to be. If an original “security” or “instrument” as defined in Section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102 and Section 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102(a)(47) of the UCC, respectively, is or shall be or become available with respect to any Collateral Loan to be held by the Custodian under this Agreement, it shall be the sole responsibility of the Borrower to make or cause delivery thereof to the Custodian, and the Custodian shall not be under any obligation at any time to determine whether any such original security or instrument has been or is required to be issued or made available in respect of any Collateral Loan or to compel or cause delivery thereof to the Custodian.</w:t>
      </w:r>
    </w:p>
    <w:p>
      <w:pPr>
        <w:spacing w:after="0" w:line="163" w:lineRule="exact"/>
        <w:rPr>
          <w:sz w:val="20"/>
          <w:szCs w:val="20"/>
          <w:color w:val="auto"/>
        </w:rPr>
      </w:pPr>
    </w:p>
    <w:p>
      <w:pPr>
        <w:ind w:left="1360" w:right="1440" w:firstLine="40"/>
        <w:spacing w:after="0" w:line="257" w:lineRule="auto"/>
        <w:rPr>
          <w:sz w:val="20"/>
          <w:szCs w:val="20"/>
          <w:color w:val="auto"/>
        </w:rPr>
      </w:pPr>
      <w:r>
        <w:rPr>
          <w:rFonts w:ascii="Times New Roman" w:cs="Times New Roman" w:eastAsia="Times New Roman" w:hAnsi="Times New Roman"/>
          <w:sz w:val="16"/>
          <w:szCs w:val="16"/>
          <w:i w:val="1"/>
          <w:iCs w:val="1"/>
          <w:color w:val="auto"/>
        </w:rPr>
        <w:t>Section 14.03. Merger or Consolidation</w:t>
      </w:r>
      <w:r>
        <w:rPr>
          <w:rFonts w:ascii="Times New Roman" w:cs="Times New Roman" w:eastAsia="Times New Roman" w:hAnsi="Times New Roman"/>
          <w:sz w:val="16"/>
          <w:szCs w:val="16"/>
          <w:color w:val="auto"/>
        </w:rPr>
        <w:t>. Any Person (i) into which the Custodian may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merged or consolidated, (ii) that may result from any merger or consolidation to which the Custodian shall be a party, or (iii) that may succeed to the properties and assets of the Custodian substantially as a whole, which Person in any of the foregoing cases executes an agreement of assumption to perform every obligation of the Custodian hereunder, shall be the successor to the Custodian under this Agreement without further act of any of the parties to this Agreement.</w:t>
      </w:r>
    </w:p>
    <w:p>
      <w:pPr>
        <w:spacing w:after="0" w:line="150" w:lineRule="exact"/>
        <w:rPr>
          <w:sz w:val="20"/>
          <w:szCs w:val="20"/>
          <w:color w:val="auto"/>
        </w:rPr>
      </w:pPr>
    </w:p>
    <w:p>
      <w:pPr>
        <w:ind w:left="1360" w:right="1700" w:firstLine="40"/>
        <w:spacing w:after="0" w:line="262" w:lineRule="auto"/>
        <w:rPr>
          <w:sz w:val="20"/>
          <w:szCs w:val="20"/>
          <w:color w:val="auto"/>
        </w:rPr>
      </w:pPr>
      <w:r>
        <w:rPr>
          <w:rFonts w:ascii="Times New Roman" w:cs="Times New Roman" w:eastAsia="Times New Roman" w:hAnsi="Times New Roman"/>
          <w:sz w:val="16"/>
          <w:szCs w:val="16"/>
          <w:i w:val="1"/>
          <w:iCs w:val="1"/>
          <w:color w:val="auto"/>
        </w:rPr>
        <w:t>Section 14.04. Custodian Compensation</w:t>
      </w:r>
      <w:r>
        <w:rPr>
          <w:rFonts w:ascii="Times New Roman" w:cs="Times New Roman" w:eastAsia="Times New Roman" w:hAnsi="Times New Roman"/>
          <w:sz w:val="16"/>
          <w:szCs w:val="16"/>
          <w:color w:val="auto"/>
        </w:rPr>
        <w:t>. As compensation for its Custodian activities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hereunder, the Custodian shall be entitled to fees pursuant to the Custodian Fee Letter. The Custodian’s entitlement to receive the fees under the Custodian Fee Letter shall cease on the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638175</wp:posOffset>
            </wp:positionV>
            <wp:extent cx="526605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6" w:name="page257"/>
    <w:bookmarkEnd w:id="256"/>
    <w:p>
      <w:pPr>
        <w:spacing w:after="0" w:line="270" w:lineRule="exact"/>
        <w:rPr>
          <w:sz w:val="20"/>
          <w:szCs w:val="20"/>
          <w:color w:val="auto"/>
        </w:rPr>
      </w:pPr>
    </w:p>
    <w:p>
      <w:pPr>
        <w:ind w:left="1360" w:right="1420"/>
        <w:spacing w:after="0" w:line="252" w:lineRule="auto"/>
        <w:rPr>
          <w:sz w:val="20"/>
          <w:szCs w:val="20"/>
          <w:color w:val="auto"/>
        </w:rPr>
      </w:pPr>
      <w:r>
        <w:rPr>
          <w:rFonts w:ascii="Times New Roman" w:cs="Times New Roman" w:eastAsia="Times New Roman" w:hAnsi="Times New Roman"/>
          <w:sz w:val="16"/>
          <w:szCs w:val="16"/>
          <w:color w:val="auto"/>
        </w:rPr>
        <w:t>to occur of: (i) its removal as Custodian pursuant to Section 14.05 or (ii) the termination of this Agreement. Upon termination of this Agreement or earlier resignation or removal of the Custodian, the Borrower shall pay to the Custodian such compensation, and shall likewise reimburse the Custodian for its costs, expenses and disbursements, as may be due as of the date of such termination, resignation or removal, as the case may be. All indemnifications in favor of the Custodian under this Agreement shall survive the termination of this Agreement, or any resignation or removal of the Custodian. The Borrower agrees to pay or reimburse to the Custodian upon its request from time to time all costs, disbursements, advances, and expenses (including reasonable fees and expenses of legal counsel) incurred, in connection with the preparation or execution of this Agreement, or in connection with the transactions contemplated hereby or performance by the Custodian of its duties and services under this Agreement (including costs and expenses of any action deemed necessary by the Custodian to collect any amounts owing to it under this Agreement).</w:t>
      </w:r>
    </w:p>
    <w:p>
      <w:pPr>
        <w:spacing w:after="0" w:line="160" w:lineRule="exact"/>
        <w:rPr>
          <w:sz w:val="20"/>
          <w:szCs w:val="20"/>
          <w:color w:val="auto"/>
        </w:rPr>
      </w:pPr>
    </w:p>
    <w:p>
      <w:pPr>
        <w:ind w:left="1360" w:right="1500" w:firstLine="40"/>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Section 14.05. Custodian Removal </w:t>
      </w:r>
      <w:r>
        <w:rPr>
          <w:rFonts w:ascii="Times New Roman" w:cs="Times New Roman" w:eastAsia="Times New Roman" w:hAnsi="Times New Roman"/>
          <w:sz w:val="16"/>
          <w:szCs w:val="16"/>
          <w:color w:val="auto"/>
        </w:rPr>
        <w:t>. The Custodian may be removed, with or without cause,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Administrative Agent by notice given in writing to the Custodian (the </w:t>
      </w:r>
      <w:r>
        <w:rPr>
          <w:rFonts w:ascii="Times New Roman" w:cs="Times New Roman" w:eastAsia="Times New Roman" w:hAnsi="Times New Roman"/>
          <w:sz w:val="16"/>
          <w:szCs w:val="16"/>
          <w:i w:val="1"/>
          <w:iCs w:val="1"/>
          <w:color w:val="auto"/>
        </w:rPr>
        <w:t>“Custodian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Termination Notice”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provided </w:t>
      </w:r>
      <w:r>
        <w:rPr>
          <w:rFonts w:ascii="Times New Roman" w:cs="Times New Roman" w:eastAsia="Times New Roman" w:hAnsi="Times New Roman"/>
          <w:sz w:val="16"/>
          <w:szCs w:val="16"/>
          <w:color w:val="auto"/>
        </w:rPr>
        <w:t>that notwithstanding its receipt of a Custodian Termination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Notice, the Custodian shall continue to act in such capacity (and shall continue to be entitled to receive fees) until a successor Custodian has been appointed, has agreed to act as Custodian hereunder, and has received all Related Documents held by the previous Custodian.</w:t>
      </w:r>
    </w:p>
    <w:p>
      <w:pPr>
        <w:spacing w:after="0" w:line="150" w:lineRule="exact"/>
        <w:rPr>
          <w:sz w:val="20"/>
          <w:szCs w:val="20"/>
          <w:color w:val="auto"/>
        </w:rPr>
      </w:pPr>
    </w:p>
    <w:p>
      <w:pPr>
        <w:ind w:left="1360" w:right="1380" w:firstLine="40"/>
        <w:spacing w:after="0" w:line="257" w:lineRule="auto"/>
        <w:rPr>
          <w:sz w:val="20"/>
          <w:szCs w:val="20"/>
          <w:color w:val="auto"/>
        </w:rPr>
      </w:pPr>
      <w:r>
        <w:rPr>
          <w:rFonts w:ascii="Times New Roman" w:cs="Times New Roman" w:eastAsia="Times New Roman" w:hAnsi="Times New Roman"/>
          <w:sz w:val="16"/>
          <w:szCs w:val="16"/>
          <w:i w:val="1"/>
          <w:iCs w:val="1"/>
          <w:color w:val="auto"/>
        </w:rPr>
        <w:t>Section 14.06. Limitation on Liability</w:t>
      </w:r>
      <w:r>
        <w:rPr>
          <w:rFonts w:ascii="Times New Roman" w:cs="Times New Roman" w:eastAsia="Times New Roman" w:hAnsi="Times New Roman"/>
          <w:sz w:val="16"/>
          <w:szCs w:val="16"/>
          <w:color w:val="auto"/>
        </w:rPr>
        <w:t>. (a) The Custodian may conclusively rely on and shall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fully protected in acting upon any certificate, instrument, opinion, notice, letter, telegram or other document delivered to it and that in good faith it reasonably believes to be genuine and that has been signed by the proper party or parties. The Custodian may rely conclusively on and shall be fully protected in acting upon (a) the written instructions of any designated officer of the Administrative Agent or (b) the verbal instructions of the Administrative Agent.</w:t>
      </w:r>
    </w:p>
    <w:p>
      <w:pPr>
        <w:spacing w:after="0" w:line="152" w:lineRule="exact"/>
        <w:rPr>
          <w:sz w:val="20"/>
          <w:szCs w:val="20"/>
          <w:color w:val="auto"/>
        </w:rPr>
      </w:pPr>
    </w:p>
    <w:p>
      <w:pPr>
        <w:ind w:left="1360" w:right="1420" w:firstLine="40"/>
        <w:spacing w:after="0" w:line="261" w:lineRule="auto"/>
        <w:tabs>
          <w:tab w:leader="none" w:pos="1629"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Custodian may consult counsel satisfactory to it and the advice or opinion of such counsel shall be full and complete authorization and protection in respect of any action taken, suffered or omitted by it hereunder in good faith and in accordance with the advice or opinion of such counsel.</w:t>
      </w:r>
    </w:p>
    <w:p>
      <w:pPr>
        <w:spacing w:after="0" w:line="148" w:lineRule="exact"/>
        <w:rPr>
          <w:rFonts w:ascii="Times New Roman" w:cs="Times New Roman" w:eastAsia="Times New Roman" w:hAnsi="Times New Roman"/>
          <w:sz w:val="16"/>
          <w:szCs w:val="16"/>
          <w:color w:val="auto"/>
        </w:rPr>
      </w:pPr>
    </w:p>
    <w:p>
      <w:pPr>
        <w:ind w:left="1360" w:right="1380" w:firstLine="40"/>
        <w:spacing w:after="0" w:line="256" w:lineRule="auto"/>
        <w:tabs>
          <w:tab w:leader="none" w:pos="162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Custodian shall not be liable for any error of judgment, or for any act done or step taken or omitted by it, in good faith, or for any mistakes of fact or law, or for anything that it may do or refrain from doing in connection herewith except, notwithstanding anything to the contrary contained herein, in the case of its willful misconduct, bad faith or grossly negligent performance or omission of its duties and in the case of its grossly negligent performance of its duties in taking and retaining custody of the Related Documents.</w:t>
      </w:r>
    </w:p>
    <w:p>
      <w:pPr>
        <w:spacing w:after="0" w:line="154" w:lineRule="exact"/>
        <w:rPr>
          <w:rFonts w:ascii="Times New Roman" w:cs="Times New Roman" w:eastAsia="Times New Roman" w:hAnsi="Times New Roman"/>
          <w:sz w:val="16"/>
          <w:szCs w:val="16"/>
          <w:color w:val="auto"/>
        </w:rPr>
      </w:pPr>
    </w:p>
    <w:p>
      <w:pPr>
        <w:ind w:left="1360" w:right="1420" w:firstLine="40"/>
        <w:spacing w:after="0" w:line="258" w:lineRule="auto"/>
        <w:tabs>
          <w:tab w:leader="none" w:pos="1629"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Custodian makes no warranty or representation and shall have no responsibility (except as expressly set forth in this Agreement) as to the content, enforceability, completeness, validity, sufficiency, value, genuineness, ownership or transferability of the Collateral, and will not be required to and will not make any representations as to the validity or value (except as expressly set forth in this Agreement) of any of the Collateral. The Custodian shall not be obligated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640715</wp:posOffset>
            </wp:positionV>
            <wp:extent cx="526605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7" w:name="page258"/>
    <w:bookmarkEnd w:id="257"/>
    <w:p>
      <w:pPr>
        <w:spacing w:after="0" w:line="270" w:lineRule="exact"/>
        <w:rPr>
          <w:sz w:val="20"/>
          <w:szCs w:val="20"/>
          <w:color w:val="auto"/>
        </w:rPr>
      </w:pPr>
    </w:p>
    <w:p>
      <w:pPr>
        <w:ind w:left="1360" w:right="1700"/>
        <w:spacing w:after="0" w:line="283" w:lineRule="auto"/>
        <w:rPr>
          <w:sz w:val="20"/>
          <w:szCs w:val="20"/>
          <w:color w:val="auto"/>
        </w:rPr>
      </w:pPr>
      <w:r>
        <w:rPr>
          <w:rFonts w:ascii="Times New Roman" w:cs="Times New Roman" w:eastAsia="Times New Roman" w:hAnsi="Times New Roman"/>
          <w:sz w:val="16"/>
          <w:szCs w:val="16"/>
          <w:color w:val="auto"/>
        </w:rPr>
        <w:t>to take any legal action hereunder that might in its judgment involve any expense or liability unless it has been furnished with an indemnity reasonably satisfactory to it.</w:t>
      </w:r>
    </w:p>
    <w:p>
      <w:pPr>
        <w:spacing w:after="0" w:line="131" w:lineRule="exact"/>
        <w:rPr>
          <w:sz w:val="20"/>
          <w:szCs w:val="20"/>
          <w:color w:val="auto"/>
        </w:rPr>
      </w:pPr>
    </w:p>
    <w:p>
      <w:pPr>
        <w:jc w:val="both"/>
        <w:ind w:left="1360" w:right="1400" w:firstLine="40"/>
        <w:spacing w:after="0" w:line="266" w:lineRule="auto"/>
        <w:tabs>
          <w:tab w:leader="none" w:pos="162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Custodian shall have no duties or responsibilities except such duties and responsibilities as are specifically set forth in this Agreement and no covenants or obligations shall be implied in this Agreement against the Custodian.</w:t>
      </w:r>
    </w:p>
    <w:p>
      <w:pPr>
        <w:spacing w:after="0" w:line="144" w:lineRule="exact"/>
        <w:rPr>
          <w:rFonts w:ascii="Times New Roman" w:cs="Times New Roman" w:eastAsia="Times New Roman" w:hAnsi="Times New Roman"/>
          <w:sz w:val="16"/>
          <w:szCs w:val="16"/>
          <w:color w:val="auto"/>
        </w:rPr>
      </w:pPr>
    </w:p>
    <w:p>
      <w:pPr>
        <w:ind w:left="1360" w:right="1440" w:firstLine="40"/>
        <w:spacing w:after="0" w:line="283" w:lineRule="auto"/>
        <w:tabs>
          <w:tab w:leader="none" w:pos="1602"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Custodian shall not be required to expend or risk its own funds in the performance of its duties hereunder.</w:t>
      </w:r>
    </w:p>
    <w:p>
      <w:pPr>
        <w:spacing w:after="0" w:line="131" w:lineRule="exact"/>
        <w:rPr>
          <w:rFonts w:ascii="Times New Roman" w:cs="Times New Roman" w:eastAsia="Times New Roman" w:hAnsi="Times New Roman"/>
          <w:sz w:val="16"/>
          <w:szCs w:val="16"/>
          <w:color w:val="auto"/>
        </w:rPr>
      </w:pPr>
    </w:p>
    <w:p>
      <w:pPr>
        <w:ind w:left="1360" w:right="1440" w:firstLine="40"/>
        <w:spacing w:after="0" w:line="266" w:lineRule="auto"/>
        <w:tabs>
          <w:tab w:leader="none" w:pos="1629"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expressly agreed and acknowledged that the Custodian is not guaranteeing performance of or assuming any liability for the obligations of the other parties hereto or any parties to the Collateral.</w:t>
      </w:r>
    </w:p>
    <w:p>
      <w:pPr>
        <w:spacing w:after="0" w:line="144" w:lineRule="exact"/>
        <w:rPr>
          <w:rFonts w:ascii="Times New Roman" w:cs="Times New Roman" w:eastAsia="Times New Roman" w:hAnsi="Times New Roman"/>
          <w:sz w:val="16"/>
          <w:szCs w:val="16"/>
          <w:color w:val="auto"/>
        </w:rPr>
      </w:pPr>
    </w:p>
    <w:p>
      <w:pPr>
        <w:ind w:left="1360" w:right="1440" w:firstLine="40"/>
        <w:spacing w:after="0" w:line="253" w:lineRule="auto"/>
        <w:tabs>
          <w:tab w:leader="none" w:pos="1629"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prejudice to the generality of the foregoing, the Custodian shall be without liability to the Borrower, Collateral Manager, the Administrative Agent or any other Person for any damage or loss resulting from or caused by events or circumstances beyond the Custodian’s reasonable control, including nationalization, expropriation, currency restrictions, the interruption, disruption or suspension of the normal procedures and practices of any securities market, power, mechanical, communications or other technological failures or interruptions, computer viruses or the like, fires, floods, earthquakes or other natural disasters, civil and military disturbance, acts of war or terrorism, riots, revolution, acts of God, work stoppages, strikes, national disasters of any kind, or other similar events or acts; errors by the Borrower, the Collateral Manager, collateral Administrator or the Administrative Agent (including any Authorized Person of any thereof) in its instructions to the Custodian; or changes in applicable law, regulation or orders.</w:t>
      </w:r>
    </w:p>
    <w:p>
      <w:pPr>
        <w:spacing w:after="0" w:line="154" w:lineRule="exact"/>
        <w:rPr>
          <w:rFonts w:ascii="Times New Roman" w:cs="Times New Roman" w:eastAsia="Times New Roman" w:hAnsi="Times New Roman"/>
          <w:sz w:val="16"/>
          <w:szCs w:val="16"/>
          <w:color w:val="auto"/>
        </w:rPr>
      </w:pPr>
    </w:p>
    <w:p>
      <w:pPr>
        <w:ind w:left="1360" w:right="1340" w:firstLine="40"/>
        <w:spacing w:after="0" w:line="252" w:lineRule="auto"/>
        <w:tabs>
          <w:tab w:leader="none" w:pos="1593"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(i) the Borrower, Collateral Agent, the Collateral Administrator, the Collateral Manager, the Administrative Agent, Lenders or Custodian shall be served by a third party with any type of levy, attachment, writ or court order with respect to any Collateral Loan or Related Documents or (ii) a third party shall institute any court proceeding by which any Related Document shall be required to be delivered otherwise than in accordance with the provisions of this Agreement, the party receiving such service shall promptly deliver or cause to be delivered to the other parties to this Agreement copies of all court papers, orders, documents and other materials concerning such proceedings. The Custodian shall, to the extent permitted by law, continue to hold and maintain all the Related Documents that are the subject of such proceedings pending a final, nonappealable order of a court of competent jurisdiction permitting or directing disposition thereof. Upon final determination of such court, the Custodian shall dispose of such Related Documents as directed by the Collateral Agent or Administrative Agent, which shall give a direction consistent with such determination. Expenses of the Custodian incurred as a result of such proceedings shall be borne by the Borrower.</w:t>
      </w:r>
    </w:p>
    <w:p>
      <w:pPr>
        <w:spacing w:after="0" w:line="159" w:lineRule="exact"/>
        <w:rPr>
          <w:sz w:val="20"/>
          <w:szCs w:val="20"/>
          <w:color w:val="auto"/>
        </w:rPr>
      </w:pPr>
    </w:p>
    <w:p>
      <w:pPr>
        <w:ind w:left="1360" w:right="1380" w:firstLine="40"/>
        <w:spacing w:after="0" w:line="259" w:lineRule="auto"/>
        <w:rPr>
          <w:sz w:val="20"/>
          <w:szCs w:val="20"/>
          <w:color w:val="auto"/>
        </w:rPr>
      </w:pPr>
      <w:r>
        <w:rPr>
          <w:rFonts w:ascii="Times New Roman" w:cs="Times New Roman" w:eastAsia="Times New Roman" w:hAnsi="Times New Roman"/>
          <w:sz w:val="16"/>
          <w:szCs w:val="16"/>
          <w:i w:val="1"/>
          <w:iCs w:val="1"/>
          <w:color w:val="auto"/>
        </w:rPr>
        <w:t>Section 14.07. Resignation of the Custodian</w:t>
      </w:r>
      <w:r>
        <w:rPr>
          <w:rFonts w:ascii="Times New Roman" w:cs="Times New Roman" w:eastAsia="Times New Roman" w:hAnsi="Times New Roman"/>
          <w:sz w:val="16"/>
          <w:szCs w:val="16"/>
          <w:color w:val="auto"/>
        </w:rPr>
        <w:t>. The Custodian shall not resign from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obligations and duties hereby imposed on it except upon (a) ninety (90) days written notice to the Borrower, the Collateral Manager and the Administrative Agent, or (b) the Custodian’s determination that (i) the performance of its duties hereunder is or becomes impermissible under Applicable Law and (ii) there is no reasonable action that the Custodian could take to make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639445</wp:posOffset>
            </wp:positionV>
            <wp:extent cx="526605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8" w:name="page259"/>
    <w:bookmarkEnd w:id="258"/>
    <w:p>
      <w:pPr>
        <w:spacing w:after="0" w:line="270" w:lineRule="exact"/>
        <w:rPr>
          <w:sz w:val="20"/>
          <w:szCs w:val="20"/>
          <w:color w:val="auto"/>
        </w:rPr>
      </w:pPr>
    </w:p>
    <w:p>
      <w:pPr>
        <w:ind w:left="1360" w:right="1420"/>
        <w:spacing w:after="0" w:line="258" w:lineRule="auto"/>
        <w:rPr>
          <w:sz w:val="20"/>
          <w:szCs w:val="20"/>
          <w:color w:val="auto"/>
        </w:rPr>
      </w:pPr>
      <w:r>
        <w:rPr>
          <w:rFonts w:ascii="Times New Roman" w:cs="Times New Roman" w:eastAsia="Times New Roman" w:hAnsi="Times New Roman"/>
          <w:sz w:val="16"/>
          <w:szCs w:val="16"/>
          <w:color w:val="auto"/>
        </w:rPr>
        <w:t>performance of its duties hereunder permissible under Applicable Law. Any such determination permitting the resignation of the Custodian shall be evidenced as to clause (i) above by an opinion of counsel to such effect delivered to the Administrative Agent. No such resignation shall become effective until a successor Custodian shall have assumed the responsibilities and obligations of the Custodian hereunder.</w:t>
      </w:r>
    </w:p>
    <w:p>
      <w:pPr>
        <w:spacing w:after="0" w:line="1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i w:val="1"/>
          <w:iCs w:val="1"/>
          <w:color w:val="auto"/>
        </w:rPr>
        <w:t>Section 14.08. Release of Related Documents</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left="1360" w:right="1360" w:firstLine="40"/>
        <w:spacing w:after="0" w:line="252" w:lineRule="auto"/>
        <w:tabs>
          <w:tab w:leader="none" w:pos="1622"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Release for Servicing. </w:t>
      </w:r>
      <w:r>
        <w:rPr>
          <w:rFonts w:ascii="Times New Roman" w:cs="Times New Roman" w:eastAsia="Times New Roman" w:hAnsi="Times New Roman"/>
          <w:sz w:val="16"/>
          <w:szCs w:val="16"/>
          <w:color w:val="auto"/>
        </w:rPr>
        <w:t>From time to time and as appropriate for the enforcement or servicing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any of the Collateral, the Custodian is hereby authorized (unless and until such authorization is revoked by the Administrative Agent) to, and shall, upon written receipt from the Collateral Manager of a request for release of documents and receipt in the form annexed hereto as Exhibit G, release to the Collateral Manager within two (2) Business Days of receipt of such request, the Related Documents or the documents set forth in such request and receipt to the Collateral Manager. All documents so released to the Collateral Manager shall be held by the Collateral Manager in trust for the benefit of the Administrative Agent in accordance with the terms of this Agreement. The Collateral Manager shall return to the Custodian the Related Documents or other such documents (i) promptly upon the request of the Administrative Agent, or (ii) when the Collateral Manager’s need therefor in connection with such enforcement or servicing no longer exists, unless the Collateral Loan shall be liquidated or sold, in which case, upon receipt of an additional request for release of documents and receipt certifying such liquidation or sale from the Collateral Manager to the Custodian in the form annexed hereto as Exhibit G, the Collateral Manager’s request and receipt submitted pursuant to the first sentence of this subsection shall be released by the Custodian to the Collateral Manager.</w:t>
      </w:r>
    </w:p>
    <w:p>
      <w:pPr>
        <w:spacing w:after="0" w:line="157" w:lineRule="exact"/>
        <w:rPr>
          <w:rFonts w:ascii="Times New Roman" w:cs="Times New Roman" w:eastAsia="Times New Roman" w:hAnsi="Times New Roman"/>
          <w:sz w:val="16"/>
          <w:szCs w:val="16"/>
          <w:color w:val="auto"/>
        </w:rPr>
      </w:pPr>
    </w:p>
    <w:p>
      <w:pPr>
        <w:ind w:left="1360" w:right="1420" w:firstLine="40"/>
        <w:spacing w:after="0" w:line="259" w:lineRule="auto"/>
        <w:tabs>
          <w:tab w:leader="none" w:pos="1633"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Release for Payment. </w:t>
      </w:r>
      <w:r>
        <w:rPr>
          <w:rFonts w:ascii="Times New Roman" w:cs="Times New Roman" w:eastAsia="Times New Roman" w:hAnsi="Times New Roman"/>
          <w:sz w:val="16"/>
          <w:szCs w:val="16"/>
          <w:color w:val="auto"/>
        </w:rPr>
        <w:t>Upon receipt by the Custodian of the Collateral Manager’s request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release of documents and receipt in the form annexed hereto as Exhibit G (which certification shall include a statement to the effect that all amounts received in connection with such payment or repurchase have been credited to the Collection Account as provided in this Agreement), the Custodian shall promptly release the Related Documents to the Collateral Manager.</w:t>
      </w:r>
    </w:p>
    <w:p>
      <w:pPr>
        <w:spacing w:after="0" w:line="147" w:lineRule="exact"/>
        <w:rPr>
          <w:sz w:val="20"/>
          <w:szCs w:val="20"/>
          <w:color w:val="auto"/>
        </w:rPr>
      </w:pPr>
    </w:p>
    <w:p>
      <w:pPr>
        <w:ind w:left="1360" w:right="1360" w:firstLine="40"/>
        <w:spacing w:after="0" w:line="252" w:lineRule="auto"/>
        <w:rPr>
          <w:sz w:val="20"/>
          <w:szCs w:val="20"/>
          <w:color w:val="auto"/>
        </w:rPr>
      </w:pPr>
      <w:r>
        <w:rPr>
          <w:rFonts w:ascii="Times New Roman" w:cs="Times New Roman" w:eastAsia="Times New Roman" w:hAnsi="Times New Roman"/>
          <w:sz w:val="16"/>
          <w:szCs w:val="16"/>
          <w:i w:val="1"/>
          <w:iCs w:val="1"/>
          <w:color w:val="auto"/>
        </w:rPr>
        <w:t>Section 14.09. Return of Related Documents</w:t>
      </w:r>
      <w:r>
        <w:rPr>
          <w:rFonts w:ascii="Times New Roman" w:cs="Times New Roman" w:eastAsia="Times New Roman" w:hAnsi="Times New Roman"/>
          <w:sz w:val="16"/>
          <w:szCs w:val="16"/>
          <w:color w:val="auto"/>
        </w:rPr>
        <w:t>. The Borrower may, with the prior written consent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Administrative Agent (such consent not to be unreasonably withheld), require that the Custodian return each Related Document (as applicable), respectively (a) delivered to the Custodian in error, (b) as to which the Lien on the underlying assets securing such related Collateral Loan has been so released pursuant to Section 7.02, (c) that has been the subject of a discretionary sale or any sale of loan pursuant to Section 10.01 or substitution pursuant to Section 10.03 or (d) that is required to be redelivered to the Borrower in connection with the termination of this Agreement, in each case by submitting to the Custodian and the Administrative Agent a written request in the form annexed hereto as Exhibit G (signed by both the Borrower and the Administrative Agent) specifying the Collateral to be so returned and reciting that the conditions to such release have been met (and specifying the Section or Sections of this Agreement being relied upon for such release). The Custodian shall upon its receipt of each such request for return executed by the Borrower and the Administrative Agent promptly, but in any event within two (2) Business Days, return the Related Documents so requested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648335</wp:posOffset>
            </wp:positionV>
            <wp:extent cx="526605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9" w:name="page260"/>
    <w:bookmarkEnd w:id="259"/>
    <w:p>
      <w:pPr>
        <w:spacing w:after="0" w:line="268" w:lineRule="exact"/>
        <w:rPr>
          <w:sz w:val="20"/>
          <w:szCs w:val="20"/>
          <w:color w:val="auto"/>
        </w:rPr>
      </w:pPr>
    </w:p>
    <w:p>
      <w:pPr>
        <w:ind w:left="1360" w:right="1360" w:firstLine="40"/>
        <w:spacing w:after="0" w:line="252" w:lineRule="auto"/>
        <w:rPr>
          <w:sz w:val="20"/>
          <w:szCs w:val="20"/>
          <w:color w:val="auto"/>
        </w:rPr>
      </w:pPr>
      <w:r>
        <w:rPr>
          <w:rFonts w:ascii="Times New Roman" w:cs="Times New Roman" w:eastAsia="Times New Roman" w:hAnsi="Times New Roman"/>
          <w:sz w:val="16"/>
          <w:szCs w:val="16"/>
          <w:i w:val="1"/>
          <w:iCs w:val="1"/>
          <w:color w:val="auto"/>
        </w:rPr>
        <w:t>Section 14.10. Access to Certain Documentation and Information Regarding the Collateral; Audits</w:t>
      </w:r>
      <w:r>
        <w:rPr>
          <w:rFonts w:ascii="Times New Roman" w:cs="Times New Roman" w:eastAsia="Times New Roman" w:hAnsi="Times New Roman"/>
          <w:sz w:val="16"/>
          <w:szCs w:val="16"/>
          <w:color w:val="auto"/>
        </w:rPr>
        <w:t>. (a) The Collateral Manager, the Borrower and the Custodian shall provide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Administrative Agent access to the Related Documents and all other documentation regarding the Collateral including in such cases where the Administrative Agent is required in connection with the enforcement of the rights or interests of the Secured Parties, or by applicable statutes or regulations, to review such documentation, such access being afforded without charge (but, with respect to the Custodian, at the expense of the Borrower) but only (i) upon two (2) Business Days’ prior written request, (ii) during normal business hours and (iii) subject to the Collateral Manager’s and Custodian’s normal security and confidentiality procedures;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Administrative Agent may, and shall upon request of any Lender, permit each Lender to be included on any such review, and shall use reasonably commercial efforts to schedule any review on a day when Lenders desiring to participate in such review may be included. From time to time at the discretion of the Administrative Agent, the Administrative Agent may review the Collateral Manager’s collection and administration of the Collateral in order to assess compliance by the Collateral Manager with ARTICLE XI and may conduct an audit of the Collateral, and Related Documents in conjunction with such a review. Such review shall be reasonable in scope and shall be completed in a reasonable period of time.</w:t>
      </w:r>
    </w:p>
    <w:p>
      <w:pPr>
        <w:spacing w:after="0" w:line="158" w:lineRule="exact"/>
        <w:rPr>
          <w:sz w:val="20"/>
          <w:szCs w:val="20"/>
          <w:color w:val="auto"/>
        </w:rPr>
      </w:pPr>
    </w:p>
    <w:p>
      <w:pPr>
        <w:ind w:left="1360" w:right="1400" w:firstLine="40"/>
        <w:spacing w:after="0" w:line="254" w:lineRule="auto"/>
        <w:tabs>
          <w:tab w:leader="none" w:pos="1629"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the foregoing provisions of Section 14.10(a), from time to time on request of the Administrative Agent, the Custodian shall permit certified public accountants or other independent auditors acceptable to the Administrative Agent to conduct a review of the Related Documents and all other documentation regarding the Collateral. Up to two such reviews per fiscal year shall be at the expense of the Borrower and additional reviews in a fiscal year shall be at the expense of the requesting Lender(s);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after the occurrence and during the continuance of an Event of Default, any such reviews, regardless of frequency, shall be at the expense of the Borrower.</w:t>
      </w:r>
    </w:p>
    <w:p>
      <w:pPr>
        <w:spacing w:after="0" w:line="155" w:lineRule="exact"/>
        <w:rPr>
          <w:sz w:val="20"/>
          <w:szCs w:val="20"/>
          <w:color w:val="auto"/>
        </w:rPr>
      </w:pPr>
    </w:p>
    <w:p>
      <w:pPr>
        <w:ind w:left="1360" w:right="2040" w:firstLine="40"/>
        <w:spacing w:after="0" w:line="286" w:lineRule="auto"/>
        <w:rPr>
          <w:sz w:val="20"/>
          <w:szCs w:val="20"/>
          <w:color w:val="auto"/>
        </w:rPr>
      </w:pPr>
      <w:r>
        <w:rPr>
          <w:rFonts w:ascii="Times New Roman" w:cs="Times New Roman" w:eastAsia="Times New Roman" w:hAnsi="Times New Roman"/>
          <w:sz w:val="16"/>
          <w:szCs w:val="16"/>
          <w:i w:val="1"/>
          <w:iCs w:val="1"/>
          <w:color w:val="auto"/>
        </w:rPr>
        <w:t>Section 14.11. Representations and Warranties of the Custodian</w:t>
      </w:r>
      <w:r>
        <w:rPr>
          <w:rFonts w:ascii="Times New Roman" w:cs="Times New Roman" w:eastAsia="Times New Roman" w:hAnsi="Times New Roman"/>
          <w:sz w:val="16"/>
          <w:szCs w:val="16"/>
          <w:color w:val="auto"/>
        </w:rPr>
        <w:t>. The Custodian in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individual capacity and as Custodian represents and warrants as follows:</w:t>
      </w:r>
    </w:p>
    <w:p>
      <w:pPr>
        <w:spacing w:after="0" w:line="126" w:lineRule="exact"/>
        <w:rPr>
          <w:sz w:val="20"/>
          <w:szCs w:val="20"/>
          <w:color w:val="auto"/>
        </w:rPr>
      </w:pPr>
    </w:p>
    <w:p>
      <w:pPr>
        <w:ind w:left="1840" w:right="1460" w:firstLine="44"/>
        <w:spacing w:after="0" w:line="262" w:lineRule="auto"/>
        <w:tabs>
          <w:tab w:leader="none" w:pos="2102"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Organization; Power and Authority. </w:t>
      </w:r>
      <w:r>
        <w:rPr>
          <w:rFonts w:ascii="Times New Roman" w:cs="Times New Roman" w:eastAsia="Times New Roman" w:hAnsi="Times New Roman"/>
          <w:sz w:val="16"/>
          <w:szCs w:val="16"/>
          <w:color w:val="auto"/>
        </w:rPr>
        <w:t>It is a duly organized and validly existing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national banking association in good standing under the laws of the United States. It has full corporate power, authority and legal right to execute, deliver and perform its obligations as Custodian under this Agreement.</w:t>
      </w:r>
    </w:p>
    <w:p>
      <w:pPr>
        <w:spacing w:after="0" w:line="144" w:lineRule="exact"/>
        <w:rPr>
          <w:rFonts w:ascii="Times New Roman" w:cs="Times New Roman" w:eastAsia="Times New Roman" w:hAnsi="Times New Roman"/>
          <w:sz w:val="16"/>
          <w:szCs w:val="16"/>
          <w:color w:val="auto"/>
        </w:rPr>
      </w:pPr>
    </w:p>
    <w:p>
      <w:pPr>
        <w:ind w:left="1840" w:right="1500" w:firstLine="44"/>
        <w:spacing w:after="0" w:line="262" w:lineRule="auto"/>
        <w:tabs>
          <w:tab w:leader="none" w:pos="2112"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Due Authorization. </w:t>
      </w:r>
      <w:r>
        <w:rPr>
          <w:rFonts w:ascii="Times New Roman" w:cs="Times New Roman" w:eastAsia="Times New Roman" w:hAnsi="Times New Roman"/>
          <w:sz w:val="16"/>
          <w:szCs w:val="16"/>
          <w:color w:val="auto"/>
        </w:rPr>
        <w:t>The execution and delivery of this Agreement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consummation of the transactions provided for herein have been duly authorized by all necessary association action on its part, either in its individual capacity or as Custodian, as the case may be.</w:t>
      </w:r>
    </w:p>
    <w:p>
      <w:pPr>
        <w:spacing w:after="0" w:line="144" w:lineRule="exact"/>
        <w:rPr>
          <w:rFonts w:ascii="Times New Roman" w:cs="Times New Roman" w:eastAsia="Times New Roman" w:hAnsi="Times New Roman"/>
          <w:sz w:val="16"/>
          <w:szCs w:val="16"/>
          <w:color w:val="auto"/>
        </w:rPr>
      </w:pPr>
    </w:p>
    <w:p>
      <w:pPr>
        <w:ind w:left="1840" w:right="1440" w:firstLine="44"/>
        <w:spacing w:after="0" w:line="259" w:lineRule="auto"/>
        <w:tabs>
          <w:tab w:leader="none" w:pos="2102"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Conflict. </w:t>
      </w:r>
      <w:r>
        <w:rPr>
          <w:rFonts w:ascii="Times New Roman" w:cs="Times New Roman" w:eastAsia="Times New Roman" w:hAnsi="Times New Roman"/>
          <w:sz w:val="16"/>
          <w:szCs w:val="16"/>
          <w:color w:val="auto"/>
        </w:rPr>
        <w:t>The execution and delivery of this Agreement, the performance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transactions contemplated hereby and the fulfillment of the terms hereof will not conflict with, result in any breach of its articles of incorporation or bylaws or any of the material terms and provisions of, or constitute (with or without notice or lapse of time or both) a default under any indenture, contract, agreement, mortgage, deed of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639445</wp:posOffset>
            </wp:positionV>
            <wp:extent cx="526605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60" w:name="page261"/>
    <w:bookmarkEnd w:id="260"/>
    <w:p>
      <w:pPr>
        <w:spacing w:after="0" w:line="270" w:lineRule="exact"/>
        <w:rPr>
          <w:sz w:val="20"/>
          <w:szCs w:val="20"/>
          <w:color w:val="auto"/>
        </w:rPr>
      </w:pPr>
    </w:p>
    <w:p>
      <w:pPr>
        <w:ind w:left="1840" w:right="1440"/>
        <w:spacing w:after="0" w:line="283" w:lineRule="auto"/>
        <w:rPr>
          <w:sz w:val="20"/>
          <w:szCs w:val="20"/>
          <w:color w:val="auto"/>
        </w:rPr>
      </w:pPr>
      <w:r>
        <w:rPr>
          <w:rFonts w:ascii="Times New Roman" w:cs="Times New Roman" w:eastAsia="Times New Roman" w:hAnsi="Times New Roman"/>
          <w:sz w:val="16"/>
          <w:szCs w:val="16"/>
          <w:color w:val="auto"/>
        </w:rPr>
        <w:t>or other instrument to which the Custodian is a party or by which it or any of its property is bound.</w:t>
      </w:r>
    </w:p>
    <w:p>
      <w:pPr>
        <w:spacing w:after="0" w:line="129" w:lineRule="exact"/>
        <w:rPr>
          <w:sz w:val="20"/>
          <w:szCs w:val="20"/>
          <w:color w:val="auto"/>
        </w:rPr>
      </w:pPr>
    </w:p>
    <w:p>
      <w:pPr>
        <w:jc w:val="both"/>
        <w:ind w:left="1840" w:right="1440" w:firstLine="44"/>
        <w:spacing w:after="0" w:line="268" w:lineRule="auto"/>
        <w:tabs>
          <w:tab w:leader="none" w:pos="2112"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Violation. </w:t>
      </w:r>
      <w:r>
        <w:rPr>
          <w:rFonts w:ascii="Times New Roman" w:cs="Times New Roman" w:eastAsia="Times New Roman" w:hAnsi="Times New Roman"/>
          <w:sz w:val="16"/>
          <w:szCs w:val="16"/>
          <w:color w:val="auto"/>
        </w:rPr>
        <w:t>The execution and delivery of this Agreement, the performance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transactions contemplated hereby and the fulfillment of the terms hereof will not conflict with or violate, in any material respect, any Applicable Law as to the Custodian.</w:t>
      </w:r>
    </w:p>
    <w:p>
      <w:pPr>
        <w:spacing w:after="0" w:line="140" w:lineRule="exact"/>
        <w:rPr>
          <w:rFonts w:ascii="Times New Roman" w:cs="Times New Roman" w:eastAsia="Times New Roman" w:hAnsi="Times New Roman"/>
          <w:sz w:val="16"/>
          <w:szCs w:val="16"/>
          <w:color w:val="auto"/>
        </w:rPr>
      </w:pPr>
    </w:p>
    <w:p>
      <w:pPr>
        <w:ind w:left="1840" w:right="1400" w:firstLine="44"/>
        <w:spacing w:after="0" w:line="259" w:lineRule="auto"/>
        <w:tabs>
          <w:tab w:leader="none" w:pos="2102"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All Consents Required. </w:t>
      </w:r>
      <w:r>
        <w:rPr>
          <w:rFonts w:ascii="Times New Roman" w:cs="Times New Roman" w:eastAsia="Times New Roman" w:hAnsi="Times New Roman"/>
          <w:sz w:val="16"/>
          <w:szCs w:val="16"/>
          <w:color w:val="auto"/>
        </w:rPr>
        <w:t>All approvals, authorizations, consents, orders or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actions of any Person or Governmental Authority applicable to the Custodian, required in connection with the execution and delivery of this Agreement, the performance by the Custodian of the transactions contemplated hereby and the fulfillment by the Custodian of the terms hereof have been obtained.</w:t>
      </w:r>
    </w:p>
    <w:p>
      <w:pPr>
        <w:spacing w:after="0" w:line="147" w:lineRule="exact"/>
        <w:rPr>
          <w:rFonts w:ascii="Times New Roman" w:cs="Times New Roman" w:eastAsia="Times New Roman" w:hAnsi="Times New Roman"/>
          <w:sz w:val="16"/>
          <w:szCs w:val="16"/>
          <w:color w:val="auto"/>
        </w:rPr>
      </w:pPr>
    </w:p>
    <w:p>
      <w:pPr>
        <w:ind w:left="1840" w:right="1400" w:firstLine="44"/>
        <w:spacing w:after="0" w:line="262" w:lineRule="auto"/>
        <w:tabs>
          <w:tab w:leader="none" w:pos="2082"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Validity. </w:t>
      </w:r>
      <w:r>
        <w:rPr>
          <w:rFonts w:ascii="Times New Roman" w:cs="Times New Roman" w:eastAsia="Times New Roman" w:hAnsi="Times New Roman"/>
          <w:sz w:val="16"/>
          <w:szCs w:val="16"/>
          <w:color w:val="auto"/>
        </w:rPr>
        <w:t>The Agreement constitutes the legal, valid and binding obligation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Custodian, enforceable against the Custodian in accordance with its terms, except as such enforceability may be limited by applicable Bankruptcy Code and general principles of equity (whether considered in a suit at law or in equity)</w:t>
      </w:r>
    </w:p>
    <w:p>
      <w:pPr>
        <w:spacing w:after="0" w:line="1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i w:val="1"/>
          <w:iCs w:val="1"/>
          <w:color w:val="auto"/>
        </w:rPr>
        <w:t>Section 14.12. Covenants of the Custodian</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left="1620" w:hanging="220"/>
        <w:spacing w:after="0"/>
        <w:tabs>
          <w:tab w:leader="none" w:pos="16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Affirmative Covenants of the Custodian.</w:t>
      </w:r>
    </w:p>
    <w:p>
      <w:pPr>
        <w:spacing w:after="0" w:line="189" w:lineRule="exact"/>
        <w:rPr>
          <w:rFonts w:ascii="Times New Roman" w:cs="Times New Roman" w:eastAsia="Times New Roman" w:hAnsi="Times New Roman"/>
          <w:sz w:val="16"/>
          <w:szCs w:val="16"/>
          <w:color w:val="auto"/>
        </w:rPr>
      </w:pPr>
    </w:p>
    <w:p>
      <w:pPr>
        <w:ind w:left="1840" w:right="1620" w:firstLine="44"/>
        <w:spacing w:after="0" w:line="286" w:lineRule="auto"/>
        <w:tabs>
          <w:tab w:leader="none" w:pos="2072"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Compliance with Law. </w:t>
      </w:r>
      <w:r>
        <w:rPr>
          <w:rFonts w:ascii="Times New Roman" w:cs="Times New Roman" w:eastAsia="Times New Roman" w:hAnsi="Times New Roman"/>
          <w:sz w:val="16"/>
          <w:szCs w:val="16"/>
          <w:color w:val="auto"/>
        </w:rPr>
        <w:t>The Custodian will comply in all material respects with 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Applicable Law.</w:t>
      </w:r>
    </w:p>
    <w:p>
      <w:pPr>
        <w:spacing w:after="0" w:line="126" w:lineRule="exact"/>
        <w:rPr>
          <w:rFonts w:ascii="Times New Roman" w:cs="Times New Roman" w:eastAsia="Times New Roman" w:hAnsi="Times New Roman"/>
          <w:sz w:val="16"/>
          <w:szCs w:val="16"/>
          <w:color w:val="auto"/>
        </w:rPr>
      </w:pPr>
    </w:p>
    <w:p>
      <w:pPr>
        <w:ind w:left="1840" w:right="1340" w:firstLine="44"/>
        <w:spacing w:after="0" w:line="259" w:lineRule="auto"/>
        <w:tabs>
          <w:tab w:leader="none" w:pos="2122"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Preservation of Existence</w:t>
      </w:r>
      <w:r>
        <w:rPr>
          <w:rFonts w:ascii="Times New Roman" w:cs="Times New Roman" w:eastAsia="Times New Roman" w:hAnsi="Times New Roman"/>
          <w:sz w:val="16"/>
          <w:szCs w:val="16"/>
          <w:color w:val="auto"/>
        </w:rPr>
        <w:t>. The Custodian will preserve and maintain its existence,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rights, franchises and privileges in the jurisdiction of its formation and qualify and remain qualified in good standing in each jurisdiction where failure to preserve and maintain such existence, rights, franchises, privileges and qualification has had, or could reasonably be expected to have, a Material Adverse Effect.</w:t>
      </w:r>
    </w:p>
    <w:p>
      <w:pPr>
        <w:spacing w:after="0" w:line="147" w:lineRule="exact"/>
        <w:rPr>
          <w:rFonts w:ascii="Times New Roman" w:cs="Times New Roman" w:eastAsia="Times New Roman" w:hAnsi="Times New Roman"/>
          <w:sz w:val="16"/>
          <w:szCs w:val="16"/>
          <w:color w:val="auto"/>
        </w:rPr>
      </w:pPr>
    </w:p>
    <w:p>
      <w:pPr>
        <w:ind w:left="1840" w:right="1400" w:firstLine="44"/>
        <w:spacing w:after="0" w:line="257" w:lineRule="auto"/>
        <w:tabs>
          <w:tab w:leader="none" w:pos="2163"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Location of Related Documents. </w:t>
      </w:r>
      <w:r>
        <w:rPr>
          <w:rFonts w:ascii="Times New Roman" w:cs="Times New Roman" w:eastAsia="Times New Roman" w:hAnsi="Times New Roman"/>
          <w:sz w:val="16"/>
          <w:szCs w:val="16"/>
          <w:color w:val="auto"/>
        </w:rPr>
        <w:t>Subject to Section 14.08, the Related Documents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remain at all times in the possession of the Custodian at the Document Custodian Facilities unless notice of a different address is given in accordance with the terms hereof or unless the Administrative Agent agrees to allow certain Related Documents to be released to the Collateral Manager on a temporary basis in accordance with the terms hereof, except as such Related Documents may be released pursuant to this Agreement.</w:t>
      </w:r>
    </w:p>
    <w:p>
      <w:pPr>
        <w:spacing w:after="0" w:line="149" w:lineRule="exact"/>
        <w:rPr>
          <w:rFonts w:ascii="Times New Roman" w:cs="Times New Roman" w:eastAsia="Times New Roman" w:hAnsi="Times New Roman"/>
          <w:sz w:val="16"/>
          <w:szCs w:val="16"/>
          <w:color w:val="auto"/>
        </w:rPr>
      </w:pPr>
    </w:p>
    <w:p>
      <w:pPr>
        <w:ind w:left="1640" w:hanging="240"/>
        <w:spacing w:after="0"/>
        <w:tabs>
          <w:tab w:leader="none" w:pos="164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Negative Covenants of the Custodian.</w:t>
      </w:r>
    </w:p>
    <w:p>
      <w:pPr>
        <w:spacing w:after="0" w:line="189" w:lineRule="exact"/>
        <w:rPr>
          <w:rFonts w:ascii="Times New Roman" w:cs="Times New Roman" w:eastAsia="Times New Roman" w:hAnsi="Times New Roman"/>
          <w:sz w:val="16"/>
          <w:szCs w:val="16"/>
          <w:color w:val="auto"/>
        </w:rPr>
      </w:pPr>
    </w:p>
    <w:p>
      <w:pPr>
        <w:ind w:left="1840" w:right="1560" w:firstLine="44"/>
        <w:spacing w:after="0" w:line="268" w:lineRule="auto"/>
        <w:tabs>
          <w:tab w:leader="none" w:pos="2072"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Related Documents. </w:t>
      </w:r>
      <w:r>
        <w:rPr>
          <w:rFonts w:ascii="Times New Roman" w:cs="Times New Roman" w:eastAsia="Times New Roman" w:hAnsi="Times New Roman"/>
          <w:sz w:val="16"/>
          <w:szCs w:val="16"/>
          <w:color w:val="auto"/>
        </w:rPr>
        <w:t>The Custodian will not dispose of any documents constituting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Related Documents in any manner that is inconsistent with the performance of its obligations as the Custodian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635000</wp:posOffset>
            </wp:positionV>
            <wp:extent cx="526605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61" w:name="page262"/>
    <w:bookmarkEnd w:id="261"/>
    <w:p>
      <w:pPr>
        <w:spacing w:after="0" w:line="268" w:lineRule="exact"/>
        <w:rPr>
          <w:sz w:val="20"/>
          <w:szCs w:val="20"/>
          <w:color w:val="auto"/>
        </w:rPr>
      </w:pPr>
    </w:p>
    <w:p>
      <w:pPr>
        <w:ind w:left="1840" w:right="1540" w:firstLine="44"/>
        <w:spacing w:after="0" w:line="268" w:lineRule="auto"/>
        <w:tabs>
          <w:tab w:leader="none" w:pos="2122"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Changes to Custodian Fee. </w:t>
      </w:r>
      <w:r>
        <w:rPr>
          <w:rFonts w:ascii="Times New Roman" w:cs="Times New Roman" w:eastAsia="Times New Roman" w:hAnsi="Times New Roman"/>
          <w:sz w:val="16"/>
          <w:szCs w:val="16"/>
          <w:color w:val="auto"/>
        </w:rPr>
        <w:t>The Custodian will not make any changes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custodian fee set forth in the Custodian Fee Letter without the prior written approval of the Administrative Agent and the Borrower.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XV</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Miscellaneous</w:t>
      </w:r>
    </w:p>
    <w:p>
      <w:pPr>
        <w:spacing w:after="0" w:line="187" w:lineRule="exact"/>
        <w:rPr>
          <w:sz w:val="20"/>
          <w:szCs w:val="20"/>
          <w:color w:val="auto"/>
        </w:rPr>
      </w:pPr>
    </w:p>
    <w:p>
      <w:pPr>
        <w:ind w:left="1360" w:right="1380" w:firstLine="40"/>
        <w:spacing w:after="0" w:line="254" w:lineRule="auto"/>
        <w:rPr>
          <w:sz w:val="20"/>
          <w:szCs w:val="20"/>
          <w:color w:val="auto"/>
        </w:rPr>
      </w:pPr>
      <w:r>
        <w:rPr>
          <w:rFonts w:ascii="Times New Roman" w:cs="Times New Roman" w:eastAsia="Times New Roman" w:hAnsi="Times New Roman"/>
          <w:sz w:val="16"/>
          <w:szCs w:val="16"/>
          <w:i w:val="1"/>
          <w:iCs w:val="1"/>
          <w:color w:val="auto"/>
        </w:rPr>
        <w:t>Section 15.01. No Waiver; Modifications in Writing</w:t>
      </w:r>
      <w:r>
        <w:rPr>
          <w:rFonts w:ascii="Times New Roman" w:cs="Times New Roman" w:eastAsia="Times New Roman" w:hAnsi="Times New Roman"/>
          <w:sz w:val="16"/>
          <w:szCs w:val="16"/>
          <w:color w:val="auto"/>
        </w:rPr>
        <w:t>. (a) No failure or delay on the part of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Secured Party exercising any right, power or remedy hereunder shall operate as a waiver thereof, nor shall any single or partial exercise of any such right, power or remedy preclude any other or further exercise thereof or the exercise of any other right, power or remedy. Any waiver of any provision of this Agreement, and any consent to any departure by any party to this Agreement from the terms of any provision of this Agreement, shall be effective only in the specific instance and for the specific purpose for which given. No notice to or demand on the Borrower in any case shall entitle the Borrower to any other or further notice or demand in similar or other circumstances.</w:t>
      </w:r>
    </w:p>
    <w:p>
      <w:pPr>
        <w:spacing w:after="0" w:line="156" w:lineRule="exact"/>
        <w:rPr>
          <w:sz w:val="20"/>
          <w:szCs w:val="20"/>
          <w:color w:val="auto"/>
        </w:rPr>
      </w:pPr>
    </w:p>
    <w:p>
      <w:pPr>
        <w:ind w:left="1360" w:right="1360" w:firstLine="40"/>
        <w:spacing w:after="0" w:line="256" w:lineRule="auto"/>
        <w:tabs>
          <w:tab w:leader="none" w:pos="1629"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provided in this Agreement, including, without limitation, as provided in Section 2.11(b) with respect to the implementation of a Benchmark Replacement Rate or Benchmark Replacement Conforming Changes (as set forth therein), no amendment, modification, supplement or waiver of this Agreement shall be effective unless signed by the Borrower, the Collateral Manager, the Administrative Agent and the Required Lenders,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w:t>
      </w:r>
    </w:p>
    <w:p>
      <w:pPr>
        <w:spacing w:after="0" w:line="154" w:lineRule="exact"/>
        <w:rPr>
          <w:rFonts w:ascii="Times New Roman" w:cs="Times New Roman" w:eastAsia="Times New Roman" w:hAnsi="Times New Roman"/>
          <w:sz w:val="16"/>
          <w:szCs w:val="16"/>
          <w:color w:val="auto"/>
        </w:rPr>
      </w:pPr>
    </w:p>
    <w:p>
      <w:pPr>
        <w:ind w:left="2080" w:hanging="196"/>
        <w:spacing w:after="0"/>
        <w:tabs>
          <w:tab w:leader="none" w:pos="2080"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Fundamental Amendment shall require the written consent of all Lenders; and</w:t>
      </w:r>
    </w:p>
    <w:p>
      <w:pPr>
        <w:spacing w:after="0" w:line="189" w:lineRule="exact"/>
        <w:rPr>
          <w:rFonts w:ascii="Times New Roman" w:cs="Times New Roman" w:eastAsia="Times New Roman" w:hAnsi="Times New Roman"/>
          <w:sz w:val="16"/>
          <w:szCs w:val="16"/>
          <w:color w:val="auto"/>
        </w:rPr>
      </w:pPr>
    </w:p>
    <w:p>
      <w:pPr>
        <w:ind w:left="1840" w:right="1380" w:firstLine="44"/>
        <w:spacing w:after="0" w:line="256" w:lineRule="auto"/>
        <w:tabs>
          <w:tab w:leader="none" w:pos="2118"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such amendment, modification, supplement or waiver shall amend, modify or otherwise affect the rights or duties of any Agent, the Swingline Lender, the Custodian, the Collateral Administrator or the Backup Collateral Manager (including in its role as successor Collateral Manager if it shall be so appointed) hereunder without the prior written consent of such Agent, the Swingline Lender, Custodian, Collateral Administrator or Backup Collateral Manager, as the case may be.</w:t>
      </w:r>
    </w:p>
    <w:p>
      <w:pPr>
        <w:spacing w:after="0" w:line="154" w:lineRule="exact"/>
        <w:rPr>
          <w:sz w:val="20"/>
          <w:szCs w:val="20"/>
          <w:color w:val="auto"/>
        </w:rPr>
      </w:pPr>
    </w:p>
    <w:p>
      <w:pPr>
        <w:jc w:val="both"/>
        <w:ind w:left="1360" w:right="1580" w:firstLine="484"/>
        <w:spacing w:after="0" w:line="256" w:lineRule="auto"/>
        <w:rPr>
          <w:sz w:val="20"/>
          <w:szCs w:val="20"/>
          <w:color w:val="auto"/>
        </w:rPr>
      </w:pPr>
      <w:r>
        <w:rPr>
          <w:rFonts w:ascii="Times New Roman" w:cs="Times New Roman" w:eastAsia="Times New Roman" w:hAnsi="Times New Roman"/>
          <w:sz w:val="16"/>
          <w:szCs w:val="16"/>
          <w:color w:val="auto"/>
        </w:rPr>
        <w:t>Notwithstanding anything to the contrary herein, no Defaulting Lender shall have any right to approve or disapprove any amendment, waiver or consent hereunder, except that the Commitment of such Lender may not be increased or extended, and amounts payable to such Lender hereunder may not be permanently reduced, without the consent of such Lender (other than reductions in fees and interest in which such reduction does not disproportionately affect such Lender).</w:t>
      </w:r>
    </w:p>
    <w:p>
      <w:pPr>
        <w:spacing w:after="0" w:line="152" w:lineRule="exact"/>
        <w:rPr>
          <w:sz w:val="20"/>
          <w:szCs w:val="20"/>
          <w:color w:val="auto"/>
        </w:rPr>
      </w:pPr>
    </w:p>
    <w:p>
      <w:pPr>
        <w:ind w:left="1360" w:right="1460" w:firstLine="40"/>
        <w:spacing w:after="0" w:line="259" w:lineRule="auto"/>
        <w:rPr>
          <w:sz w:val="20"/>
          <w:szCs w:val="20"/>
          <w:color w:val="auto"/>
        </w:rPr>
      </w:pPr>
      <w:r>
        <w:rPr>
          <w:rFonts w:ascii="Times New Roman" w:cs="Times New Roman" w:eastAsia="Times New Roman" w:hAnsi="Times New Roman"/>
          <w:sz w:val="16"/>
          <w:szCs w:val="16"/>
          <w:i w:val="1"/>
          <w:iCs w:val="1"/>
          <w:color w:val="auto"/>
        </w:rPr>
        <w:t>Section 15.02. Notices, Etc</w:t>
      </w:r>
      <w:r>
        <w:rPr>
          <w:rFonts w:ascii="Times New Roman" w:cs="Times New Roman" w:eastAsia="Times New Roman" w:hAnsi="Times New Roman"/>
          <w:sz w:val="16"/>
          <w:szCs w:val="16"/>
          <w:color w:val="auto"/>
        </w:rPr>
        <w:t>. Except where telephonic instructions are authorized herein to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given, all notices, demands, instructions and other communications required or permitted to be given to or made upon any party hereto shall be in writing and shall be personally delivered or sent by registered, certified or express mail, postage prepaid, or by facsimile transmission, or by prepaid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639445</wp:posOffset>
            </wp:positionV>
            <wp:extent cx="526605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62" w:name="page263"/>
    <w:bookmarkEnd w:id="262"/>
    <w:p>
      <w:pPr>
        <w:spacing w:after="0" w:line="270" w:lineRule="exact"/>
        <w:rPr>
          <w:sz w:val="20"/>
          <w:szCs w:val="20"/>
          <w:color w:val="auto"/>
        </w:rPr>
      </w:pPr>
    </w:p>
    <w:p>
      <w:pPr>
        <w:ind w:left="1360" w:right="1460"/>
        <w:spacing w:after="0" w:line="254" w:lineRule="auto"/>
        <w:rPr>
          <w:sz w:val="20"/>
          <w:szCs w:val="20"/>
          <w:color w:val="auto"/>
        </w:rPr>
      </w:pPr>
      <w:r>
        <w:rPr>
          <w:rFonts w:ascii="Times New Roman" w:cs="Times New Roman" w:eastAsia="Times New Roman" w:hAnsi="Times New Roman"/>
          <w:sz w:val="16"/>
          <w:szCs w:val="16"/>
          <w:color w:val="auto"/>
        </w:rPr>
        <w:t>courier service, or by electronic mail (if the recipient has provided an email address in Schedule 6) , and shall be deemed to be given for purposes of this Agreement on the day that such writing is received by the intended recipient thereof in accordance with the provisions of this Section 15.02. Unless otherwise specified in a notice sent or delivered in accordance with the foregoing provisions of this Section 15.02, notices, demands, instructions and other communications in writing shall be given to or made upon the respective parties hereto at their respective addresses (or to their respective facsimile numbers or email addresses) indicated in Schedule 6, and, in the case of telephonic instructions or notices, by calling the telephone number or numbers indicated for such party in Schedule 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i w:val="1"/>
          <w:iCs w:val="1"/>
          <w:color w:val="auto"/>
        </w:rPr>
        <w:t>Section 15.03. Taxes</w:t>
      </w:r>
      <w:r>
        <w:rPr>
          <w:rFonts w:ascii="Times New Roman" w:cs="Times New Roman" w:eastAsia="Times New Roman" w:hAnsi="Times New Roman"/>
          <w:sz w:val="16"/>
          <w:szCs w:val="16"/>
          <w:color w:val="auto"/>
        </w:rPr>
        <w:t>. (a) Any and all payments by the Borrower under this Agreement shall be</w:t>
      </w:r>
    </w:p>
    <w:p>
      <w:pPr>
        <w:spacing w:after="0" w:line="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made, in accordance with this Agreement, free and clear of and without deduction for any and all</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present or future taxes, levies, imposts, deductions, charges or withholdings, and all liabilities</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(including penalties, interest and expenses) with respect thereto, excluding, (A) income and</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franchise taxes or branch profit taxes imposed (i) in the case of any Secured Party or any Lender,</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by the jurisdiction (or any political subdivision thereof) under the laws of which such Secured</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Party is organized or in which its principal office is located, or in the case of any Lender, in</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which its applicable lending office is located, or (ii) in the case of any Secured Party or any</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Lender, by any jurisdiction solely by reason of such Secured Party or such Lender having any</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other present or former connection with such jurisdiction (other than a connection arising solely</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from entering into, receiving any payment under or enforcing its rights under this Agreement or</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any other Facility Document) (“</w:t>
      </w:r>
      <w:r>
        <w:rPr>
          <w:rFonts w:ascii="Times New Roman" w:cs="Times New Roman" w:eastAsia="Times New Roman" w:hAnsi="Times New Roman"/>
          <w:sz w:val="16"/>
          <w:szCs w:val="16"/>
          <w:i w:val="1"/>
          <w:iCs w:val="1"/>
          <w:color w:val="auto"/>
        </w:rPr>
        <w:t>Other Connection Taxes</w:t>
      </w:r>
      <w:r>
        <w:rPr>
          <w:rFonts w:ascii="Times New Roman" w:cs="Times New Roman" w:eastAsia="Times New Roman" w:hAnsi="Times New Roman"/>
          <w:sz w:val="16"/>
          <w:szCs w:val="16"/>
          <w:color w:val="auto"/>
        </w:rPr>
        <w:t>”) and (B) any withholding taxes</w:t>
      </w:r>
    </w:p>
    <w:p>
      <w:pPr>
        <w:spacing w:after="0" w:line="8" w:lineRule="exact"/>
        <w:rPr>
          <w:sz w:val="20"/>
          <w:szCs w:val="20"/>
          <w:color w:val="auto"/>
        </w:rPr>
      </w:pPr>
    </w:p>
    <w:p>
      <w:pPr>
        <w:ind w:left="1360"/>
        <w:spacing w:after="0" w:line="184" w:lineRule="exact"/>
        <w:rPr>
          <w:sz w:val="20"/>
          <w:szCs w:val="20"/>
          <w:color w:val="auto"/>
        </w:rPr>
      </w:pPr>
      <w:r>
        <w:rPr>
          <w:rFonts w:ascii="Times New Roman" w:cs="Times New Roman" w:eastAsia="Times New Roman" w:hAnsi="Times New Roman"/>
          <w:sz w:val="16"/>
          <w:szCs w:val="16"/>
          <w:color w:val="auto"/>
        </w:rPr>
        <w:t>imposed on payments by the Borrower under FATCA (all such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excluded taxes, levies,</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imposts, deductions, charges, withholdings and liabilities being hereinafter referred to as</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Taxes</w:t>
      </w:r>
      <w:r>
        <w:rPr>
          <w:rFonts w:ascii="Times New Roman" w:cs="Times New Roman" w:eastAsia="Times New Roman" w:hAnsi="Times New Roman"/>
          <w:sz w:val="16"/>
          <w:szCs w:val="16"/>
          <w:color w:val="auto"/>
        </w:rPr>
        <w:t>”). If the Borrower shall be required by law (or by the interpretation or administration</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thereof) to deduct any Taxes from or in respect of any sum payable by it hereunder or under any</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other Facility Document to any Secured Party, (i) the sum payable by the Borrower shall be</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increased as may be necessary so that after making all required deductions (including deductions</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applicable to additional sums payable under this Section 15.03) such Secured Party receives an</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amount equal to the sum it would have received had no such deductions been made, (ii) the</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Borrower shall make such deductions, and (iii) the Borrower shall timely pay the full amount</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deducted to the relevant Governmental Authority in accordance with Applicable Law.</w:t>
      </w:r>
    </w:p>
    <w:p>
      <w:pPr>
        <w:spacing w:after="0" w:line="171" w:lineRule="exact"/>
        <w:rPr>
          <w:sz w:val="20"/>
          <w:szCs w:val="20"/>
          <w:color w:val="auto"/>
        </w:rPr>
      </w:pPr>
    </w:p>
    <w:p>
      <w:pPr>
        <w:ind w:left="1360" w:right="1380" w:firstLine="40"/>
        <w:spacing w:after="0" w:line="254" w:lineRule="auto"/>
        <w:tabs>
          <w:tab w:leader="none" w:pos="1629"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the Borrower agrees (and, to the extent the funds available for by the Borrower therefor on any Payment Date are insufficient to pay such amounts in full, the Collateral Manager, on behalf of the Borrower, will shall pay such amounts), to timely pay any present or future stamp or documentary taxes or any other excise or property taxes, charges or similar levies which arise from any payment made by the Borrower hereunder or under any other Facility Document or from the execution, delivery or registration of, or otherwise with respect to, this Agreement or under any other Facility Document, except any such taxes that are Other Connection Taxes imposed with respect to an assignment (hereinafter referred to as </w:t>
      </w:r>
      <w:r>
        <w:rPr>
          <w:rFonts w:ascii="Times New Roman" w:cs="Times New Roman" w:eastAsia="Times New Roman" w:hAnsi="Times New Roman"/>
          <w:sz w:val="16"/>
          <w:szCs w:val="16"/>
          <w:i w:val="1"/>
          <w:iCs w:val="1"/>
          <w:color w:val="auto"/>
        </w:rPr>
        <w:t>“Other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Taxes”</w:t>
      </w:r>
      <w:r>
        <w:rPr>
          <w:rFonts w:ascii="Times New Roman" w:cs="Times New Roman" w:eastAsia="Times New Roman" w:hAnsi="Times New Roman"/>
          <w:sz w:val="16"/>
          <w:szCs w:val="16"/>
          <w:color w:val="auto"/>
        </w:rPr>
        <w:t>).</w:t>
      </w:r>
    </w:p>
    <w:p>
      <w:pPr>
        <w:spacing w:after="0" w:line="154" w:lineRule="exact"/>
        <w:rPr>
          <w:rFonts w:ascii="Times New Roman" w:cs="Times New Roman" w:eastAsia="Times New Roman" w:hAnsi="Times New Roman"/>
          <w:sz w:val="16"/>
          <w:szCs w:val="16"/>
          <w:color w:val="auto"/>
        </w:rPr>
      </w:pPr>
    </w:p>
    <w:p>
      <w:pPr>
        <w:ind w:left="1360" w:right="1340" w:firstLine="40"/>
        <w:spacing w:after="0" w:line="261" w:lineRule="auto"/>
        <w:tabs>
          <w:tab w:leader="none" w:pos="16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agrees to indemnify (and, to the extent the funds available for by the Borrower therefor on any Payment Date are insufficient to pay such amounts in full, the Collateral Manager, on behalf of the Borrower, will shall pay such amounts) each of the Secured Parties for the full amount of Taxes or Other Taxes (including any Taxes or Other Taxes imposed or asserted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638810</wp:posOffset>
            </wp:positionV>
            <wp:extent cx="526605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63" w:name="page264"/>
    <w:bookmarkEnd w:id="263"/>
    <w:p>
      <w:pPr>
        <w:spacing w:after="0" w:line="270" w:lineRule="exact"/>
        <w:rPr>
          <w:sz w:val="20"/>
          <w:szCs w:val="20"/>
          <w:color w:val="auto"/>
        </w:rPr>
      </w:pPr>
    </w:p>
    <w:p>
      <w:pPr>
        <w:ind w:left="1360" w:right="1540"/>
        <w:spacing w:after="0" w:line="256" w:lineRule="auto"/>
        <w:rPr>
          <w:sz w:val="20"/>
          <w:szCs w:val="20"/>
          <w:color w:val="auto"/>
        </w:rPr>
      </w:pPr>
      <w:r>
        <w:rPr>
          <w:rFonts w:ascii="Times New Roman" w:cs="Times New Roman" w:eastAsia="Times New Roman" w:hAnsi="Times New Roman"/>
          <w:sz w:val="16"/>
          <w:szCs w:val="16"/>
          <w:color w:val="auto"/>
        </w:rPr>
        <w:t>by any jurisdiction on amounts payable under this Section 15.03) paid by any Secured Party in respect of the Borrower, whether or not such Taxes or Other Taxes were correctly or legally imposed or asserted. Payments by Borrower or the Collateral Manager pursuant to this indemnification shall be made promptly following the date the Secured Party makes written demand therefor, which demand shall be accompanied by a certificate describing in reasonable detail the basis thereof. Such certificate shall be presumed to be correct absent manifest error.</w:t>
      </w:r>
    </w:p>
    <w:p>
      <w:pPr>
        <w:spacing w:after="0" w:line="154" w:lineRule="exact"/>
        <w:rPr>
          <w:sz w:val="20"/>
          <w:szCs w:val="20"/>
          <w:color w:val="auto"/>
        </w:rPr>
      </w:pPr>
    </w:p>
    <w:p>
      <w:pPr>
        <w:ind w:left="1360" w:right="1360" w:firstLine="40"/>
        <w:spacing w:after="0" w:line="252" w:lineRule="auto"/>
        <w:tabs>
          <w:tab w:leader="none" w:pos="1629"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herein to the contrary, the Borrower shall not be required to indemnify any Secured Party, or pay any additional amounts to any Secured Party (including under Section 15.03(a)), in respect of United States Federal withholding tax or backup withholding tax to the extent that (i) the obligation to withhold amounts with respect to United States Federal withholding or backup withholding tax existed on the date such Lender became a party to this Agreement or, with respect to payments to a new lending office so designated by a Lender (a </w:t>
      </w:r>
      <w:r>
        <w:rPr>
          <w:rFonts w:ascii="Times New Roman" w:cs="Times New Roman" w:eastAsia="Times New Roman" w:hAnsi="Times New Roman"/>
          <w:sz w:val="16"/>
          <w:szCs w:val="16"/>
          <w:i w:val="1"/>
          <w:iCs w:val="1"/>
          <w:color w:val="auto"/>
        </w:rPr>
        <w:t>“New Lending Office”</w:t>
      </w:r>
      <w:r>
        <w:rPr>
          <w:rFonts w:ascii="Times New Roman" w:cs="Times New Roman" w:eastAsia="Times New Roman" w:hAnsi="Times New Roman"/>
          <w:sz w:val="16"/>
          <w:szCs w:val="16"/>
          <w:color w:val="auto"/>
        </w:rPr>
        <w:t xml:space="preserve">), the date such Lender designated such New Lending Office with respect to an Advance;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this clause (i) shall not apply to the extent the indemnity payment or additional amounts any Secured Party would be entitled to receive (without regard to this clause (i)) do not exceed the indemnity payment or additional amounts that the transferor Lender or the Lender making the designation of such New Lending Office would have been entitled to receive in the absence of such transfer or designation, or (ii) the obligation to pay such additional amounts would not have arisen but for a failure by such Secured Party to comply with paragraphs (g) or (h) below.</w:t>
      </w:r>
    </w:p>
    <w:p>
      <w:pPr>
        <w:spacing w:after="0" w:line="160" w:lineRule="exact"/>
        <w:rPr>
          <w:rFonts w:ascii="Times New Roman" w:cs="Times New Roman" w:eastAsia="Times New Roman" w:hAnsi="Times New Roman"/>
          <w:sz w:val="16"/>
          <w:szCs w:val="16"/>
          <w:color w:val="auto"/>
        </w:rPr>
      </w:pPr>
    </w:p>
    <w:p>
      <w:pPr>
        <w:ind w:left="1360" w:right="1380" w:firstLine="40"/>
        <w:spacing w:after="0" w:line="261" w:lineRule="auto"/>
        <w:tabs>
          <w:tab w:leader="none" w:pos="16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the date of any payment of Taxes or Other Taxes, the Borrower will furnish to each Agent the original or a certified copy of a receipt issued by the relevant Governmental Authority evidencing payment thereof (or other evidence of payment as may be reasonably satisfactory to such Agent).</w:t>
      </w:r>
    </w:p>
    <w:p>
      <w:pPr>
        <w:spacing w:after="0" w:line="148" w:lineRule="exact"/>
        <w:rPr>
          <w:rFonts w:ascii="Times New Roman" w:cs="Times New Roman" w:eastAsia="Times New Roman" w:hAnsi="Times New Roman"/>
          <w:sz w:val="16"/>
          <w:szCs w:val="16"/>
          <w:color w:val="auto"/>
        </w:rPr>
      </w:pPr>
    </w:p>
    <w:p>
      <w:pPr>
        <w:ind w:left="1360" w:right="1360" w:firstLine="40"/>
        <w:spacing w:after="0" w:line="193" w:lineRule="exact"/>
        <w:tabs>
          <w:tab w:leader="none" w:pos="1602"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payment is made by the Borrower (or the Collateral Manager on its behalf) to or for the account of any Secured Party after deduction for or on account of any Taxes or Other Taxes, and an indemnity payment or additional amounts are paid by the Borrower pursuant to this Section 15.03, then, if such Secured Party in its sole discretion determines that it is entitled to a refund of such Taxes or Other Taxes, such Secured Party shall, to the extent that it can do so without prejudice to the retention of the amount of such refund, apply for such refund and reimburse to the Borrower (or the Collateral Manager, as applicable) such amount of any refund received (net of reasonable out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pocket expenses including Taxes incurred and without interest, other than interest received by the applicable Secured Party from the relevant Governmental Authority) as such Secured Party shall determine in its sole discretion to be attributable to the relevant Taxes or Other Taxes;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event that such Secured Party is required to repay such refund to the relevant taxing authority, the Borrower agrees to return the refund to such Secured Party pursuant to this paragraph (f) (plus any penalties, interest or other charges imposed by the relevant Governmental Authority).</w:t>
      </w:r>
    </w:p>
    <w:p>
      <w:pPr>
        <w:spacing w:after="0" w:line="171" w:lineRule="exact"/>
        <w:rPr>
          <w:rFonts w:ascii="Times New Roman" w:cs="Times New Roman" w:eastAsia="Times New Roman" w:hAnsi="Times New Roman"/>
          <w:sz w:val="16"/>
          <w:szCs w:val="16"/>
          <w:color w:val="auto"/>
        </w:rPr>
      </w:pPr>
    </w:p>
    <w:p>
      <w:pPr>
        <w:jc w:val="both"/>
        <w:ind w:left="1360" w:right="1360" w:firstLine="40"/>
        <w:spacing w:after="0" w:line="261" w:lineRule="auto"/>
        <w:tabs>
          <w:tab w:leader="none" w:pos="1629"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Secured Party and each Participant that is entitled to an exemption from or reduction of withholding tax, with respect to payments hereunder shall deliver to the Borrower (with a copy to the Administrative Agent), at the time or times reasonably requested by a Borrower or the Administrative Agent, such properly completed and executed documentation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638810</wp:posOffset>
            </wp:positionV>
            <wp:extent cx="526605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64" w:name="page265"/>
    <w:bookmarkEnd w:id="264"/>
    <w:p>
      <w:pPr>
        <w:spacing w:after="0" w:line="270" w:lineRule="exact"/>
        <w:rPr>
          <w:sz w:val="20"/>
          <w:szCs w:val="20"/>
          <w:color w:val="auto"/>
        </w:rPr>
      </w:pPr>
    </w:p>
    <w:p>
      <w:pPr>
        <w:ind w:left="1360" w:right="1360"/>
        <w:spacing w:after="0" w:line="253" w:lineRule="auto"/>
        <w:rPr>
          <w:sz w:val="20"/>
          <w:szCs w:val="20"/>
          <w:color w:val="auto"/>
        </w:rPr>
      </w:pPr>
      <w:r>
        <w:rPr>
          <w:rFonts w:ascii="Times New Roman" w:cs="Times New Roman" w:eastAsia="Times New Roman" w:hAnsi="Times New Roman"/>
          <w:sz w:val="16"/>
          <w:szCs w:val="16"/>
          <w:color w:val="auto"/>
        </w:rPr>
        <w:t>requested by the Borrower or the Administrative Agent as will permit such payments to be made without withholding or at a reduced rate of withholding. In addition, any Secured Party or Participant, if requested by a Borrower or the Administrative Agent, shall deliver such other forms, documentation, or other information reasonably requested by a Borrower or the Administrative Agent as will enable the Borrowers or the Administrative Agent (i) to determine whether or not such Lender or Participant is subject to backup withholding or information reporting requirement. Notwithstanding anything to the contrary in the preceding two sentences, the completion, execution or submission of such documentation (other than such documentation set forth in this Section 15.03(g) below) shall not be required if in such Lender’s or Participant’s reasonable judgment such completion, execution or submission would subject such Lender to any material unreimbursed cost or expense or would materially prejudice the legal or commercial position of such Lender or Participant.</w:t>
      </w:r>
    </w:p>
    <w:p>
      <w:pPr>
        <w:spacing w:after="0" w:line="155" w:lineRule="exact"/>
        <w:rPr>
          <w:sz w:val="20"/>
          <w:szCs w:val="20"/>
          <w:color w:val="auto"/>
        </w:rPr>
      </w:pPr>
    </w:p>
    <w:p>
      <w:pPr>
        <w:ind w:left="1360" w:right="1340"/>
        <w:spacing w:after="0" w:line="193" w:lineRule="exact"/>
        <w:rPr>
          <w:sz w:val="20"/>
          <w:szCs w:val="20"/>
          <w:color w:val="auto"/>
        </w:rPr>
      </w:pPr>
      <w:r>
        <w:rPr>
          <w:rFonts w:ascii="Times New Roman" w:cs="Times New Roman" w:eastAsia="Times New Roman" w:hAnsi="Times New Roman"/>
          <w:sz w:val="16"/>
          <w:szCs w:val="16"/>
          <w:color w:val="auto"/>
        </w:rPr>
        <w:t>Without limiting the generality of the foregoing, each Secured Party and each Participant that is a U.S. Person hereby agrees that it shall, no later than the Funding Effective Date or, in the case of a Secured Party or a Participant which becomes a party hereto pursuant to Section 15.06, the date upon which such Secured Party becomes a party hereto or participant herein, deliver to the Borrower and each Agent, if applicable, two accurate, complete and signed copies of IRS Form W</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9 or successor form, certifying that such Secured Party or Participant is on the date of delivery thereof entitled to an exemption from United States backup withholding tax. Each Secured Party or Participant that is organized under the laws of a jurisdiction outside than the United States (a “</w:t>
      </w:r>
      <w:r>
        <w:rPr>
          <w:rFonts w:ascii="Times New Roman" w:cs="Times New Roman" w:eastAsia="Times New Roman" w:hAnsi="Times New Roman"/>
          <w:sz w:val="16"/>
          <w:szCs w:val="16"/>
          <w:i w:val="1"/>
          <w:iCs w:val="1"/>
          <w:color w:val="auto"/>
        </w:rPr>
        <w:t>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U.S. Lender</w:t>
      </w:r>
      <w:r>
        <w:rPr>
          <w:rFonts w:ascii="Times New Roman" w:cs="Times New Roman" w:eastAsia="Times New Roman" w:hAnsi="Times New Roman"/>
          <w:sz w:val="16"/>
          <w:szCs w:val="16"/>
          <w:color w:val="auto"/>
        </w:rPr>
        <w:t>”) shall, no later than the date on which such Secured Party becomes a party hereto or a participant herein pursuant to Section 15.06, deliver to the Borrower and each Agent two properly completed and duly executed copies of either IRS Form W</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8BEN, IRS Form W</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8ECI, IRS Form W-8EXP or IRS Form W</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8IMY (and any required attachments to such forms) or any subsequent versions thereof or successors thereto, in each case claiming complete exemption from, or reduced rate of, U.S. Federal withholding tax with respect to payments of interest hereunder. In addition, in the case of a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 Lender claiming exemption from U.S. Federal withholding tax under Section 871(h) or 881(c) of the Code, such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 Lender hereby represents that such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 Lender is not a bank for purposes of Section 881(c) of the Code, is not a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percent shareholder (within the meaning of Section 871(h)(3)(B) of the Code) of the Borrower and is not a controlled foreign corporation related to the Borrower (within the meaning of Section 864(d)(4) of the Code), and such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 Lender agrees that it shall notify the Borrower and each Agent in the event any such representation is no longer accurate. Such forms shall be delivered by each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 Lender on or before the date it becomes a party to this Agreement or participant herein and on or before the date, if any, such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 Lender designates a New Lending Office. In addition, each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 Lender shall deliver such forms as promptly as practicable after receipt of a written request therefor from the Borrower or an Agent. Each Secured Party and each Participant agrees that if any form or certification it previously delivered pursuant to this Section 15.03(g) expires or becomes obsolete or inaccurate in any respect, or if a successor version of such form or certification is published, it shall update such form or certification or promptly notify the Borrower and the Administrative Agent in writing of its legal inability to do so. Notwithstanding any other provision of this Section 15.03, a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 Lender shall not be required to deliver any form pursuant to this Section 15.03(g) that such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 Lender is not legally able to deliver.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645795</wp:posOffset>
            </wp:positionV>
            <wp:extent cx="526605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65" w:name="page266"/>
    <w:bookmarkEnd w:id="265"/>
    <w:p>
      <w:pPr>
        <w:spacing w:after="0" w:line="270" w:lineRule="exact"/>
        <w:rPr>
          <w:sz w:val="20"/>
          <w:szCs w:val="20"/>
          <w:color w:val="auto"/>
        </w:rPr>
      </w:pPr>
    </w:p>
    <w:p>
      <w:pPr>
        <w:ind w:left="1360" w:right="1360" w:firstLine="40"/>
        <w:spacing w:after="0" w:line="253" w:lineRule="auto"/>
        <w:tabs>
          <w:tab w:leader="none" w:pos="1629"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Secured Party requires the Borrower to pay any additional amount to such Secured Party or any taxing Governmental Authority for the account of such Secured Party or to indemnify such Secured Party pursuant to this Section 15.03, then such Secured Party shall use reasonable efforts to designate a different lending office for funding or booking its Advances hereunder or to assign its rights and obligations hereunder to another of its offices, branches or affiliates, if such Lender determines, in its sole discretion, that such designation or assignment (i) would eliminate or reduce amounts payable pursuant to this Section 15.03 in the future and (ii) would not subject such Secured Party to any unreimbursed cost or expense and would not otherwise be disadvantageous to such Secured Party. The Borrower hereby agrees to pay all reasonable costs and expenses incurred by any Lender in connection with any such designation or assignment.</w:t>
      </w:r>
    </w:p>
    <w:p>
      <w:pPr>
        <w:spacing w:after="0" w:line="156" w:lineRule="exact"/>
        <w:rPr>
          <w:rFonts w:ascii="Times New Roman" w:cs="Times New Roman" w:eastAsia="Times New Roman" w:hAnsi="Times New Roman"/>
          <w:sz w:val="16"/>
          <w:szCs w:val="16"/>
          <w:color w:val="auto"/>
        </w:rPr>
      </w:pPr>
    </w:p>
    <w:p>
      <w:pPr>
        <w:ind w:left="1360" w:right="1500" w:firstLine="40"/>
        <w:spacing w:after="0" w:line="266" w:lineRule="auto"/>
        <w:tabs>
          <w:tab w:leader="none" w:pos="1593"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this Section 15.03 shall be construed to require any Secured Party to make available its tax returns (or any other information relating to its taxes that it deems confidential) to the Borrower or any other Person.</w:t>
      </w:r>
    </w:p>
    <w:p>
      <w:pPr>
        <w:spacing w:after="0" w:line="142" w:lineRule="exact"/>
        <w:rPr>
          <w:rFonts w:ascii="Times New Roman" w:cs="Times New Roman" w:eastAsia="Times New Roman" w:hAnsi="Times New Roman"/>
          <w:sz w:val="16"/>
          <w:szCs w:val="16"/>
          <w:color w:val="auto"/>
        </w:rPr>
      </w:pPr>
    </w:p>
    <w:p>
      <w:pPr>
        <w:ind w:left="1360" w:right="1420" w:firstLine="40"/>
        <w:spacing w:after="0" w:line="256" w:lineRule="auto"/>
        <w:tabs>
          <w:tab w:leader="none" w:pos="1592"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Compliance with FATCA. </w:t>
      </w:r>
      <w:r>
        <w:rPr>
          <w:rFonts w:ascii="Times New Roman" w:cs="Times New Roman" w:eastAsia="Times New Roman" w:hAnsi="Times New Roman"/>
          <w:sz w:val="16"/>
          <w:szCs w:val="16"/>
          <w:color w:val="auto"/>
        </w:rPr>
        <w:t>Each Lender that is organized under the laws of a jurisdiction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than the United States shall comply with any certification, documentation, information or other reporting necessary to establish an exemption from withholding under FATCA and shall provide any other documentation reasonably requested by the Borrower or the Administrative Agent sufficient for the Administrative Agent and the Borrower to comply with their obligations under FATCA and to determine that such Lender has complied with such applicable reporting requirements.</w:t>
      </w:r>
    </w:p>
    <w:p>
      <w:pPr>
        <w:spacing w:after="0" w:line="150" w:lineRule="exact"/>
        <w:rPr>
          <w:sz w:val="20"/>
          <w:szCs w:val="20"/>
          <w:color w:val="auto"/>
        </w:rPr>
      </w:pPr>
    </w:p>
    <w:p>
      <w:pPr>
        <w:ind w:left="1360" w:right="1360" w:firstLine="40"/>
        <w:spacing w:after="0" w:line="193" w:lineRule="exact"/>
        <w:rPr>
          <w:sz w:val="20"/>
          <w:szCs w:val="20"/>
          <w:color w:val="auto"/>
        </w:rPr>
      </w:pPr>
      <w:r>
        <w:rPr>
          <w:rFonts w:ascii="Times New Roman" w:cs="Times New Roman" w:eastAsia="Times New Roman" w:hAnsi="Times New Roman"/>
          <w:sz w:val="16"/>
          <w:szCs w:val="16"/>
          <w:i w:val="1"/>
          <w:iCs w:val="1"/>
          <w:color w:val="auto"/>
        </w:rPr>
        <w:t>Section 15.04. Costs and Expenses; Indemnification</w:t>
      </w:r>
      <w:r>
        <w:rPr>
          <w:rFonts w:ascii="Times New Roman" w:cs="Times New Roman" w:eastAsia="Times New Roman" w:hAnsi="Times New Roman"/>
          <w:sz w:val="16"/>
          <w:szCs w:val="16"/>
          <w:color w:val="auto"/>
        </w:rPr>
        <w:t>. (a) The Borrower agrees to promptly pay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demand (i) all reasonable and documented out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pocket costs and expenses of the Agents, the Custodian, the Collateral Administrator, the Backup Collateral Manager and the other Lenders in connection with the preparation, review, negotiation, reproduction, execution and delivery of this Agreement and the other Facility Documents, including the reasonable and documented fees and disbursements of outside counsel for each of the Administrative Agent, the Collateral Agent, the Custodian, the Collateral Administrator, the Backup Collateral Manager and the other Lenders, UCC filing fees and all other related fees and expenses in connection therewith; and in connection with any modification or amendment of this Agreement or any other Facility Document. Further, the Borrower shall promptly pay on demand (A) all reasonable and documented out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pocket costs and expenses (including all reasonable fees, expenses and disbursements of legal counsel and any auditors, accountants, consultants or appraisers or other professional advisors and agents engaged by the Agents and the Lenders) incurred by the Agents and the Lenders in the preparation, execution, delivery, filing, recordation, administration, performance or enforcement of this Agreement or any other Facility Document or any consent, amendment, waiver or other modification relating thereto or the enforcement of this Agreement or any other Facility Document against the Borrower or the Collateral Manager, (B) all reasonable and documented out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pocket costs and expenses of creating, perfecting, releasing or enforcing the Collateral Agent’s security interests in the Collateral, including filing and recording fees, expenses and taxes, stamp or documentary taxes, search fees, and title insurance premiums, and (C) after the occurrence of any Event of Default, all reasonable and documented costs and expenses incurred by the Agents and the Lenders in connection with the preservation, collection, foreclosure or enforcement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650875</wp:posOffset>
            </wp:positionV>
            <wp:extent cx="526605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66" w:name="page267"/>
    <w:bookmarkEnd w:id="266"/>
    <w:p>
      <w:pPr>
        <w:spacing w:after="0" w:line="270" w:lineRule="exact"/>
        <w:rPr>
          <w:sz w:val="20"/>
          <w:szCs w:val="20"/>
          <w:color w:val="auto"/>
        </w:rPr>
      </w:pPr>
    </w:p>
    <w:p>
      <w:pPr>
        <w:ind w:left="1360" w:right="1360"/>
        <w:spacing w:after="0" w:line="252" w:lineRule="auto"/>
        <w:rPr>
          <w:sz w:val="20"/>
          <w:szCs w:val="20"/>
          <w:color w:val="auto"/>
        </w:rPr>
      </w:pPr>
      <w:r>
        <w:rPr>
          <w:rFonts w:ascii="Times New Roman" w:cs="Times New Roman" w:eastAsia="Times New Roman" w:hAnsi="Times New Roman"/>
          <w:sz w:val="16"/>
          <w:szCs w:val="16"/>
          <w:color w:val="auto"/>
        </w:rPr>
        <w:t xml:space="preserve">Collateral subject to the Facility Documents or any interest, right, power or remedy of the Agents and the Lenders or in connection with the collection or enforcement of any of the Obligations or the proof, protection, administration or resolution of any claim based upon the Obligations in any insolvency proceeding, including all reasonable fees and disbursements of attorneys, accountants, auditors, consultants, appraisers and other professionals engaged by the Agents and the Lenders;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notwithstanding the foregoing or anything to the contrary herein, in each case,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Borrower shall only be responsible for the fees, expenses and disbursements of a single primary counsel to the Agents and the Lenders and a single local counsel to the Agents and the Lenders in each relevant jurisdiction (unless there is an actual or perceived conflict of interest or the availability of different claims or defenses among the Agents and the Lenders, in which case each such similarly conflicted group of Persons may retain its own counsel). The undertaking in this Section shall survive repayment of the Obligations, any foreclosure under, or modification, release or discharge of, any or all of the Related Documents, termination of this Agreement and the resignation or replacement of the Collateral Agent. Without prejudice to its rights hereunder, the expenses and the compensation for the services of the Collateral Agent are intended to constitute expenses of administration under any applicable bankruptcy law.</w:t>
      </w:r>
    </w:p>
    <w:p>
      <w:pPr>
        <w:spacing w:after="0" w:line="158" w:lineRule="exact"/>
        <w:rPr>
          <w:sz w:val="20"/>
          <w:szCs w:val="20"/>
          <w:color w:val="auto"/>
        </w:rPr>
      </w:pPr>
    </w:p>
    <w:p>
      <w:pPr>
        <w:ind w:left="1360" w:right="1360" w:firstLine="40"/>
        <w:spacing w:after="0" w:line="251" w:lineRule="auto"/>
        <w:tabs>
          <w:tab w:leader="none" w:pos="1629"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agrees to indemnify and hold harmless each Secured Party and each of their Affiliates and the respective officers, directors, employees, agents, managers of, and any Person controlling any of, the foregoing (each, an “</w:t>
      </w:r>
      <w:r>
        <w:rPr>
          <w:rFonts w:ascii="Times New Roman" w:cs="Times New Roman" w:eastAsia="Times New Roman" w:hAnsi="Times New Roman"/>
          <w:sz w:val="16"/>
          <w:szCs w:val="16"/>
          <w:i w:val="1"/>
          <w:iCs w:val="1"/>
          <w:color w:val="auto"/>
        </w:rPr>
        <w:t>Indemnified Party</w:t>
      </w:r>
      <w:r>
        <w:rPr>
          <w:rFonts w:ascii="Times New Roman" w:cs="Times New Roman" w:eastAsia="Times New Roman" w:hAnsi="Times New Roman"/>
          <w:sz w:val="16"/>
          <w:szCs w:val="16"/>
          <w:color w:val="auto"/>
        </w:rPr>
        <w:t>”) from and against any and all claims, damages, losses, liabilities, obligations, expenses, penalties, actions, suits, judgments and disbursements of any kind or nature whatsoever, (including the reasonable and documented fees and disbursements of counsel) that may be incurred by or asserted or awarded against any Indemnified Party, in each case arising out of or in connection with or by reason of the execution, delivery, enforcement, performance, administration of or otherwise arising out of or incurred in connection with this Agreement, any other Facility Document, any Related Document or any transaction contemplated hereby or thereby (and regardless of whether or not any such transactions are consummated and including for the avoidance of doubt the enforcement of any contractual and indemnification obligation against the Borrower or the Collateral Manager) (collectively, the “</w:t>
      </w:r>
      <w:r>
        <w:rPr>
          <w:rFonts w:ascii="Times New Roman" w:cs="Times New Roman" w:eastAsia="Times New Roman" w:hAnsi="Times New Roman"/>
          <w:sz w:val="16"/>
          <w:szCs w:val="16"/>
          <w:i w:val="1"/>
          <w:iCs w:val="1"/>
          <w:color w:val="auto"/>
        </w:rPr>
        <w:t>Liabilities</w:t>
      </w:r>
      <w:r>
        <w:rPr>
          <w:rFonts w:ascii="Times New Roman" w:cs="Times New Roman" w:eastAsia="Times New Roman" w:hAnsi="Times New Roman"/>
          <w:sz w:val="16"/>
          <w:szCs w:val="16"/>
          <w:color w:val="auto"/>
        </w:rPr>
        <w:t>”), including any such Liability that is incurred or arises out of or in connection with, or by reason of any one or more of the following: (i) preparation for a defense of any investigation, litigation or proceeding arising out of, related to or in connection with this Agreement, any other Facility Document, any Related Document or any of the transactions contemplated hereby or thereby; (ii) any breach of any covenant by the Borrower or the Collateral Manager contained in any Facility Document; (iii) any representation or warranty made or deemed made by the Borrower or the Collateral Manager contained in any Facility Document or in any certificate, statement or report delivered in connection therewith is false or misleading; (iv) any failure by the Borrower or the Collateral Manager to comply with any Applicable Law or contractual obligation binding upon it; (v) any failure to vest, or delay in vesting, in the Collateral Agent (for the benefit of the Secured Parties) a perfected security interest in all of the Collateral free and clear of all Liens; (vi) any action or omission, not expressly authorized by the Facility Documents, by the Borrower or any Affiliate of the Borrower which has the effect of reducing or impairing the Collateral or the rights of the Agents or the Secured Parties with respect thereto; (vii) the failure to file, or any delay in filing, financing statements, continuation statements or other similar instruments or documents under the UCC of any applicable jurisdiction or other Applicable Law with respect to any Collateral, whether at the time of any Advance or at any subsequent time; (viii) any dispute,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646430</wp:posOffset>
            </wp:positionV>
            <wp:extent cx="526605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67" w:name="page268"/>
    <w:bookmarkEnd w:id="267"/>
    <w:p>
      <w:pPr>
        <w:spacing w:after="0" w:line="270" w:lineRule="exact"/>
        <w:rPr>
          <w:sz w:val="20"/>
          <w:szCs w:val="20"/>
          <w:color w:val="auto"/>
        </w:rPr>
      </w:pPr>
    </w:p>
    <w:p>
      <w:pPr>
        <w:ind w:left="1360" w:right="1360"/>
        <w:spacing w:after="0" w:line="192" w:lineRule="exact"/>
        <w:rPr>
          <w:sz w:val="20"/>
          <w:szCs w:val="20"/>
          <w:color w:val="auto"/>
        </w:rPr>
      </w:pPr>
      <w:r>
        <w:rPr>
          <w:rFonts w:ascii="Times New Roman" w:cs="Times New Roman" w:eastAsia="Times New Roman" w:hAnsi="Times New Roman"/>
          <w:sz w:val="16"/>
          <w:szCs w:val="16"/>
          <w:color w:val="auto"/>
        </w:rPr>
        <w:t xml:space="preserve">offset or defense (other than the discharge in bankruptcy of an Obligor) of an Obligor to the payment with respect to any Collateral (including, without limitation, a defense based on any Collateral Loan (or the Related Documents evidencing such Collateral Loan) not being a legal, valid and binding obligation of such Obligor enforceable against it in accordance with its terms), or any other claim resulting from any related property; (ix) the commingling of Collections on the Collateral at any time with other funds; (x) any failure by the Borrower to give reasonably equivalent value to the applicable seller, in consideration for the transfer by such seller to the Borrower of any item of Collateral or any attempt by any Person to void or otherwise avoid any such transfer under any statutory provision or common law or equitable action, including, without limitation, any provision of the Bankruptcy Code; (xi) the failure of the Borrower, the Collateral Manager or any of their respective agents or representatives to remit to the Collection Account, within one (1) Business Day of receipt, Collections on the Collateral Loans remitted to the Borrower, the Collateral Manager or any such agent or representative as provided in this Agreement; (xii) any environmental liabilities and (xiii) any Default or Event of Default;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Borrower shall not be liable (A) for any Liability or losses arising due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deterioration in the credit quality or market value of the Collateral Loans or other Collateral hereunder to the extent that such credit quality or market value was not misrepresented in any material respect by the Borrower or any of its Affiliates or (B) to the extent any such Liability is found in a final,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appealable judgment by a court of competent jurisdiction to have resulted solely from such Indemnified Party’s bad faith, gross negligence or willful misconduct;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however that in no event will such Indemnified Party have any liability for any special, exemplary, indirect, punitive or consequential damages in connection with or as a result of such Indemnified Party’s activities related to this Agreement or any Facility Document or any agreement or instrument contemplated hereby or thereby or referred to herein or therein; </w:t>
      </w:r>
      <w:r>
        <w:rPr>
          <w:rFonts w:ascii="Times New Roman" w:cs="Times New Roman" w:eastAsia="Times New Roman" w:hAnsi="Times New Roman"/>
          <w:sz w:val="16"/>
          <w:szCs w:val="16"/>
          <w:i w:val="1"/>
          <w:iCs w:val="1"/>
          <w:color w:val="auto"/>
        </w:rPr>
        <w:t xml:space="preserve">provided, further, </w:t>
      </w:r>
      <w:r>
        <w:rPr>
          <w:rFonts w:ascii="Times New Roman" w:cs="Times New Roman" w:eastAsia="Times New Roman" w:hAnsi="Times New Roman"/>
          <w:sz w:val="16"/>
          <w:szCs w:val="16"/>
          <w:color w:val="auto"/>
        </w:rPr>
        <w:t>that any payment hereunder which relates to taxes, levies, imposes, deductions,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charges and withholdings, and all liabilities (including penalties, interest and expenses) with respect thereto, or additional sums described in Sections 2.09, 2.10 or 15.03, shall not be covered by this Section 15.04(b).</w:t>
      </w:r>
    </w:p>
    <w:p>
      <w:pPr>
        <w:spacing w:after="0" w:line="183" w:lineRule="exact"/>
        <w:rPr>
          <w:sz w:val="20"/>
          <w:szCs w:val="20"/>
          <w:color w:val="auto"/>
        </w:rPr>
      </w:pPr>
    </w:p>
    <w:p>
      <w:pPr>
        <w:ind w:left="1360" w:right="1380" w:firstLine="40"/>
        <w:spacing w:after="0" w:line="258" w:lineRule="auto"/>
        <w:tabs>
          <w:tab w:leader="none" w:pos="16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Indemnified Party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Facility Documents or the transactions contemplated hereby or thereby.</w:t>
      </w:r>
    </w:p>
    <w:p>
      <w:pPr>
        <w:spacing w:after="0" w:line="151" w:lineRule="exact"/>
        <w:rPr>
          <w:rFonts w:ascii="Times New Roman" w:cs="Times New Roman" w:eastAsia="Times New Roman" w:hAnsi="Times New Roman"/>
          <w:sz w:val="16"/>
          <w:szCs w:val="16"/>
          <w:color w:val="auto"/>
        </w:rPr>
      </w:pPr>
    </w:p>
    <w:p>
      <w:pPr>
        <w:ind w:left="1360" w:right="1780" w:firstLine="40"/>
        <w:spacing w:after="0" w:line="283" w:lineRule="auto"/>
        <w:tabs>
          <w:tab w:leader="none" w:pos="1629"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this Section 15.04 shall survive the discharge and termination of this Agreement or earlier resignation or removal of an indemnitee.</w:t>
      </w:r>
    </w:p>
    <w:p>
      <w:pPr>
        <w:spacing w:after="0" w:line="129" w:lineRule="exact"/>
        <w:rPr>
          <w:sz w:val="20"/>
          <w:szCs w:val="20"/>
          <w:color w:val="auto"/>
        </w:rPr>
      </w:pPr>
    </w:p>
    <w:p>
      <w:pPr>
        <w:ind w:left="1360" w:right="1400" w:firstLine="40"/>
        <w:spacing w:after="0" w:line="257" w:lineRule="auto"/>
        <w:rPr>
          <w:sz w:val="20"/>
          <w:szCs w:val="20"/>
          <w:color w:val="auto"/>
        </w:rPr>
      </w:pPr>
      <w:r>
        <w:rPr>
          <w:rFonts w:ascii="Times New Roman" w:cs="Times New Roman" w:eastAsia="Times New Roman" w:hAnsi="Times New Roman"/>
          <w:sz w:val="16"/>
          <w:szCs w:val="16"/>
          <w:i w:val="1"/>
          <w:iCs w:val="1"/>
          <w:color w:val="auto"/>
        </w:rPr>
        <w:t>Section 15.05. Execution in Counterparts</w:t>
      </w:r>
      <w:r>
        <w:rPr>
          <w:rFonts w:ascii="Times New Roman" w:cs="Times New Roman" w:eastAsia="Times New Roman" w:hAnsi="Times New Roman"/>
          <w:sz w:val="16"/>
          <w:szCs w:val="16"/>
          <w:color w:val="auto"/>
        </w:rPr>
        <w:t>. This Agreement may be executed in any number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counterparts and by different parties hereto on separate counterparts, each of which counterparts, when so executed and delivered, shall be deemed to be an original and all of which counterparts, taken together, shall constitute but one and the same Agreement. Delivery of an executed signature page of this Agreement by facsimile or other electronic transmission shall be effective as delivery of a manually executed counterpart hereof.</w:t>
      </w:r>
    </w:p>
    <w:p>
      <w:pPr>
        <w:spacing w:after="0" w:line="150" w:lineRule="exact"/>
        <w:rPr>
          <w:sz w:val="20"/>
          <w:szCs w:val="20"/>
          <w:color w:val="auto"/>
        </w:rPr>
      </w:pPr>
    </w:p>
    <w:p>
      <w:pPr>
        <w:ind w:left="1360" w:right="1500" w:firstLine="40"/>
        <w:spacing w:after="0" w:line="286" w:lineRule="auto"/>
        <w:rPr>
          <w:sz w:val="20"/>
          <w:szCs w:val="20"/>
          <w:color w:val="auto"/>
        </w:rPr>
      </w:pPr>
      <w:r>
        <w:rPr>
          <w:rFonts w:ascii="Times New Roman" w:cs="Times New Roman" w:eastAsia="Times New Roman" w:hAnsi="Times New Roman"/>
          <w:sz w:val="16"/>
          <w:szCs w:val="16"/>
          <w:i w:val="1"/>
          <w:iCs w:val="1"/>
          <w:color w:val="auto"/>
        </w:rPr>
        <w:t>Section 15.06. Assignability</w:t>
      </w:r>
      <w:r>
        <w:rPr>
          <w:rFonts w:ascii="Times New Roman" w:cs="Times New Roman" w:eastAsia="Times New Roman" w:hAnsi="Times New Roman"/>
          <w:sz w:val="16"/>
          <w:szCs w:val="16"/>
          <w:color w:val="auto"/>
        </w:rPr>
        <w:t>. (a) Each Lender may, with the consent of the Administrative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Agent and the Borrower (in each case not to be unreasonably withheld or delayed), assign to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68" w:name="page269"/>
    <w:bookmarkEnd w:id="268"/>
    <w:p>
      <w:pPr>
        <w:spacing w:after="0" w:line="270" w:lineRule="exact"/>
        <w:rPr>
          <w:sz w:val="20"/>
          <w:szCs w:val="20"/>
          <w:color w:val="auto"/>
        </w:rPr>
      </w:pPr>
    </w:p>
    <w:p>
      <w:pPr>
        <w:ind w:left="1360" w:right="1500"/>
        <w:spacing w:after="0" w:line="258" w:lineRule="auto"/>
        <w:rPr>
          <w:sz w:val="20"/>
          <w:szCs w:val="20"/>
          <w:color w:val="auto"/>
        </w:rPr>
      </w:pPr>
      <w:r>
        <w:rPr>
          <w:rFonts w:ascii="Times New Roman" w:cs="Times New Roman" w:eastAsia="Times New Roman" w:hAnsi="Times New Roman"/>
          <w:sz w:val="16"/>
          <w:szCs w:val="16"/>
          <w:color w:val="auto"/>
        </w:rPr>
        <w:t xml:space="preserve">assignee all or a portion of its rights and obligations under this Agreement (including all or a portion of its outstanding Advances or interests therein owned by it, together with ratable portions of its Commitment);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Borrower shall be deemed to have consented to any such assignment unless it shall object thereto by written notice to the Administrative Agent within ten (10) Business Days after having received notice thereof;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w:t>
      </w:r>
    </w:p>
    <w:p>
      <w:pPr>
        <w:spacing w:after="0" w:line="151" w:lineRule="exact"/>
        <w:rPr>
          <w:sz w:val="20"/>
          <w:szCs w:val="20"/>
          <w:color w:val="auto"/>
        </w:rPr>
      </w:pPr>
    </w:p>
    <w:p>
      <w:pPr>
        <w:ind w:left="1840" w:right="1420" w:firstLine="44"/>
        <w:spacing w:after="0" w:line="283" w:lineRule="auto"/>
        <w:tabs>
          <w:tab w:leader="none" w:pos="2073"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Borrower’s consent to any such assignment shall not be required if the assignee is a Permitted Assignee with respect to such assignor;</w:t>
      </w:r>
    </w:p>
    <w:p>
      <w:pPr>
        <w:spacing w:after="0" w:line="131" w:lineRule="exact"/>
        <w:rPr>
          <w:rFonts w:ascii="Times New Roman" w:cs="Times New Roman" w:eastAsia="Times New Roman" w:hAnsi="Times New Roman"/>
          <w:sz w:val="16"/>
          <w:szCs w:val="16"/>
          <w:color w:val="auto"/>
        </w:rPr>
      </w:pPr>
    </w:p>
    <w:p>
      <w:pPr>
        <w:jc w:val="both"/>
        <w:ind w:left="1840" w:right="1360" w:firstLine="44"/>
        <w:spacing w:after="0" w:line="266" w:lineRule="auto"/>
        <w:tabs>
          <w:tab w:leader="none" w:pos="2118"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Borrower’s consent to any such assignment pursuant to this Section 15.06(a) shall not be required if an Event of Default shall have occurred and is continuing (and not been waived by the Lenders in accordance with Section 15.01); and</w:t>
      </w:r>
    </w:p>
    <w:p>
      <w:pPr>
        <w:spacing w:after="0" w:line="144" w:lineRule="exact"/>
        <w:rPr>
          <w:rFonts w:ascii="Times New Roman" w:cs="Times New Roman" w:eastAsia="Times New Roman" w:hAnsi="Times New Roman"/>
          <w:sz w:val="16"/>
          <w:szCs w:val="16"/>
          <w:color w:val="auto"/>
        </w:rPr>
      </w:pPr>
    </w:p>
    <w:p>
      <w:pPr>
        <w:ind w:left="2160" w:hanging="276"/>
        <w:spacing w:after="0"/>
        <w:tabs>
          <w:tab w:leader="none" w:pos="216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such assignment shall be made to a natural person.</w:t>
      </w:r>
    </w:p>
    <w:p>
      <w:pPr>
        <w:spacing w:after="0" w:line="189" w:lineRule="exact"/>
        <w:rPr>
          <w:sz w:val="20"/>
          <w:szCs w:val="20"/>
          <w:color w:val="auto"/>
        </w:rPr>
      </w:pPr>
    </w:p>
    <w:p>
      <w:pPr>
        <w:ind w:left="1360" w:right="1360" w:firstLine="484"/>
        <w:spacing w:after="0" w:line="254" w:lineRule="auto"/>
        <w:rPr>
          <w:sz w:val="20"/>
          <w:szCs w:val="20"/>
          <w:color w:val="auto"/>
        </w:rPr>
      </w:pPr>
      <w:r>
        <w:rPr>
          <w:rFonts w:ascii="Times New Roman" w:cs="Times New Roman" w:eastAsia="Times New Roman" w:hAnsi="Times New Roman"/>
          <w:sz w:val="16"/>
          <w:szCs w:val="16"/>
          <w:color w:val="auto"/>
        </w:rPr>
        <w:t xml:space="preserve">The parties to each such assignment shall execute and deliver to the Administrative Agent (with a copy to the Collateral Agent) an Assignment and Acceptance and the applicable tax forms required by Section 15.03(g) . Notwithstanding any other provision of this Section 15.06, any Lender may at any time pledge or grant a security interest in all or any portion of its rights (including rights to payment of principal and interest) under this Agreement to secure obligations of such Lender, including any pledge or security interest granted to a Federal Reserve Bank, without notice to or consent of the Borrower or the Administrative Agent;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pledge or grant of a security interest shall release such Lender from any of its obligations hereunder or substitute any such pledgee or grantee for such Lender as a party hereto.</w:t>
      </w:r>
    </w:p>
    <w:p>
      <w:pPr>
        <w:spacing w:after="0" w:line="154" w:lineRule="exact"/>
        <w:rPr>
          <w:sz w:val="20"/>
          <w:szCs w:val="20"/>
          <w:color w:val="auto"/>
        </w:rPr>
      </w:pPr>
    </w:p>
    <w:p>
      <w:pPr>
        <w:ind w:left="1360" w:right="1840" w:firstLine="40"/>
        <w:spacing w:after="0" w:line="283" w:lineRule="auto"/>
        <w:tabs>
          <w:tab w:leader="none" w:pos="1629"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may not assign its rights or obligations hereunder or any interest herein without the prior written consent of the Agents and the Lenders.</w:t>
      </w:r>
    </w:p>
    <w:p>
      <w:pPr>
        <w:spacing w:after="0" w:line="131" w:lineRule="exact"/>
        <w:rPr>
          <w:rFonts w:ascii="Times New Roman" w:cs="Times New Roman" w:eastAsia="Times New Roman" w:hAnsi="Times New Roman"/>
          <w:sz w:val="16"/>
          <w:szCs w:val="16"/>
          <w:color w:val="auto"/>
        </w:rPr>
      </w:pPr>
    </w:p>
    <w:p>
      <w:pPr>
        <w:ind w:left="1360" w:right="1440" w:firstLine="40"/>
        <w:spacing w:after="0" w:line="253" w:lineRule="auto"/>
        <w:tabs>
          <w:tab w:leader="none" w:pos="1620"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Any Lender may, without the consent of the Borrower, the Administrative Agent or the Swingline Lender sell participations to one or more banks or other entities (a </w:t>
      </w:r>
      <w:r>
        <w:rPr>
          <w:rFonts w:ascii="Times New Roman" w:cs="Times New Roman" w:eastAsia="Times New Roman" w:hAnsi="Times New Roman"/>
          <w:sz w:val="16"/>
          <w:szCs w:val="16"/>
          <w:i w:val="1"/>
          <w:iCs w:val="1"/>
          <w:color w:val="auto"/>
        </w:rPr>
        <w:t>“Participant”</w:t>
      </w:r>
      <w:r>
        <w:rPr>
          <w:rFonts w:ascii="Times New Roman" w:cs="Times New Roman" w:eastAsia="Times New Roman" w:hAnsi="Times New Roman"/>
          <w:sz w:val="16"/>
          <w:szCs w:val="16"/>
          <w:color w:val="auto"/>
        </w:rPr>
        <w:t xml:space="preserve">) in all or a portion of such Lender’s rights and obligations under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such Lender’s obligations under this Agreement shall remain unchanged, (B) such Lender shall remain solely responsible to the other parties hereto for the performance of such obligations, (C) such Borrower, the Agents and the other Lenders shall continue to deal solely and directly with such Lender in connection with such Lender’s rights and obligations under this Agreement, and</w:t>
      </w:r>
    </w:p>
    <w:p>
      <w:pPr>
        <w:spacing w:after="0" w:line="2" w:lineRule="exact"/>
        <w:rPr>
          <w:rFonts w:ascii="Times New Roman" w:cs="Times New Roman" w:eastAsia="Times New Roman" w:hAnsi="Times New Roman"/>
          <w:sz w:val="16"/>
          <w:szCs w:val="16"/>
          <w:color w:val="auto"/>
        </w:rPr>
      </w:pPr>
    </w:p>
    <w:p>
      <w:pPr>
        <w:ind w:left="1620" w:hanging="260"/>
        <w:spacing w:after="0"/>
        <w:tabs>
          <w:tab w:leader="none" w:pos="162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Participant shall have agreed to be bound by this Section 15.06(c) and Sections</w:t>
      </w:r>
    </w:p>
    <w:p>
      <w:pPr>
        <w:spacing w:after="0" w:line="8" w:lineRule="exact"/>
        <w:rPr>
          <w:sz w:val="20"/>
          <w:szCs w:val="20"/>
          <w:color w:val="auto"/>
        </w:rPr>
      </w:pPr>
    </w:p>
    <w:p>
      <w:pPr>
        <w:ind w:left="1360" w:right="1360"/>
        <w:spacing w:after="0" w:line="251" w:lineRule="auto"/>
        <w:rPr>
          <w:sz w:val="20"/>
          <w:szCs w:val="20"/>
          <w:color w:val="auto"/>
        </w:rPr>
      </w:pPr>
      <w:r>
        <w:rPr>
          <w:rFonts w:ascii="Times New Roman" w:cs="Times New Roman" w:eastAsia="Times New Roman" w:hAnsi="Times New Roman"/>
          <w:sz w:val="16"/>
          <w:szCs w:val="16"/>
          <w:color w:val="auto"/>
        </w:rPr>
        <w:t xml:space="preserve">15.09(b), 15.15 and 15.19.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agreement may provide that such Lender will not, without the consent of the Participant, agree to any Fundamental Amendment. Sections 2.09, 2.10, and 15.03 shall apply to each Participant as if it were a Lender and had acquired its interest by assignment pursuant to paragraph (a) of this Section;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Participant shall be entitled to any amount under Section 2.09, 2.10, or 15.03 which is greater than the amount the related Lender would have been entitled to under any such Sections or provisions if the applicable participation had not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644525</wp:posOffset>
            </wp:positionV>
            <wp:extent cx="526605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69" w:name="page270"/>
    <w:bookmarkEnd w:id="269"/>
    <w:p>
      <w:pPr>
        <w:spacing w:after="0" w:line="270" w:lineRule="exact"/>
        <w:rPr>
          <w:sz w:val="20"/>
          <w:szCs w:val="20"/>
          <w:color w:val="auto"/>
        </w:rPr>
      </w:pPr>
    </w:p>
    <w:p>
      <w:pPr>
        <w:ind w:left="1360" w:right="1360" w:firstLine="40"/>
        <w:spacing w:after="0" w:line="252" w:lineRule="auto"/>
        <w:tabs>
          <w:tab w:leader="none" w:pos="1638"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any Lender sells participations in any portion of its rights and obligations hereunder, such Lender as nonfiduciary agent for the Borrower shall maintain a register on which it enters the name of all participants in the Advances held by it and the principal amount (and stated interest thereon) of the portion of the Advance which is the subject of the participation (the </w:t>
      </w:r>
      <w:r>
        <w:rPr>
          <w:rFonts w:ascii="Times New Roman" w:cs="Times New Roman" w:eastAsia="Times New Roman" w:hAnsi="Times New Roman"/>
          <w:sz w:val="16"/>
          <w:szCs w:val="16"/>
          <w:i w:val="1"/>
          <w:iCs w:val="1"/>
          <w:color w:val="auto"/>
        </w:rPr>
        <w:t>“Participant Register”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provided </w:t>
      </w:r>
      <w:r>
        <w:rPr>
          <w:rFonts w:ascii="Times New Roman" w:cs="Times New Roman" w:eastAsia="Times New Roman" w:hAnsi="Times New Roman"/>
          <w:sz w:val="16"/>
          <w:szCs w:val="16"/>
          <w:color w:val="auto"/>
        </w:rPr>
        <w:t>that no Lender shall have any obligation to disclose all or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portion of the Participant Register to any Person (including the identity of any participant or any information relating to a participant’s interest in any Commitments, Advances or its other obligations under this Agreement) except to the extent that the relevant parties, acting reasonably and in good faith, determine that such disclosure is necessary to establish that such Commitment, Advance or other obligation is in registered form under Section 5f.103-1(c) of the United States Treasury Regulations. Unless otherwise required by the IRS, any disclosure required by the foregoing sentence shall be made by the relevant Lender directly and solely to the IRS. An Advance may be participated in whole or in part only by registration of such participation on the Participant Register. Any participation of such Advance may be effected only by the registration of such participation on the Participant Register. The entries in the Participant Register shall be conclusive absent manifest error.</w:t>
      </w:r>
    </w:p>
    <w:p>
      <w:pPr>
        <w:spacing w:after="0" w:line="158" w:lineRule="exact"/>
        <w:rPr>
          <w:sz w:val="20"/>
          <w:szCs w:val="20"/>
          <w:color w:val="auto"/>
        </w:rPr>
      </w:pPr>
    </w:p>
    <w:p>
      <w:pPr>
        <w:ind w:left="1360" w:right="1340" w:firstLine="40"/>
        <w:spacing w:after="0" w:line="252" w:lineRule="auto"/>
        <w:tabs>
          <w:tab w:leader="none" w:pos="1629"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Collateral Agent, on behalf of and acting solely for this purpose as the nonfiduciary agent of the Borrower, shall maintain at its address specified in Section 15.02 or such other address as the Collateral Agent shall designate in writing to the Lenders, a copy of this Agreement and each signature page hereto and each Assignment and Acceptance delivered to and accepted by it and a register (the </w:t>
      </w:r>
      <w:r>
        <w:rPr>
          <w:rFonts w:ascii="Times New Roman" w:cs="Times New Roman" w:eastAsia="Times New Roman" w:hAnsi="Times New Roman"/>
          <w:sz w:val="16"/>
          <w:szCs w:val="16"/>
          <w:i w:val="1"/>
          <w:iCs w:val="1"/>
          <w:color w:val="auto"/>
        </w:rPr>
        <w:t>“Register”</w:t>
      </w:r>
      <w:r>
        <w:rPr>
          <w:rFonts w:ascii="Times New Roman" w:cs="Times New Roman" w:eastAsia="Times New Roman" w:hAnsi="Times New Roman"/>
          <w:sz w:val="16"/>
          <w:szCs w:val="16"/>
          <w:color w:val="auto"/>
        </w:rPr>
        <w:t>) for the recordation of the names and addresses of the Lenders and the aggregate outstanding principal amount of the outstanding Advances maintained by each Lender under this Agreement (and any stated interest thereon). The entries in the Register shall be conclusive and binding for all purposes, absent manifest error, and the Borrower, the Agents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 An Advance may be assigned or sold in whole or in part only by registration of such assignment or sale on the Register and in accordance with this Section 15.06.</w:t>
      </w:r>
    </w:p>
    <w:p>
      <w:pPr>
        <w:spacing w:after="0" w:line="353" w:lineRule="exact"/>
        <w:rPr>
          <w:rFonts w:ascii="Times New Roman" w:cs="Times New Roman" w:eastAsia="Times New Roman" w:hAnsi="Times New Roman"/>
          <w:sz w:val="16"/>
          <w:szCs w:val="16"/>
          <w:color w:val="auto"/>
        </w:rPr>
      </w:pPr>
    </w:p>
    <w:p>
      <w:pPr>
        <w:ind w:left="1360" w:right="1460" w:firstLine="40"/>
        <w:spacing w:after="0" w:line="253" w:lineRule="auto"/>
        <w:tabs>
          <w:tab w:leader="none" w:pos="162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set forth herein or in any other Facility Document, each Lender hereunder, and each Participant, must at all times be a “qualified purchaser” as defined in the Investment Company Act (a “</w:t>
      </w:r>
      <w:r>
        <w:rPr>
          <w:rFonts w:ascii="Times New Roman" w:cs="Times New Roman" w:eastAsia="Times New Roman" w:hAnsi="Times New Roman"/>
          <w:sz w:val="16"/>
          <w:szCs w:val="16"/>
          <w:i w:val="1"/>
          <w:iCs w:val="1"/>
          <w:color w:val="auto"/>
        </w:rPr>
        <w:t>Qualified Purchaser</w:t>
      </w:r>
      <w:r>
        <w:rPr>
          <w:rFonts w:ascii="Times New Roman" w:cs="Times New Roman" w:eastAsia="Times New Roman" w:hAnsi="Times New Roman"/>
          <w:sz w:val="16"/>
          <w:szCs w:val="16"/>
          <w:color w:val="auto"/>
        </w:rPr>
        <w:t>”) and a “qualified institutional buyer” as defined in Rule 144A under the Securities Act (a “</w:t>
      </w:r>
      <w:r>
        <w:rPr>
          <w:rFonts w:ascii="Times New Roman" w:cs="Times New Roman" w:eastAsia="Times New Roman" w:hAnsi="Times New Roman"/>
          <w:sz w:val="16"/>
          <w:szCs w:val="16"/>
          <w:i w:val="1"/>
          <w:iCs w:val="1"/>
          <w:color w:val="auto"/>
        </w:rPr>
        <w:t>QIB</w:t>
      </w:r>
      <w:r>
        <w:rPr>
          <w:rFonts w:ascii="Times New Roman" w:cs="Times New Roman" w:eastAsia="Times New Roman" w:hAnsi="Times New Roman"/>
          <w:sz w:val="16"/>
          <w:szCs w:val="16"/>
          <w:color w:val="auto"/>
        </w:rPr>
        <w:t>”). Each Lender represents to the Borrower, (i) on the date that it becomes a party to this Agreement (whether by being a signatory hereto or by entering into an Assignment and Acceptance) and (ii) on each date on which it makes an Advance hereunder, that it is a Qualified Purchaser and a QIB. Each Lender further agrees that it shall not assign, or grant any participations in, any of its Advances or its Commitment to (x) any Person that is not both a Qualified Purchaser and a QIB or (y) the Borrower or any of the Borrower’s Affiliates.</w:t>
      </w:r>
    </w:p>
    <w:p>
      <w:pPr>
        <w:spacing w:after="0" w:line="157" w:lineRule="exact"/>
        <w:rPr>
          <w:sz w:val="20"/>
          <w:szCs w:val="20"/>
          <w:color w:val="auto"/>
        </w:rPr>
      </w:pPr>
    </w:p>
    <w:p>
      <w:pPr>
        <w:ind w:left="1360" w:right="1420" w:firstLine="40"/>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Section 15.07. Governing Law </w:t>
      </w:r>
      <w:r>
        <w:rPr>
          <w:rFonts w:ascii="Times New Roman" w:cs="Times New Roman" w:eastAsia="Times New Roman" w:hAnsi="Times New Roman"/>
          <w:sz w:val="16"/>
          <w:szCs w:val="16"/>
          <w:color w:val="auto"/>
        </w:rPr>
        <w:t>. This Agreement and the Rights and Obligations of the Parties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Under this Agreement Shall be Governed by and Construed in Accordance with the internal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635000</wp:posOffset>
            </wp:positionV>
            <wp:extent cx="526605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70" w:name="page271"/>
    <w:bookmarkEnd w:id="270"/>
    <w:p>
      <w:pPr>
        <w:spacing w:after="0" w:line="268" w:lineRule="exact"/>
        <w:rPr>
          <w:sz w:val="20"/>
          <w:szCs w:val="20"/>
          <w:color w:val="auto"/>
        </w:rPr>
      </w:pPr>
    </w:p>
    <w:p>
      <w:pPr>
        <w:ind w:left="1360" w:right="1460" w:firstLine="40"/>
        <w:spacing w:after="0" w:line="262" w:lineRule="auto"/>
        <w:rPr>
          <w:sz w:val="20"/>
          <w:szCs w:val="20"/>
          <w:color w:val="auto"/>
        </w:rPr>
      </w:pPr>
      <w:r>
        <w:rPr>
          <w:rFonts w:ascii="Times New Roman" w:cs="Times New Roman" w:eastAsia="Times New Roman" w:hAnsi="Times New Roman"/>
          <w:sz w:val="16"/>
          <w:szCs w:val="16"/>
          <w:i w:val="1"/>
          <w:iCs w:val="1"/>
          <w:color w:val="auto"/>
        </w:rPr>
        <w:t>Section 15.08. Severability of Provisions</w:t>
      </w:r>
      <w:r>
        <w:rPr>
          <w:rFonts w:ascii="Times New Roman" w:cs="Times New Roman" w:eastAsia="Times New Roman" w:hAnsi="Times New Roman"/>
          <w:sz w:val="16"/>
          <w:szCs w:val="16"/>
          <w:color w:val="auto"/>
        </w:rPr>
        <w:t>. Any provision of this Agreement which is prohibited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31" w:lineRule="exact"/>
        <w:rPr>
          <w:sz w:val="20"/>
          <w:szCs w:val="20"/>
          <w:color w:val="auto"/>
        </w:rPr>
      </w:pPr>
    </w:p>
    <w:p>
      <w:pPr>
        <w:ind w:left="1360" w:right="1360" w:firstLine="40"/>
        <w:spacing w:after="0" w:line="193" w:lineRule="exact"/>
        <w:rPr>
          <w:sz w:val="20"/>
          <w:szCs w:val="20"/>
          <w:color w:val="auto"/>
        </w:rPr>
      </w:pPr>
      <w:r>
        <w:rPr>
          <w:rFonts w:ascii="Times New Roman" w:cs="Times New Roman" w:eastAsia="Times New Roman" w:hAnsi="Times New Roman"/>
          <w:sz w:val="16"/>
          <w:szCs w:val="16"/>
          <w:i w:val="1"/>
          <w:iCs w:val="1"/>
          <w:color w:val="auto"/>
        </w:rPr>
        <w:t>Section 15.09. Confidentiality</w:t>
      </w:r>
      <w:r>
        <w:rPr>
          <w:rFonts w:ascii="Times New Roman" w:cs="Times New Roman" w:eastAsia="Times New Roman" w:hAnsi="Times New Roman"/>
          <w:sz w:val="16"/>
          <w:szCs w:val="16"/>
          <w:color w:val="auto"/>
        </w:rPr>
        <w:t>. (a) Each Secured Party agrees to keep confidential all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public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information provided to it by the Borrower or the Collateral Manager with respect to the Borrower, its Affiliates, the Collateral or any other information furnished to any Secured Party pursuant to this Agreement or any other Facility Document (collectively, the </w:t>
      </w:r>
      <w:r>
        <w:rPr>
          <w:rFonts w:ascii="Times New Roman" w:cs="Times New Roman" w:eastAsia="Times New Roman" w:hAnsi="Times New Roman"/>
          <w:sz w:val="16"/>
          <w:szCs w:val="16"/>
          <w:i w:val="1"/>
          <w:iCs w:val="1"/>
          <w:color w:val="auto"/>
        </w:rPr>
        <w:t>“Borrower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Information”</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provided </w:t>
      </w:r>
      <w:r>
        <w:rPr>
          <w:rFonts w:ascii="Times New Roman" w:cs="Times New Roman" w:eastAsia="Times New Roman" w:hAnsi="Times New Roman"/>
          <w:sz w:val="16"/>
          <w:szCs w:val="16"/>
          <w:color w:val="auto"/>
        </w:rPr>
        <w:t>that nothing herein shall prevent any Secured Party from disclosing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Borrower Information (a) in connection with this Agreement and the other Facility Documents and not for any other purpose, (x) to any Secured Party or any Affiliate of a Secured Party, or (y) any of their respective Affiliates, employees, directors, agents, attorneys, accountants</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color w:val="auto"/>
        </w:rPr>
        <w:t xml:space="preserve"> and other professional advisors (collectively, the </w:t>
      </w:r>
      <w:r>
        <w:rPr>
          <w:rFonts w:ascii="Times New Roman" w:cs="Times New Roman" w:eastAsia="Times New Roman" w:hAnsi="Times New Roman"/>
          <w:sz w:val="16"/>
          <w:szCs w:val="16"/>
          <w:i w:val="1"/>
          <w:iCs w:val="1"/>
          <w:color w:val="auto"/>
        </w:rPr>
        <w:t>“Secured Party Representatives”</w:t>
      </w:r>
      <w:r>
        <w:rPr>
          <w:rFonts w:ascii="Times New Roman" w:cs="Times New Roman" w:eastAsia="Times New Roman" w:hAnsi="Times New Roman"/>
          <w:sz w:val="16"/>
          <w:szCs w:val="16"/>
          <w:color w:val="auto"/>
        </w:rPr>
        <w:t>), it being understood that the Persons to whom such disclosure is made will be informed of the confidential nature of such Borrower Information, (b) subject to an agreement to comply with the provisions of this Section (or other provisions at least as restrictive as this Section), (i) to use the Borrower Information only in connection with this Agreement and the other Facility Documents and not for any other purpose, to any actual or bone fide prospective permitted assignees and Participants in any of the Secured Parties’ interests under or in connection with this Agreement and (ii) as reasonably required by any direct or indirect contractual counterparties for professional advisors thereto, to any swap or derivative transaction relating to the Borrower and its obligations, (c) to any Governmental Authority purporting to have jurisdiction over any Secured Party or any of its Affiliates or any Secured Party Representative, (d) in response to any order of any court or other Governmental Authority or as may otherwise be required to be disclosed pursuant to any Applicable Law, (e) that is a matter of general public knowledge or that has heretofore been made available to the public by any Person other than any Secured Party or any Secured Party Representative, (f) in connection with the exercise of any remedy hereunder or under any other Facility Document, or (g) with the consent of the Borrower or to any other party to this Agreement. In addition, each Secured Party may disclose the existence of this Agreement and information about this Agreement to market data collectors, similar service providers to the lending industry and service providers to the Secured Parties in connection with the administration and management of this Agreement and the other Facility Documents.</w:t>
      </w:r>
    </w:p>
    <w:p>
      <w:pPr>
        <w:spacing w:after="0" w:line="177" w:lineRule="exact"/>
        <w:rPr>
          <w:sz w:val="20"/>
          <w:szCs w:val="20"/>
          <w:color w:val="auto"/>
        </w:rPr>
      </w:pPr>
    </w:p>
    <w:p>
      <w:pPr>
        <w:ind w:left="1360" w:right="1400" w:firstLine="40"/>
        <w:spacing w:after="0" w:line="194" w:lineRule="exact"/>
        <w:tabs>
          <w:tab w:leader="none" w:pos="1629"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herein or in any of the other Transaction Documents, each of the parties hereto acknowledges and agrees that the Administrative Agent or any Lender may post to a secured password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protected internet website maintained by the Administrative Agent or such Lender and required by any Rating Agency rating the commercial paper notes of any CP Conduit in connection with Rule 17g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5 (as defined below) such information as any such Rating Agency may request in connection with the confirming its rating of such commercial paper notes or that the Administrative Agent or such Lender may otherwise determine is necessary or appropriate to post to such website in furtherance of the requirements of Rule 17g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5. “Rule 17g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5” shall mean Rule 17g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5 under the Securities Exchange Act of 1934 as such may be amended from time to time, and subject to such clarification and interpretation as has been provided by the Securities and Exchange Commission in the adopting release (Amendments to Rules for Nationally Recognized Statistical Rating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648970</wp:posOffset>
            </wp:positionV>
            <wp:extent cx="526605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71" w:name="page272"/>
    <w:bookmarkEnd w:id="271"/>
    <w:p>
      <w:pPr>
        <w:spacing w:after="0" w:line="254" w:lineRule="exact"/>
        <w:rPr>
          <w:sz w:val="20"/>
          <w:szCs w:val="20"/>
          <w:color w:val="auto"/>
        </w:rPr>
      </w:pPr>
    </w:p>
    <w:p>
      <w:pPr>
        <w:ind w:left="1360" w:right="1400"/>
        <w:spacing w:after="0" w:line="203" w:lineRule="exact"/>
        <w:rPr>
          <w:sz w:val="20"/>
          <w:szCs w:val="20"/>
          <w:color w:val="auto"/>
        </w:rPr>
      </w:pPr>
      <w:r>
        <w:rPr>
          <w:rFonts w:ascii="Times New Roman" w:cs="Times New Roman" w:eastAsia="Times New Roman" w:hAnsi="Times New Roman"/>
          <w:sz w:val="16"/>
          <w:szCs w:val="16"/>
          <w:color w:val="auto"/>
        </w:rPr>
        <w:t>Exchange Act Release No. 34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61050, 74 Fed. Reg. 63,832, 63,865 (Dec. 4, 2009)) and subject to such clarification and interpretation as may be provided by the Securities and Exchange Commission or its staff from time to time.</w:t>
      </w:r>
    </w:p>
    <w:p>
      <w:pPr>
        <w:spacing w:after="0" w:line="164" w:lineRule="exact"/>
        <w:rPr>
          <w:sz w:val="20"/>
          <w:szCs w:val="20"/>
          <w:color w:val="auto"/>
        </w:rPr>
      </w:pPr>
    </w:p>
    <w:p>
      <w:pPr>
        <w:ind w:left="1360" w:right="1460" w:firstLine="40"/>
        <w:spacing w:after="0" w:line="262" w:lineRule="auto"/>
        <w:rPr>
          <w:sz w:val="20"/>
          <w:szCs w:val="20"/>
          <w:color w:val="auto"/>
        </w:rPr>
      </w:pPr>
      <w:r>
        <w:rPr>
          <w:rFonts w:ascii="Times New Roman" w:cs="Times New Roman" w:eastAsia="Times New Roman" w:hAnsi="Times New Roman"/>
          <w:sz w:val="16"/>
          <w:szCs w:val="16"/>
          <w:i w:val="1"/>
          <w:iCs w:val="1"/>
          <w:color w:val="auto"/>
        </w:rPr>
        <w:t>Section 15.10. Merger</w:t>
      </w:r>
      <w:r>
        <w:rPr>
          <w:rFonts w:ascii="Times New Roman" w:cs="Times New Roman" w:eastAsia="Times New Roman" w:hAnsi="Times New Roman"/>
          <w:sz w:val="16"/>
          <w:szCs w:val="16"/>
          <w:color w:val="auto"/>
        </w:rPr>
        <w:t>. This Agreement and the other Facility Documents executed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Administrative Agent or the Lenders taken as a whole incorporate the entire agreement between the parties thereto concerning the subject matter thereof and such Facility Documents supersede any prior agreements among the parties relating to the subject matter thereof.</w:t>
      </w:r>
    </w:p>
    <w:p>
      <w:pPr>
        <w:spacing w:after="0" w:line="145" w:lineRule="exact"/>
        <w:rPr>
          <w:sz w:val="20"/>
          <w:szCs w:val="20"/>
          <w:color w:val="auto"/>
        </w:rPr>
      </w:pPr>
    </w:p>
    <w:p>
      <w:pPr>
        <w:ind w:left="1360" w:right="1380" w:firstLine="40"/>
        <w:spacing w:after="0" w:line="257" w:lineRule="auto"/>
        <w:rPr>
          <w:sz w:val="20"/>
          <w:szCs w:val="20"/>
          <w:color w:val="auto"/>
        </w:rPr>
      </w:pPr>
      <w:r>
        <w:rPr>
          <w:rFonts w:ascii="Times New Roman" w:cs="Times New Roman" w:eastAsia="Times New Roman" w:hAnsi="Times New Roman"/>
          <w:sz w:val="16"/>
          <w:szCs w:val="16"/>
          <w:i w:val="1"/>
          <w:iCs w:val="1"/>
          <w:color w:val="auto"/>
        </w:rPr>
        <w:t>Section 15.11. Survival</w:t>
      </w:r>
      <w:r>
        <w:rPr>
          <w:rFonts w:ascii="Times New Roman" w:cs="Times New Roman" w:eastAsia="Times New Roman" w:hAnsi="Times New Roman"/>
          <w:sz w:val="16"/>
          <w:szCs w:val="16"/>
          <w:color w:val="auto"/>
        </w:rPr>
        <w:t>. All representations and warranties made hereunder, in the other Facility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Documents and in any certificate delivered pursuant hereto or thereto or in connection herewith or therewith shall survive the execution and delivery of this Agreement and the making of the Advances hereunder. The agreements in Sections 2.04(f), 2.09, 2.10, 2.12, 15.03, 15.04, 15.09, 15.16, 15.18 and 15.19 and this Section 15.11 shall survive the termination of this Agreement in whole or in part and the payment in full of the principal of and interest on the Advances.</w:t>
      </w:r>
    </w:p>
    <w:p>
      <w:pPr>
        <w:spacing w:after="0" w:line="150" w:lineRule="exact"/>
        <w:rPr>
          <w:sz w:val="20"/>
          <w:szCs w:val="20"/>
          <w:color w:val="auto"/>
        </w:rPr>
      </w:pPr>
    </w:p>
    <w:p>
      <w:pPr>
        <w:ind w:left="1360" w:right="1500" w:firstLine="40"/>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Section 15.12. Submission to Jurisdiction; Waivers; Etc. </w:t>
      </w:r>
      <w:r>
        <w:rPr>
          <w:rFonts w:ascii="Times New Roman" w:cs="Times New Roman" w:eastAsia="Times New Roman" w:hAnsi="Times New Roman"/>
          <w:sz w:val="16"/>
          <w:szCs w:val="16"/>
          <w:color w:val="auto"/>
        </w:rPr>
        <w:t>Each party hereto hereby irrevocably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unconditionally:</w:t>
      </w:r>
    </w:p>
    <w:p>
      <w:pPr>
        <w:spacing w:after="0" w:line="128" w:lineRule="exact"/>
        <w:rPr>
          <w:sz w:val="20"/>
          <w:szCs w:val="20"/>
          <w:color w:val="auto"/>
        </w:rPr>
      </w:pPr>
    </w:p>
    <w:p>
      <w:pPr>
        <w:ind w:left="1840" w:right="1400" w:firstLine="44"/>
        <w:spacing w:after="0" w:line="256" w:lineRule="auto"/>
        <w:tabs>
          <w:tab w:leader="none" w:pos="210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submits for itself and its property in any legal action or proceeding relating to this Agreement or the other Facility Documents to which it is a party, or for recognition and enforcement of any judgment in respect thereof, to the exclusive general jurisdiction of the courts of the State of New York, County of New York, the courts of the United States of America for the Southern District of New York, and the appellate courts of any of them;</w:t>
      </w:r>
    </w:p>
    <w:p>
      <w:pPr>
        <w:spacing w:after="0" w:line="154" w:lineRule="exact"/>
        <w:rPr>
          <w:rFonts w:ascii="Times New Roman" w:cs="Times New Roman" w:eastAsia="Times New Roman" w:hAnsi="Times New Roman"/>
          <w:sz w:val="16"/>
          <w:szCs w:val="16"/>
          <w:color w:val="auto"/>
        </w:rPr>
      </w:pPr>
    </w:p>
    <w:p>
      <w:pPr>
        <w:ind w:left="1840" w:right="1400" w:firstLine="44"/>
        <w:spacing w:after="0" w:line="258" w:lineRule="auto"/>
        <w:tabs>
          <w:tab w:leader="none" w:pos="2109"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consents that any such action or proceeding may be brought in any court described in Section 15.12(a) and waives to the fullest extent permitted by Applicable Law any objection that it may now or hereafter have to the venue of any such action or proceeding in any such court or that such action or proceeding was brought in an inconvenient court and agrees not to plead or claim the same;</w:t>
      </w:r>
    </w:p>
    <w:p>
      <w:pPr>
        <w:spacing w:after="0" w:line="151" w:lineRule="exact"/>
        <w:rPr>
          <w:rFonts w:ascii="Times New Roman" w:cs="Times New Roman" w:eastAsia="Times New Roman" w:hAnsi="Times New Roman"/>
          <w:sz w:val="16"/>
          <w:szCs w:val="16"/>
          <w:color w:val="auto"/>
        </w:rPr>
      </w:pPr>
    </w:p>
    <w:p>
      <w:pPr>
        <w:ind w:left="1840" w:right="1380" w:firstLine="44"/>
        <w:spacing w:after="0" w:line="261" w:lineRule="auto"/>
        <w:tabs>
          <w:tab w:leader="none" w:pos="210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that service of process in any such action or proceeding may be effected by mailing a copy thereof by registered or certified mail (or any substantially similar form of mail), postage prepaid, to such party at its address set forth in Section 15.02 or at such other address as may be permitted thereunder;</w:t>
      </w:r>
    </w:p>
    <w:p>
      <w:pPr>
        <w:spacing w:after="0" w:line="148" w:lineRule="exact"/>
        <w:rPr>
          <w:rFonts w:ascii="Times New Roman" w:cs="Times New Roman" w:eastAsia="Times New Roman" w:hAnsi="Times New Roman"/>
          <w:sz w:val="16"/>
          <w:szCs w:val="16"/>
          <w:color w:val="auto"/>
        </w:rPr>
      </w:pPr>
    </w:p>
    <w:p>
      <w:pPr>
        <w:ind w:left="1840" w:right="1700" w:firstLine="44"/>
        <w:spacing w:after="0" w:line="283" w:lineRule="auto"/>
        <w:tabs>
          <w:tab w:leader="none" w:pos="2109"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that nothing herein shall affect the right to effect service of process in any other manner permitted by law; and</w:t>
      </w:r>
    </w:p>
    <w:p>
      <w:pPr>
        <w:spacing w:after="0" w:line="131" w:lineRule="exact"/>
        <w:rPr>
          <w:rFonts w:ascii="Times New Roman" w:cs="Times New Roman" w:eastAsia="Times New Roman" w:hAnsi="Times New Roman"/>
          <w:sz w:val="16"/>
          <w:szCs w:val="16"/>
          <w:color w:val="auto"/>
        </w:rPr>
      </w:pPr>
    </w:p>
    <w:p>
      <w:pPr>
        <w:ind w:left="1840" w:right="1460" w:firstLine="44"/>
        <w:spacing w:after="0" w:line="256" w:lineRule="auto"/>
        <w:tabs>
          <w:tab w:leader="none" w:pos="210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waives, to the maximum extent not prohibited by law, any right it may have to claim or recover in any legal action or proceeding against any Secured Party arising out of or relating to this Agreement or any other Facility Document any special, exemplary, indirect, punitive or consequential damages (as opposed to direct or actual damages) (whether or not the claim therefor is based on contract, tort or duty imposed by any applicable legal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642620</wp:posOffset>
            </wp:positionV>
            <wp:extent cx="526605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72" w:name="page273"/>
    <w:bookmarkEnd w:id="272"/>
    <w:p>
      <w:pPr>
        <w:spacing w:after="0" w:line="268" w:lineRule="exact"/>
        <w:rPr>
          <w:sz w:val="20"/>
          <w:szCs w:val="20"/>
          <w:color w:val="auto"/>
        </w:rPr>
      </w:pPr>
    </w:p>
    <w:p>
      <w:pPr>
        <w:ind w:left="1360" w:right="1480" w:firstLine="40"/>
        <w:spacing w:after="0" w:line="268" w:lineRule="auto"/>
        <w:rPr>
          <w:sz w:val="20"/>
          <w:szCs w:val="20"/>
          <w:color w:val="auto"/>
        </w:rPr>
      </w:pPr>
      <w:r>
        <w:rPr>
          <w:rFonts w:ascii="Times New Roman" w:cs="Times New Roman" w:eastAsia="Times New Roman" w:hAnsi="Times New Roman"/>
          <w:sz w:val="16"/>
          <w:szCs w:val="16"/>
          <w:i w:val="1"/>
          <w:iCs w:val="1"/>
          <w:color w:val="auto"/>
        </w:rPr>
        <w:t>Section 15.13. Waiver of Jury Trial</w:t>
      </w:r>
      <w:r>
        <w:rPr>
          <w:rFonts w:ascii="Times New Roman" w:cs="Times New Roman" w:eastAsia="Times New Roman" w:hAnsi="Times New Roman"/>
          <w:sz w:val="16"/>
          <w:szCs w:val="16"/>
          <w:color w:val="auto"/>
        </w:rPr>
        <w:t>. Each of the parties hereto hereby irrevocably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unconditionally waives trial by jury in any legal action or proceeding relating to this Agreement or any other Facility Document or for any counterclaim therein or relating thereto.</w:t>
      </w:r>
    </w:p>
    <w:p>
      <w:pPr>
        <w:spacing w:after="0" w:line="140" w:lineRule="exact"/>
        <w:rPr>
          <w:sz w:val="20"/>
          <w:szCs w:val="20"/>
          <w:color w:val="auto"/>
        </w:rPr>
      </w:pPr>
    </w:p>
    <w:p>
      <w:pPr>
        <w:ind w:left="1360" w:right="1380" w:firstLine="40"/>
        <w:spacing w:after="0" w:line="262" w:lineRule="auto"/>
        <w:rPr>
          <w:sz w:val="20"/>
          <w:szCs w:val="20"/>
          <w:color w:val="auto"/>
        </w:rPr>
      </w:pPr>
      <w:r>
        <w:rPr>
          <w:rFonts w:ascii="Times New Roman" w:cs="Times New Roman" w:eastAsia="Times New Roman" w:hAnsi="Times New Roman"/>
          <w:sz w:val="16"/>
          <w:szCs w:val="16"/>
          <w:i w:val="1"/>
          <w:iCs w:val="1"/>
          <w:color w:val="auto"/>
        </w:rPr>
        <w:t>Section 15.14. Service of Process</w:t>
      </w:r>
      <w:r>
        <w:rPr>
          <w:rFonts w:ascii="Times New Roman" w:cs="Times New Roman" w:eastAsia="Times New Roman" w:hAnsi="Times New Roman"/>
          <w:sz w:val="16"/>
          <w:szCs w:val="16"/>
          <w:color w:val="auto"/>
        </w:rPr>
        <w:t>. If the Borrower fails at any time to maintain a business office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within the State of New York, it shall immediately (but no later than five (5) Business Days following such occurrence) (i) notify the Administrative Agent and (ii) appoint a process agent in accordance with the procedure set forth below.</w:t>
      </w:r>
    </w:p>
    <w:p>
      <w:pPr>
        <w:spacing w:after="0" w:line="145" w:lineRule="exact"/>
        <w:rPr>
          <w:sz w:val="20"/>
          <w:szCs w:val="20"/>
          <w:color w:val="auto"/>
        </w:rPr>
      </w:pPr>
    </w:p>
    <w:p>
      <w:pPr>
        <w:ind w:left="1360" w:right="1360" w:firstLine="484"/>
        <w:spacing w:after="0" w:line="251" w:lineRule="auto"/>
        <w:rPr>
          <w:sz w:val="20"/>
          <w:szCs w:val="20"/>
          <w:color w:val="auto"/>
        </w:rPr>
      </w:pPr>
      <w:r>
        <w:rPr>
          <w:rFonts w:ascii="Times New Roman" w:cs="Times New Roman" w:eastAsia="Times New Roman" w:hAnsi="Times New Roman"/>
          <w:sz w:val="16"/>
          <w:szCs w:val="16"/>
          <w:color w:val="auto"/>
        </w:rPr>
        <w:t xml:space="preserve">The Borrower shall irrevocably designate, appoint and empower an agent (the </w:t>
      </w:r>
      <w:r>
        <w:rPr>
          <w:rFonts w:ascii="Times New Roman" w:cs="Times New Roman" w:eastAsia="Times New Roman" w:hAnsi="Times New Roman"/>
          <w:sz w:val="16"/>
          <w:szCs w:val="16"/>
          <w:i w:val="1"/>
          <w:iCs w:val="1"/>
          <w:color w:val="auto"/>
        </w:rPr>
        <w:t>“Process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Agent”</w:t>
      </w:r>
      <w:r>
        <w:rPr>
          <w:rFonts w:ascii="Times New Roman" w:cs="Times New Roman" w:eastAsia="Times New Roman" w:hAnsi="Times New Roman"/>
          <w:sz w:val="16"/>
          <w:szCs w:val="16"/>
          <w:color w:val="auto"/>
        </w:rPr>
        <w:t>), with an office in New York, New York, as its designee, appointee and agent to receive,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accept and acknowledge for and on its behalf, and its properties, assets and revenues, service for any and all legal process, summons, notices and documents which may be served in any action, suit or proceeding brought in the courts listed in Section 15.12 in connection with or arising out of this Agreement or any other Facility Document. If for any reason the Process Agent shall cease to act as such and the Borrower does not at such time have a business office within the State of New York, the Borrower agrees to promptly designate new designees, appointees and agents in New York, New York on the terms and for the purposes of this Section 15.14 satisfactory to the Administrative Agent, which new designees, appointees and agents shall thereafter be deemed to be the Process Agent for all purposes of this Agreement and the other Facility Documents. The Borrower further hereby irrevocably consents and agrees to the service of any and all legal process, summons, notices and documents out of any of the aforesaid courts in any such action, suit or proceeding by serving a copy thereof upon the Process Agent (whether or not the appointment of the Process Agent shall for any reason prove to be ineffective or the Process Agent shall accept or acknowledge such service) or by mailing copies thereof by regular or overnight mail, postage prepaid, to the Process Agent at its address specified above in this Section 15.14. The Borrower agrees that the failure of the Process Agent to give any notice of such service to it shall not impair or affect in any way the validity of such service or any judgment rendered in any action or proceeding based thereon. Nothing herein shall in any way be deemed to limit the ability of any Secured Party to serve any such legal process, summons, notices and documents in any other manner permitted by Applicable Law or to obtain jurisdiction over the Borrower or bring actions, suits or proceedings against the Borrower in such other jurisdictions, and in a manner, as may be permitted by Applicable Law. The Borrower hereby irrevocably and unconditionally waives any objection which it may now or hereafter have to the laying of venue of any of the aforesaid actions, suits or proceedings arising out of or in connection with this Agreement or any other Facility Document brought in the court chosen by any Secured Party and hereby further irrevocably and unconditionally waives and agrees not to plead or claim in any such court that any such action, suit or proceeding brought in any such court has been brought in an inconvenient forum.</w:t>
      </w:r>
    </w:p>
    <w:p>
      <w:pPr>
        <w:spacing w:after="0" w:line="160" w:lineRule="exact"/>
        <w:rPr>
          <w:sz w:val="20"/>
          <w:szCs w:val="20"/>
          <w:color w:val="auto"/>
        </w:rPr>
      </w:pPr>
    </w:p>
    <w:p>
      <w:pPr>
        <w:ind w:left="1360" w:right="1480" w:firstLine="40"/>
        <w:spacing w:after="0" w:line="268" w:lineRule="auto"/>
        <w:rPr>
          <w:sz w:val="20"/>
          <w:szCs w:val="20"/>
          <w:color w:val="auto"/>
        </w:rPr>
      </w:pPr>
      <w:r>
        <w:rPr>
          <w:rFonts w:ascii="Times New Roman" w:cs="Times New Roman" w:eastAsia="Times New Roman" w:hAnsi="Times New Roman"/>
          <w:sz w:val="16"/>
          <w:szCs w:val="16"/>
          <w:i w:val="1"/>
          <w:iCs w:val="1"/>
          <w:color w:val="auto"/>
        </w:rPr>
        <w:t>Section 15.15. Waiver of Setoff</w:t>
      </w:r>
      <w:r>
        <w:rPr>
          <w:rFonts w:ascii="Times New Roman" w:cs="Times New Roman" w:eastAsia="Times New Roman" w:hAnsi="Times New Roman"/>
          <w:sz w:val="16"/>
          <w:szCs w:val="16"/>
          <w:color w:val="auto"/>
        </w:rPr>
        <w:t>. Each of the Borrowers and the Collateral Manager hereby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waives any right of setoff it may have or to which it may be entitled under this Agreement from time to time against any Lender or its assets.</w:t>
      </w:r>
    </w:p>
    <w:p>
      <w:pPr>
        <w:spacing w:after="0" w:line="140" w:lineRule="exact"/>
        <w:rPr>
          <w:sz w:val="20"/>
          <w:szCs w:val="20"/>
          <w:color w:val="auto"/>
        </w:rPr>
      </w:pPr>
    </w:p>
    <w:p>
      <w:pPr>
        <w:ind w:left="1360" w:right="1620" w:firstLine="40"/>
        <w:spacing w:after="0" w:line="286" w:lineRule="auto"/>
        <w:rPr>
          <w:sz w:val="20"/>
          <w:szCs w:val="20"/>
          <w:color w:val="auto"/>
        </w:rPr>
      </w:pPr>
      <w:r>
        <w:rPr>
          <w:rFonts w:ascii="Times New Roman" w:cs="Times New Roman" w:eastAsia="Times New Roman" w:hAnsi="Times New Roman"/>
          <w:sz w:val="16"/>
          <w:szCs w:val="16"/>
          <w:i w:val="1"/>
          <w:iCs w:val="1"/>
          <w:color w:val="auto"/>
        </w:rPr>
        <w:t>Section 15.16. PATRIOT Act Notice</w:t>
      </w:r>
      <w:r>
        <w:rPr>
          <w:rFonts w:ascii="Times New Roman" w:cs="Times New Roman" w:eastAsia="Times New Roman" w:hAnsi="Times New Roman"/>
          <w:sz w:val="16"/>
          <w:szCs w:val="16"/>
          <w:color w:val="auto"/>
        </w:rPr>
        <w:t>. Each Lender and each of the Administrative Agent,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Collateral Agent, the Custodian and the Backup Collateral Manager hereby notifies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626745</wp:posOffset>
            </wp:positionV>
            <wp:extent cx="526605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73" w:name="page274"/>
    <w:bookmarkEnd w:id="273"/>
    <w:p>
      <w:pPr>
        <w:spacing w:after="0" w:line="2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Borrower that pursuant to the requirements of the USA PATRIOT Act (Title III of Pub. L.</w:t>
      </w:r>
    </w:p>
    <w:p>
      <w:pPr>
        <w:spacing w:after="0" w:line="20" w:lineRule="exact"/>
        <w:rPr>
          <w:sz w:val="20"/>
          <w:szCs w:val="20"/>
          <w:color w:val="auto"/>
        </w:rPr>
      </w:pPr>
    </w:p>
    <w:p>
      <w:pPr>
        <w:ind w:left="1360" w:right="1440"/>
        <w:spacing w:after="0" w:line="193" w:lineRule="exact"/>
        <w:rPr>
          <w:sz w:val="20"/>
          <w:szCs w:val="20"/>
          <w:color w:val="auto"/>
        </w:rPr>
      </w:pPr>
      <w:r>
        <w:rPr>
          <w:rFonts w:ascii="Times New Roman" w:cs="Times New Roman" w:eastAsia="Times New Roman" w:hAnsi="Times New Roman"/>
          <w:sz w:val="16"/>
          <w:szCs w:val="16"/>
          <w:color w:val="auto"/>
        </w:rPr>
        <w:t>107</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56 (signed into law on October 26, 2001)) (the </w:t>
      </w:r>
      <w:r>
        <w:rPr>
          <w:rFonts w:ascii="Times New Roman" w:cs="Times New Roman" w:eastAsia="Times New Roman" w:hAnsi="Times New Roman"/>
          <w:sz w:val="16"/>
          <w:szCs w:val="16"/>
          <w:i w:val="1"/>
          <w:iCs w:val="1"/>
          <w:color w:val="auto"/>
        </w:rPr>
        <w:t>“PATRIOT Act”</w:t>
      </w:r>
      <w:r>
        <w:rPr>
          <w:rFonts w:ascii="Times New Roman" w:cs="Times New Roman" w:eastAsia="Times New Roman" w:hAnsi="Times New Roman"/>
          <w:sz w:val="16"/>
          <w:szCs w:val="16"/>
          <w:color w:val="auto"/>
        </w:rPr>
        <w:t>), it is required to obtain, verify and record information that identifies the Borrower, which information includes the name and address of the Borrower and other information that will allow the Lenders to identify the Borrower in accordance with the PATRIOT Act. The Borrower shall provide to the extent commercially reasonable, such information and take such actions as are reasonably requested by any Lender in order to assist such Lender in maintaining compliance with the PATRIOT Act.</w:t>
      </w:r>
    </w:p>
    <w:p>
      <w:pPr>
        <w:spacing w:after="0" w:line="163" w:lineRule="exact"/>
        <w:rPr>
          <w:sz w:val="20"/>
          <w:szCs w:val="20"/>
          <w:color w:val="auto"/>
        </w:rPr>
      </w:pPr>
    </w:p>
    <w:p>
      <w:pPr>
        <w:ind w:left="1360" w:right="1380" w:firstLine="40"/>
        <w:spacing w:after="0" w:line="256" w:lineRule="auto"/>
        <w:rPr>
          <w:sz w:val="20"/>
          <w:szCs w:val="20"/>
          <w:color w:val="auto"/>
        </w:rPr>
      </w:pPr>
      <w:r>
        <w:rPr>
          <w:rFonts w:ascii="Times New Roman" w:cs="Times New Roman" w:eastAsia="Times New Roman" w:hAnsi="Times New Roman"/>
          <w:sz w:val="16"/>
          <w:szCs w:val="16"/>
          <w:i w:val="1"/>
          <w:iCs w:val="1"/>
          <w:color w:val="auto"/>
        </w:rPr>
        <w:t>Section 15.17. Legal Holidays</w:t>
      </w:r>
      <w:r>
        <w:rPr>
          <w:rFonts w:ascii="Times New Roman" w:cs="Times New Roman" w:eastAsia="Times New Roman" w:hAnsi="Times New Roman"/>
          <w:sz w:val="16"/>
          <w:szCs w:val="16"/>
          <w:color w:val="auto"/>
        </w:rPr>
        <w:t>. In the event that the date of any Payment Date, date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prepayment or Final Maturity Date shall not be a Business Day, then notwithstanding any other provision of this Agreement or any Facility Document, payment need not be made on such date, but may be made on the next succeeding Business Day with the same force and effect as if made on the nominal date of any such Payment Date, date of prepayment or Final Maturity Date, as the case may be, and interest shall accrue on such payment for the period from and after any such nominal date to but excluding such next succeeding Business Day.</w:t>
      </w:r>
    </w:p>
    <w:p>
      <w:pPr>
        <w:spacing w:after="0" w:line="136" w:lineRule="exact"/>
        <w:rPr>
          <w:sz w:val="20"/>
          <w:szCs w:val="20"/>
          <w:color w:val="auto"/>
        </w:rPr>
      </w:pPr>
    </w:p>
    <w:p>
      <w:pPr>
        <w:ind w:left="1360" w:right="1440" w:firstLine="40"/>
        <w:spacing w:after="0" w:line="196" w:lineRule="exact"/>
        <w:rPr>
          <w:sz w:val="20"/>
          <w:szCs w:val="20"/>
          <w:color w:val="auto"/>
        </w:rPr>
      </w:pPr>
      <w:r>
        <w:rPr>
          <w:rFonts w:ascii="Times New Roman" w:cs="Times New Roman" w:eastAsia="Times New Roman" w:hAnsi="Times New Roman"/>
          <w:sz w:val="16"/>
          <w:szCs w:val="16"/>
          <w:i w:val="1"/>
          <w:iCs w:val="1"/>
          <w:color w:val="auto"/>
        </w:rPr>
        <w:t>Section 15.18.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Petition</w:t>
      </w:r>
      <w:r>
        <w:rPr>
          <w:rFonts w:ascii="Times New Roman" w:cs="Times New Roman" w:eastAsia="Times New Roman" w:hAnsi="Times New Roman"/>
          <w:sz w:val="16"/>
          <w:szCs w:val="16"/>
          <w:color w:val="auto"/>
        </w:rPr>
        <w:t>. The Collateral Manager, the Collateral Agent, the Collateral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Administrator, the Backup Collateral Manager and the Custodian each hereby agrees not to institute against, or join, cooperate with or encourage any other Person in instituting against, the Borrower any bankruptcy, reorganization, receivership, arrangement, insolvency, moratorium or liquidation proceedings or other proceedings under federal or state bankruptcy or similar laws until at least one year and one day, or if longer the applicable preference period then in effect plus one day, after the payment in full of the Advances and the termination of all Commitments. The provisions of this Section 15.18 shall survive the termination of this Agreement.</w:t>
      </w:r>
    </w:p>
    <w:p>
      <w:pPr>
        <w:spacing w:after="0" w:line="165" w:lineRule="exact"/>
        <w:rPr>
          <w:sz w:val="20"/>
          <w:szCs w:val="20"/>
          <w:color w:val="auto"/>
        </w:rPr>
      </w:pPr>
    </w:p>
    <w:p>
      <w:pPr>
        <w:ind w:left="1360" w:right="1360" w:firstLine="40"/>
        <w:spacing w:after="0" w:line="253" w:lineRule="auto"/>
        <w:rPr>
          <w:sz w:val="20"/>
          <w:szCs w:val="20"/>
          <w:color w:val="auto"/>
        </w:rPr>
      </w:pPr>
      <w:r>
        <w:rPr>
          <w:rFonts w:ascii="Times New Roman" w:cs="Times New Roman" w:eastAsia="Times New Roman" w:hAnsi="Times New Roman"/>
          <w:sz w:val="16"/>
          <w:szCs w:val="16"/>
          <w:i w:val="1"/>
          <w:iCs w:val="1"/>
          <w:color w:val="auto"/>
        </w:rPr>
        <w:t>Section 15.19. CP Conduit Provisions</w:t>
      </w:r>
      <w:r>
        <w:rPr>
          <w:rFonts w:ascii="Times New Roman" w:cs="Times New Roman" w:eastAsia="Times New Roman" w:hAnsi="Times New Roman"/>
          <w:sz w:val="16"/>
          <w:szCs w:val="16"/>
          <w:color w:val="auto"/>
        </w:rPr>
        <w:t>. (a)</w:t>
      </w:r>
      <w:r>
        <w:rPr>
          <w:rFonts w:ascii="Times New Roman" w:cs="Times New Roman" w:eastAsia="Times New Roman" w:hAnsi="Times New Roman"/>
          <w:sz w:val="16"/>
          <w:szCs w:val="16"/>
          <w:i w:val="1"/>
          <w:iCs w:val="1"/>
          <w:color w:val="auto"/>
        </w:rPr>
        <w:t xml:space="preserve"> No Proceedings</w:t>
      </w:r>
      <w:r>
        <w:rPr>
          <w:rFonts w:ascii="Times New Roman" w:cs="Times New Roman" w:eastAsia="Times New Roman" w:hAnsi="Times New Roman"/>
          <w:sz w:val="16"/>
          <w:szCs w:val="16"/>
          <w:color w:val="auto"/>
        </w:rPr>
        <w:t>. Each party hereto agrees,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benefit of the holders of the privately or publicly placed indebtedness for borrowed money of any CP Conduit party hereto, to not, prior to the date which is one year and one day after the payment in full of all such indebtedness, acquiesce, petition or otherwise, directly or indirectly, invoke, or cause such CP Conduit to invoke, the process of any governmental authority for the purpose of (i) commencing or sustaining a case against such CP Conduit under any federal or state bankruptcy, insolvency or similar law (including the Bankruptcy Code), (ii) appointing a receiver, liquidator, assignee, trustee, custodian, sequestrator or other similar official for such CP Conduit, or any substantial part of its property, or (iii) ordering the winding up or liquidation of the affairs of such CP Conduit. The provisions of this Section 15.19(a) shall survive the termination of this Agreement.</w:t>
      </w:r>
    </w:p>
    <w:p>
      <w:pPr>
        <w:spacing w:after="0" w:line="157" w:lineRule="exact"/>
        <w:rPr>
          <w:sz w:val="20"/>
          <w:szCs w:val="20"/>
          <w:color w:val="auto"/>
        </w:rPr>
      </w:pPr>
    </w:p>
    <w:p>
      <w:pPr>
        <w:ind w:left="1360" w:right="1420" w:firstLine="40"/>
        <w:spacing w:after="0" w:line="254" w:lineRule="auto"/>
        <w:tabs>
          <w:tab w:leader="none" w:pos="1633"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Excess Funds</w:t>
      </w:r>
      <w:r>
        <w:rPr>
          <w:rFonts w:ascii="Times New Roman" w:cs="Times New Roman" w:eastAsia="Times New Roman" w:hAnsi="Times New Roman"/>
          <w:sz w:val="16"/>
          <w:szCs w:val="16"/>
          <w:color w:val="auto"/>
        </w:rPr>
        <w:t>. Notwithstanding any provisions contained in this Agreement to the contrary,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 CP Conduit party hereto shall, nor shall be obligated to, pay any amount pursuant to this Agreement unless (i) such CP Conduit has received funds which may be used to make such payment and which funds are not required to repay its commercial paper notes when due and (ii) after giving effect to such payment, either (x) such CP Conduit could issue commercial paper notes to refinance all of its outstanding commercial paper notes (assuming such outstanding commercial paper notes matured at such time) in accordance with the program documents governing its securitization program or (y) all of such CP Conduit’s commercial paper notes are paid in full. Any amount which such CP Conduit does not pay pursuant to the operation of the preceding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642620</wp:posOffset>
            </wp:positionV>
            <wp:extent cx="526605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74" w:name="page275"/>
    <w:bookmarkEnd w:id="274"/>
    <w:p>
      <w:pPr>
        <w:spacing w:after="0" w:line="270" w:lineRule="exact"/>
        <w:rPr>
          <w:sz w:val="20"/>
          <w:szCs w:val="20"/>
          <w:color w:val="auto"/>
        </w:rPr>
      </w:pPr>
    </w:p>
    <w:p>
      <w:pPr>
        <w:ind w:left="1360" w:right="1520"/>
        <w:spacing w:after="0" w:line="254" w:lineRule="auto"/>
        <w:rPr>
          <w:sz w:val="20"/>
          <w:szCs w:val="20"/>
          <w:color w:val="auto"/>
        </w:rPr>
      </w:pPr>
      <w:r>
        <w:rPr>
          <w:rFonts w:ascii="Times New Roman" w:cs="Times New Roman" w:eastAsia="Times New Roman" w:hAnsi="Times New Roman"/>
          <w:sz w:val="16"/>
          <w:szCs w:val="16"/>
          <w:color w:val="auto"/>
        </w:rPr>
        <w:t>sentence will not constitute a claim (as defined in § 101 of the Bankruptcy Code) against or obligation of such CP Conduit for any such insufficiency unless and until such CP Conduit satisfies the provisions of clauses (i) and (ii) above. Notwithstanding the foregoing, if such CP Conduit would (but for the operation of this Section 15.19) be obligated to fund any Advance hereunder, or make any other payment hereunder (including, without limitation, under Section</w:t>
      </w:r>
    </w:p>
    <w:p>
      <w:pPr>
        <w:spacing w:after="0" w:line="3" w:lineRule="exact"/>
        <w:rPr>
          <w:sz w:val="20"/>
          <w:szCs w:val="20"/>
          <w:color w:val="auto"/>
        </w:rPr>
      </w:pPr>
    </w:p>
    <w:p>
      <w:pPr>
        <w:ind w:left="1360" w:right="1360"/>
        <w:spacing w:after="0" w:line="252" w:lineRule="auto"/>
        <w:rPr>
          <w:sz w:val="20"/>
          <w:szCs w:val="20"/>
          <w:color w:val="auto"/>
        </w:rPr>
      </w:pPr>
      <w:r>
        <w:rPr>
          <w:rFonts w:ascii="Times New Roman" w:cs="Times New Roman" w:eastAsia="Times New Roman" w:hAnsi="Times New Roman"/>
          <w:sz w:val="16"/>
          <w:szCs w:val="16"/>
          <w:color w:val="auto"/>
        </w:rPr>
        <w:t>12.04), it shall cause its Liquidity Banks to fund such Advances, or make such payments, directly to the Borrower or to the other Persons entitled hereunder to receive such funds (and, by their execution and delivery hereof, the applicable Liquidity Banks hereby expressly agree to make such payments). The provisions of this Section 15.19(b) will survive the termination of this Agreement.</w:t>
      </w:r>
    </w:p>
    <w:p>
      <w:pPr>
        <w:spacing w:after="0" w:line="154" w:lineRule="exact"/>
        <w:rPr>
          <w:sz w:val="20"/>
          <w:szCs w:val="20"/>
          <w:color w:val="auto"/>
        </w:rPr>
      </w:pPr>
    </w:p>
    <w:p>
      <w:pPr>
        <w:ind w:left="1360" w:right="1340" w:firstLine="40"/>
        <w:spacing w:after="0" w:line="252" w:lineRule="auto"/>
        <w:tabs>
          <w:tab w:leader="none" w:pos="1622"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Funding</w:t>
      </w:r>
      <w:r>
        <w:rPr>
          <w:rFonts w:ascii="Times New Roman" w:cs="Times New Roman" w:eastAsia="Times New Roman" w:hAnsi="Times New Roman"/>
          <w:sz w:val="16"/>
          <w:szCs w:val="16"/>
          <w:color w:val="auto"/>
        </w:rPr>
        <w:t>. For the avoidance of doubt, Mountcliff Funding LLC (</w:t>
      </w:r>
      <w:r>
        <w:rPr>
          <w:rFonts w:ascii="Times New Roman" w:cs="Times New Roman" w:eastAsia="Times New Roman" w:hAnsi="Times New Roman"/>
          <w:sz w:val="16"/>
          <w:szCs w:val="16"/>
          <w:i w:val="1"/>
          <w:iCs w:val="1"/>
          <w:color w:val="auto"/>
        </w:rPr>
        <w:t>“Mountcliff”</w:t>
      </w:r>
      <w:r>
        <w:rPr>
          <w:rFonts w:ascii="Times New Roman" w:cs="Times New Roman" w:eastAsia="Times New Roman" w:hAnsi="Times New Roman"/>
          <w:sz w:val="16"/>
          <w:szCs w:val="16"/>
          <w:color w:val="auto"/>
        </w:rPr>
        <w:t>) shall be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related CP Conduit for Société Générale (</w:t>
      </w:r>
      <w:r>
        <w:rPr>
          <w:rFonts w:ascii="Times New Roman" w:cs="Times New Roman" w:eastAsia="Times New Roman" w:hAnsi="Times New Roman"/>
          <w:sz w:val="16"/>
          <w:szCs w:val="16"/>
          <w:i w:val="1"/>
          <w:iCs w:val="1"/>
          <w:color w:val="auto"/>
        </w:rPr>
        <w:t>“SG”</w:t>
      </w:r>
      <w:r>
        <w:rPr>
          <w:rFonts w:ascii="Times New Roman" w:cs="Times New Roman" w:eastAsia="Times New Roman" w:hAnsi="Times New Roman"/>
          <w:sz w:val="16"/>
          <w:szCs w:val="16"/>
          <w:color w:val="auto"/>
        </w:rPr>
        <w:t>) with respect to Syndicated Advances denominated in Dollars. Mountcliff’s making, funding or maintaining any such Dollar-denominated Syndicated Advance shall satisfy SG’s Commitment to make, fund or maintain such Syndicated Advance, and SG’s unfunded Commitment shall be reduced by the principal amount of Mountcliff’s Syndicated Advances. Notwithstanding the otherwise-applicable restrictions on assignment set forth in Section 15.06(a), without the consent of any Person other than SG and Mountcliff and without delivering an Assignment and Acceptance or any new or additional tax forms, (i) SG may, with the consent of Mountcliff, at any time assign to Mountcliff all or any portion of SG’s Dollar-denominated Syndicated Advances, together with SG’s rights (including, without limitation, the right to receive payments of principal and interest thereon) and obligations with respect thereto, and (ii) Mountcliff may, with the consent of SG or pursuant to any purchase commitment made by SG to Mountcliff, at any time assign to SG all or any portion of Mountcliff’s Dollar-denominated Syndicated Advances, together with Mountcliff’s rights (including, without limitation, the right to receive payments of principal and interest thereon) and obligations with respect thereto. Promptly following any such assignment by SG to Mountcliff or by Mountcliff to SG, as the case may be, SG shall notify the Administrative Agent of such assignment and principal amount of Syndicated Advances so assigned, and the Administrative Agent shall record such assignment in the Register pursuant to Section 15.06(d).</w:t>
      </w:r>
    </w:p>
    <w:p>
      <w:pPr>
        <w:spacing w:after="0" w:line="153" w:lineRule="exact"/>
        <w:rPr>
          <w:sz w:val="20"/>
          <w:szCs w:val="20"/>
          <w:color w:val="auto"/>
        </w:rPr>
      </w:pPr>
    </w:p>
    <w:p>
      <w:pPr>
        <w:ind w:left="1360" w:right="1460" w:firstLine="525"/>
        <w:spacing w:after="0" w:line="268" w:lineRule="auto"/>
        <w:rPr>
          <w:sz w:val="20"/>
          <w:szCs w:val="20"/>
          <w:color w:val="auto"/>
        </w:rPr>
      </w:pPr>
      <w:r>
        <w:rPr>
          <w:rFonts w:ascii="Times New Roman" w:cs="Times New Roman" w:eastAsia="Times New Roman" w:hAnsi="Times New Roman"/>
          <w:sz w:val="16"/>
          <w:szCs w:val="16"/>
          <w:i w:val="1"/>
          <w:iCs w:val="1"/>
          <w:color w:val="auto"/>
        </w:rPr>
        <w:t>Section 15.20. Third Party Beneficiary</w:t>
      </w:r>
      <w:r>
        <w:rPr>
          <w:rFonts w:ascii="Times New Roman" w:cs="Times New Roman" w:eastAsia="Times New Roman" w:hAnsi="Times New Roman"/>
          <w:sz w:val="16"/>
          <w:szCs w:val="16"/>
          <w:color w:val="auto"/>
        </w:rPr>
        <w:t>. The BDC shall be an express third party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beneficiary of this Agreement with a right to enforce the provisions of Section 9.01 that inure to its benefit.</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i w:val="1"/>
          <w:iCs w:val="1"/>
          <w:color w:val="auto"/>
        </w:rPr>
        <w:t>Section 15.21. Reserved</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left="1360" w:right="1380" w:firstLine="40"/>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Section 15.22. No Fiduciary Duty. </w:t>
      </w:r>
      <w:r>
        <w:rPr>
          <w:rFonts w:ascii="Times New Roman" w:cs="Times New Roman" w:eastAsia="Times New Roman" w:hAnsi="Times New Roman"/>
          <w:sz w:val="16"/>
          <w:szCs w:val="16"/>
          <w:color w:val="auto"/>
        </w:rPr>
        <w:t>The Administrative Agent, each Lender and their Affiliates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(collectively, solely for purposes of this paragraph, the </w:t>
      </w:r>
      <w:r>
        <w:rPr>
          <w:rFonts w:ascii="Times New Roman" w:cs="Times New Roman" w:eastAsia="Times New Roman" w:hAnsi="Times New Roman"/>
          <w:sz w:val="16"/>
          <w:szCs w:val="16"/>
          <w:i w:val="1"/>
          <w:iCs w:val="1"/>
          <w:color w:val="auto"/>
        </w:rPr>
        <w:t>“Lenders”</w:t>
      </w:r>
      <w:r>
        <w:rPr>
          <w:rFonts w:ascii="Times New Roman" w:cs="Times New Roman" w:eastAsia="Times New Roman" w:hAnsi="Times New Roman"/>
          <w:sz w:val="16"/>
          <w:szCs w:val="16"/>
          <w:color w:val="auto"/>
        </w:rPr>
        <w:t xml:space="preserve">), may have economic interests that conflict with those of the Credit Parties, their stockholders and/or their affiliates. The Borrower, the Collateral Manager and the BDC (collectively, solely for purposes of this paragraph, the </w:t>
      </w:r>
      <w:r>
        <w:rPr>
          <w:rFonts w:ascii="Times New Roman" w:cs="Times New Roman" w:eastAsia="Times New Roman" w:hAnsi="Times New Roman"/>
          <w:sz w:val="16"/>
          <w:szCs w:val="16"/>
          <w:i w:val="1"/>
          <w:iCs w:val="1"/>
          <w:color w:val="auto"/>
        </w:rPr>
        <w:t>“Credit Parties”</w:t>
      </w:r>
      <w:r>
        <w:rPr>
          <w:rFonts w:ascii="Times New Roman" w:cs="Times New Roman" w:eastAsia="Times New Roman" w:hAnsi="Times New Roman"/>
          <w:sz w:val="16"/>
          <w:szCs w:val="16"/>
          <w:color w:val="auto"/>
        </w:rPr>
        <w:t>) each agree that nothing in the Facility Documents or otherwise will be deemed to create an advisory, fiduciary or agency relationship or fiduciary or other implied duty between any Lender, on the one hand, and such Credit Party, its stockholders or its affiliates, on the other. The Credit Parties acknowledge and agree that (i) the transactions contemplated by the Facility Documents (including the exercise of rights and remedies hereunder and thereunder) are arm’s-length commercial transactions between the Lenders, on the one hand, and the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645795</wp:posOffset>
            </wp:positionV>
            <wp:extent cx="526605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75" w:name="page276"/>
    <w:bookmarkEnd w:id="275"/>
    <w:p>
      <w:pPr>
        <w:spacing w:after="0" w:line="270" w:lineRule="exact"/>
        <w:rPr>
          <w:sz w:val="20"/>
          <w:szCs w:val="20"/>
          <w:color w:val="auto"/>
        </w:rPr>
      </w:pPr>
    </w:p>
    <w:p>
      <w:pPr>
        <w:ind w:left="1360" w:right="1360"/>
        <w:spacing w:after="0" w:line="252" w:lineRule="auto"/>
        <w:rPr>
          <w:sz w:val="20"/>
          <w:szCs w:val="20"/>
          <w:color w:val="auto"/>
        </w:rPr>
      </w:pPr>
      <w:r>
        <w:rPr>
          <w:rFonts w:ascii="Times New Roman" w:cs="Times New Roman" w:eastAsia="Times New Roman" w:hAnsi="Times New Roman"/>
          <w:sz w:val="16"/>
          <w:szCs w:val="16"/>
          <w:color w:val="auto"/>
        </w:rPr>
        <w:t>Parties, on the other, and (ii) in connection therewith and with the process leading thereto, (x) no Lender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has advised, is currently advising or will advise any Credit Party, its stockholders or its Affiliates on other matters) or any other obligation to any Credit Party except the obligations expressly set forth in the Facility Documents and (y) each Lender is acting solely as principal and not as the agent or fiduciary of any Credit Party, its management, stockholders, creditors or any other Person.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has rendered advisory services of any nature or respect, or owes a fiduciary or similar duty to such Credit Party, in connection with such transaction or the process leading thereto.</w:t>
      </w:r>
    </w:p>
    <w:p>
      <w:pPr>
        <w:spacing w:after="0" w:line="159" w:lineRule="exact"/>
        <w:rPr>
          <w:sz w:val="20"/>
          <w:szCs w:val="20"/>
          <w:color w:val="auto"/>
        </w:rPr>
      </w:pPr>
    </w:p>
    <w:p>
      <w:pPr>
        <w:ind w:left="1360" w:right="1380" w:firstLine="40"/>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Section 15.23. Sharing of Payments by Lenders. </w:t>
      </w:r>
      <w:r>
        <w:rPr>
          <w:rFonts w:ascii="Times New Roman" w:cs="Times New Roman" w:eastAsia="Times New Roman" w:hAnsi="Times New Roman"/>
          <w:sz w:val="16"/>
          <w:szCs w:val="16"/>
          <w:color w:val="auto"/>
        </w:rPr>
        <w:t>If any Lender shall, by exercising any right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setoff or counterclaim or otherwise, obtain payment in respect of any principal of or interest on any of its Advances or other obligations hereunder resulting in such Lender receiving payment of a proportion of the aggregate amount of its Advances and accrued interest thereon or other such obligations greater than its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share thereof as provided herein, then the Lender receiving such greater proportion shall (a) notify the Administrative Agent of such fact, and (b) purchase (for cash at face value) participations in the Advances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Advances and other amounts owing them;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w:t>
      </w:r>
    </w:p>
    <w:p>
      <w:pPr>
        <w:spacing w:after="0" w:line="159" w:lineRule="exact"/>
        <w:rPr>
          <w:sz w:val="20"/>
          <w:szCs w:val="20"/>
          <w:color w:val="auto"/>
        </w:rPr>
      </w:pPr>
    </w:p>
    <w:p>
      <w:pPr>
        <w:ind w:left="1840" w:right="1460" w:firstLine="44"/>
        <w:spacing w:after="0" w:line="266" w:lineRule="auto"/>
        <w:tabs>
          <w:tab w:leader="none" w:pos="210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44" w:lineRule="exact"/>
        <w:rPr>
          <w:rFonts w:ascii="Times New Roman" w:cs="Times New Roman" w:eastAsia="Times New Roman" w:hAnsi="Times New Roman"/>
          <w:sz w:val="16"/>
          <w:szCs w:val="16"/>
          <w:color w:val="auto"/>
        </w:rPr>
      </w:pPr>
    </w:p>
    <w:p>
      <w:pPr>
        <w:ind w:left="1840" w:right="1460" w:firstLine="44"/>
        <w:spacing w:after="0" w:line="258" w:lineRule="auto"/>
        <w:tabs>
          <w:tab w:leader="none" w:pos="2109"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this Section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Advances to any assignee or participant.</w:t>
      </w:r>
    </w:p>
    <w:p>
      <w:pPr>
        <w:spacing w:after="0" w:line="151" w:lineRule="exact"/>
        <w:rPr>
          <w:sz w:val="20"/>
          <w:szCs w:val="20"/>
          <w:color w:val="auto"/>
        </w:rPr>
      </w:pPr>
    </w:p>
    <w:p>
      <w:pPr>
        <w:ind w:left="1360" w:right="1440"/>
        <w:spacing w:after="0" w:line="258" w:lineRule="auto"/>
        <w:rPr>
          <w:sz w:val="20"/>
          <w:szCs w:val="20"/>
          <w:color w:val="auto"/>
        </w:rPr>
      </w:pPr>
      <w:r>
        <w:rPr>
          <w:rFonts w:ascii="Times New Roman" w:cs="Times New Roman" w:eastAsia="Times New Roman" w:hAnsi="Times New Roman"/>
          <w:sz w:val="16"/>
          <w:szCs w:val="16"/>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49" w:lineRule="exact"/>
        <w:rPr>
          <w:sz w:val="20"/>
          <w:szCs w:val="20"/>
          <w:color w:val="auto"/>
        </w:rPr>
      </w:pPr>
    </w:p>
    <w:p>
      <w:pPr>
        <w:ind w:left="1360" w:right="1700" w:firstLine="4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Section 15.24. Judgment Currency. </w:t>
      </w:r>
      <w:r>
        <w:rPr>
          <w:rFonts w:ascii="Times New Roman" w:cs="Times New Roman" w:eastAsia="Times New Roman" w:hAnsi="Times New Roman"/>
          <w:sz w:val="16"/>
          <w:szCs w:val="16"/>
          <w:color w:val="auto"/>
        </w:rPr>
        <w:t>This is an international loan transaction in which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specification of Dollars or any Agreed Foreign Currency, as the case may be (the </w:t>
      </w:r>
      <w:r>
        <w:rPr>
          <w:rFonts w:ascii="Times New Roman" w:cs="Times New Roman" w:eastAsia="Times New Roman" w:hAnsi="Times New Roman"/>
          <w:sz w:val="16"/>
          <w:szCs w:val="16"/>
          <w:i w:val="1"/>
          <w:iCs w:val="1"/>
          <w:color w:val="auto"/>
        </w:rPr>
        <w:t>“Specified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Currency”</w:t>
      </w:r>
      <w:r>
        <w:rPr>
          <w:rFonts w:ascii="Times New Roman" w:cs="Times New Roman" w:eastAsia="Times New Roman" w:hAnsi="Times New Roman"/>
          <w:sz w:val="16"/>
          <w:szCs w:val="16"/>
          <w:color w:val="auto"/>
        </w:rPr>
        <w:t>), and payment in New York City, New York or the country of the Specified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638175</wp:posOffset>
            </wp:positionV>
            <wp:extent cx="526605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76" w:name="page277"/>
    <w:bookmarkEnd w:id="276"/>
    <w:p>
      <w:pPr>
        <w:spacing w:after="0" w:line="268" w:lineRule="exact"/>
        <w:rPr>
          <w:sz w:val="20"/>
          <w:szCs w:val="20"/>
          <w:color w:val="auto"/>
        </w:rPr>
      </w:pPr>
    </w:p>
    <w:p>
      <w:pPr>
        <w:ind w:left="1360" w:right="1360"/>
        <w:spacing w:after="0" w:line="251" w:lineRule="auto"/>
        <w:rPr>
          <w:sz w:val="20"/>
          <w:szCs w:val="20"/>
          <w:color w:val="auto"/>
        </w:rPr>
      </w:pPr>
      <w:r>
        <w:rPr>
          <w:rFonts w:ascii="Times New Roman" w:cs="Times New Roman" w:eastAsia="Times New Roman" w:hAnsi="Times New Roman"/>
          <w:sz w:val="16"/>
          <w:szCs w:val="16"/>
          <w:color w:val="auto"/>
        </w:rPr>
        <w:t xml:space="preserve">as the case may be (the </w:t>
      </w:r>
      <w:r>
        <w:rPr>
          <w:rFonts w:ascii="Times New Roman" w:cs="Times New Roman" w:eastAsia="Times New Roman" w:hAnsi="Times New Roman"/>
          <w:sz w:val="16"/>
          <w:szCs w:val="16"/>
          <w:i w:val="1"/>
          <w:iCs w:val="1"/>
          <w:color w:val="auto"/>
        </w:rPr>
        <w:t>“Specified Place”</w:t>
      </w:r>
      <w:r>
        <w:rPr>
          <w:rFonts w:ascii="Times New Roman" w:cs="Times New Roman" w:eastAsia="Times New Roman" w:hAnsi="Times New Roman"/>
          <w:sz w:val="16"/>
          <w:szCs w:val="16"/>
          <w:color w:val="auto"/>
        </w:rPr>
        <w:t xml:space="preserve">), is of the essence, and the Specified Currency shall be the currency of account in all events relating to Advances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Times New Roman" w:cs="Times New Roman" w:eastAsia="Times New Roman" w:hAnsi="Times New Roman"/>
          <w:sz w:val="16"/>
          <w:szCs w:val="16"/>
          <w:i w:val="1"/>
          <w:iCs w:val="1"/>
          <w:color w:val="auto"/>
        </w:rPr>
        <w:t>“Second Currency”</w:t>
      </w:r>
      <w:r>
        <w:rPr>
          <w:rFonts w:ascii="Times New Roman" w:cs="Times New Roman" w:eastAsia="Times New Roman" w:hAnsi="Times New Roman"/>
          <w:sz w:val="16"/>
          <w:szCs w:val="16"/>
          <w:color w:val="auto"/>
        </w:rPr>
        <w:t xml:space="preserve">),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Facility Document (in this Section called an </w:t>
      </w:r>
      <w:r>
        <w:rPr>
          <w:rFonts w:ascii="Times New Roman" w:cs="Times New Roman" w:eastAsia="Times New Roman" w:hAnsi="Times New Roman"/>
          <w:sz w:val="16"/>
          <w:szCs w:val="16"/>
          <w:i w:val="1"/>
          <w:iCs w:val="1"/>
          <w:color w:val="auto"/>
        </w:rPr>
        <w:t>“Entitled Person”</w:t>
      </w:r>
      <w:r>
        <w:rPr>
          <w:rFonts w:ascii="Times New Roman" w:cs="Times New Roman" w:eastAsia="Times New Roman" w:hAnsi="Times New Roman"/>
          <w:sz w:val="16"/>
          <w:szCs w:val="16"/>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(but subject to the provisos set forth in Section 15.04(b)),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64" w:lineRule="exact"/>
        <w:rPr>
          <w:sz w:val="20"/>
          <w:szCs w:val="20"/>
          <w:color w:val="auto"/>
        </w:rPr>
      </w:pPr>
    </w:p>
    <w:p>
      <w:pPr>
        <w:ind w:left="1360" w:right="1420" w:firstLine="40"/>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Section 15.25. Acknowledgement and Consent to Bail-In of </w:t>
      </w:r>
      <w:r>
        <w:rPr>
          <w:rFonts w:ascii="Times New Roman" w:cs="Times New Roman" w:eastAsia="Times New Roman" w:hAnsi="Times New Roman"/>
          <w:sz w:val="16"/>
          <w:szCs w:val="16"/>
          <w:i w:val="1"/>
          <w:iCs w:val="1"/>
          <w:color w:val="FF0000"/>
          <w:strike w:val="1"/>
        </w:rPr>
        <w:t>EEA</w:t>
      </w:r>
      <w:r>
        <w:rPr>
          <w:rFonts w:ascii="Times New Roman" w:cs="Times New Roman" w:eastAsia="Times New Roman" w:hAnsi="Times New Roman"/>
          <w:sz w:val="16"/>
          <w:szCs w:val="16"/>
          <w:i w:val="1"/>
          <w:iCs w:val="1"/>
          <w:color w:val="0000FF"/>
        </w:rPr>
        <w:t>Affected</w:t>
      </w:r>
      <w:r>
        <w:rPr>
          <w:rFonts w:ascii="Times New Roman" w:cs="Times New Roman" w:eastAsia="Times New Roman" w:hAnsi="Times New Roman"/>
          <w:sz w:val="16"/>
          <w:szCs w:val="16"/>
          <w:i w:val="1"/>
          <w:iCs w:val="1"/>
          <w:color w:val="auto"/>
        </w:rPr>
        <w:t xml:space="preserve"> Financial Institutions. </w:t>
      </w:r>
      <w:r>
        <w:rPr>
          <w:rFonts w:ascii="Times New Roman" w:cs="Times New Roman" w:eastAsia="Times New Roman" w:hAnsi="Times New Roman"/>
          <w:sz w:val="16"/>
          <w:szCs w:val="16"/>
          <w:color w:val="auto"/>
        </w:rPr>
        <w:t xml:space="preserve">Notwithstanding anything to the contrary in any Facility Document or in any other agreement, arrangement or understanding among any such parties, each party hereto acknowledges that any liability of any </w:t>
      </w:r>
      <w:r>
        <w:rPr>
          <w:rFonts w:ascii="Times New Roman" w:cs="Times New Roman" w:eastAsia="Times New Roman" w:hAnsi="Times New Roman"/>
          <w:sz w:val="16"/>
          <w:szCs w:val="16"/>
          <w:color w:val="FF0000"/>
          <w:strike w:val="1"/>
        </w:rPr>
        <w:t>EEA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Affected</w:t>
      </w:r>
      <w:r>
        <w:rPr>
          <w:rFonts w:ascii="Times New Roman" w:cs="Times New Roman" w:eastAsia="Times New Roman" w:hAnsi="Times New Roman"/>
          <w:sz w:val="16"/>
          <w:szCs w:val="16"/>
          <w:color w:val="auto"/>
        </w:rPr>
        <w:t xml:space="preserve"> Financial Institution arising under any Facility Document, to the extent such liability is unsecured, may be subject to the write-down and conversion powers of </w:t>
      </w:r>
      <w:r>
        <w:rPr>
          <w:rFonts w:ascii="Times New Roman" w:cs="Times New Roman" w:eastAsia="Times New Roman" w:hAnsi="Times New Roman"/>
          <w:sz w:val="16"/>
          <w:szCs w:val="16"/>
          <w:color w:val="FF0000"/>
          <w:strike w:val="1"/>
        </w:rPr>
        <w:t>an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FF0000"/>
          <w:strike w:val="1"/>
        </w:rPr>
        <w:t>EEA</w:t>
      </w:r>
      <w:r>
        <w:rPr>
          <w:rFonts w:ascii="Times New Roman" w:cs="Times New Roman" w:eastAsia="Times New Roman" w:hAnsi="Times New Roman"/>
          <w:sz w:val="16"/>
          <w:szCs w:val="16"/>
          <w:color w:val="0000FF"/>
        </w:rPr>
        <w:t>the applicable</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000000"/>
        </w:rPr>
        <w:t>Resolution Authority and agrees and consents to, and acknowledges and</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000000"/>
        </w:rPr>
        <w:t>agrees to be bound by:</w:t>
      </w:r>
    </w:p>
    <w:p>
      <w:pPr>
        <w:spacing w:after="0" w:line="152" w:lineRule="exact"/>
        <w:rPr>
          <w:sz w:val="20"/>
          <w:szCs w:val="20"/>
          <w:color w:val="auto"/>
        </w:rPr>
      </w:pPr>
    </w:p>
    <w:p>
      <w:pPr>
        <w:ind w:left="1840" w:right="1440" w:firstLine="44"/>
        <w:spacing w:after="0" w:line="266" w:lineRule="auto"/>
        <w:tabs>
          <w:tab w:leader="none" w:pos="210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application of any Write-Down and Conversion Powers by </w:t>
      </w:r>
      <w:r>
        <w:rPr>
          <w:rFonts w:ascii="Times New Roman" w:cs="Times New Roman" w:eastAsia="Times New Roman" w:hAnsi="Times New Roman"/>
          <w:sz w:val="16"/>
          <w:szCs w:val="16"/>
          <w:color w:val="FF0000"/>
          <w:strike w:val="1"/>
        </w:rPr>
        <w:t>an EEA</w:t>
      </w:r>
      <w:r>
        <w:rPr>
          <w:rFonts w:ascii="Times New Roman" w:cs="Times New Roman" w:eastAsia="Times New Roman" w:hAnsi="Times New Roman"/>
          <w:sz w:val="16"/>
          <w:szCs w:val="16"/>
          <w:color w:val="0000FF"/>
        </w:rPr>
        <w:t>the applicable</w:t>
      </w:r>
      <w:r>
        <w:rPr>
          <w:rFonts w:ascii="Times New Roman" w:cs="Times New Roman" w:eastAsia="Times New Roman" w:hAnsi="Times New Roman"/>
          <w:sz w:val="16"/>
          <w:szCs w:val="16"/>
          <w:color w:val="auto"/>
        </w:rPr>
        <w:t xml:space="preserve"> Resolution Authority to any such liabilities arising hereunder </w:t>
      </w:r>
      <w:r>
        <w:rPr>
          <w:rFonts w:ascii="Times New Roman" w:cs="Times New Roman" w:eastAsia="Times New Roman" w:hAnsi="Times New Roman"/>
          <w:sz w:val="16"/>
          <w:szCs w:val="16"/>
          <w:color w:val="FF0000"/>
          <w:strike w:val="1"/>
        </w:rPr>
        <w:t>which</w:t>
      </w:r>
      <w:r>
        <w:rPr>
          <w:rFonts w:ascii="Times New Roman" w:cs="Times New Roman" w:eastAsia="Times New Roman" w:hAnsi="Times New Roman"/>
          <w:sz w:val="16"/>
          <w:szCs w:val="16"/>
          <w:color w:val="0000FF"/>
        </w:rPr>
        <w:t>that</w:t>
      </w:r>
      <w:r>
        <w:rPr>
          <w:rFonts w:ascii="Times New Roman" w:cs="Times New Roman" w:eastAsia="Times New Roman" w:hAnsi="Times New Roman"/>
          <w:sz w:val="16"/>
          <w:szCs w:val="16"/>
          <w:color w:val="auto"/>
        </w:rPr>
        <w:t xml:space="preserve"> may be payable to it by any party hereto that is an </w:t>
      </w:r>
      <w:r>
        <w:rPr>
          <w:rFonts w:ascii="Times New Roman" w:cs="Times New Roman" w:eastAsia="Times New Roman" w:hAnsi="Times New Roman"/>
          <w:sz w:val="16"/>
          <w:szCs w:val="16"/>
          <w:color w:val="FF0000"/>
          <w:strike w:val="1"/>
        </w:rPr>
        <w:t>EEA</w:t>
      </w:r>
      <w:r>
        <w:rPr>
          <w:rFonts w:ascii="Times New Roman" w:cs="Times New Roman" w:eastAsia="Times New Roman" w:hAnsi="Times New Roman"/>
          <w:sz w:val="16"/>
          <w:szCs w:val="16"/>
          <w:color w:val="0000FF"/>
        </w:rPr>
        <w:t>Affected</w:t>
      </w:r>
      <w:r>
        <w:rPr>
          <w:rFonts w:ascii="Times New Roman" w:cs="Times New Roman" w:eastAsia="Times New Roman" w:hAnsi="Times New Roman"/>
          <w:sz w:val="16"/>
          <w:szCs w:val="16"/>
          <w:color w:val="auto"/>
        </w:rPr>
        <w:t xml:space="preserve"> Financial Institution; and</w:t>
      </w:r>
    </w:p>
    <w:p>
      <w:pPr>
        <w:spacing w:after="0" w:line="144" w:lineRule="exact"/>
        <w:rPr>
          <w:rFonts w:ascii="Times New Roman" w:cs="Times New Roman" w:eastAsia="Times New Roman" w:hAnsi="Times New Roman"/>
          <w:sz w:val="16"/>
          <w:szCs w:val="16"/>
          <w:color w:val="auto"/>
        </w:rPr>
      </w:pPr>
    </w:p>
    <w:p>
      <w:pPr>
        <w:ind w:left="2120" w:hanging="236"/>
        <w:spacing w:after="0"/>
        <w:tabs>
          <w:tab w:leader="none" w:pos="21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any Bail-in Action on any such liability, including, if applicable:</w:t>
      </w:r>
    </w:p>
    <w:p>
      <w:pPr>
        <w:spacing w:after="0" w:line="189" w:lineRule="exact"/>
        <w:rPr>
          <w:rFonts w:ascii="Times New Roman" w:cs="Times New Roman" w:eastAsia="Times New Roman" w:hAnsi="Times New Roman"/>
          <w:sz w:val="16"/>
          <w:szCs w:val="16"/>
          <w:color w:val="auto"/>
        </w:rPr>
      </w:pPr>
    </w:p>
    <w:p>
      <w:pPr>
        <w:ind w:left="2120" w:hanging="195"/>
        <w:spacing w:after="0"/>
        <w:tabs>
          <w:tab w:leader="none" w:pos="2120" w:val="left"/>
        </w:tabs>
        <w:numPr>
          <w:ilvl w:val="1"/>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in full or in part or cancellation of any such liability;</w:t>
      </w:r>
    </w:p>
    <w:p>
      <w:pPr>
        <w:spacing w:after="0" w:line="189" w:lineRule="exact"/>
        <w:rPr>
          <w:rFonts w:ascii="Times New Roman" w:cs="Times New Roman" w:eastAsia="Times New Roman" w:hAnsi="Times New Roman"/>
          <w:sz w:val="16"/>
          <w:szCs w:val="16"/>
          <w:color w:val="auto"/>
        </w:rPr>
      </w:pPr>
    </w:p>
    <w:p>
      <w:pPr>
        <w:jc w:val="both"/>
        <w:ind w:left="1840" w:right="1480" w:firstLine="85"/>
        <w:spacing w:after="0" w:line="261" w:lineRule="auto"/>
        <w:tabs>
          <w:tab w:leader="none" w:pos="2158" w:val="left"/>
        </w:tabs>
        <w:numPr>
          <w:ilvl w:val="1"/>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conversion of all, or a portion of, such liability into shares or other instruments of ownership in such </w:t>
      </w:r>
      <w:r>
        <w:rPr>
          <w:rFonts w:ascii="Times New Roman" w:cs="Times New Roman" w:eastAsia="Times New Roman" w:hAnsi="Times New Roman"/>
          <w:sz w:val="16"/>
          <w:szCs w:val="16"/>
          <w:color w:val="FF0000"/>
          <w:strike w:val="1"/>
        </w:rPr>
        <w:t>EEA</w:t>
      </w:r>
      <w:r>
        <w:rPr>
          <w:rFonts w:ascii="Times New Roman" w:cs="Times New Roman" w:eastAsia="Times New Roman" w:hAnsi="Times New Roman"/>
          <w:sz w:val="16"/>
          <w:szCs w:val="16"/>
          <w:color w:val="0000FF"/>
        </w:rPr>
        <w:t>Affected</w:t>
      </w:r>
      <w:r>
        <w:rPr>
          <w:rFonts w:ascii="Times New Roman" w:cs="Times New Roman" w:eastAsia="Times New Roman" w:hAnsi="Times New Roman"/>
          <w:sz w:val="16"/>
          <w:szCs w:val="16"/>
          <w:color w:val="auto"/>
        </w:rPr>
        <w:t xml:space="preserve"> Financial Institution, its parent undertaking, or a bridge institution that may be issued to it or otherwise conferred on it, and that such shares or other instruments of ownership will be accepted by it in lieu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638810</wp:posOffset>
            </wp:positionV>
            <wp:extent cx="526605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77" w:name="page278"/>
    <w:bookmarkEnd w:id="277"/>
    <w:p>
      <w:pPr>
        <w:spacing w:after="0" w:line="270" w:lineRule="exact"/>
        <w:rPr>
          <w:sz w:val="20"/>
          <w:szCs w:val="20"/>
          <w:color w:val="auto"/>
        </w:rPr>
      </w:pPr>
    </w:p>
    <w:p>
      <w:pPr>
        <w:ind w:left="1840" w:right="1880"/>
        <w:spacing w:after="0" w:line="283" w:lineRule="auto"/>
        <w:rPr>
          <w:sz w:val="20"/>
          <w:szCs w:val="20"/>
          <w:color w:val="auto"/>
        </w:rPr>
      </w:pPr>
      <w:r>
        <w:rPr>
          <w:rFonts w:ascii="Times New Roman" w:cs="Times New Roman" w:eastAsia="Times New Roman" w:hAnsi="Times New Roman"/>
          <w:sz w:val="16"/>
          <w:szCs w:val="16"/>
          <w:color w:val="auto"/>
        </w:rPr>
        <w:t>rights with respect to any such liability under this Agreement or any other Facility Document; or</w:t>
      </w:r>
    </w:p>
    <w:p>
      <w:pPr>
        <w:spacing w:after="0" w:line="131" w:lineRule="exact"/>
        <w:rPr>
          <w:sz w:val="20"/>
          <w:szCs w:val="20"/>
          <w:color w:val="auto"/>
        </w:rPr>
      </w:pPr>
    </w:p>
    <w:p>
      <w:pPr>
        <w:ind w:left="1840" w:right="1680" w:firstLine="85"/>
        <w:spacing w:after="0" w:line="283" w:lineRule="auto"/>
        <w:tabs>
          <w:tab w:leader="none" w:pos="2203"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variation of the terms of such liability in connection with the exercise of the write-down and conversion powers of </w:t>
      </w:r>
      <w:r>
        <w:rPr>
          <w:rFonts w:ascii="Times New Roman" w:cs="Times New Roman" w:eastAsia="Times New Roman" w:hAnsi="Times New Roman"/>
          <w:sz w:val="16"/>
          <w:szCs w:val="16"/>
          <w:color w:val="FF0000"/>
          <w:strike w:val="1"/>
        </w:rPr>
        <w:t>any EEA</w:t>
      </w:r>
      <w:r>
        <w:rPr>
          <w:rFonts w:ascii="Times New Roman" w:cs="Times New Roman" w:eastAsia="Times New Roman" w:hAnsi="Times New Roman"/>
          <w:sz w:val="16"/>
          <w:szCs w:val="16"/>
          <w:color w:val="0000FF"/>
        </w:rPr>
        <w:t>the applicable</w:t>
      </w:r>
      <w:r>
        <w:rPr>
          <w:rFonts w:ascii="Times New Roman" w:cs="Times New Roman" w:eastAsia="Times New Roman" w:hAnsi="Times New Roman"/>
          <w:sz w:val="16"/>
          <w:szCs w:val="16"/>
          <w:color w:val="auto"/>
        </w:rPr>
        <w:t xml:space="preserve"> Resolution Authority.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664845</wp:posOffset>
            </wp:positionV>
            <wp:extent cx="526605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78" w:name="page279"/>
    <w:bookmarkEnd w:id="278"/>
    <w:p>
      <w:pPr>
        <w:spacing w:after="0" w:line="270" w:lineRule="exact"/>
        <w:rPr>
          <w:sz w:val="20"/>
          <w:szCs w:val="20"/>
          <w:color w:val="auto"/>
        </w:rPr>
      </w:pPr>
    </w:p>
    <w:p>
      <w:pPr>
        <w:ind w:left="1360" w:right="1660" w:firstLine="484"/>
        <w:spacing w:after="0" w:line="283" w:lineRule="auto"/>
        <w:rPr>
          <w:sz w:val="20"/>
          <w:szCs w:val="20"/>
          <w:color w:val="auto"/>
        </w:rPr>
      </w:pPr>
      <w:r>
        <w:rPr>
          <w:rFonts w:ascii="Times New Roman" w:cs="Times New Roman" w:eastAsia="Times New Roman" w:hAnsi="Times New Roman"/>
          <w:sz w:val="16"/>
          <w:szCs w:val="16"/>
          <w:color w:val="auto"/>
        </w:rPr>
        <w:t>In Witness Whereof, the parties hereto have caused this Agreement to be executed by their respective officers thereunto duly authorized, as of the date first above written.</w:t>
      </w:r>
    </w:p>
    <w:p>
      <w:pPr>
        <w:spacing w:after="0" w:line="1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PennantPark Floating Rate Funding I, LLC, as</w:t>
      </w:r>
    </w:p>
    <w:p>
      <w:pPr>
        <w:spacing w:after="0" w:line="2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Borrower</w:t>
      </w:r>
    </w:p>
    <w:p>
      <w:pPr>
        <w:spacing w:after="0" w:line="171"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6"/>
          <w:szCs w:val="16"/>
          <w:color w:val="auto"/>
        </w:rPr>
        <w:t>By: PennantPark Floating Rate Capital Ltd., as</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Designated Manager</w:t>
      </w:r>
    </w:p>
    <w:p>
      <w:pPr>
        <w:spacing w:after="0" w:line="3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PennantPark Investment Advisers, LLC, as</w:t>
      </w:r>
    </w:p>
    <w:p>
      <w:pPr>
        <w:spacing w:after="0" w:line="2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Collateral Manager</w:t>
      </w:r>
    </w:p>
    <w:p>
      <w:pPr>
        <w:spacing w:after="0" w:line="3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653415</wp:posOffset>
            </wp:positionV>
            <wp:extent cx="526605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79" w:name="page280"/>
    <w:bookmarkEnd w:id="279"/>
    <w:p>
      <w:pPr>
        <w:spacing w:after="0" w:line="2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Truist Bank, as Administrative Agent</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653415</wp:posOffset>
            </wp:positionV>
            <wp:extent cx="526605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80" w:name="page281"/>
    <w:bookmarkEnd w:id="280"/>
    <w:p>
      <w:pPr>
        <w:spacing w:after="0" w:line="2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U.S. Bank Trust Company, National</w:t>
      </w:r>
    </w:p>
    <w:p>
      <w:pPr>
        <w:spacing w:after="0" w:line="2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Association, as Collateral Agent</w:t>
      </w:r>
    </w:p>
    <w:p>
      <w:pPr>
        <w:spacing w:after="0" w:line="3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U.S. Bank Trust Company, National</w:t>
      </w:r>
    </w:p>
    <w:p>
      <w:pPr>
        <w:spacing w:after="0" w:line="2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Association, as Backup Collateral Manager</w:t>
      </w:r>
    </w:p>
    <w:p>
      <w:pPr>
        <w:spacing w:after="0" w:line="3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U.S. Bank National Association, as Custodian</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U.S. Bank Trust Company, National</w:t>
      </w:r>
    </w:p>
    <w:p>
      <w:pPr>
        <w:spacing w:after="0" w:line="2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Association, as Collateral Administrator</w:t>
      </w:r>
    </w:p>
    <w:p>
      <w:pPr>
        <w:spacing w:after="0" w:line="3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653415</wp:posOffset>
            </wp:positionV>
            <wp:extent cx="526605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81" w:name="page282"/>
    <w:bookmarkEnd w:id="281"/>
    <w:p>
      <w:pPr>
        <w:spacing w:after="0" w:line="2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Truist Bank, as Lender and Swingline Lender</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653415</wp:posOffset>
            </wp:positionV>
            <wp:extent cx="526605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82" w:name="page283"/>
    <w:bookmarkEnd w:id="282"/>
    <w:p>
      <w:pPr>
        <w:spacing w:after="0" w:line="2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Western Alliance Bank, as a Lender</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864870</wp:posOffset>
            </wp:positionV>
            <wp:extent cx="526605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83" w:name="page284"/>
    <w:bookmarkEnd w:id="283"/>
    <w:p>
      <w:pPr>
        <w:spacing w:after="0" w:line="2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Capital One, National Association, as a Lender</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749935</wp:posOffset>
            </wp:positionV>
            <wp:extent cx="526605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84" w:name="page285"/>
    <w:bookmarkEnd w:id="284"/>
    <w:p>
      <w:pPr>
        <w:spacing w:after="0" w:line="3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Fifth Third Bank, National Association,</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as Documentation Agent and as a Lender</w:t>
      </w:r>
    </w:p>
    <w:p>
      <w:pPr>
        <w:spacing w:after="0" w:line="3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color w:val="auto"/>
        </w:rPr>
        <w:t>Title:_______________________________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749935</wp:posOffset>
            </wp:positionV>
            <wp:extent cx="526605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85" w:name="page286"/>
    <w:bookmarkEnd w:id="285"/>
    <w:p>
      <w:pPr>
        <w:spacing w:after="0" w:line="3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City National Bank, as a Lender</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color w:val="auto"/>
        </w:rPr>
        <w:t>Title:_______________________________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749935</wp:posOffset>
            </wp:positionV>
            <wp:extent cx="526605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86" w:name="page287"/>
    <w:bookmarkEnd w:id="286"/>
    <w:p>
      <w:pPr>
        <w:spacing w:after="0" w:line="3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Stifel Bank &amp; Trust, as a Lender</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color w:val="auto"/>
        </w:rPr>
        <w:t>Title:_______________________________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749935</wp:posOffset>
            </wp:positionV>
            <wp:extent cx="526605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87" w:name="page288"/>
    <w:bookmarkEnd w:id="287"/>
    <w:p>
      <w:pPr>
        <w:spacing w:after="0" w:line="3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CIBC Bank USA, as a Lender</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color w:val="auto"/>
        </w:rPr>
        <w:t>Title:______________________________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749935</wp:posOffset>
            </wp:positionV>
            <wp:extent cx="526605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88" w:name="page289"/>
    <w:bookmarkEnd w:id="288"/>
    <w:p>
      <w:pPr>
        <w:spacing w:after="0" w:line="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Raymond James Bank, as Lender</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749935</wp:posOffset>
            </wp:positionV>
            <wp:extent cx="526605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89" w:name="page290"/>
    <w:bookmarkEnd w:id="289"/>
    <w:p>
      <w:pPr>
        <w:spacing w:after="0" w:line="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0000FF"/>
        </w:rPr>
        <w:t>Standard Chartered Bank, as Lender</w:t>
      </w: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0000FF"/>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0000FF"/>
        </w:rPr>
        <w:t>Name:</w:t>
      </w:r>
    </w:p>
    <w:p>
      <w:pPr>
        <w:spacing w:after="0" w:line="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0000FF"/>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749935</wp:posOffset>
            </wp:positionV>
            <wp:extent cx="526605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90" w:name="page291"/>
    <w:bookmarkEnd w:id="290"/>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Schedule 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Commitments and Percentages</w:t>
      </w:r>
    </w:p>
    <w:p>
      <w:pPr>
        <w:spacing w:after="0" w:line="210"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34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FF0000"/>
                <w:strike w:val="1"/>
                <w:w w:val="99"/>
              </w:rPr>
              <w:t>Related CP Conduit</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4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FF0000"/>
                <w:strike w:val="1"/>
              </w:rPr>
              <w:t>(Dollar Syndicated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7"/>
        </w:trPr>
        <w:tc>
          <w:tcPr>
            <w:tcW w:w="3400" w:type="dxa"/>
            <w:vAlign w:val="bottom"/>
          </w:tcPr>
          <w:p>
            <w:pPr>
              <w:ind w:left="1920"/>
              <w:spacing w:after="0"/>
              <w:rPr>
                <w:sz w:val="20"/>
                <w:szCs w:val="20"/>
                <w:color w:val="auto"/>
              </w:rPr>
            </w:pPr>
            <w:r>
              <w:rPr>
                <w:rFonts w:ascii="Times New Roman" w:cs="Times New Roman" w:eastAsia="Times New Roman" w:hAnsi="Times New Roman"/>
                <w:sz w:val="15"/>
                <w:szCs w:val="15"/>
                <w:color w:val="auto"/>
              </w:rPr>
              <w:t>Lender</w:t>
            </w: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FF0000"/>
                <w:strike w:val="1"/>
                <w:w w:val="99"/>
              </w:rPr>
              <w:t>Advances)</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Commitment</w:t>
            </w:r>
          </w:p>
        </w:tc>
        <w:tc>
          <w:tcPr>
            <w:tcW w:w="2320" w:type="dxa"/>
            <w:vAlign w:val="bottom"/>
            <w:gridSpan w:val="3"/>
          </w:tcPr>
          <w:p>
            <w:pPr>
              <w:jc w:val="right"/>
              <w:ind w:right="1204"/>
              <w:spacing w:after="0"/>
              <w:rPr>
                <w:sz w:val="20"/>
                <w:szCs w:val="20"/>
                <w:color w:val="auto"/>
              </w:rPr>
            </w:pPr>
            <w:r>
              <w:rPr>
                <w:rFonts w:ascii="Times New Roman" w:cs="Times New Roman" w:eastAsia="Times New Roman" w:hAnsi="Times New Roman"/>
                <w:sz w:val="15"/>
                <w:szCs w:val="15"/>
                <w:color w:val="auto"/>
              </w:rPr>
              <w:t>Percentage</w:t>
            </w:r>
          </w:p>
        </w:tc>
      </w:tr>
      <w:tr>
        <w:trPr>
          <w:trHeight w:val="348"/>
        </w:trPr>
        <w:tc>
          <w:tcPr>
            <w:tcW w:w="340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Truist Bank</w:t>
            </w:r>
          </w:p>
        </w:tc>
        <w:tc>
          <w:tcPr>
            <w:tcW w:w="1220" w:type="dxa"/>
            <w:vAlign w:val="bottom"/>
          </w:tcPr>
          <w:p>
            <w:pPr>
              <w:spacing w:after="0"/>
              <w:rPr>
                <w:sz w:val="24"/>
                <w:szCs w:val="24"/>
                <w:color w:val="auto"/>
              </w:rPr>
            </w:pPr>
          </w:p>
        </w:tc>
        <w:tc>
          <w:tcPr>
            <w:tcW w:w="1320" w:type="dxa"/>
            <w:vAlign w:val="bottom"/>
            <w:gridSpan w:val="3"/>
          </w:tcPr>
          <w:p>
            <w:pPr>
              <w:jc w:val="center"/>
              <w:ind w:left="64"/>
              <w:spacing w:after="0"/>
              <w:rPr>
                <w:sz w:val="20"/>
                <w:szCs w:val="20"/>
                <w:color w:val="auto"/>
              </w:rPr>
            </w:pPr>
            <w:r>
              <w:rPr>
                <w:rFonts w:ascii="Times New Roman" w:cs="Times New Roman" w:eastAsia="Times New Roman" w:hAnsi="Times New Roman"/>
                <w:sz w:val="15"/>
                <w:szCs w:val="15"/>
                <w:color w:val="auto"/>
                <w:w w:val="99"/>
              </w:rPr>
              <w:t>$193,000,000</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FF0000"/>
                <w:strike w:val="1"/>
                <w:w w:val="98"/>
              </w:rPr>
              <w:t>26.88022284%</w:t>
            </w:r>
          </w:p>
        </w:tc>
        <w:tc>
          <w:tcPr>
            <w:tcW w:w="1240" w:type="dxa"/>
            <w:vAlign w:val="bottom"/>
          </w:tcPr>
          <w:p>
            <w:pPr>
              <w:jc w:val="right"/>
              <w:ind w:right="984"/>
              <w:spacing w:after="0"/>
              <w:rPr>
                <w:sz w:val="20"/>
                <w:szCs w:val="20"/>
                <w:color w:val="auto"/>
              </w:rPr>
            </w:pPr>
            <w:r>
              <w:rPr>
                <w:rFonts w:ascii="Times New Roman" w:cs="Times New Roman" w:eastAsia="Times New Roman" w:hAnsi="Times New Roman"/>
                <w:sz w:val="15"/>
                <w:szCs w:val="15"/>
                <w:color w:val="0000FF"/>
                <w:w w:val="85"/>
              </w:rPr>
              <w:t>25.</w:t>
            </w:r>
          </w:p>
        </w:tc>
      </w:tr>
      <w:tr>
        <w:trPr>
          <w:trHeight w:val="197"/>
        </w:trPr>
        <w:tc>
          <w:tcPr>
            <w:tcW w:w="3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20" w:type="dxa"/>
            <w:vAlign w:val="bottom"/>
            <w:gridSpan w:val="3"/>
          </w:tcPr>
          <w:p>
            <w:pPr>
              <w:jc w:val="center"/>
              <w:ind w:right="824"/>
              <w:spacing w:after="0"/>
              <w:rPr>
                <w:sz w:val="20"/>
                <w:szCs w:val="20"/>
                <w:color w:val="auto"/>
              </w:rPr>
            </w:pPr>
            <w:r>
              <w:rPr>
                <w:rFonts w:ascii="Times New Roman" w:cs="Times New Roman" w:eastAsia="Times New Roman" w:hAnsi="Times New Roman"/>
                <w:sz w:val="15"/>
                <w:szCs w:val="15"/>
                <w:color w:val="0000FF"/>
              </w:rPr>
              <w:t>130208333%</w:t>
            </w:r>
          </w:p>
        </w:tc>
      </w:tr>
      <w:tr>
        <w:trPr>
          <w:trHeight w:val="348"/>
        </w:trPr>
        <w:tc>
          <w:tcPr>
            <w:tcW w:w="340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Western Alliance Bank</w:t>
            </w:r>
          </w:p>
        </w:tc>
        <w:tc>
          <w:tcPr>
            <w:tcW w:w="1220" w:type="dxa"/>
            <w:vAlign w:val="bottom"/>
          </w:tcPr>
          <w:p>
            <w:pPr>
              <w:spacing w:after="0"/>
              <w:rPr>
                <w:sz w:val="24"/>
                <w:szCs w:val="24"/>
                <w:color w:val="auto"/>
              </w:rPr>
            </w:pPr>
          </w:p>
        </w:tc>
        <w:tc>
          <w:tcPr>
            <w:tcW w:w="1320" w:type="dxa"/>
            <w:vAlign w:val="bottom"/>
            <w:gridSpan w:val="3"/>
          </w:tcPr>
          <w:p>
            <w:pPr>
              <w:jc w:val="center"/>
              <w:ind w:left="64"/>
              <w:spacing w:after="0"/>
              <w:rPr>
                <w:sz w:val="20"/>
                <w:szCs w:val="20"/>
                <w:color w:val="auto"/>
              </w:rPr>
            </w:pPr>
            <w:r>
              <w:rPr>
                <w:rFonts w:ascii="Times New Roman" w:cs="Times New Roman" w:eastAsia="Times New Roman" w:hAnsi="Times New Roman"/>
                <w:sz w:val="15"/>
                <w:szCs w:val="15"/>
                <w:color w:val="auto"/>
                <w:w w:val="99"/>
              </w:rPr>
              <w:t>$115,000,000</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FF0000"/>
                <w:strike w:val="1"/>
                <w:w w:val="98"/>
              </w:rPr>
              <w:t>16.01671309%</w:t>
            </w:r>
          </w:p>
        </w:tc>
        <w:tc>
          <w:tcPr>
            <w:tcW w:w="1240" w:type="dxa"/>
            <w:vAlign w:val="bottom"/>
          </w:tcPr>
          <w:p>
            <w:pPr>
              <w:jc w:val="right"/>
              <w:ind w:right="984"/>
              <w:spacing w:after="0"/>
              <w:rPr>
                <w:sz w:val="20"/>
                <w:szCs w:val="20"/>
                <w:color w:val="auto"/>
              </w:rPr>
            </w:pPr>
            <w:r>
              <w:rPr>
                <w:rFonts w:ascii="Times New Roman" w:cs="Times New Roman" w:eastAsia="Times New Roman" w:hAnsi="Times New Roman"/>
                <w:sz w:val="15"/>
                <w:szCs w:val="15"/>
                <w:color w:val="0000FF"/>
                <w:w w:val="85"/>
              </w:rPr>
              <w:t>14.</w:t>
            </w:r>
          </w:p>
        </w:tc>
      </w:tr>
      <w:tr>
        <w:trPr>
          <w:trHeight w:val="197"/>
        </w:trPr>
        <w:tc>
          <w:tcPr>
            <w:tcW w:w="3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20" w:type="dxa"/>
            <w:vAlign w:val="bottom"/>
            <w:gridSpan w:val="3"/>
          </w:tcPr>
          <w:p>
            <w:pPr>
              <w:jc w:val="center"/>
              <w:ind w:right="824"/>
              <w:spacing w:after="0"/>
              <w:rPr>
                <w:sz w:val="20"/>
                <w:szCs w:val="20"/>
                <w:color w:val="auto"/>
              </w:rPr>
            </w:pPr>
            <w:r>
              <w:rPr>
                <w:rFonts w:ascii="Times New Roman" w:cs="Times New Roman" w:eastAsia="Times New Roman" w:hAnsi="Times New Roman"/>
                <w:sz w:val="15"/>
                <w:szCs w:val="15"/>
                <w:color w:val="0000FF"/>
              </w:rPr>
              <w:t>973958333%</w:t>
            </w:r>
          </w:p>
        </w:tc>
      </w:tr>
      <w:tr>
        <w:trPr>
          <w:trHeight w:val="348"/>
        </w:trPr>
        <w:tc>
          <w:tcPr>
            <w:tcW w:w="340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Fifth Third Bank, National</w:t>
            </w:r>
          </w:p>
        </w:tc>
        <w:tc>
          <w:tcPr>
            <w:tcW w:w="1220" w:type="dxa"/>
            <w:vAlign w:val="bottom"/>
          </w:tcPr>
          <w:p>
            <w:pPr>
              <w:spacing w:after="0"/>
              <w:rPr>
                <w:sz w:val="24"/>
                <w:szCs w:val="24"/>
                <w:color w:val="auto"/>
              </w:rPr>
            </w:pPr>
          </w:p>
        </w:tc>
        <w:tc>
          <w:tcPr>
            <w:tcW w:w="1320" w:type="dxa"/>
            <w:vAlign w:val="bottom"/>
            <w:gridSpan w:val="3"/>
          </w:tcPr>
          <w:p>
            <w:pPr>
              <w:jc w:val="center"/>
              <w:ind w:left="64"/>
              <w:spacing w:after="0"/>
              <w:rPr>
                <w:sz w:val="20"/>
                <w:szCs w:val="20"/>
                <w:color w:val="auto"/>
              </w:rPr>
            </w:pPr>
            <w:r>
              <w:rPr>
                <w:rFonts w:ascii="Times New Roman" w:cs="Times New Roman" w:eastAsia="Times New Roman" w:hAnsi="Times New Roman"/>
                <w:sz w:val="15"/>
                <w:szCs w:val="15"/>
                <w:color w:val="auto"/>
                <w:w w:val="99"/>
              </w:rPr>
              <w:t>$100,000,000</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FF0000"/>
                <w:strike w:val="1"/>
                <w:w w:val="98"/>
              </w:rPr>
              <w:t>13.92757660%</w:t>
            </w:r>
          </w:p>
        </w:tc>
        <w:tc>
          <w:tcPr>
            <w:tcW w:w="1240" w:type="dxa"/>
            <w:vAlign w:val="bottom"/>
          </w:tcPr>
          <w:p>
            <w:pPr>
              <w:jc w:val="right"/>
              <w:ind w:right="984"/>
              <w:spacing w:after="0"/>
              <w:rPr>
                <w:sz w:val="20"/>
                <w:szCs w:val="20"/>
                <w:color w:val="auto"/>
              </w:rPr>
            </w:pPr>
            <w:r>
              <w:rPr>
                <w:rFonts w:ascii="Times New Roman" w:cs="Times New Roman" w:eastAsia="Times New Roman" w:hAnsi="Times New Roman"/>
                <w:sz w:val="15"/>
                <w:szCs w:val="15"/>
                <w:color w:val="0000FF"/>
                <w:w w:val="85"/>
              </w:rPr>
              <w:t>13.</w:t>
            </w:r>
          </w:p>
        </w:tc>
      </w:tr>
      <w:tr>
        <w:trPr>
          <w:trHeight w:val="197"/>
        </w:trPr>
        <w:tc>
          <w:tcPr>
            <w:tcW w:w="340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Association</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20" w:type="dxa"/>
            <w:vAlign w:val="bottom"/>
            <w:gridSpan w:val="3"/>
          </w:tcPr>
          <w:p>
            <w:pPr>
              <w:jc w:val="center"/>
              <w:ind w:right="824"/>
              <w:spacing w:after="0"/>
              <w:rPr>
                <w:sz w:val="20"/>
                <w:szCs w:val="20"/>
                <w:color w:val="auto"/>
              </w:rPr>
            </w:pPr>
            <w:r>
              <w:rPr>
                <w:rFonts w:ascii="Times New Roman" w:cs="Times New Roman" w:eastAsia="Times New Roman" w:hAnsi="Times New Roman"/>
                <w:sz w:val="15"/>
                <w:szCs w:val="15"/>
                <w:color w:val="0000FF"/>
              </w:rPr>
              <w:t>020833333%</w:t>
            </w:r>
          </w:p>
        </w:tc>
      </w:tr>
      <w:tr>
        <w:trPr>
          <w:trHeight w:val="348"/>
        </w:trPr>
        <w:tc>
          <w:tcPr>
            <w:tcW w:w="340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Capital One, National Association</w:t>
            </w:r>
          </w:p>
        </w:tc>
        <w:tc>
          <w:tcPr>
            <w:tcW w:w="1220" w:type="dxa"/>
            <w:vAlign w:val="bottom"/>
          </w:tcPr>
          <w:p>
            <w:pPr>
              <w:spacing w:after="0"/>
              <w:rPr>
                <w:sz w:val="24"/>
                <w:szCs w:val="24"/>
                <w:color w:val="auto"/>
              </w:rPr>
            </w:pPr>
          </w:p>
        </w:tc>
        <w:tc>
          <w:tcPr>
            <w:tcW w:w="1320" w:type="dxa"/>
            <w:vAlign w:val="bottom"/>
            <w:gridSpan w:val="3"/>
          </w:tcPr>
          <w:p>
            <w:pPr>
              <w:jc w:val="center"/>
              <w:ind w:left="84"/>
              <w:spacing w:after="0"/>
              <w:rPr>
                <w:sz w:val="20"/>
                <w:szCs w:val="20"/>
                <w:color w:val="auto"/>
              </w:rPr>
            </w:pPr>
            <w:r>
              <w:rPr>
                <w:rFonts w:ascii="Times New Roman" w:cs="Times New Roman" w:eastAsia="Times New Roman" w:hAnsi="Times New Roman"/>
                <w:sz w:val="15"/>
                <w:szCs w:val="15"/>
                <w:color w:val="auto"/>
              </w:rPr>
              <w:t>$75,000,000</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FF0000"/>
                <w:strike w:val="1"/>
                <w:w w:val="98"/>
              </w:rPr>
              <w:t>10.44568245%</w:t>
            </w:r>
          </w:p>
        </w:tc>
        <w:tc>
          <w:tcPr>
            <w:tcW w:w="1240" w:type="dxa"/>
            <w:vAlign w:val="bottom"/>
          </w:tcPr>
          <w:p>
            <w:pPr>
              <w:jc w:val="right"/>
              <w:ind w:right="984"/>
              <w:spacing w:after="0"/>
              <w:rPr>
                <w:sz w:val="20"/>
                <w:szCs w:val="20"/>
                <w:color w:val="auto"/>
              </w:rPr>
            </w:pPr>
            <w:r>
              <w:rPr>
                <w:rFonts w:ascii="Times New Roman" w:cs="Times New Roman" w:eastAsia="Times New Roman" w:hAnsi="Times New Roman"/>
                <w:sz w:val="15"/>
                <w:szCs w:val="15"/>
                <w:color w:val="0000FF"/>
                <w:w w:val="85"/>
              </w:rPr>
              <w:t>9.7</w:t>
            </w:r>
          </w:p>
        </w:tc>
      </w:tr>
      <w:tr>
        <w:trPr>
          <w:trHeight w:val="197"/>
        </w:trPr>
        <w:tc>
          <w:tcPr>
            <w:tcW w:w="3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20" w:type="dxa"/>
            <w:vAlign w:val="bottom"/>
            <w:gridSpan w:val="3"/>
          </w:tcPr>
          <w:p>
            <w:pPr>
              <w:jc w:val="center"/>
              <w:ind w:right="824"/>
              <w:spacing w:after="0"/>
              <w:rPr>
                <w:sz w:val="20"/>
                <w:szCs w:val="20"/>
                <w:color w:val="auto"/>
              </w:rPr>
            </w:pPr>
            <w:r>
              <w:rPr>
                <w:rFonts w:ascii="Times New Roman" w:cs="Times New Roman" w:eastAsia="Times New Roman" w:hAnsi="Times New Roman"/>
                <w:sz w:val="15"/>
                <w:szCs w:val="15"/>
                <w:color w:val="0000FF"/>
              </w:rPr>
              <w:t>65625000%</w:t>
            </w:r>
          </w:p>
        </w:tc>
      </w:tr>
      <w:tr>
        <w:trPr>
          <w:trHeight w:val="348"/>
        </w:trPr>
        <w:tc>
          <w:tcPr>
            <w:tcW w:w="340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Raymond James Bank</w:t>
            </w:r>
          </w:p>
        </w:tc>
        <w:tc>
          <w:tcPr>
            <w:tcW w:w="1220" w:type="dxa"/>
            <w:vAlign w:val="bottom"/>
          </w:tcPr>
          <w:p>
            <w:pPr>
              <w:spacing w:after="0"/>
              <w:rPr>
                <w:sz w:val="24"/>
                <w:szCs w:val="24"/>
                <w:color w:val="auto"/>
              </w:rPr>
            </w:pPr>
          </w:p>
        </w:tc>
        <w:tc>
          <w:tcPr>
            <w:tcW w:w="1320" w:type="dxa"/>
            <w:vAlign w:val="bottom"/>
            <w:gridSpan w:val="3"/>
          </w:tcPr>
          <w:p>
            <w:pPr>
              <w:jc w:val="center"/>
              <w:ind w:left="64"/>
              <w:spacing w:after="0"/>
              <w:rPr>
                <w:sz w:val="20"/>
                <w:szCs w:val="20"/>
                <w:color w:val="auto"/>
              </w:rPr>
            </w:pPr>
            <w:r>
              <w:rPr>
                <w:rFonts w:ascii="Times New Roman" w:cs="Times New Roman" w:eastAsia="Times New Roman" w:hAnsi="Times New Roman"/>
                <w:sz w:val="15"/>
                <w:szCs w:val="15"/>
                <w:color w:val="auto"/>
                <w:w w:val="99"/>
              </w:rPr>
              <w:t>$100,000,000</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FF0000"/>
                <w:strike w:val="1"/>
                <w:w w:val="98"/>
              </w:rPr>
              <w:t>13.92757660%</w:t>
            </w:r>
          </w:p>
        </w:tc>
        <w:tc>
          <w:tcPr>
            <w:tcW w:w="1240" w:type="dxa"/>
            <w:vAlign w:val="bottom"/>
          </w:tcPr>
          <w:p>
            <w:pPr>
              <w:jc w:val="right"/>
              <w:ind w:right="984"/>
              <w:spacing w:after="0"/>
              <w:rPr>
                <w:sz w:val="20"/>
                <w:szCs w:val="20"/>
                <w:color w:val="auto"/>
              </w:rPr>
            </w:pPr>
            <w:r>
              <w:rPr>
                <w:rFonts w:ascii="Times New Roman" w:cs="Times New Roman" w:eastAsia="Times New Roman" w:hAnsi="Times New Roman"/>
                <w:sz w:val="15"/>
                <w:szCs w:val="15"/>
                <w:color w:val="0000FF"/>
                <w:w w:val="85"/>
              </w:rPr>
              <w:t>13.</w:t>
            </w:r>
          </w:p>
        </w:tc>
      </w:tr>
      <w:tr>
        <w:trPr>
          <w:trHeight w:val="197"/>
        </w:trPr>
        <w:tc>
          <w:tcPr>
            <w:tcW w:w="3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20" w:type="dxa"/>
            <w:vAlign w:val="bottom"/>
            <w:gridSpan w:val="3"/>
          </w:tcPr>
          <w:p>
            <w:pPr>
              <w:jc w:val="center"/>
              <w:ind w:right="824"/>
              <w:spacing w:after="0"/>
              <w:rPr>
                <w:sz w:val="20"/>
                <w:szCs w:val="20"/>
                <w:color w:val="auto"/>
              </w:rPr>
            </w:pPr>
            <w:r>
              <w:rPr>
                <w:rFonts w:ascii="Times New Roman" w:cs="Times New Roman" w:eastAsia="Times New Roman" w:hAnsi="Times New Roman"/>
                <w:sz w:val="15"/>
                <w:szCs w:val="15"/>
                <w:color w:val="0000FF"/>
              </w:rPr>
              <w:t>020833333%</w:t>
            </w:r>
          </w:p>
        </w:tc>
      </w:tr>
      <w:tr>
        <w:trPr>
          <w:trHeight w:val="348"/>
        </w:trPr>
        <w:tc>
          <w:tcPr>
            <w:tcW w:w="340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CIBC Bank USA</w:t>
            </w:r>
          </w:p>
        </w:tc>
        <w:tc>
          <w:tcPr>
            <w:tcW w:w="1220" w:type="dxa"/>
            <w:vAlign w:val="bottom"/>
          </w:tcPr>
          <w:p>
            <w:pPr>
              <w:spacing w:after="0"/>
              <w:rPr>
                <w:sz w:val="24"/>
                <w:szCs w:val="24"/>
                <w:color w:val="auto"/>
              </w:rPr>
            </w:pPr>
          </w:p>
        </w:tc>
        <w:tc>
          <w:tcPr>
            <w:tcW w:w="1320" w:type="dxa"/>
            <w:vAlign w:val="bottom"/>
            <w:gridSpan w:val="3"/>
          </w:tcPr>
          <w:p>
            <w:pPr>
              <w:jc w:val="center"/>
              <w:ind w:left="84"/>
              <w:spacing w:after="0"/>
              <w:rPr>
                <w:sz w:val="20"/>
                <w:szCs w:val="20"/>
                <w:color w:val="auto"/>
              </w:rPr>
            </w:pPr>
            <w:r>
              <w:rPr>
                <w:rFonts w:ascii="Times New Roman" w:cs="Times New Roman" w:eastAsia="Times New Roman" w:hAnsi="Times New Roman"/>
                <w:sz w:val="15"/>
                <w:szCs w:val="15"/>
                <w:color w:val="auto"/>
              </w:rPr>
              <w:t>$50,000,000</w:t>
            </w:r>
          </w:p>
        </w:tc>
        <w:tc>
          <w:tcPr>
            <w:tcW w:w="1000" w:type="dxa"/>
            <w:vAlign w:val="bottom"/>
          </w:tcPr>
          <w:p>
            <w:pPr>
              <w:ind w:left="160"/>
              <w:spacing w:after="0"/>
              <w:rPr>
                <w:sz w:val="20"/>
                <w:szCs w:val="20"/>
                <w:color w:val="auto"/>
              </w:rPr>
            </w:pPr>
            <w:r>
              <w:rPr>
                <w:rFonts w:ascii="Times New Roman" w:cs="Times New Roman" w:eastAsia="Times New Roman" w:hAnsi="Times New Roman"/>
                <w:sz w:val="15"/>
                <w:szCs w:val="15"/>
                <w:color w:val="FF0000"/>
                <w:strike w:val="1"/>
                <w:w w:val="97"/>
              </w:rPr>
              <w:t>6.96378830%</w:t>
            </w:r>
          </w:p>
        </w:tc>
        <w:tc>
          <w:tcPr>
            <w:tcW w:w="1320" w:type="dxa"/>
            <w:vAlign w:val="bottom"/>
            <w:gridSpan w:val="2"/>
          </w:tcPr>
          <w:p>
            <w:pPr>
              <w:jc w:val="right"/>
              <w:ind w:right="984"/>
              <w:spacing w:after="0"/>
              <w:rPr>
                <w:sz w:val="20"/>
                <w:szCs w:val="20"/>
                <w:color w:val="auto"/>
              </w:rPr>
            </w:pPr>
            <w:r>
              <w:rPr>
                <w:rFonts w:ascii="Times New Roman" w:cs="Times New Roman" w:eastAsia="Times New Roman" w:hAnsi="Times New Roman"/>
                <w:sz w:val="15"/>
                <w:szCs w:val="15"/>
                <w:color w:val="0000FF"/>
                <w:w w:val="91"/>
              </w:rPr>
              <w:t>6.51</w:t>
            </w:r>
          </w:p>
        </w:tc>
      </w:tr>
      <w:tr>
        <w:trPr>
          <w:trHeight w:val="197"/>
        </w:trPr>
        <w:tc>
          <w:tcPr>
            <w:tcW w:w="3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tcPr>
          <w:p>
            <w:pPr>
              <w:jc w:val="center"/>
              <w:ind w:left="264"/>
              <w:spacing w:after="0"/>
              <w:rPr>
                <w:sz w:val="20"/>
                <w:szCs w:val="20"/>
                <w:color w:val="auto"/>
              </w:rPr>
            </w:pPr>
            <w:r>
              <w:rPr>
                <w:rFonts w:ascii="Times New Roman" w:cs="Times New Roman" w:eastAsia="Times New Roman" w:hAnsi="Times New Roman"/>
                <w:sz w:val="15"/>
                <w:szCs w:val="15"/>
                <w:color w:val="0000FF"/>
              </w:rPr>
              <w:t>0416667%</w:t>
            </w:r>
          </w:p>
        </w:tc>
        <w:tc>
          <w:tcPr>
            <w:tcW w:w="1240" w:type="dxa"/>
            <w:vAlign w:val="bottom"/>
          </w:tcPr>
          <w:p>
            <w:pPr>
              <w:spacing w:after="0"/>
              <w:rPr>
                <w:sz w:val="17"/>
                <w:szCs w:val="17"/>
                <w:color w:val="auto"/>
              </w:rPr>
            </w:pPr>
          </w:p>
        </w:tc>
      </w:tr>
      <w:tr>
        <w:trPr>
          <w:trHeight w:val="348"/>
        </w:trPr>
        <w:tc>
          <w:tcPr>
            <w:tcW w:w="340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City National Bank</w:t>
            </w:r>
          </w:p>
        </w:tc>
        <w:tc>
          <w:tcPr>
            <w:tcW w:w="1220" w:type="dxa"/>
            <w:vAlign w:val="bottom"/>
          </w:tcPr>
          <w:p>
            <w:pPr>
              <w:spacing w:after="0"/>
              <w:rPr>
                <w:sz w:val="24"/>
                <w:szCs w:val="24"/>
                <w:color w:val="auto"/>
              </w:rPr>
            </w:pPr>
          </w:p>
        </w:tc>
        <w:tc>
          <w:tcPr>
            <w:tcW w:w="1320" w:type="dxa"/>
            <w:vAlign w:val="bottom"/>
            <w:gridSpan w:val="3"/>
          </w:tcPr>
          <w:p>
            <w:pPr>
              <w:jc w:val="center"/>
              <w:ind w:left="84"/>
              <w:spacing w:after="0"/>
              <w:rPr>
                <w:sz w:val="20"/>
                <w:szCs w:val="20"/>
                <w:color w:val="auto"/>
              </w:rPr>
            </w:pPr>
            <w:r>
              <w:rPr>
                <w:rFonts w:ascii="Times New Roman" w:cs="Times New Roman" w:eastAsia="Times New Roman" w:hAnsi="Times New Roman"/>
                <w:sz w:val="15"/>
                <w:szCs w:val="15"/>
                <w:color w:val="auto"/>
              </w:rPr>
              <w:t>$20,000,000</w:t>
            </w:r>
          </w:p>
        </w:tc>
        <w:tc>
          <w:tcPr>
            <w:tcW w:w="1000" w:type="dxa"/>
            <w:vAlign w:val="bottom"/>
          </w:tcPr>
          <w:p>
            <w:pPr>
              <w:ind w:left="160"/>
              <w:spacing w:after="0"/>
              <w:rPr>
                <w:sz w:val="20"/>
                <w:szCs w:val="20"/>
                <w:color w:val="auto"/>
              </w:rPr>
            </w:pPr>
            <w:r>
              <w:rPr>
                <w:rFonts w:ascii="Times New Roman" w:cs="Times New Roman" w:eastAsia="Times New Roman" w:hAnsi="Times New Roman"/>
                <w:sz w:val="15"/>
                <w:szCs w:val="15"/>
                <w:color w:val="FF0000"/>
                <w:strike w:val="1"/>
                <w:w w:val="97"/>
              </w:rPr>
              <w:t>2.78551532%</w:t>
            </w:r>
          </w:p>
        </w:tc>
        <w:tc>
          <w:tcPr>
            <w:tcW w:w="1320" w:type="dxa"/>
            <w:vAlign w:val="bottom"/>
            <w:gridSpan w:val="2"/>
          </w:tcPr>
          <w:p>
            <w:pPr>
              <w:jc w:val="right"/>
              <w:ind w:right="984"/>
              <w:spacing w:after="0"/>
              <w:rPr>
                <w:sz w:val="20"/>
                <w:szCs w:val="20"/>
                <w:color w:val="auto"/>
              </w:rPr>
            </w:pPr>
            <w:r>
              <w:rPr>
                <w:rFonts w:ascii="Times New Roman" w:cs="Times New Roman" w:eastAsia="Times New Roman" w:hAnsi="Times New Roman"/>
                <w:sz w:val="15"/>
                <w:szCs w:val="15"/>
                <w:color w:val="0000FF"/>
                <w:w w:val="91"/>
              </w:rPr>
              <w:t>2.60</w:t>
            </w:r>
          </w:p>
        </w:tc>
      </w:tr>
      <w:tr>
        <w:trPr>
          <w:trHeight w:val="197"/>
        </w:trPr>
        <w:tc>
          <w:tcPr>
            <w:tcW w:w="3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tcPr>
          <w:p>
            <w:pPr>
              <w:jc w:val="center"/>
              <w:ind w:left="264"/>
              <w:spacing w:after="0"/>
              <w:rPr>
                <w:sz w:val="20"/>
                <w:szCs w:val="20"/>
                <w:color w:val="auto"/>
              </w:rPr>
            </w:pPr>
            <w:r>
              <w:rPr>
                <w:rFonts w:ascii="Times New Roman" w:cs="Times New Roman" w:eastAsia="Times New Roman" w:hAnsi="Times New Roman"/>
                <w:sz w:val="15"/>
                <w:szCs w:val="15"/>
                <w:color w:val="0000FF"/>
              </w:rPr>
              <w:t>4166667%</w:t>
            </w:r>
          </w:p>
        </w:tc>
        <w:tc>
          <w:tcPr>
            <w:tcW w:w="1240" w:type="dxa"/>
            <w:vAlign w:val="bottom"/>
          </w:tcPr>
          <w:p>
            <w:pPr>
              <w:spacing w:after="0"/>
              <w:rPr>
                <w:sz w:val="17"/>
                <w:szCs w:val="17"/>
                <w:color w:val="auto"/>
              </w:rPr>
            </w:pPr>
          </w:p>
        </w:tc>
      </w:tr>
      <w:tr>
        <w:trPr>
          <w:trHeight w:val="348"/>
        </w:trPr>
        <w:tc>
          <w:tcPr>
            <w:tcW w:w="340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Stifel Bank &amp; Trust</w:t>
            </w:r>
          </w:p>
        </w:tc>
        <w:tc>
          <w:tcPr>
            <w:tcW w:w="1220" w:type="dxa"/>
            <w:vAlign w:val="bottom"/>
          </w:tcPr>
          <w:p>
            <w:pPr>
              <w:spacing w:after="0"/>
              <w:rPr>
                <w:sz w:val="24"/>
                <w:szCs w:val="24"/>
                <w:color w:val="auto"/>
              </w:rPr>
            </w:pPr>
          </w:p>
        </w:tc>
        <w:tc>
          <w:tcPr>
            <w:tcW w:w="1320" w:type="dxa"/>
            <w:vAlign w:val="bottom"/>
            <w:gridSpan w:val="3"/>
          </w:tcPr>
          <w:p>
            <w:pPr>
              <w:jc w:val="center"/>
              <w:ind w:left="84"/>
              <w:spacing w:after="0"/>
              <w:rPr>
                <w:sz w:val="20"/>
                <w:szCs w:val="20"/>
                <w:color w:val="auto"/>
              </w:rPr>
            </w:pPr>
            <w:r>
              <w:rPr>
                <w:rFonts w:ascii="Times New Roman" w:cs="Times New Roman" w:eastAsia="Times New Roman" w:hAnsi="Times New Roman"/>
                <w:sz w:val="15"/>
                <w:szCs w:val="15"/>
                <w:color w:val="auto"/>
              </w:rPr>
              <w:t>$15,000,000</w:t>
            </w:r>
          </w:p>
        </w:tc>
        <w:tc>
          <w:tcPr>
            <w:tcW w:w="1000" w:type="dxa"/>
            <w:vAlign w:val="bottom"/>
          </w:tcPr>
          <w:p>
            <w:pPr>
              <w:ind w:left="160"/>
              <w:spacing w:after="0"/>
              <w:rPr>
                <w:sz w:val="20"/>
                <w:szCs w:val="20"/>
                <w:color w:val="auto"/>
              </w:rPr>
            </w:pPr>
            <w:r>
              <w:rPr>
                <w:rFonts w:ascii="Times New Roman" w:cs="Times New Roman" w:eastAsia="Times New Roman" w:hAnsi="Times New Roman"/>
                <w:sz w:val="15"/>
                <w:szCs w:val="15"/>
                <w:color w:val="FF0000"/>
                <w:strike w:val="1"/>
                <w:w w:val="97"/>
              </w:rPr>
              <w:t>2.08913649%</w:t>
            </w:r>
          </w:p>
        </w:tc>
        <w:tc>
          <w:tcPr>
            <w:tcW w:w="1320" w:type="dxa"/>
            <w:vAlign w:val="bottom"/>
            <w:gridSpan w:val="2"/>
          </w:tcPr>
          <w:p>
            <w:pPr>
              <w:jc w:val="right"/>
              <w:ind w:right="984"/>
              <w:spacing w:after="0"/>
              <w:rPr>
                <w:sz w:val="20"/>
                <w:szCs w:val="20"/>
                <w:color w:val="auto"/>
              </w:rPr>
            </w:pPr>
            <w:r>
              <w:rPr>
                <w:rFonts w:ascii="Times New Roman" w:cs="Times New Roman" w:eastAsia="Times New Roman" w:hAnsi="Times New Roman"/>
                <w:sz w:val="15"/>
                <w:szCs w:val="15"/>
                <w:color w:val="0000FF"/>
                <w:w w:val="91"/>
              </w:rPr>
              <w:t>1.95</w:t>
            </w:r>
          </w:p>
        </w:tc>
      </w:tr>
      <w:tr>
        <w:trPr>
          <w:trHeight w:val="197"/>
        </w:trPr>
        <w:tc>
          <w:tcPr>
            <w:tcW w:w="3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tcPr>
          <w:p>
            <w:pPr>
              <w:jc w:val="center"/>
              <w:ind w:left="264"/>
              <w:spacing w:after="0"/>
              <w:rPr>
                <w:sz w:val="20"/>
                <w:szCs w:val="20"/>
                <w:color w:val="auto"/>
              </w:rPr>
            </w:pPr>
            <w:r>
              <w:rPr>
                <w:rFonts w:ascii="Times New Roman" w:cs="Times New Roman" w:eastAsia="Times New Roman" w:hAnsi="Times New Roman"/>
                <w:sz w:val="15"/>
                <w:szCs w:val="15"/>
                <w:color w:val="0000FF"/>
              </w:rPr>
              <w:t>3125000%</w:t>
            </w:r>
          </w:p>
        </w:tc>
        <w:tc>
          <w:tcPr>
            <w:tcW w:w="1240" w:type="dxa"/>
            <w:vAlign w:val="bottom"/>
          </w:tcPr>
          <w:p>
            <w:pPr>
              <w:spacing w:after="0"/>
              <w:rPr>
                <w:sz w:val="17"/>
                <w:szCs w:val="17"/>
                <w:color w:val="auto"/>
              </w:rPr>
            </w:pPr>
          </w:p>
        </w:tc>
      </w:tr>
      <w:tr>
        <w:trPr>
          <w:trHeight w:val="348"/>
        </w:trPr>
        <w:tc>
          <w:tcPr>
            <w:tcW w:w="340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Sumitomo Mitsui Trust Bank,</w:t>
            </w:r>
          </w:p>
        </w:tc>
        <w:tc>
          <w:tcPr>
            <w:tcW w:w="1220" w:type="dxa"/>
            <w:vAlign w:val="bottom"/>
          </w:tcPr>
          <w:p>
            <w:pPr>
              <w:spacing w:after="0"/>
              <w:rPr>
                <w:sz w:val="24"/>
                <w:szCs w:val="24"/>
                <w:color w:val="auto"/>
              </w:rPr>
            </w:pPr>
          </w:p>
        </w:tc>
        <w:tc>
          <w:tcPr>
            <w:tcW w:w="1320" w:type="dxa"/>
            <w:vAlign w:val="bottom"/>
            <w:gridSpan w:val="3"/>
          </w:tcPr>
          <w:p>
            <w:pPr>
              <w:jc w:val="center"/>
              <w:ind w:left="84"/>
              <w:spacing w:after="0"/>
              <w:rPr>
                <w:sz w:val="20"/>
                <w:szCs w:val="20"/>
                <w:color w:val="auto"/>
              </w:rPr>
            </w:pPr>
            <w:r>
              <w:rPr>
                <w:rFonts w:ascii="Times New Roman" w:cs="Times New Roman" w:eastAsia="Times New Roman" w:hAnsi="Times New Roman"/>
                <w:sz w:val="15"/>
                <w:szCs w:val="15"/>
                <w:color w:val="auto"/>
              </w:rPr>
              <w:t>$50,000,000</w:t>
            </w:r>
          </w:p>
        </w:tc>
        <w:tc>
          <w:tcPr>
            <w:tcW w:w="1000" w:type="dxa"/>
            <w:vAlign w:val="bottom"/>
          </w:tcPr>
          <w:p>
            <w:pPr>
              <w:ind w:left="160"/>
              <w:spacing w:after="0"/>
              <w:rPr>
                <w:sz w:val="20"/>
                <w:szCs w:val="20"/>
                <w:color w:val="auto"/>
              </w:rPr>
            </w:pPr>
            <w:r>
              <w:rPr>
                <w:rFonts w:ascii="Times New Roman" w:cs="Times New Roman" w:eastAsia="Times New Roman" w:hAnsi="Times New Roman"/>
                <w:sz w:val="15"/>
                <w:szCs w:val="15"/>
                <w:color w:val="FF0000"/>
                <w:strike w:val="1"/>
                <w:w w:val="97"/>
              </w:rPr>
              <w:t>6.96378830%</w:t>
            </w:r>
          </w:p>
        </w:tc>
        <w:tc>
          <w:tcPr>
            <w:tcW w:w="1320" w:type="dxa"/>
            <w:vAlign w:val="bottom"/>
            <w:gridSpan w:val="2"/>
          </w:tcPr>
          <w:p>
            <w:pPr>
              <w:jc w:val="right"/>
              <w:ind w:right="984"/>
              <w:spacing w:after="0"/>
              <w:rPr>
                <w:sz w:val="20"/>
                <w:szCs w:val="20"/>
                <w:color w:val="auto"/>
              </w:rPr>
            </w:pPr>
            <w:r>
              <w:rPr>
                <w:rFonts w:ascii="Times New Roman" w:cs="Times New Roman" w:eastAsia="Times New Roman" w:hAnsi="Times New Roman"/>
                <w:sz w:val="15"/>
                <w:szCs w:val="15"/>
                <w:color w:val="0000FF"/>
                <w:w w:val="91"/>
              </w:rPr>
              <w:t>6.51</w:t>
            </w:r>
          </w:p>
        </w:tc>
      </w:tr>
      <w:tr>
        <w:trPr>
          <w:trHeight w:val="197"/>
        </w:trPr>
        <w:tc>
          <w:tcPr>
            <w:tcW w:w="340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Limited (New York Branch)</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tcPr>
          <w:p>
            <w:pPr>
              <w:jc w:val="center"/>
              <w:ind w:left="264"/>
              <w:spacing w:after="0"/>
              <w:rPr>
                <w:sz w:val="20"/>
                <w:szCs w:val="20"/>
                <w:color w:val="auto"/>
              </w:rPr>
            </w:pPr>
            <w:r>
              <w:rPr>
                <w:rFonts w:ascii="Times New Roman" w:cs="Times New Roman" w:eastAsia="Times New Roman" w:hAnsi="Times New Roman"/>
                <w:sz w:val="15"/>
                <w:szCs w:val="15"/>
                <w:color w:val="0000FF"/>
              </w:rPr>
              <w:t>0416667%</w:t>
            </w:r>
          </w:p>
        </w:tc>
        <w:tc>
          <w:tcPr>
            <w:tcW w:w="1240" w:type="dxa"/>
            <w:vAlign w:val="bottom"/>
          </w:tcPr>
          <w:p>
            <w:pPr>
              <w:spacing w:after="0"/>
              <w:rPr>
                <w:sz w:val="17"/>
                <w:szCs w:val="17"/>
                <w:color w:val="auto"/>
              </w:rPr>
            </w:pPr>
          </w:p>
        </w:tc>
      </w:tr>
      <w:tr>
        <w:trPr>
          <w:trHeight w:val="363"/>
        </w:trPr>
        <w:tc>
          <w:tcPr>
            <w:tcW w:w="3400" w:type="dxa"/>
            <w:vAlign w:val="bottom"/>
          </w:tcPr>
          <w:p>
            <w:pPr>
              <w:ind w:left="1060"/>
              <w:spacing w:after="0"/>
              <w:rPr>
                <w:sz w:val="20"/>
                <w:szCs w:val="20"/>
                <w:color w:val="auto"/>
              </w:rPr>
            </w:pPr>
            <w:r>
              <w:rPr>
                <w:rFonts w:ascii="Times New Roman" w:cs="Times New Roman" w:eastAsia="Times New Roman" w:hAnsi="Times New Roman"/>
                <w:sz w:val="15"/>
                <w:szCs w:val="15"/>
                <w:color w:val="0000FF"/>
              </w:rPr>
              <w:t>Standard Chartered Bank</w:t>
            </w:r>
          </w:p>
        </w:tc>
        <w:tc>
          <w:tcPr>
            <w:tcW w:w="1220" w:type="dxa"/>
            <w:vAlign w:val="bottom"/>
          </w:tcPr>
          <w:p>
            <w:pPr>
              <w:spacing w:after="0"/>
              <w:rPr>
                <w:sz w:val="24"/>
                <w:szCs w:val="24"/>
                <w:color w:val="auto"/>
              </w:rPr>
            </w:pPr>
          </w:p>
        </w:tc>
        <w:tc>
          <w:tcPr>
            <w:tcW w:w="1320" w:type="dxa"/>
            <w:vAlign w:val="bottom"/>
            <w:gridSpan w:val="3"/>
          </w:tcPr>
          <w:p>
            <w:pPr>
              <w:jc w:val="center"/>
              <w:ind w:left="84"/>
              <w:spacing w:after="0"/>
              <w:rPr>
                <w:sz w:val="20"/>
                <w:szCs w:val="20"/>
                <w:color w:val="auto"/>
              </w:rPr>
            </w:pPr>
            <w:r>
              <w:rPr>
                <w:rFonts w:ascii="Times New Roman" w:cs="Times New Roman" w:eastAsia="Times New Roman" w:hAnsi="Times New Roman"/>
                <w:sz w:val="15"/>
                <w:szCs w:val="15"/>
                <w:color w:val="0000FF"/>
              </w:rPr>
              <w:t>$50,000,000</w:t>
            </w:r>
          </w:p>
        </w:tc>
        <w:tc>
          <w:tcPr>
            <w:tcW w:w="2320" w:type="dxa"/>
            <w:vAlign w:val="bottom"/>
            <w:gridSpan w:val="3"/>
          </w:tcPr>
          <w:p>
            <w:pPr>
              <w:jc w:val="center"/>
              <w:ind w:right="804"/>
              <w:spacing w:after="0"/>
              <w:rPr>
                <w:sz w:val="20"/>
                <w:szCs w:val="20"/>
                <w:color w:val="auto"/>
              </w:rPr>
            </w:pPr>
            <w:r>
              <w:rPr>
                <w:rFonts w:ascii="Times New Roman" w:cs="Times New Roman" w:eastAsia="Times New Roman" w:hAnsi="Times New Roman"/>
                <w:sz w:val="15"/>
                <w:szCs w:val="15"/>
                <w:color w:val="0000FF"/>
              </w:rPr>
              <w:t>6.510416667%</w:t>
            </w:r>
          </w:p>
        </w:tc>
      </w:tr>
      <w:tr>
        <w:trPr>
          <w:trHeight w:val="348"/>
        </w:trPr>
        <w:tc>
          <w:tcPr>
            <w:tcW w:w="3400" w:type="dxa"/>
            <w:vAlign w:val="bottom"/>
          </w:tcPr>
          <w:p>
            <w:pPr>
              <w:ind w:left="1520"/>
              <w:spacing w:after="0"/>
              <w:rPr>
                <w:sz w:val="20"/>
                <w:szCs w:val="20"/>
                <w:color w:val="auto"/>
              </w:rPr>
            </w:pPr>
            <w:r>
              <w:rPr>
                <w:rFonts w:ascii="Times New Roman" w:cs="Times New Roman" w:eastAsia="Times New Roman" w:hAnsi="Times New Roman"/>
                <w:sz w:val="15"/>
                <w:szCs w:val="15"/>
                <w:color w:val="auto"/>
              </w:rPr>
              <w:t>Facility Amount</w:t>
            </w:r>
          </w:p>
        </w:tc>
        <w:tc>
          <w:tcPr>
            <w:tcW w:w="1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FF0000"/>
                <w:strike w:val="1"/>
                <w:w w:val="98"/>
              </w:rPr>
              <w:t>718,000,000</w:t>
            </w:r>
          </w:p>
        </w:tc>
        <w:tc>
          <w:tcPr>
            <w:tcW w:w="2660" w:type="dxa"/>
            <w:vAlign w:val="bottom"/>
            <w:gridSpan w:val="4"/>
          </w:tcPr>
          <w:p>
            <w:pPr>
              <w:jc w:val="right"/>
              <w:ind w:right="1044"/>
              <w:spacing w:after="0"/>
              <w:rPr>
                <w:sz w:val="20"/>
                <w:szCs w:val="20"/>
                <w:color w:val="auto"/>
              </w:rPr>
            </w:pPr>
            <w:r>
              <w:rPr>
                <w:rFonts w:ascii="Times New Roman" w:cs="Times New Roman" w:eastAsia="Times New Roman" w:hAnsi="Times New Roman"/>
                <w:sz w:val="15"/>
                <w:szCs w:val="15"/>
                <w:color w:val="0000FF"/>
              </w:rPr>
              <w:t xml:space="preserve">768,0   </w:t>
            </w:r>
            <w:r>
              <w:rPr>
                <w:rFonts w:ascii="Times New Roman" w:cs="Times New Roman" w:eastAsia="Times New Roman" w:hAnsi="Times New Roman"/>
                <w:sz w:val="15"/>
                <w:szCs w:val="15"/>
                <w:color w:val="000000"/>
              </w:rPr>
              <w:t>100.00000000%</w:t>
            </w:r>
          </w:p>
        </w:tc>
      </w:tr>
      <w:tr>
        <w:trPr>
          <w:trHeight w:val="197"/>
        </w:trPr>
        <w:tc>
          <w:tcPr>
            <w:tcW w:w="3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gridSpan w:val="2"/>
          </w:tcPr>
          <w:p>
            <w:pPr>
              <w:jc w:val="center"/>
              <w:ind w:left="404"/>
              <w:spacing w:after="0"/>
              <w:rPr>
                <w:sz w:val="20"/>
                <w:szCs w:val="20"/>
                <w:color w:val="auto"/>
              </w:rPr>
            </w:pPr>
            <w:r>
              <w:rPr>
                <w:rFonts w:ascii="Times New Roman" w:cs="Times New Roman" w:eastAsia="Times New Roman" w:hAnsi="Times New Roman"/>
                <w:sz w:val="15"/>
                <w:szCs w:val="15"/>
                <w:color w:val="0000FF"/>
              </w:rPr>
              <w:t>00,000</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397"/>
        </w:trPr>
        <w:tc>
          <w:tcPr>
            <w:tcW w:w="340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-24765</wp:posOffset>
            </wp:positionV>
            <wp:extent cx="526605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91" w:name="page292"/>
    <w:bookmarkEnd w:id="291"/>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Schedule 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Forms of Monthly Report and Payment Date Report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on File with Administrative Agent and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664845</wp:posOffset>
            </wp:positionV>
            <wp:extent cx="526605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92" w:name="page293"/>
    <w:bookmarkEnd w:id="292"/>
    <w:p>
      <w:pPr>
        <w:spacing w:after="0" w:line="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Schedule 3</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Initial Collateral Loans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On File with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761365</wp:posOffset>
            </wp:positionV>
            <wp:extent cx="526605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93" w:name="page294"/>
    <w:bookmarkEnd w:id="293"/>
    <w:p>
      <w:pPr>
        <w:spacing w:after="0" w:line="88"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56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Schedule 4</w:t>
            </w:r>
          </w:p>
        </w:tc>
        <w:tc>
          <w:tcPr>
            <w:tcW w:w="0" w:type="dxa"/>
            <w:vAlign w:val="bottom"/>
          </w:tcPr>
          <w:p>
            <w:pPr>
              <w:spacing w:after="0"/>
              <w:rPr>
                <w:sz w:val="1"/>
                <w:szCs w:val="1"/>
                <w:color w:val="auto"/>
              </w:rPr>
            </w:pPr>
          </w:p>
        </w:tc>
      </w:tr>
      <w:tr>
        <w:trPr>
          <w:trHeight w:val="323"/>
        </w:trPr>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5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S&amp;P Industry Classifications</w:t>
            </w:r>
          </w:p>
        </w:tc>
        <w:tc>
          <w:tcPr>
            <w:tcW w:w="0" w:type="dxa"/>
            <w:vAlign w:val="bottom"/>
          </w:tcPr>
          <w:p>
            <w:pPr>
              <w:spacing w:after="0"/>
              <w:rPr>
                <w:sz w:val="1"/>
                <w:szCs w:val="1"/>
                <w:color w:val="auto"/>
              </w:rPr>
            </w:pPr>
          </w:p>
        </w:tc>
      </w:tr>
      <w:tr>
        <w:trPr>
          <w:trHeight w:val="204"/>
        </w:trPr>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440" w:type="dxa"/>
            <w:vAlign w:val="bottom"/>
            <w:tcBorders>
              <w:right w:val="single" w:sz="8" w:color="auto"/>
            </w:tcBorders>
          </w:tcPr>
          <w:p>
            <w:pPr>
              <w:spacing w:after="0"/>
              <w:rPr>
                <w:sz w:val="14"/>
                <w:szCs w:val="14"/>
                <w:color w:val="auto"/>
              </w:rPr>
            </w:pPr>
          </w:p>
        </w:tc>
        <w:tc>
          <w:tcPr>
            <w:tcW w:w="1260" w:type="dxa"/>
            <w:vAlign w:val="bottom"/>
            <w:tcBorders>
              <w:top w:val="single" w:sz="8" w:color="auto"/>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Asset Type</w:t>
            </w:r>
          </w:p>
        </w:tc>
        <w:tc>
          <w:tcPr>
            <w:tcW w:w="4140" w:type="dxa"/>
            <w:vAlign w:val="bottom"/>
            <w:tcBorders>
              <w:top w:val="single" w:sz="8" w:color="auto"/>
              <w:right w:val="single" w:sz="8" w:color="auto"/>
            </w:tcBorders>
          </w:tcPr>
          <w:p>
            <w:pPr>
              <w:ind w:left="1720"/>
              <w:spacing w:after="0" w:line="171" w:lineRule="exact"/>
              <w:rPr>
                <w:sz w:val="20"/>
                <w:szCs w:val="20"/>
                <w:color w:val="auto"/>
              </w:rPr>
            </w:pPr>
            <w:r>
              <w:rPr>
                <w:rFonts w:ascii="Times New Roman" w:cs="Times New Roman" w:eastAsia="Times New Roman" w:hAnsi="Times New Roman"/>
                <w:sz w:val="16"/>
                <w:szCs w:val="16"/>
                <w:color w:val="auto"/>
              </w:rPr>
              <w:t>Description</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Code</w:t>
            </w:r>
          </w:p>
        </w:tc>
        <w:tc>
          <w:tcPr>
            <w:tcW w:w="4140" w:type="dxa"/>
            <w:vAlign w:val="bottom"/>
            <w:tcBorders>
              <w:bottom w:val="single" w:sz="8" w:color="auto"/>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1020000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Energy Equipment and Services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vMerge w:val="restart"/>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440" w:type="dxa"/>
            <w:vAlign w:val="bottom"/>
            <w:tcBorders>
              <w:right w:val="single" w:sz="8" w:color="auto"/>
            </w:tcBorders>
            <w:vMerge w:val="continue"/>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1030000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Oil, Gas and Consumable Fuels</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40" w:type="dxa"/>
            <w:vAlign w:val="bottom"/>
            <w:tcBorders>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1033403</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Mortgage Real Estate Investment Trusts (REITs)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Chemicals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vMerge w:val="restart"/>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440" w:type="dxa"/>
            <w:vAlign w:val="bottom"/>
            <w:tcBorders>
              <w:right w:val="single" w:sz="8" w:color="auto"/>
            </w:tcBorders>
            <w:vMerge w:val="continue"/>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2030000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Construction Materials</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2040000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Containers and Packaging</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2050000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Metals and Mining</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2060000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Paper and Forest Products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3020000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Aerospace and Defense</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4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3030000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Building Products</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4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3040000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Construction &amp; Engineering</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4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3050000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Electrical Equipment</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3060000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Industrial Conglomerates</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3070000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Machinery</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4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3080000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Trading Companies and Distributors</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vMerge w:val="restart"/>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440" w:type="dxa"/>
            <w:vAlign w:val="bottom"/>
            <w:tcBorders>
              <w:right w:val="single" w:sz="8" w:color="auto"/>
            </w:tcBorders>
            <w:vMerge w:val="continue"/>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3110000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Commercial Services and Supplies</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9612010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Professional Services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3210000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Air Freight and Logistics</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3220000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Airlines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Marine</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Road and Rail</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3250000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Transportation Infrastructure</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4011000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Auto Components</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4020000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Automobiles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4110000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Household Durables</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4120000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Leisure Products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4130000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Textiles, Apparel and Luxury Goods</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4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4210000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Hotels, Restaurants and Leisure</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4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9551701</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Diversified Consumer Services</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vMerge w:val="restart"/>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440" w:type="dxa"/>
            <w:vAlign w:val="bottom"/>
            <w:tcBorders>
              <w:right w:val="single" w:sz="8" w:color="auto"/>
            </w:tcBorders>
            <w:vMerge w:val="continue"/>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4310000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Media</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4410000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Distributors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vMerge w:val="restart"/>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440" w:type="dxa"/>
            <w:vAlign w:val="bottom"/>
            <w:tcBorders>
              <w:right w:val="single" w:sz="8" w:color="auto"/>
            </w:tcBorders>
            <w:vMerge w:val="continue"/>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4420000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Internet and Catalog Retail</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4430000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Multiline Retail</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vMerge w:val="restart"/>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440" w:type="dxa"/>
            <w:vAlign w:val="bottom"/>
            <w:tcBorders>
              <w:right w:val="single" w:sz="8" w:color="auto"/>
            </w:tcBorders>
            <w:vMerge w:val="continue"/>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4440000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Specialty Retail</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5020000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Food and Staples Retailing</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7"/>
        </w:trPr>
        <w:tc>
          <w:tcPr>
            <w:tcW w:w="144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414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-24765</wp:posOffset>
            </wp:positionV>
            <wp:extent cx="526605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94" w:name="page295"/>
    <w:bookmarkEnd w:id="294"/>
    <w:p>
      <w:pPr>
        <w:spacing w:after="0" w:line="99" w:lineRule="exact"/>
        <w:rPr>
          <w:sz w:val="20"/>
          <w:szCs w:val="20"/>
          <w:color w:val="auto"/>
        </w:rPr>
      </w:pPr>
    </w:p>
    <w:tbl>
      <w:tblPr>
        <w:tblLayout w:type="fixed"/>
        <w:tblInd w:w="380" w:type="dxa"/>
        <w:tblCellMar>
          <w:top w:w="0" w:type="dxa"/>
          <w:left w:w="0" w:type="dxa"/>
          <w:bottom w:w="0" w:type="dxa"/>
          <w:right w:w="0" w:type="dxa"/>
        </w:tblCellMar>
      </w:tblPr>
      <w:tr>
        <w:trPr>
          <w:trHeight w:val="191"/>
        </w:trPr>
        <w:tc>
          <w:tcPr>
            <w:tcW w:w="1440" w:type="dxa"/>
            <w:vAlign w:val="bottom"/>
            <w:tcBorders>
              <w:right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Asset Type</w:t>
            </w:r>
          </w:p>
        </w:tc>
        <w:tc>
          <w:tcPr>
            <w:tcW w:w="4140" w:type="dxa"/>
            <w:vAlign w:val="bottom"/>
            <w:tcBorders>
              <w:top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6"/>
                <w:szCs w:val="16"/>
                <w:color w:val="auto"/>
              </w:rPr>
              <w:t>Description</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Code</w:t>
            </w:r>
          </w:p>
        </w:tc>
        <w:tc>
          <w:tcPr>
            <w:tcW w:w="4140" w:type="dxa"/>
            <w:vAlign w:val="bottom"/>
            <w:tcBorders>
              <w:bottom w:val="single" w:sz="8" w:color="auto"/>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5110000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Beverages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vMerge w:val="restart"/>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440" w:type="dxa"/>
            <w:vAlign w:val="bottom"/>
            <w:tcBorders>
              <w:right w:val="single" w:sz="8" w:color="auto"/>
            </w:tcBorders>
            <w:vMerge w:val="continue"/>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5120000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Food Products</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5130000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Tobacco</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vMerge w:val="restart"/>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440" w:type="dxa"/>
            <w:vAlign w:val="bottom"/>
            <w:tcBorders>
              <w:right w:val="single" w:sz="8" w:color="auto"/>
            </w:tcBorders>
            <w:vMerge w:val="continue"/>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5210000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Household Products</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5220000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Personal Products</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6020000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Healthcare Equipment and Supplies</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6030000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Healthcare Providers and Services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40" w:type="dxa"/>
            <w:vAlign w:val="bottom"/>
            <w:tcBorders>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9551729</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Health Care Technology</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6110000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Biotechnology</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6120000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Pharmaceuticals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40" w:type="dxa"/>
            <w:vAlign w:val="bottom"/>
            <w:tcBorders>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9551727</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Life Sciences Tools &amp; Services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7011000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Banks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7020000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Thrifts and Mortgage Finance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7110000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Diversified Financial Services</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4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7120000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Consumer Finance</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vMerge w:val="restart"/>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440" w:type="dxa"/>
            <w:vAlign w:val="bottom"/>
            <w:tcBorders>
              <w:right w:val="single" w:sz="8" w:color="auto"/>
            </w:tcBorders>
            <w:vMerge w:val="continue"/>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7130000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Capital Markets</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7210000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Insurance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vMerge w:val="restart"/>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440" w:type="dxa"/>
            <w:vAlign w:val="bottom"/>
            <w:tcBorders>
              <w:right w:val="single" w:sz="8" w:color="auto"/>
            </w:tcBorders>
            <w:vMerge w:val="continue"/>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7310000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Real Estate Management and Development</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7311000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Equity Real Estate Investment Trusts (REITs)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4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8020000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Internet Software and Services</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8030000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IT Services</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8040000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Software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8110000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Communications Equipment</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4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8120000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Technology Hardware, Storage and Peripherals</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4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8130000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Electronic Equipment, Instruments and Components</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vMerge w:val="restart"/>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440" w:type="dxa"/>
            <w:vAlign w:val="bottom"/>
            <w:tcBorders>
              <w:right w:val="single" w:sz="8" w:color="auto"/>
            </w:tcBorders>
            <w:vMerge w:val="continue"/>
          </w:tcPr>
          <w:p>
            <w:pPr>
              <w:spacing w:after="0"/>
              <w:rPr>
                <w:sz w:val="17"/>
                <w:szCs w:val="17"/>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8210000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Semiconductors and Semiconductor Equipment</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9020000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Diversified Telecommunication Services</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9030000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Wireless Telecommunication Services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9520000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Electric Utilities</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9530000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Gas Utilities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9540000</w:t>
            </w:r>
          </w:p>
        </w:tc>
        <w:tc>
          <w:tcPr>
            <w:tcW w:w="4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Multi-Utilities</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44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9550000</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Water Utilities</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440" w:type="dxa"/>
            <w:vAlign w:val="bottom"/>
            <w:tcBorders>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9551702</w:t>
            </w:r>
          </w:p>
        </w:tc>
        <w:tc>
          <w:tcPr>
            <w:tcW w:w="4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Independent Power and Renewable Electricity Producers</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8"/>
        </w:trPr>
        <w:tc>
          <w:tcPr>
            <w:tcW w:w="144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414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-24765</wp:posOffset>
            </wp:positionV>
            <wp:extent cx="526605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95" w:name="page296"/>
    <w:bookmarkEnd w:id="295"/>
    <w:tbl>
      <w:tblPr>
        <w:tblLayout w:type="fixed"/>
        <w:tblInd w:w="24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300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Schedule 5</w:t>
            </w:r>
          </w:p>
        </w:tc>
        <w:tc>
          <w:tcPr>
            <w:tcW w:w="1480" w:type="dxa"/>
            <w:vAlign w:val="bottom"/>
          </w:tcPr>
          <w:p>
            <w:pPr>
              <w:spacing w:after="0"/>
              <w:rPr>
                <w:sz w:val="16"/>
                <w:szCs w:val="16"/>
                <w:color w:val="auto"/>
              </w:rPr>
            </w:pPr>
          </w:p>
        </w:tc>
      </w:tr>
      <w:tr>
        <w:trPr>
          <w:trHeight w:val="210"/>
        </w:trPr>
        <w:tc>
          <w:tcPr>
            <w:tcW w:w="1780" w:type="dxa"/>
            <w:vAlign w:val="bottom"/>
          </w:tcPr>
          <w:p>
            <w:pPr>
              <w:spacing w:after="0"/>
              <w:rPr>
                <w:sz w:val="18"/>
                <w:szCs w:val="18"/>
                <w:color w:val="auto"/>
              </w:rPr>
            </w:pPr>
          </w:p>
        </w:tc>
        <w:tc>
          <w:tcPr>
            <w:tcW w:w="448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Fifth Amendment Participation Pool</w:t>
            </w:r>
          </w:p>
        </w:tc>
      </w:tr>
      <w:tr>
        <w:trPr>
          <w:trHeight w:val="573"/>
        </w:trPr>
        <w:tc>
          <w:tcPr>
            <w:tcW w:w="17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Borrower Name</w:t>
            </w:r>
          </w:p>
        </w:tc>
        <w:tc>
          <w:tcPr>
            <w:tcW w:w="3000" w:type="dxa"/>
            <w:vAlign w:val="bottom"/>
          </w:tcPr>
          <w:p>
            <w:pPr>
              <w:ind w:left="1280"/>
              <w:spacing w:after="0"/>
              <w:rPr>
                <w:sz w:val="20"/>
                <w:szCs w:val="20"/>
                <w:color w:val="auto"/>
              </w:rPr>
            </w:pPr>
            <w:r>
              <w:rPr>
                <w:rFonts w:ascii="Times New Roman" w:cs="Times New Roman" w:eastAsia="Times New Roman" w:hAnsi="Times New Roman"/>
                <w:sz w:val="15"/>
                <w:szCs w:val="15"/>
                <w:color w:val="auto"/>
              </w:rPr>
              <w:t>Asset Name</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9"/>
              </w:rPr>
              <w:t>Security</w:t>
            </w:r>
          </w:p>
        </w:tc>
      </w:tr>
      <w:tr>
        <w:trPr>
          <w:trHeight w:val="313"/>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A1 Garage</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A1 Garage (Term Loan)</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Avenu</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Avenu (TL)</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Ad.net</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Ad.net (Term Loan)</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Vision Integrated</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Vision Integrated (TL)</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Beta+</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Beta+ (TL)</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Big Top Manufacturing</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Big Top Manufacturing (Term Loan)</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BioDerm</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BioDerm (Term Loan)</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BBB Industries</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BBB Industries (First Lien Term Loan)</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By Light</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By Light (Term Loan)</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Carisk Partners</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Carisk Partners (TL)</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Carnegie Dartlet</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Carnegie Dartlet (Term Loan)</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Cartessa</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Cartessa (TL)</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Gen3 Marketing</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Gen3 Marketing (Term Loan)</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Compex Legal</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Compex (TL)</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Confluent Health</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Confluent Health (TL)</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Connatix</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Connatix (Term Loan)</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CoolSys</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CoolSys (TL)</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Crane 1</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Crane 1 (Term Loan)</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Dr. Squatch</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Dr. Squatch (Term Loan)</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Digital Room</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Digital Room (Term Loan)</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Dr. Scholl's</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Dr. Scholl's (Term Loan)</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Research Now/SSI</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Research Now / SSI (FOTL)</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rPr>
              <w:t>First Out Financing</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Research Now/SSI</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Research Now / SSI (SOTL)</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9"/>
              </w:rPr>
              <w:t>Second Out Financing</w:t>
            </w:r>
          </w:p>
        </w:tc>
      </w:tr>
      <w:tr>
        <w:trPr>
          <w:trHeight w:val="187"/>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Epiq</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Epiq (TL)</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18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Engine &amp; Transmission</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Engine &amp; Transmission Exchange (Term</w:t>
            </w:r>
          </w:p>
        </w:tc>
        <w:tc>
          <w:tcPr>
            <w:tcW w:w="1480" w:type="dxa"/>
            <w:vAlign w:val="bottom"/>
          </w:tcPr>
          <w:p>
            <w:pPr>
              <w:spacing w:after="0"/>
              <w:rPr>
                <w:sz w:val="15"/>
                <w:szCs w:val="15"/>
                <w:color w:val="auto"/>
              </w:rPr>
            </w:pPr>
          </w:p>
        </w:tc>
      </w:tr>
      <w:tr>
        <w:trPr>
          <w:trHeight w:val="197"/>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Exchange</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Loan)</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EvAl</w:t>
            </w:r>
          </w:p>
        </w:tc>
        <w:tc>
          <w:tcPr>
            <w:tcW w:w="30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EvAl (Term Loan)</w:t>
            </w:r>
          </w:p>
        </w:tc>
        <w:tc>
          <w:tcPr>
            <w:tcW w:w="148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w w:val="98"/>
              </w:rPr>
              <w:t>First Lien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495935</wp:posOffset>
            </wp:positionV>
            <wp:extent cx="6790690"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4">
                      <a:extLst>
                        <a:ext uri="{28A0092B-C50C-407E-A947-70E740481C1C}"/>
                      </a:extLst>
                    </a:blip>
                    <a:srcRect/>
                    <a:stretch>
                      <a:fillRect/>
                    </a:stretch>
                  </pic:blipFill>
                  <pic:spPr bwMode="auto">
                    <a:xfrm>
                      <a:off x="0" y="0"/>
                      <a:ext cx="6790690" cy="3810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-3693160</wp:posOffset>
            </wp:positionV>
            <wp:extent cx="5535295" cy="2565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5">
                      <a:extLst>
                        <a:ext uri="{28A0092B-C50C-407E-A947-70E740481C1C}"/>
                      </a:extLst>
                    </a:blip>
                    <a:srcRect/>
                    <a:stretch>
                      <a:fillRect/>
                    </a:stretch>
                  </pic:blipFill>
                  <pic:spPr bwMode="auto">
                    <a:xfrm>
                      <a:off x="0" y="0"/>
                      <a:ext cx="5535295" cy="256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Total Amount</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w w:val="97"/>
              </w:rPr>
              <w:t>6/30</w:t>
            </w:r>
          </w:p>
        </w:tc>
        <w:tc>
          <w:tcPr>
            <w:tcW w:w="0" w:type="dxa"/>
            <w:vAlign w:val="bottom"/>
          </w:tcPr>
          <w:p>
            <w:pPr>
              <w:spacing w:after="0"/>
              <w:rPr>
                <w:sz w:val="1"/>
                <w:szCs w:val="1"/>
                <w:color w:val="auto"/>
              </w:rPr>
            </w:pPr>
          </w:p>
        </w:tc>
      </w:tr>
      <w:tr>
        <w:trPr>
          <w:trHeight w:val="106"/>
        </w:trPr>
        <w:tc>
          <w:tcPr>
            <w:tcW w:w="1120" w:type="dxa"/>
            <w:vAlign w:val="bottom"/>
            <w:vMerge w:val="continue"/>
          </w:tcPr>
          <w:p>
            <w:pPr>
              <w:spacing w:after="0"/>
              <w:rPr>
                <w:sz w:val="9"/>
                <w:szCs w:val="9"/>
                <w:color w:val="auto"/>
              </w:rPr>
            </w:pP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auto"/>
                <w:w w:val="92"/>
              </w:rPr>
              <w:t>FMV</w:t>
            </w:r>
          </w:p>
        </w:tc>
        <w:tc>
          <w:tcPr>
            <w:tcW w:w="0" w:type="dxa"/>
            <w:vAlign w:val="bottom"/>
          </w:tcPr>
          <w:p>
            <w:pPr>
              <w:spacing w:after="0"/>
              <w:rPr>
                <w:sz w:val="1"/>
                <w:szCs w:val="1"/>
                <w:color w:val="auto"/>
              </w:rPr>
            </w:pPr>
          </w:p>
        </w:tc>
      </w:tr>
      <w:tr>
        <w:trPr>
          <w:trHeight w:val="91"/>
        </w:trPr>
        <w:tc>
          <w:tcPr>
            <w:tcW w:w="1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1,989,822</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1,231,829</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w w:val="98"/>
              </w:rPr>
              <w:t>99.0</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4,812,500</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5,469,643</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w w:val="98"/>
              </w:rPr>
              <w:t>99.0</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5,864,662</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w w:val="98"/>
              </w:rPr>
              <w:t>97.8</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5,471,406</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2"/>
        </w:trPr>
        <w:tc>
          <w:tcPr>
            <w:tcW w:w="112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rPr>
              <w:t>994,924</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w w:val="98"/>
              </w:rPr>
              <w:t>98.8</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3,932,123</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w w:val="98"/>
              </w:rPr>
              <w:t>87.5</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3,020,164</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3,932,200</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2"/>
        </w:trPr>
        <w:tc>
          <w:tcPr>
            <w:tcW w:w="112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rPr>
              <w:t>495,199</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w w:val="98"/>
              </w:rPr>
              <w:t>99.0</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2,924,812</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4,639,683</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w w:val="98"/>
              </w:rPr>
              <w:t>99.0</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1,989,543</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4,833,918</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w w:val="98"/>
              </w:rPr>
              <w:t>95.0</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3,520,066</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2,262,735</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w w:val="98"/>
              </w:rPr>
              <w:t>86.0</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2,536,934</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w w:val="98"/>
              </w:rPr>
              <w:t>99.3</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4,825,000</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7,144,757</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w w:val="98"/>
              </w:rPr>
              <w:t>98.6</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1,716,486</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w w:val="98"/>
              </w:rPr>
              <w:t>99.3</w:t>
            </w:r>
          </w:p>
        </w:tc>
        <w:tc>
          <w:tcPr>
            <w:tcW w:w="0" w:type="dxa"/>
            <w:vAlign w:val="bottom"/>
          </w:tcPr>
          <w:p>
            <w:pPr>
              <w:spacing w:after="0"/>
              <w:rPr>
                <w:sz w:val="1"/>
                <w:szCs w:val="1"/>
                <w:color w:val="auto"/>
              </w:rPr>
            </w:pPr>
          </w:p>
        </w:tc>
      </w:tr>
      <w:tr>
        <w:trPr>
          <w:trHeight w:val="202"/>
        </w:trPr>
        <w:tc>
          <w:tcPr>
            <w:tcW w:w="112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rPr>
              <w:t>530,334</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w w:val="98"/>
              </w:rPr>
              <w:t>99.3</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3,289,888</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w w:val="98"/>
              </w:rPr>
              <w:t>88.0</w:t>
            </w:r>
          </w:p>
        </w:tc>
        <w:tc>
          <w:tcPr>
            <w:tcW w:w="0" w:type="dxa"/>
            <w:vAlign w:val="bottom"/>
          </w:tcPr>
          <w:p>
            <w:pPr>
              <w:spacing w:after="0"/>
              <w:rPr>
                <w:sz w:val="1"/>
                <w:szCs w:val="1"/>
                <w:color w:val="auto"/>
              </w:rPr>
            </w:pPr>
          </w:p>
        </w:tc>
      </w:tr>
      <w:tr>
        <w:trPr>
          <w:trHeight w:val="20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1,989,887</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rPr>
              <w:t>100.3</w:t>
            </w:r>
          </w:p>
        </w:tc>
        <w:tc>
          <w:tcPr>
            <w:tcW w:w="0" w:type="dxa"/>
            <w:vAlign w:val="bottom"/>
          </w:tcPr>
          <w:p>
            <w:pPr>
              <w:spacing w:after="0"/>
              <w:rPr>
                <w:sz w:val="1"/>
                <w:szCs w:val="1"/>
                <w:color w:val="auto"/>
              </w:rPr>
            </w:pPr>
          </w:p>
        </w:tc>
      </w:tr>
      <w:tr>
        <w:trPr>
          <w:trHeight w:val="282"/>
        </w:trPr>
        <w:tc>
          <w:tcPr>
            <w:tcW w:w="112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rPr>
              <w:t>982,500</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82"/>
        </w:trPr>
        <w:tc>
          <w:tcPr>
            <w:tcW w:w="112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9"/>
              </w:rPr>
              <w:t>4,063,548</w:t>
            </w:r>
          </w:p>
        </w:tc>
        <w:tc>
          <w:tcPr>
            <w:tcW w:w="620" w:type="dxa"/>
            <w:vAlign w:val="bottom"/>
          </w:tcPr>
          <w:p>
            <w:pPr>
              <w:jc w:val="center"/>
              <w:ind w:left="204"/>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bl>
    <w:p>
      <w:pPr>
        <w:sectPr>
          <w:pgSz w:w="11900" w:h="16840" w:orient="portrait"/>
          <w:cols w:equalWidth="0" w:num="2">
            <w:col w:w="6500" w:space="300"/>
            <w:col w:w="2220"/>
          </w:cols>
          <w:pgMar w:left="1440" w:top="1285" w:right="1440" w:bottom="1440" w:gutter="0" w:footer="0" w:header="0"/>
        </w:sectPr>
      </w:pPr>
    </w:p>
    <w:bookmarkStart w:id="296" w:name="page297"/>
    <w:bookmarkEnd w:id="296"/>
    <w:p>
      <w:pPr>
        <w:spacing w:after="0" w:line="10" w:lineRule="exact"/>
        <w:rPr>
          <w:sz w:val="20"/>
          <w:szCs w:val="20"/>
          <w:color w:val="auto"/>
        </w:rPr>
      </w:pPr>
    </w:p>
    <w:tbl>
      <w:tblPr>
        <w:tblLayout w:type="fixed"/>
        <w:tblInd w:w="240" w:type="dxa"/>
        <w:tblCellMar>
          <w:top w:w="0" w:type="dxa"/>
          <w:left w:w="0" w:type="dxa"/>
          <w:bottom w:w="0" w:type="dxa"/>
          <w:right w:w="0" w:type="dxa"/>
        </w:tblCellMar>
      </w:tblPr>
      <w:tr>
        <w:trPr>
          <w:trHeight w:val="197"/>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Exigo</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Exigo (Term Loan)</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Five Star</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Five Star (TL)</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187"/>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Global</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Global (Term Loan)</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182"/>
        </w:trPr>
        <w:tc>
          <w:tcPr>
            <w:tcW w:w="2000" w:type="dxa"/>
            <w:vAlign w:val="bottom"/>
          </w:tcPr>
          <w:p>
            <w:pPr>
              <w:spacing w:after="0"/>
              <w:rPr>
                <w:sz w:val="15"/>
                <w:szCs w:val="15"/>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Painters Supply and Equipment (Term</w:t>
            </w:r>
          </w:p>
        </w:tc>
        <w:tc>
          <w:tcPr>
            <w:tcW w:w="1360" w:type="dxa"/>
            <w:vAlign w:val="bottom"/>
          </w:tcPr>
          <w:p>
            <w:pPr>
              <w:spacing w:after="0"/>
              <w:rPr>
                <w:sz w:val="15"/>
                <w:szCs w:val="15"/>
                <w:color w:val="auto"/>
              </w:rPr>
            </w:pPr>
          </w:p>
        </w:tc>
      </w:tr>
      <w:tr>
        <w:trPr>
          <w:trHeight w:val="197"/>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Painters Supply and Equipment</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Loan)</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HelpSystems</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HelpSystems (TL)</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Plimpton &amp; Hills</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Plimpton &amp; Hills (TL)</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Hanley Wood</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Hanley Wood (TL)</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Insight Global</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Insight Global (TL)</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Infolinks</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Infolinks (TL)</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Integrated Data Services</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Integrated Data Services (TL)</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Pegasus Steel</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Pegasus Steel (Term Loan)</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Pegasus Steel</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Pegasus Steel (DDTL)</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rPr>
              <w:t>DDTL</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KNS</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KNS (Term Loan)</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Lilly Lashes</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Lilly Lashes (TL)</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Ledge Lounger</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Ledge Lounger (Term Loan)</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Ardurra</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Ardurra (Term Loan)</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Loving Tan</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Loving Tan (TL)</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MAG Aerospace</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MAG Aerospace (TL)</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Momentum</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Momentum (Term Loan)</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187"/>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Meadowlark</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Meadowlark (Term Loan)</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18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Comprehensive Rehab</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Comprehensive Rehab Consultants (Term</w:t>
            </w:r>
          </w:p>
        </w:tc>
        <w:tc>
          <w:tcPr>
            <w:tcW w:w="1360" w:type="dxa"/>
            <w:vAlign w:val="bottom"/>
          </w:tcPr>
          <w:p>
            <w:pPr>
              <w:spacing w:after="0"/>
              <w:rPr>
                <w:sz w:val="15"/>
                <w:szCs w:val="15"/>
                <w:color w:val="auto"/>
              </w:rPr>
            </w:pPr>
          </w:p>
        </w:tc>
      </w:tr>
      <w:tr>
        <w:trPr>
          <w:trHeight w:val="197"/>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Consultants</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Loan)</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Mission Microwave</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Mission Microwave (Term Loan)</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MOREgroup</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MOREgroup (Term Loan)</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187"/>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MES</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MES (Term Loan)</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18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Nevada Behavioral Health</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Nevada Behavioral Health Systems (Term</w:t>
            </w:r>
          </w:p>
        </w:tc>
        <w:tc>
          <w:tcPr>
            <w:tcW w:w="1360" w:type="dxa"/>
            <w:vAlign w:val="bottom"/>
          </w:tcPr>
          <w:p>
            <w:pPr>
              <w:spacing w:after="0"/>
              <w:rPr>
                <w:sz w:val="15"/>
                <w:szCs w:val="15"/>
                <w:color w:val="auto"/>
              </w:rPr>
            </w:pPr>
          </w:p>
        </w:tc>
      </w:tr>
      <w:tr>
        <w:trPr>
          <w:trHeight w:val="197"/>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Systems</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Loan)</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NORA</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NORA (Term Loan)</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OSM</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OSM (Term Loan)</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OpenRoad Lending</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OpenRoad Lending (Term Loan)</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Lynx Technologies</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Lynx Technologies (TL)</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OSG Billing Services</w:t>
            </w:r>
          </w:p>
        </w:tc>
        <w:tc>
          <w:tcPr>
            <w:tcW w:w="2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OSG (TL)</w:t>
            </w:r>
          </w:p>
        </w:tc>
        <w:tc>
          <w:tcPr>
            <w:tcW w:w="1360" w:type="dxa"/>
            <w:vAlign w:val="bottom"/>
          </w:tcPr>
          <w:p>
            <w:pPr>
              <w:jc w:val="center"/>
              <w:ind w:left="104"/>
              <w:spacing w:after="0"/>
              <w:rPr>
                <w:sz w:val="20"/>
                <w:szCs w:val="20"/>
                <w:color w:val="auto"/>
              </w:rPr>
            </w:pPr>
            <w:r>
              <w:rPr>
                <w:rFonts w:ascii="Times New Roman" w:cs="Times New Roman" w:eastAsia="Times New Roman" w:hAnsi="Times New Roman"/>
                <w:sz w:val="15"/>
                <w:szCs w:val="15"/>
                <w:color w:val="auto"/>
              </w:rPr>
              <w:t>First Out Financing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495935</wp:posOffset>
            </wp:positionV>
            <wp:extent cx="6790690"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6">
                      <a:extLst>
                        <a:ext uri="{28A0092B-C50C-407E-A947-70E740481C1C}"/>
                      </a:extLst>
                    </a:blip>
                    <a:srcRect/>
                    <a:stretch>
                      <a:fillRect/>
                    </a:stretch>
                  </pic:blipFill>
                  <pic:spPr bwMode="auto">
                    <a:xfrm>
                      <a:off x="0" y="0"/>
                      <a:ext cx="6790690"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4,812,539</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rPr>
              <w:t>100.0</w:t>
            </w:r>
          </w:p>
        </w:tc>
      </w:tr>
      <w:tr>
        <w:trPr>
          <w:trHeight w:val="202"/>
        </w:trPr>
        <w:tc>
          <w:tcPr>
            <w:tcW w:w="94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887,980</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w w:val="98"/>
              </w:rPr>
              <w:t>98.0</w:t>
            </w:r>
          </w:p>
        </w:tc>
      </w:tr>
      <w:tr>
        <w:trPr>
          <w:trHeight w:val="20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4,417,611</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w w:val="98"/>
              </w:rPr>
              <w:t>96.0</w:t>
            </w:r>
          </w:p>
        </w:tc>
      </w:tr>
      <w:tr>
        <w:trPr>
          <w:trHeight w:val="28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4,201,976</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w w:val="98"/>
              </w:rPr>
              <w:t>98.0</w:t>
            </w:r>
          </w:p>
        </w:tc>
      </w:tr>
      <w:tr>
        <w:trPr>
          <w:trHeight w:val="28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1,963,824</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w w:val="98"/>
              </w:rPr>
              <w:t>95.0</w:t>
            </w:r>
          </w:p>
        </w:tc>
      </w:tr>
      <w:tr>
        <w:trPr>
          <w:trHeight w:val="20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1,234,375</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rPr>
              <w:t>100.0</w:t>
            </w:r>
          </w:p>
        </w:tc>
      </w:tr>
      <w:tr>
        <w:trPr>
          <w:trHeight w:val="20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3,356,950</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rPr>
              <w:t>100.0</w:t>
            </w:r>
          </w:p>
        </w:tc>
      </w:tr>
      <w:tr>
        <w:trPr>
          <w:trHeight w:val="20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5,128,873</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w w:val="98"/>
              </w:rPr>
              <w:t>99.3</w:t>
            </w:r>
          </w:p>
        </w:tc>
      </w:tr>
      <w:tr>
        <w:trPr>
          <w:trHeight w:val="20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4,827,814</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rPr>
              <w:t>100.0</w:t>
            </w:r>
          </w:p>
        </w:tc>
      </w:tr>
      <w:tr>
        <w:trPr>
          <w:trHeight w:val="202"/>
        </w:trPr>
        <w:tc>
          <w:tcPr>
            <w:tcW w:w="94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820,505</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rPr>
              <w:t>101.0</w:t>
            </w:r>
          </w:p>
        </w:tc>
      </w:tr>
      <w:tr>
        <w:trPr>
          <w:trHeight w:val="20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3,842,464</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w w:val="98"/>
              </w:rPr>
              <w:t>99.0</w:t>
            </w:r>
          </w:p>
        </w:tc>
      </w:tr>
      <w:tr>
        <w:trPr>
          <w:trHeight w:val="202"/>
        </w:trPr>
        <w:tc>
          <w:tcPr>
            <w:tcW w:w="94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857,895</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w w:val="98"/>
              </w:rPr>
              <w:t>99.0</w:t>
            </w:r>
          </w:p>
        </w:tc>
      </w:tr>
      <w:tr>
        <w:trPr>
          <w:trHeight w:val="20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3,984,259</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w w:val="98"/>
              </w:rPr>
              <w:t>95.0</w:t>
            </w:r>
          </w:p>
        </w:tc>
      </w:tr>
      <w:tr>
        <w:trPr>
          <w:trHeight w:val="20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4,750,914</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w w:val="98"/>
              </w:rPr>
              <w:t>98.0</w:t>
            </w:r>
          </w:p>
        </w:tc>
      </w:tr>
      <w:tr>
        <w:trPr>
          <w:trHeight w:val="20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3,931,346</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w w:val="98"/>
              </w:rPr>
              <w:t>94.0</w:t>
            </w:r>
          </w:p>
        </w:tc>
      </w:tr>
      <w:tr>
        <w:trPr>
          <w:trHeight w:val="20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1,989,848</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rPr>
              <w:t>100.0</w:t>
            </w:r>
          </w:p>
        </w:tc>
      </w:tr>
      <w:tr>
        <w:trPr>
          <w:trHeight w:val="20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1,582,464</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w w:val="98"/>
              </w:rPr>
              <w:t>99.5</w:t>
            </w:r>
          </w:p>
        </w:tc>
      </w:tr>
      <w:tr>
        <w:trPr>
          <w:trHeight w:val="20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5,023,882</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w w:val="98"/>
              </w:rPr>
              <w:t>96.0</w:t>
            </w:r>
          </w:p>
        </w:tc>
      </w:tr>
      <w:tr>
        <w:trPr>
          <w:trHeight w:val="20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5,159,074</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rPr>
              <w:t>100.0</w:t>
            </w:r>
          </w:p>
        </w:tc>
      </w:tr>
      <w:tr>
        <w:trPr>
          <w:trHeight w:val="20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2,418,750</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w w:val="98"/>
              </w:rPr>
              <w:t>98.5</w:t>
            </w:r>
          </w:p>
        </w:tc>
      </w:tr>
      <w:tr>
        <w:trPr>
          <w:trHeight w:val="28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3,314,311</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rPr>
              <w:t>100.3</w:t>
            </w:r>
          </w:p>
        </w:tc>
      </w:tr>
      <w:tr>
        <w:trPr>
          <w:trHeight w:val="28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2,970,000</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w w:val="98"/>
              </w:rPr>
              <w:t>92.3</w:t>
            </w:r>
          </w:p>
        </w:tc>
      </w:tr>
      <w:tr>
        <w:trPr>
          <w:trHeight w:val="202"/>
        </w:trPr>
        <w:tc>
          <w:tcPr>
            <w:tcW w:w="94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495,000</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rPr>
              <w:t>100.0</w:t>
            </w:r>
          </w:p>
        </w:tc>
      </w:tr>
      <w:tr>
        <w:trPr>
          <w:trHeight w:val="20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4,372,345</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rPr>
              <w:t>100.0</w:t>
            </w:r>
          </w:p>
        </w:tc>
      </w:tr>
      <w:tr>
        <w:trPr>
          <w:trHeight w:val="28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2,577,337</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rPr>
              <w:t>100.0</w:t>
            </w:r>
          </w:p>
        </w:tc>
      </w:tr>
      <w:tr>
        <w:trPr>
          <w:trHeight w:val="28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1,149,327</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w w:val="98"/>
              </w:rPr>
              <w:t>99.3</w:t>
            </w:r>
          </w:p>
        </w:tc>
      </w:tr>
      <w:tr>
        <w:trPr>
          <w:trHeight w:val="20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4,646,949</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rPr>
              <w:t>100.0</w:t>
            </w:r>
          </w:p>
        </w:tc>
      </w:tr>
      <w:tr>
        <w:trPr>
          <w:trHeight w:val="20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2,750,671</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w w:val="98"/>
              </w:rPr>
              <w:t>90.0</w:t>
            </w:r>
          </w:p>
        </w:tc>
      </w:tr>
      <w:tr>
        <w:trPr>
          <w:trHeight w:val="202"/>
        </w:trPr>
        <w:tc>
          <w:tcPr>
            <w:tcW w:w="9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1,481,250</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w w:val="98"/>
              </w:rPr>
              <w:t>98.4</w:t>
            </w:r>
          </w:p>
        </w:tc>
      </w:tr>
      <w:tr>
        <w:trPr>
          <w:trHeight w:val="202"/>
        </w:trPr>
        <w:tc>
          <w:tcPr>
            <w:tcW w:w="94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306,324</w:t>
            </w:r>
          </w:p>
        </w:tc>
        <w:tc>
          <w:tcPr>
            <w:tcW w:w="68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rPr>
              <w:t>100.0</w:t>
            </w:r>
          </w:p>
        </w:tc>
      </w:tr>
    </w:tbl>
    <w:p>
      <w:pPr>
        <w:sectPr>
          <w:pgSz w:w="11900" w:h="16840" w:orient="portrait"/>
          <w:cols w:equalWidth="0" w:num="2">
            <w:col w:w="6420" w:space="500"/>
            <w:col w:w="2100"/>
          </w:cols>
          <w:pgMar w:left="1440" w:top="1317" w:right="1440" w:bottom="1440" w:gutter="0" w:footer="0" w:header="0"/>
        </w:sectPr>
      </w:pPr>
    </w:p>
    <w:bookmarkStart w:id="297" w:name="page298"/>
    <w:bookmarkEnd w:id="297"/>
    <w:p>
      <w:pPr>
        <w:spacing w:after="0" w:line="10" w:lineRule="exact"/>
        <w:rPr>
          <w:sz w:val="20"/>
          <w:szCs w:val="20"/>
          <w:color w:val="auto"/>
        </w:rPr>
      </w:pPr>
    </w:p>
    <w:tbl>
      <w:tblPr>
        <w:tblLayout w:type="fixed"/>
        <w:tblInd w:w="240" w:type="dxa"/>
        <w:tblCellMar>
          <w:top w:w="0" w:type="dxa"/>
          <w:left w:w="0" w:type="dxa"/>
          <w:bottom w:w="0" w:type="dxa"/>
          <w:right w:w="0" w:type="dxa"/>
        </w:tblCellMar>
      </w:tblPr>
      <w:tr>
        <w:trPr>
          <w:trHeight w:val="197"/>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OSG Billing Services</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OSG (TL)</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9"/>
              </w:rPr>
              <w:t>Second Out Financing</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ProSearch</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ProSearch (TL)</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PCS Retirement</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PCS Retirement (Term Loan)</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Rancho Medical</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Rancho (TL)</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Recteq</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Recteq (TL)</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RTIC</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RTIC (TL)</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Sparq</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Sparq (TL)</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Safe Haven</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Safe Haven (Term Loan)</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Sigma Defense</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Sigma Defense (Term Loan)</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Smile Brands</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Smile Brands (TL)</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Solaris Health</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Solaris Health (Term Loan)</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Symplr</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Symplr (TL)</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MCR</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MCR (Term Loan)</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187"/>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BiggerPockets</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BiggerPockets (TL)</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182"/>
        </w:trPr>
        <w:tc>
          <w:tcPr>
            <w:tcW w:w="1760" w:type="dxa"/>
            <w:vAlign w:val="bottom"/>
          </w:tcPr>
          <w:p>
            <w:pPr>
              <w:spacing w:after="0"/>
              <w:rPr>
                <w:sz w:val="15"/>
                <w:szCs w:val="15"/>
                <w:color w:val="auto"/>
              </w:rPr>
            </w:pP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TEAM Services Group (First Lien Term</w:t>
            </w:r>
          </w:p>
        </w:tc>
        <w:tc>
          <w:tcPr>
            <w:tcW w:w="1460" w:type="dxa"/>
            <w:vAlign w:val="bottom"/>
          </w:tcPr>
          <w:p>
            <w:pPr>
              <w:spacing w:after="0"/>
              <w:rPr>
                <w:sz w:val="15"/>
                <w:szCs w:val="15"/>
                <w:color w:val="auto"/>
              </w:rPr>
            </w:pPr>
          </w:p>
        </w:tc>
      </w:tr>
      <w:tr>
        <w:trPr>
          <w:trHeight w:val="18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TEAM Services Group</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Loan)</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182"/>
        </w:trPr>
        <w:tc>
          <w:tcPr>
            <w:tcW w:w="1760" w:type="dxa"/>
            <w:vAlign w:val="bottom"/>
          </w:tcPr>
          <w:p>
            <w:pPr>
              <w:spacing w:after="0"/>
              <w:rPr>
                <w:sz w:val="15"/>
                <w:szCs w:val="15"/>
                <w:color w:val="auto"/>
              </w:rPr>
            </w:pP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TEAM Services Group (Second Lien Term</w:t>
            </w:r>
          </w:p>
        </w:tc>
        <w:tc>
          <w:tcPr>
            <w:tcW w:w="1460" w:type="dxa"/>
            <w:vAlign w:val="bottom"/>
          </w:tcPr>
          <w:p>
            <w:pPr>
              <w:spacing w:after="0"/>
              <w:rPr>
                <w:sz w:val="15"/>
                <w:szCs w:val="15"/>
                <w:color w:val="auto"/>
              </w:rPr>
            </w:pPr>
          </w:p>
        </w:tc>
      </w:tr>
      <w:tr>
        <w:trPr>
          <w:trHeight w:val="197"/>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TEAM Services Group</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Loan)</w:t>
            </w:r>
          </w:p>
        </w:tc>
        <w:tc>
          <w:tcPr>
            <w:tcW w:w="146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rPr>
              <w:t>Second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Teneo</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Teneo (TL)</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Bluebird</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Bluebird (Term Loan)</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Vertex</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Vertex (Term Loan)</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Targeted Pet Care</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Targeted Pet Care (Term Loan)</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TransGo</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TransGo (TL)</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Tyto Athene</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Tyto Athene (Term Loan)</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US Fertility</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US Fertility (Term Loan)</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Watchtower</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Watchtower (TL)</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Zips</w:t>
            </w:r>
          </w:p>
        </w:tc>
        <w:tc>
          <w:tcPr>
            <w:tcW w:w="30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Zips (New OpCo Term Loan)</w:t>
            </w:r>
          </w:p>
        </w:tc>
        <w:tc>
          <w:tcPr>
            <w:tcW w:w="1460" w:type="dxa"/>
            <w:vAlign w:val="bottom"/>
          </w:tcPr>
          <w:p>
            <w:pPr>
              <w:jc w:val="center"/>
              <w:ind w:left="44"/>
              <w:spacing w:after="0"/>
              <w:rPr>
                <w:sz w:val="20"/>
                <w:szCs w:val="20"/>
                <w:color w:val="auto"/>
              </w:rPr>
            </w:pPr>
            <w:r>
              <w:rPr>
                <w:rFonts w:ascii="Times New Roman" w:cs="Times New Roman" w:eastAsia="Times New Roman" w:hAnsi="Times New Roman"/>
                <w:sz w:val="15"/>
                <w:szCs w:val="15"/>
                <w:color w:val="auto"/>
                <w:w w:val="98"/>
              </w:rPr>
              <w:t>First Lien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714375</wp:posOffset>
            </wp:positionV>
            <wp:extent cx="6790690"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7">
                      <a:extLst>
                        <a:ext uri="{28A0092B-C50C-407E-A947-70E740481C1C}"/>
                      </a:extLst>
                    </a:blip>
                    <a:srcRect/>
                    <a:stretch>
                      <a:fillRect/>
                    </a:stretch>
                  </pic:blipFill>
                  <pic:spPr bwMode="auto">
                    <a:xfrm>
                      <a:off x="0" y="0"/>
                      <a:ext cx="6790690"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tabs>
          <w:tab w:leader="none" w:pos="1260" w:val="left"/>
        </w:tabs>
        <w:rPr>
          <w:sz w:val="20"/>
          <w:szCs w:val="20"/>
          <w:color w:val="auto"/>
        </w:rPr>
      </w:pPr>
      <w:r>
        <w:rPr>
          <w:rFonts w:ascii="Times New Roman" w:cs="Times New Roman" w:eastAsia="Times New Roman" w:hAnsi="Times New Roman"/>
          <w:sz w:val="15"/>
          <w:szCs w:val="15"/>
          <w:color w:val="auto"/>
        </w:rPr>
        <w:t>623,120</w:t>
      </w:r>
      <w:r>
        <w:rPr>
          <w:sz w:val="20"/>
          <w:szCs w:val="20"/>
          <w:color w:val="auto"/>
        </w:rPr>
        <w:tab/>
      </w:r>
      <w:r>
        <w:rPr>
          <w:rFonts w:ascii="Times New Roman" w:cs="Times New Roman" w:eastAsia="Times New Roman" w:hAnsi="Times New Roman"/>
          <w:sz w:val="15"/>
          <w:szCs w:val="15"/>
          <w:color w:val="auto"/>
        </w:rPr>
        <w:t>100.0</w:t>
      </w:r>
    </w:p>
    <w:p>
      <w:pPr>
        <w:spacing w:after="0" w:line="2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5"/>
          <w:szCs w:val="15"/>
          <w:color w:val="auto"/>
        </w:rPr>
        <w:t>2,221,875</w:t>
      </w:r>
      <w:r>
        <w:rPr>
          <w:sz w:val="20"/>
          <w:szCs w:val="20"/>
          <w:color w:val="auto"/>
        </w:rPr>
        <w:tab/>
      </w:r>
      <w:r>
        <w:rPr>
          <w:rFonts w:ascii="Times New Roman" w:cs="Times New Roman" w:eastAsia="Times New Roman" w:hAnsi="Times New Roman"/>
          <w:sz w:val="15"/>
          <w:szCs w:val="15"/>
          <w:color w:val="auto"/>
        </w:rPr>
        <w:t>98.9</w:t>
      </w:r>
    </w:p>
    <w:p>
      <w:pPr>
        <w:spacing w:after="0" w:line="2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5"/>
          <w:szCs w:val="15"/>
          <w:color w:val="auto"/>
        </w:rPr>
        <w:t>2,628,504</w:t>
      </w:r>
      <w:r>
        <w:rPr>
          <w:sz w:val="20"/>
          <w:szCs w:val="20"/>
          <w:color w:val="auto"/>
        </w:rPr>
        <w:tab/>
      </w:r>
      <w:r>
        <w:rPr>
          <w:rFonts w:ascii="Times New Roman" w:cs="Times New Roman" w:eastAsia="Times New Roman" w:hAnsi="Times New Roman"/>
          <w:sz w:val="15"/>
          <w:szCs w:val="15"/>
          <w:color w:val="auto"/>
        </w:rPr>
        <w:t>100.5</w:t>
      </w:r>
    </w:p>
    <w:p>
      <w:pPr>
        <w:spacing w:after="0" w:line="2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5"/>
          <w:szCs w:val="15"/>
          <w:color w:val="auto"/>
        </w:rPr>
        <w:t>5,053,508</w:t>
      </w:r>
      <w:r>
        <w:rPr>
          <w:sz w:val="20"/>
          <w:szCs w:val="20"/>
          <w:color w:val="auto"/>
        </w:rPr>
        <w:tab/>
      </w:r>
      <w:r>
        <w:rPr>
          <w:rFonts w:ascii="Times New Roman" w:cs="Times New Roman" w:eastAsia="Times New Roman" w:hAnsi="Times New Roman"/>
          <w:sz w:val="15"/>
          <w:szCs w:val="15"/>
          <w:color w:val="auto"/>
        </w:rPr>
        <w:t>100.0</w:t>
      </w:r>
    </w:p>
    <w:p>
      <w:pPr>
        <w:spacing w:after="0" w:line="2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5"/>
          <w:szCs w:val="15"/>
          <w:color w:val="auto"/>
        </w:rPr>
        <w:t>2,400,000</w:t>
      </w:r>
      <w:r>
        <w:rPr>
          <w:sz w:val="20"/>
          <w:szCs w:val="20"/>
          <w:color w:val="auto"/>
        </w:rPr>
        <w:tab/>
      </w:r>
      <w:r>
        <w:rPr>
          <w:rFonts w:ascii="Times New Roman" w:cs="Times New Roman" w:eastAsia="Times New Roman" w:hAnsi="Times New Roman"/>
          <w:sz w:val="15"/>
          <w:szCs w:val="15"/>
          <w:color w:val="auto"/>
        </w:rPr>
        <w:t>99.5</w:t>
      </w:r>
    </w:p>
    <w:p>
      <w:pPr>
        <w:spacing w:after="0" w:line="2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5"/>
          <w:szCs w:val="15"/>
          <w:color w:val="auto"/>
        </w:rPr>
        <w:t>5,795,802</w:t>
      </w:r>
      <w:r>
        <w:rPr>
          <w:sz w:val="20"/>
          <w:szCs w:val="20"/>
          <w:color w:val="auto"/>
        </w:rPr>
        <w:tab/>
      </w:r>
      <w:r>
        <w:rPr>
          <w:rFonts w:ascii="Times New Roman" w:cs="Times New Roman" w:eastAsia="Times New Roman" w:hAnsi="Times New Roman"/>
          <w:sz w:val="15"/>
          <w:szCs w:val="15"/>
          <w:color w:val="auto"/>
        </w:rPr>
        <w:t>98.3</w:t>
      </w:r>
    </w:p>
    <w:p>
      <w:pPr>
        <w:spacing w:after="0" w:line="2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5"/>
          <w:szCs w:val="15"/>
          <w:color w:val="auto"/>
        </w:rPr>
        <w:t>1,071,389</w:t>
      </w:r>
      <w:r>
        <w:rPr>
          <w:sz w:val="20"/>
          <w:szCs w:val="20"/>
          <w:color w:val="auto"/>
        </w:rPr>
        <w:tab/>
      </w:r>
      <w:r>
        <w:rPr>
          <w:rFonts w:ascii="Times New Roman" w:cs="Times New Roman" w:eastAsia="Times New Roman" w:hAnsi="Times New Roman"/>
          <w:sz w:val="15"/>
          <w:szCs w:val="15"/>
          <w:color w:val="auto"/>
        </w:rPr>
        <w:t>97.5</w:t>
      </w:r>
    </w:p>
    <w:p>
      <w:pPr>
        <w:spacing w:after="0" w:line="2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5"/>
          <w:szCs w:val="15"/>
          <w:color w:val="auto"/>
        </w:rPr>
        <w:t>6,464,667</w:t>
      </w:r>
      <w:r>
        <w:rPr>
          <w:sz w:val="20"/>
          <w:szCs w:val="20"/>
          <w:color w:val="auto"/>
        </w:rPr>
        <w:tab/>
      </w:r>
      <w:r>
        <w:rPr>
          <w:rFonts w:ascii="Times New Roman" w:cs="Times New Roman" w:eastAsia="Times New Roman" w:hAnsi="Times New Roman"/>
          <w:sz w:val="15"/>
          <w:szCs w:val="15"/>
          <w:color w:val="auto"/>
        </w:rPr>
        <w:t>100.0</w:t>
      </w:r>
    </w:p>
    <w:p>
      <w:pPr>
        <w:spacing w:after="0" w:line="2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5"/>
          <w:szCs w:val="15"/>
          <w:color w:val="auto"/>
        </w:rPr>
        <w:t>6,295,754</w:t>
      </w:r>
      <w:r>
        <w:rPr>
          <w:sz w:val="20"/>
          <w:szCs w:val="20"/>
          <w:color w:val="auto"/>
        </w:rPr>
        <w:tab/>
      </w:r>
      <w:r>
        <w:rPr>
          <w:rFonts w:ascii="Times New Roman" w:cs="Times New Roman" w:eastAsia="Times New Roman" w:hAnsi="Times New Roman"/>
          <w:sz w:val="15"/>
          <w:szCs w:val="15"/>
          <w:color w:val="auto"/>
        </w:rPr>
        <w:t>100.0</w:t>
      </w:r>
    </w:p>
    <w:p>
      <w:pPr>
        <w:spacing w:after="0" w:line="2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5"/>
          <w:szCs w:val="15"/>
          <w:color w:val="auto"/>
        </w:rPr>
        <w:t>2,057,590</w:t>
      </w:r>
      <w:r>
        <w:rPr>
          <w:sz w:val="20"/>
          <w:szCs w:val="20"/>
          <w:color w:val="auto"/>
        </w:rPr>
        <w:tab/>
      </w:r>
      <w:r>
        <w:rPr>
          <w:rFonts w:ascii="Times New Roman" w:cs="Times New Roman" w:eastAsia="Times New Roman" w:hAnsi="Times New Roman"/>
          <w:sz w:val="15"/>
          <w:szCs w:val="15"/>
          <w:color w:val="auto"/>
        </w:rPr>
        <w:t>85.6</w:t>
      </w:r>
    </w:p>
    <w:p>
      <w:pPr>
        <w:spacing w:after="0" w:line="2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5"/>
          <w:szCs w:val="15"/>
          <w:color w:val="auto"/>
        </w:rPr>
        <w:t>1,989,822</w:t>
      </w:r>
      <w:r>
        <w:rPr>
          <w:sz w:val="20"/>
          <w:szCs w:val="20"/>
          <w:color w:val="auto"/>
        </w:rPr>
        <w:tab/>
      </w:r>
      <w:r>
        <w:rPr>
          <w:rFonts w:ascii="Times New Roman" w:cs="Times New Roman" w:eastAsia="Times New Roman" w:hAnsi="Times New Roman"/>
          <w:sz w:val="15"/>
          <w:szCs w:val="15"/>
          <w:color w:val="auto"/>
        </w:rPr>
        <w:t>99.6</w:t>
      </w:r>
    </w:p>
    <w:p>
      <w:pPr>
        <w:spacing w:after="0" w:line="29" w:lineRule="exact"/>
        <w:rPr>
          <w:sz w:val="20"/>
          <w:szCs w:val="20"/>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15"/>
          <w:szCs w:val="15"/>
          <w:color w:val="auto"/>
        </w:rPr>
        <w:t>683,969</w:t>
      </w:r>
      <w:r>
        <w:rPr>
          <w:sz w:val="20"/>
          <w:szCs w:val="20"/>
          <w:color w:val="auto"/>
        </w:rPr>
        <w:tab/>
      </w:r>
      <w:r>
        <w:rPr>
          <w:rFonts w:ascii="Times New Roman" w:cs="Times New Roman" w:eastAsia="Times New Roman" w:hAnsi="Times New Roman"/>
          <w:sz w:val="15"/>
          <w:szCs w:val="15"/>
          <w:color w:val="auto"/>
        </w:rPr>
        <w:t>91.0</w:t>
      </w:r>
    </w:p>
    <w:p>
      <w:pPr>
        <w:spacing w:after="0" w:line="2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5"/>
          <w:szCs w:val="15"/>
          <w:color w:val="auto"/>
        </w:rPr>
        <w:t>4,837,500</w:t>
      </w:r>
      <w:r>
        <w:rPr>
          <w:sz w:val="20"/>
          <w:szCs w:val="20"/>
          <w:color w:val="auto"/>
        </w:rPr>
        <w:tab/>
      </w:r>
      <w:r>
        <w:rPr>
          <w:rFonts w:ascii="Times New Roman" w:cs="Times New Roman" w:eastAsia="Times New Roman" w:hAnsi="Times New Roman"/>
          <w:sz w:val="15"/>
          <w:szCs w:val="15"/>
          <w:color w:val="auto"/>
        </w:rPr>
        <w:t>99.2</w:t>
      </w:r>
    </w:p>
    <w:p>
      <w:pPr>
        <w:spacing w:after="0" w:line="2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5"/>
          <w:szCs w:val="15"/>
          <w:color w:val="auto"/>
        </w:rPr>
        <w:t>2,462,625</w:t>
      </w:r>
      <w:r>
        <w:rPr>
          <w:sz w:val="20"/>
          <w:szCs w:val="20"/>
          <w:color w:val="auto"/>
        </w:rPr>
        <w:tab/>
      </w:r>
      <w:r>
        <w:rPr>
          <w:rFonts w:ascii="Times New Roman" w:cs="Times New Roman" w:eastAsia="Times New Roman" w:hAnsi="Times New Roman"/>
          <w:sz w:val="15"/>
          <w:szCs w:val="15"/>
          <w:color w:val="auto"/>
        </w:rPr>
        <w:t>100.0</w:t>
      </w:r>
    </w:p>
    <w:p>
      <w:pPr>
        <w:spacing w:after="0" w:line="11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5"/>
          <w:szCs w:val="15"/>
          <w:color w:val="auto"/>
        </w:rPr>
        <w:t>5,465,887</w:t>
      </w:r>
      <w:r>
        <w:rPr>
          <w:sz w:val="20"/>
          <w:szCs w:val="20"/>
          <w:color w:val="auto"/>
        </w:rPr>
        <w:tab/>
      </w:r>
      <w:r>
        <w:rPr>
          <w:rFonts w:ascii="Times New Roman" w:cs="Times New Roman" w:eastAsia="Times New Roman" w:hAnsi="Times New Roman"/>
          <w:sz w:val="15"/>
          <w:szCs w:val="15"/>
          <w:color w:val="auto"/>
        </w:rPr>
        <w:t>99.3</w:t>
      </w:r>
    </w:p>
    <w:p>
      <w:pPr>
        <w:spacing w:after="0" w:line="19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5"/>
          <w:szCs w:val="15"/>
          <w:color w:val="auto"/>
        </w:rPr>
        <w:t>1,000,000</w:t>
      </w:r>
      <w:r>
        <w:rPr>
          <w:sz w:val="20"/>
          <w:szCs w:val="20"/>
          <w:color w:val="auto"/>
        </w:rPr>
        <w:tab/>
      </w:r>
      <w:r>
        <w:rPr>
          <w:rFonts w:ascii="Times New Roman" w:cs="Times New Roman" w:eastAsia="Times New Roman" w:hAnsi="Times New Roman"/>
          <w:sz w:val="15"/>
          <w:szCs w:val="15"/>
          <w:color w:val="auto"/>
        </w:rPr>
        <w:t>99.5</w:t>
      </w:r>
    </w:p>
    <w:p>
      <w:pPr>
        <w:spacing w:after="0" w:line="11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5"/>
          <w:szCs w:val="15"/>
          <w:color w:val="auto"/>
        </w:rPr>
        <w:t>2,984,925</w:t>
      </w:r>
      <w:r>
        <w:rPr>
          <w:sz w:val="20"/>
          <w:szCs w:val="20"/>
          <w:color w:val="auto"/>
        </w:rPr>
        <w:tab/>
      </w:r>
      <w:r>
        <w:rPr>
          <w:rFonts w:ascii="Times New Roman" w:cs="Times New Roman" w:eastAsia="Times New Roman" w:hAnsi="Times New Roman"/>
          <w:sz w:val="15"/>
          <w:szCs w:val="15"/>
          <w:color w:val="auto"/>
        </w:rPr>
        <w:t>100.9</w:t>
      </w:r>
    </w:p>
    <w:p>
      <w:pPr>
        <w:spacing w:after="0" w:line="2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5"/>
          <w:szCs w:val="15"/>
          <w:color w:val="auto"/>
        </w:rPr>
        <w:t>5,892,066</w:t>
      </w:r>
      <w:r>
        <w:rPr>
          <w:sz w:val="20"/>
          <w:szCs w:val="20"/>
          <w:color w:val="auto"/>
        </w:rPr>
        <w:tab/>
      </w:r>
      <w:r>
        <w:rPr>
          <w:rFonts w:ascii="Times New Roman" w:cs="Times New Roman" w:eastAsia="Times New Roman" w:hAnsi="Times New Roman"/>
          <w:sz w:val="15"/>
          <w:szCs w:val="15"/>
          <w:color w:val="auto"/>
        </w:rPr>
        <w:t>100.0</w:t>
      </w:r>
    </w:p>
    <w:p>
      <w:pPr>
        <w:spacing w:after="0" w:line="2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5"/>
          <w:szCs w:val="15"/>
          <w:color w:val="auto"/>
        </w:rPr>
        <w:t>3,316,538</w:t>
      </w:r>
      <w:r>
        <w:rPr>
          <w:sz w:val="20"/>
          <w:szCs w:val="20"/>
          <w:color w:val="auto"/>
        </w:rPr>
        <w:tab/>
      </w:r>
      <w:r>
        <w:rPr>
          <w:rFonts w:ascii="Times New Roman" w:cs="Times New Roman" w:eastAsia="Times New Roman" w:hAnsi="Times New Roman"/>
          <w:sz w:val="15"/>
          <w:szCs w:val="15"/>
          <w:color w:val="auto"/>
        </w:rPr>
        <w:t>99.8</w:t>
      </w:r>
    </w:p>
    <w:p>
      <w:pPr>
        <w:spacing w:after="0" w:line="29" w:lineRule="exact"/>
        <w:rPr>
          <w:sz w:val="20"/>
          <w:szCs w:val="20"/>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15"/>
          <w:szCs w:val="15"/>
          <w:color w:val="auto"/>
        </w:rPr>
        <w:t>493,750</w:t>
      </w:r>
      <w:r>
        <w:rPr>
          <w:sz w:val="20"/>
          <w:szCs w:val="20"/>
          <w:color w:val="auto"/>
        </w:rPr>
        <w:tab/>
      </w:r>
      <w:r>
        <w:rPr>
          <w:rFonts w:ascii="Times New Roman" w:cs="Times New Roman" w:eastAsia="Times New Roman" w:hAnsi="Times New Roman"/>
          <w:sz w:val="15"/>
          <w:szCs w:val="15"/>
          <w:color w:val="auto"/>
        </w:rPr>
        <w:t>99.9</w:t>
      </w:r>
    </w:p>
    <w:p>
      <w:pPr>
        <w:spacing w:after="0" w:line="29" w:lineRule="exact"/>
        <w:rPr>
          <w:sz w:val="20"/>
          <w:szCs w:val="20"/>
          <w:color w:val="auto"/>
        </w:rPr>
      </w:pPr>
    </w:p>
    <w:p>
      <w:pPr>
        <w:ind w:left="60"/>
        <w:spacing w:after="0"/>
        <w:tabs>
          <w:tab w:leader="none" w:pos="1260" w:val="left"/>
        </w:tabs>
        <w:rPr>
          <w:sz w:val="20"/>
          <w:szCs w:val="20"/>
          <w:color w:val="auto"/>
        </w:rPr>
      </w:pPr>
      <w:r>
        <w:rPr>
          <w:rFonts w:ascii="Times New Roman" w:cs="Times New Roman" w:eastAsia="Times New Roman" w:hAnsi="Times New Roman"/>
          <w:sz w:val="15"/>
          <w:szCs w:val="15"/>
          <w:color w:val="auto"/>
        </w:rPr>
        <w:t>636,327</w:t>
      </w:r>
      <w:r>
        <w:rPr>
          <w:sz w:val="20"/>
          <w:szCs w:val="20"/>
          <w:color w:val="auto"/>
        </w:rPr>
        <w:tab/>
      </w:r>
      <w:r>
        <w:rPr>
          <w:rFonts w:ascii="Times New Roman" w:cs="Times New Roman" w:eastAsia="Times New Roman" w:hAnsi="Times New Roman"/>
          <w:sz w:val="15"/>
          <w:szCs w:val="15"/>
          <w:color w:val="auto"/>
        </w:rPr>
        <w:t>100.5</w:t>
      </w:r>
    </w:p>
    <w:p>
      <w:pPr>
        <w:spacing w:after="0" w:line="2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5"/>
          <w:szCs w:val="15"/>
          <w:color w:val="auto"/>
        </w:rPr>
        <w:t>4,625,535</w:t>
      </w:r>
      <w:r>
        <w:rPr>
          <w:sz w:val="20"/>
          <w:szCs w:val="20"/>
          <w:color w:val="auto"/>
        </w:rPr>
        <w:tab/>
      </w:r>
      <w:r>
        <w:rPr>
          <w:rFonts w:ascii="Times New Roman" w:cs="Times New Roman" w:eastAsia="Times New Roman" w:hAnsi="Times New Roman"/>
          <w:sz w:val="15"/>
          <w:szCs w:val="15"/>
          <w:color w:val="auto"/>
        </w:rPr>
        <w:t>97.6</w:t>
      </w:r>
    </w:p>
    <w:p>
      <w:pPr>
        <w:spacing w:after="0" w:line="2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5"/>
          <w:szCs w:val="15"/>
          <w:color w:val="auto"/>
        </w:rPr>
        <w:t>1,995,000</w:t>
      </w:r>
      <w:r>
        <w:rPr>
          <w:sz w:val="20"/>
          <w:szCs w:val="20"/>
          <w:color w:val="auto"/>
        </w:rPr>
        <w:tab/>
      </w:r>
      <w:r>
        <w:rPr>
          <w:rFonts w:ascii="Times New Roman" w:cs="Times New Roman" w:eastAsia="Times New Roman" w:hAnsi="Times New Roman"/>
          <w:sz w:val="15"/>
          <w:szCs w:val="15"/>
          <w:color w:val="auto"/>
        </w:rPr>
        <w:t>100.3</w:t>
      </w:r>
    </w:p>
    <w:p>
      <w:pPr>
        <w:spacing w:after="0" w:line="2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5"/>
          <w:szCs w:val="15"/>
          <w:color w:val="auto"/>
        </w:rPr>
        <w:t>1,732,500</w:t>
      </w:r>
      <w:r>
        <w:rPr>
          <w:sz w:val="20"/>
          <w:szCs w:val="20"/>
          <w:color w:val="auto"/>
        </w:rPr>
        <w:tab/>
      </w:r>
      <w:r>
        <w:rPr>
          <w:rFonts w:ascii="Times New Roman" w:cs="Times New Roman" w:eastAsia="Times New Roman" w:hAnsi="Times New Roman"/>
          <w:sz w:val="15"/>
          <w:szCs w:val="15"/>
          <w:color w:val="auto"/>
        </w:rPr>
        <w:t>99.9</w:t>
      </w:r>
    </w:p>
    <w:p>
      <w:pPr>
        <w:spacing w:after="0" w:line="2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5"/>
          <w:szCs w:val="15"/>
          <w:color w:val="auto"/>
        </w:rPr>
        <w:t>1,776,559</w:t>
      </w:r>
      <w:r>
        <w:rPr>
          <w:sz w:val="20"/>
          <w:szCs w:val="20"/>
          <w:color w:val="auto"/>
        </w:rPr>
        <w:tab/>
      </w:r>
      <w:r>
        <w:rPr>
          <w:rFonts w:ascii="Times New Roman" w:cs="Times New Roman" w:eastAsia="Times New Roman" w:hAnsi="Times New Roman"/>
          <w:sz w:val="15"/>
          <w:szCs w:val="15"/>
          <w:color w:val="auto"/>
        </w:rPr>
        <w:t>102.0</w:t>
      </w:r>
    </w:p>
    <w:p>
      <w:pPr>
        <w:sectPr>
          <w:pgSz w:w="11900" w:h="16840" w:orient="portrait"/>
          <w:cols w:equalWidth="0" w:num="2">
            <w:col w:w="6500" w:space="420"/>
            <w:col w:w="2100"/>
          </w:cols>
          <w:pgMar w:left="1440" w:top="1317" w:right="1440" w:bottom="1440" w:gutter="0" w:footer="0" w:header="0"/>
        </w:sectPr>
      </w:pPr>
    </w:p>
    <w:bookmarkStart w:id="298" w:name="page299"/>
    <w:bookmarkEnd w:id="298"/>
    <w:p>
      <w:pPr>
        <w:spacing w:after="0" w:line="88"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3060" w:type="dxa"/>
            <w:vAlign w:val="bottom"/>
          </w:tcPr>
          <w:p>
            <w:pPr>
              <w:spacing w:after="0"/>
              <w:rPr>
                <w:sz w:val="18"/>
                <w:szCs w:val="18"/>
                <w:color w:val="auto"/>
              </w:rPr>
            </w:pPr>
          </w:p>
        </w:tc>
        <w:tc>
          <w:tcPr>
            <w:tcW w:w="52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Schedule 6</w:t>
            </w:r>
          </w:p>
        </w:tc>
      </w:tr>
      <w:tr>
        <w:trPr>
          <w:trHeight w:val="434"/>
        </w:trPr>
        <w:tc>
          <w:tcPr>
            <w:tcW w:w="3060" w:type="dxa"/>
            <w:vAlign w:val="bottom"/>
          </w:tcPr>
          <w:p>
            <w:pPr>
              <w:spacing w:after="0"/>
              <w:rPr>
                <w:sz w:val="24"/>
                <w:szCs w:val="24"/>
                <w:color w:val="auto"/>
              </w:rPr>
            </w:pPr>
          </w:p>
        </w:tc>
        <w:tc>
          <w:tcPr>
            <w:tcW w:w="5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Notice Information</w:t>
            </w:r>
          </w:p>
        </w:tc>
      </w:tr>
      <w:tr>
        <w:trPr>
          <w:trHeight w:val="336"/>
        </w:trPr>
        <w:tc>
          <w:tcPr>
            <w:tcW w:w="306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If to the Administrative Agent:</w:t>
            </w: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Truist Bank</w:t>
            </w:r>
          </w:p>
        </w:tc>
      </w:tr>
      <w:tr>
        <w:trPr>
          <w:trHeight w:val="151"/>
        </w:trPr>
        <w:tc>
          <w:tcPr>
            <w:tcW w:w="3060" w:type="dxa"/>
            <w:vAlign w:val="bottom"/>
          </w:tcPr>
          <w:p>
            <w:pPr>
              <w:spacing w:after="0"/>
              <w:rPr>
                <w:sz w:val="13"/>
                <w:szCs w:val="13"/>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Mail Code 803-06-07-07</w:t>
            </w:r>
          </w:p>
        </w:tc>
      </w:tr>
      <w:tr>
        <w:trPr>
          <w:trHeight w:val="151"/>
        </w:trPr>
        <w:tc>
          <w:tcPr>
            <w:tcW w:w="3060" w:type="dxa"/>
            <w:vAlign w:val="bottom"/>
          </w:tcPr>
          <w:p>
            <w:pPr>
              <w:spacing w:after="0"/>
              <w:rPr>
                <w:sz w:val="13"/>
                <w:szCs w:val="13"/>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3333 Peachtree Road NE</w:t>
            </w:r>
          </w:p>
        </w:tc>
      </w:tr>
      <w:tr>
        <w:trPr>
          <w:trHeight w:val="151"/>
        </w:trPr>
        <w:tc>
          <w:tcPr>
            <w:tcW w:w="3060" w:type="dxa"/>
            <w:vAlign w:val="bottom"/>
          </w:tcPr>
          <w:p>
            <w:pPr>
              <w:spacing w:after="0"/>
              <w:rPr>
                <w:sz w:val="13"/>
                <w:szCs w:val="13"/>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7th Floor South Tower</w:t>
            </w:r>
          </w:p>
        </w:tc>
      </w:tr>
      <w:tr>
        <w:trPr>
          <w:trHeight w:val="171"/>
        </w:trPr>
        <w:tc>
          <w:tcPr>
            <w:tcW w:w="3060" w:type="dxa"/>
            <w:vAlign w:val="bottom"/>
          </w:tcPr>
          <w:p>
            <w:pPr>
              <w:spacing w:after="0"/>
              <w:rPr>
                <w:sz w:val="14"/>
                <w:szCs w:val="14"/>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Atlanta, GA 30326</w:t>
            </w:r>
          </w:p>
        </w:tc>
      </w:tr>
      <w:tr>
        <w:trPr>
          <w:trHeight w:val="283"/>
        </w:trPr>
        <w:tc>
          <w:tcPr>
            <w:tcW w:w="3060" w:type="dxa"/>
            <w:vAlign w:val="bottom"/>
          </w:tcPr>
          <w:p>
            <w:pPr>
              <w:spacing w:after="0"/>
              <w:rPr>
                <w:sz w:val="24"/>
                <w:szCs w:val="24"/>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Attention: Sam Philpott/Emily Shields</w:t>
            </w:r>
          </w:p>
        </w:tc>
      </w:tr>
      <w:tr>
        <w:trPr>
          <w:trHeight w:val="151"/>
        </w:trPr>
        <w:tc>
          <w:tcPr>
            <w:tcW w:w="3060" w:type="dxa"/>
            <w:vAlign w:val="bottom"/>
          </w:tcPr>
          <w:p>
            <w:pPr>
              <w:spacing w:after="0"/>
              <w:rPr>
                <w:sz w:val="13"/>
                <w:szCs w:val="13"/>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Telephone No.: (404) 836-5920/(404) 926-5489 Facsimile No.: (404)</w:t>
            </w:r>
          </w:p>
        </w:tc>
      </w:tr>
      <w:tr>
        <w:trPr>
          <w:trHeight w:val="151"/>
        </w:trPr>
        <w:tc>
          <w:tcPr>
            <w:tcW w:w="3060" w:type="dxa"/>
            <w:vAlign w:val="bottom"/>
          </w:tcPr>
          <w:p>
            <w:pPr>
              <w:spacing w:after="0"/>
              <w:rPr>
                <w:sz w:val="13"/>
                <w:szCs w:val="13"/>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926-5100/(404) 926-5100 Email: Samuel.Philpott@Truist.com</w:t>
            </w:r>
          </w:p>
        </w:tc>
      </w:tr>
      <w:tr>
        <w:trPr>
          <w:trHeight w:val="171"/>
        </w:trPr>
        <w:tc>
          <w:tcPr>
            <w:tcW w:w="3060" w:type="dxa"/>
            <w:vAlign w:val="bottom"/>
          </w:tcPr>
          <w:p>
            <w:pPr>
              <w:spacing w:after="0"/>
              <w:rPr>
                <w:sz w:val="14"/>
                <w:szCs w:val="14"/>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Emily.Shields@Truist.com</w:t>
            </w:r>
          </w:p>
        </w:tc>
      </w:tr>
      <w:tr>
        <w:trPr>
          <w:trHeight w:val="283"/>
        </w:trPr>
        <w:tc>
          <w:tcPr>
            <w:tcW w:w="3060" w:type="dxa"/>
            <w:vAlign w:val="bottom"/>
          </w:tcPr>
          <w:p>
            <w:pPr>
              <w:spacing w:after="0"/>
              <w:rPr>
                <w:sz w:val="24"/>
                <w:szCs w:val="24"/>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Funding Related and Borrowing Notices:</w:t>
            </w:r>
          </w:p>
        </w:tc>
      </w:tr>
      <w:tr>
        <w:trPr>
          <w:trHeight w:val="151"/>
        </w:trPr>
        <w:tc>
          <w:tcPr>
            <w:tcW w:w="3060" w:type="dxa"/>
            <w:vAlign w:val="bottom"/>
          </w:tcPr>
          <w:p>
            <w:pPr>
              <w:spacing w:after="0"/>
              <w:rPr>
                <w:sz w:val="13"/>
                <w:szCs w:val="13"/>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Yasmin Ajani</w:t>
            </w:r>
          </w:p>
        </w:tc>
      </w:tr>
      <w:tr>
        <w:trPr>
          <w:trHeight w:val="151"/>
        </w:trPr>
        <w:tc>
          <w:tcPr>
            <w:tcW w:w="3060" w:type="dxa"/>
            <w:vAlign w:val="bottom"/>
          </w:tcPr>
          <w:p>
            <w:pPr>
              <w:spacing w:after="0"/>
              <w:rPr>
                <w:sz w:val="13"/>
                <w:szCs w:val="13"/>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Telephone No.: (404) 588-8450</w:t>
            </w:r>
          </w:p>
        </w:tc>
      </w:tr>
      <w:tr>
        <w:trPr>
          <w:trHeight w:val="151"/>
        </w:trPr>
        <w:tc>
          <w:tcPr>
            <w:tcW w:w="3060" w:type="dxa"/>
            <w:vAlign w:val="bottom"/>
          </w:tcPr>
          <w:p>
            <w:pPr>
              <w:spacing w:after="0"/>
              <w:rPr>
                <w:sz w:val="13"/>
                <w:szCs w:val="13"/>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Facsimile No.: (404) 495-2170</w:t>
            </w:r>
          </w:p>
        </w:tc>
      </w:tr>
      <w:tr>
        <w:trPr>
          <w:trHeight w:val="151"/>
        </w:trPr>
        <w:tc>
          <w:tcPr>
            <w:tcW w:w="3060" w:type="dxa"/>
            <w:vAlign w:val="bottom"/>
          </w:tcPr>
          <w:p>
            <w:pPr>
              <w:spacing w:after="0"/>
              <w:rPr>
                <w:sz w:val="13"/>
                <w:szCs w:val="13"/>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Email: Yasmin.Ajani@Truist.com</w:t>
            </w:r>
          </w:p>
        </w:tc>
      </w:tr>
      <w:tr>
        <w:trPr>
          <w:trHeight w:val="151"/>
        </w:trPr>
        <w:tc>
          <w:tcPr>
            <w:tcW w:w="3060" w:type="dxa"/>
            <w:vAlign w:val="bottom"/>
          </w:tcPr>
          <w:p>
            <w:pPr>
              <w:spacing w:after="0"/>
              <w:rPr>
                <w:sz w:val="13"/>
                <w:szCs w:val="13"/>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Agency.Services@Truist.com</w:t>
            </w:r>
          </w:p>
        </w:tc>
      </w:tr>
      <w:tr>
        <w:trPr>
          <w:trHeight w:val="171"/>
        </w:trPr>
        <w:tc>
          <w:tcPr>
            <w:tcW w:w="3060" w:type="dxa"/>
            <w:vAlign w:val="bottom"/>
          </w:tcPr>
          <w:p>
            <w:pPr>
              <w:spacing w:after="0"/>
              <w:rPr>
                <w:sz w:val="14"/>
                <w:szCs w:val="14"/>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With a copy to: STRH.AFG@Truist.com</w:t>
            </w:r>
          </w:p>
        </w:tc>
      </w:tr>
      <w:tr>
        <w:trPr>
          <w:trHeight w:val="283"/>
        </w:trPr>
        <w:tc>
          <w:tcPr>
            <w:tcW w:w="3060" w:type="dxa"/>
            <w:vAlign w:val="bottom"/>
          </w:tcPr>
          <w:p>
            <w:pPr>
              <w:spacing w:after="0"/>
              <w:rPr>
                <w:sz w:val="24"/>
                <w:szCs w:val="24"/>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Reporting and Compliance Submissions:</w:t>
            </w:r>
          </w:p>
        </w:tc>
      </w:tr>
      <w:tr>
        <w:trPr>
          <w:trHeight w:val="151"/>
        </w:trPr>
        <w:tc>
          <w:tcPr>
            <w:tcW w:w="3060" w:type="dxa"/>
            <w:vAlign w:val="bottom"/>
          </w:tcPr>
          <w:p>
            <w:pPr>
              <w:spacing w:after="0"/>
              <w:rPr>
                <w:sz w:val="13"/>
                <w:szCs w:val="13"/>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Primary Contact: Sam Philpott</w:t>
            </w:r>
          </w:p>
        </w:tc>
      </w:tr>
      <w:tr>
        <w:trPr>
          <w:trHeight w:val="151"/>
        </w:trPr>
        <w:tc>
          <w:tcPr>
            <w:tcW w:w="3060" w:type="dxa"/>
            <w:vAlign w:val="bottom"/>
          </w:tcPr>
          <w:p>
            <w:pPr>
              <w:spacing w:after="0"/>
              <w:rPr>
                <w:sz w:val="13"/>
                <w:szCs w:val="13"/>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Alternate: Walker Morris</w:t>
            </w:r>
          </w:p>
        </w:tc>
      </w:tr>
      <w:tr>
        <w:trPr>
          <w:trHeight w:val="151"/>
        </w:trPr>
        <w:tc>
          <w:tcPr>
            <w:tcW w:w="3060" w:type="dxa"/>
            <w:vAlign w:val="bottom"/>
          </w:tcPr>
          <w:p>
            <w:pPr>
              <w:spacing w:after="0"/>
              <w:rPr>
                <w:sz w:val="13"/>
                <w:szCs w:val="13"/>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Telephone No.: (404) 836-5920</w:t>
            </w:r>
          </w:p>
        </w:tc>
      </w:tr>
      <w:tr>
        <w:trPr>
          <w:trHeight w:val="151"/>
        </w:trPr>
        <w:tc>
          <w:tcPr>
            <w:tcW w:w="3060" w:type="dxa"/>
            <w:vAlign w:val="bottom"/>
          </w:tcPr>
          <w:p>
            <w:pPr>
              <w:spacing w:after="0"/>
              <w:rPr>
                <w:sz w:val="13"/>
                <w:szCs w:val="13"/>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Toll Free No.: (866) 650-7387</w:t>
            </w:r>
          </w:p>
        </w:tc>
      </w:tr>
      <w:tr>
        <w:trPr>
          <w:trHeight w:val="151"/>
        </w:trPr>
        <w:tc>
          <w:tcPr>
            <w:tcW w:w="3060" w:type="dxa"/>
            <w:vAlign w:val="bottom"/>
          </w:tcPr>
          <w:p>
            <w:pPr>
              <w:spacing w:after="0"/>
              <w:rPr>
                <w:sz w:val="13"/>
                <w:szCs w:val="13"/>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Facsimile No.: (404) 926-5100</w:t>
            </w:r>
          </w:p>
        </w:tc>
      </w:tr>
      <w:tr>
        <w:trPr>
          <w:trHeight w:val="171"/>
        </w:trPr>
        <w:tc>
          <w:tcPr>
            <w:tcW w:w="3060" w:type="dxa"/>
            <w:vAlign w:val="bottom"/>
          </w:tcPr>
          <w:p>
            <w:pPr>
              <w:spacing w:after="0"/>
              <w:rPr>
                <w:sz w:val="14"/>
                <w:szCs w:val="14"/>
                <w:color w:val="auto"/>
              </w:rPr>
            </w:pPr>
          </w:p>
        </w:tc>
        <w:tc>
          <w:tcPr>
            <w:tcW w:w="5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Email: STRH.AFG@Truist.com</w:t>
            </w:r>
          </w:p>
        </w:tc>
      </w:tr>
      <w:tr>
        <w:trPr>
          <w:trHeight w:val="1201"/>
        </w:trPr>
        <w:tc>
          <w:tcPr>
            <w:tcW w:w="3060" w:type="dxa"/>
            <w:vAlign w:val="bottom"/>
            <w:tcBorders>
              <w:bottom w:val="single" w:sz="8" w:color="EEEEEE"/>
            </w:tcBorders>
          </w:tcPr>
          <w:p>
            <w:pPr>
              <w:spacing w:after="0"/>
              <w:rPr>
                <w:sz w:val="24"/>
                <w:szCs w:val="24"/>
                <w:color w:val="auto"/>
              </w:rPr>
            </w:pPr>
          </w:p>
        </w:tc>
        <w:tc>
          <w:tcPr>
            <w:tcW w:w="52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-24765</wp:posOffset>
            </wp:positionV>
            <wp:extent cx="526605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99" w:name="page300"/>
    <w:bookmarkEnd w:id="299"/>
    <w:p>
      <w:pPr>
        <w:spacing w:after="0" w:line="109" w:lineRule="exact"/>
        <w:rPr>
          <w:sz w:val="20"/>
          <w:szCs w:val="20"/>
          <w:color w:val="auto"/>
        </w:rPr>
      </w:pPr>
    </w:p>
    <w:tbl>
      <w:tblPr>
        <w:tblLayout w:type="fixed"/>
        <w:tblInd w:w="380" w:type="dxa"/>
        <w:tblCellMar>
          <w:top w:w="0" w:type="dxa"/>
          <w:left w:w="0" w:type="dxa"/>
          <w:bottom w:w="0" w:type="dxa"/>
          <w:right w:w="0" w:type="dxa"/>
        </w:tblCellMar>
      </w:tblPr>
      <w:tr>
        <w:trPr>
          <w:trHeight w:val="151"/>
        </w:trPr>
        <w:tc>
          <w:tcPr>
            <w:tcW w:w="29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Truist Bank:</w:t>
            </w: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Truist Bank</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Mail Code 803-06-07-07</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3333 Peachtree Road NE</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7th Floor South Tower</w:t>
            </w:r>
          </w:p>
        </w:tc>
      </w:tr>
      <w:tr>
        <w:trPr>
          <w:trHeight w:val="171"/>
        </w:trPr>
        <w:tc>
          <w:tcPr>
            <w:tcW w:w="2900" w:type="dxa"/>
            <w:vAlign w:val="bottom"/>
          </w:tcPr>
          <w:p>
            <w:pPr>
              <w:spacing w:after="0"/>
              <w:rPr>
                <w:sz w:val="14"/>
                <w:szCs w:val="14"/>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Atlanta, GA 30326</w:t>
            </w:r>
          </w:p>
        </w:tc>
      </w:tr>
      <w:tr>
        <w:trPr>
          <w:trHeight w:val="283"/>
        </w:trPr>
        <w:tc>
          <w:tcPr>
            <w:tcW w:w="2900" w:type="dxa"/>
            <w:vAlign w:val="bottom"/>
          </w:tcPr>
          <w:p>
            <w:pPr>
              <w:spacing w:after="0"/>
              <w:rPr>
                <w:sz w:val="24"/>
                <w:szCs w:val="24"/>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Telephone No.: (404) 926-5920/(404) 926-5489 Facsimile No.: (404)</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926-5100/(404) 926-5100 Email: Samuel.Philpott@Truist.com</w:t>
            </w:r>
          </w:p>
        </w:tc>
      </w:tr>
      <w:tr>
        <w:trPr>
          <w:trHeight w:val="171"/>
        </w:trPr>
        <w:tc>
          <w:tcPr>
            <w:tcW w:w="2900" w:type="dxa"/>
            <w:vAlign w:val="bottom"/>
          </w:tcPr>
          <w:p>
            <w:pPr>
              <w:spacing w:after="0"/>
              <w:rPr>
                <w:sz w:val="14"/>
                <w:szCs w:val="14"/>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Emily.Shields@Truist.com</w:t>
            </w:r>
          </w:p>
        </w:tc>
      </w:tr>
      <w:tr>
        <w:trPr>
          <w:trHeight w:val="283"/>
        </w:trPr>
        <w:tc>
          <w:tcPr>
            <w:tcW w:w="2900" w:type="dxa"/>
            <w:vAlign w:val="bottom"/>
          </w:tcPr>
          <w:p>
            <w:pPr>
              <w:spacing w:after="0"/>
              <w:rPr>
                <w:sz w:val="24"/>
                <w:szCs w:val="24"/>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Funding Related and Borrowing Notices:</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Yasmin Ajani</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Telephone No.: (404) 588-8450</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Facsimile No.: (404) 495-2170</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Email: Yasmin.Ajani@Truist.com</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Agency.Services@Truist.com</w:t>
            </w:r>
          </w:p>
        </w:tc>
      </w:tr>
      <w:tr>
        <w:trPr>
          <w:trHeight w:val="171"/>
        </w:trPr>
        <w:tc>
          <w:tcPr>
            <w:tcW w:w="2900" w:type="dxa"/>
            <w:vAlign w:val="bottom"/>
          </w:tcPr>
          <w:p>
            <w:pPr>
              <w:spacing w:after="0"/>
              <w:rPr>
                <w:sz w:val="14"/>
                <w:szCs w:val="14"/>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With a copy to: STRH.AFG@Truist.com</w:t>
            </w:r>
          </w:p>
        </w:tc>
      </w:tr>
      <w:tr>
        <w:trPr>
          <w:trHeight w:val="283"/>
        </w:trPr>
        <w:tc>
          <w:tcPr>
            <w:tcW w:w="2900" w:type="dxa"/>
            <w:vAlign w:val="bottom"/>
          </w:tcPr>
          <w:p>
            <w:pPr>
              <w:spacing w:after="0"/>
              <w:rPr>
                <w:sz w:val="24"/>
                <w:szCs w:val="24"/>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Reporting and Compliance Submissions:</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Primary Contact: Sam Philpott</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Alternate: Walker Morris</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Telephone No.: (404) 836-5920</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Toll Free No.: (866) 650-7387</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Facsimile No.: (404) 926-5100</w:t>
            </w:r>
          </w:p>
        </w:tc>
      </w:tr>
      <w:tr>
        <w:trPr>
          <w:trHeight w:val="171"/>
        </w:trPr>
        <w:tc>
          <w:tcPr>
            <w:tcW w:w="2900" w:type="dxa"/>
            <w:vAlign w:val="bottom"/>
          </w:tcPr>
          <w:p>
            <w:pPr>
              <w:spacing w:after="0"/>
              <w:rPr>
                <w:sz w:val="14"/>
                <w:szCs w:val="14"/>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Email: STRH.AFG@Truist.com</w:t>
            </w:r>
          </w:p>
        </w:tc>
      </w:tr>
      <w:tr>
        <w:trPr>
          <w:trHeight w:val="465"/>
        </w:trPr>
        <w:tc>
          <w:tcPr>
            <w:tcW w:w="29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City National Bank:</w:t>
            </w: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City National Bank</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400 Park Avenue</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New York, New York</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Attention: Jeff Feinberg</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Telephone No.: (917) 322-0634</w:t>
            </w:r>
          </w:p>
        </w:tc>
      </w:tr>
      <w:tr>
        <w:trPr>
          <w:trHeight w:val="171"/>
        </w:trPr>
        <w:tc>
          <w:tcPr>
            <w:tcW w:w="2900" w:type="dxa"/>
            <w:vAlign w:val="bottom"/>
          </w:tcPr>
          <w:p>
            <w:pPr>
              <w:spacing w:after="0"/>
              <w:rPr>
                <w:sz w:val="14"/>
                <w:szCs w:val="14"/>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Email: jeff.feinberg@cnb.com</w:t>
            </w:r>
          </w:p>
        </w:tc>
      </w:tr>
      <w:tr>
        <w:trPr>
          <w:trHeight w:val="313"/>
        </w:trPr>
        <w:tc>
          <w:tcPr>
            <w:tcW w:w="29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Stifel Bank &amp; Trust</w:t>
            </w: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Stifel Bank &amp; Trust</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One Financial Plaza</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501 North Broadway</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St. Louis, Missouri 63102</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Attention: Joseph L. Sooter, Jr.</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Telephone No.: 314-342-7459</w:t>
            </w:r>
          </w:p>
        </w:tc>
      </w:tr>
      <w:tr>
        <w:trPr>
          <w:trHeight w:val="171"/>
        </w:trPr>
        <w:tc>
          <w:tcPr>
            <w:tcW w:w="2900" w:type="dxa"/>
            <w:vAlign w:val="bottom"/>
          </w:tcPr>
          <w:p>
            <w:pPr>
              <w:spacing w:after="0"/>
              <w:rPr>
                <w:sz w:val="14"/>
                <w:szCs w:val="14"/>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Email: sooterj@stifelbank.com</w:t>
            </w:r>
          </w:p>
        </w:tc>
      </w:tr>
      <w:tr>
        <w:trPr>
          <w:trHeight w:val="313"/>
        </w:trPr>
        <w:tc>
          <w:tcPr>
            <w:tcW w:w="29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Raymond James Bank</w:t>
            </w: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Raymond James Bank</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880 Carillon Parkway</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St. Petersburg, Florida. 33716</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Attention: John Harris</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Telephone: (727) 567-7762</w:t>
            </w:r>
          </w:p>
        </w:tc>
      </w:tr>
      <w:tr>
        <w:trPr>
          <w:trHeight w:val="171"/>
        </w:trPr>
        <w:tc>
          <w:tcPr>
            <w:tcW w:w="2900" w:type="dxa"/>
            <w:vAlign w:val="bottom"/>
          </w:tcPr>
          <w:p>
            <w:pPr>
              <w:spacing w:after="0"/>
              <w:rPr>
                <w:sz w:val="14"/>
                <w:szCs w:val="14"/>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Email: John.Harris@RaymondJames.com</w:t>
            </w:r>
          </w:p>
        </w:tc>
      </w:tr>
      <w:tr>
        <w:trPr>
          <w:trHeight w:val="313"/>
        </w:trPr>
        <w:tc>
          <w:tcPr>
            <w:tcW w:w="2900" w:type="dxa"/>
            <w:vAlign w:val="bottom"/>
          </w:tcPr>
          <w:p>
            <w:pPr>
              <w:ind w:left="1060"/>
              <w:spacing w:after="0"/>
              <w:rPr>
                <w:sz w:val="20"/>
                <w:szCs w:val="20"/>
                <w:color w:val="auto"/>
              </w:rPr>
            </w:pPr>
            <w:r>
              <w:rPr>
                <w:rFonts w:ascii="Times New Roman" w:cs="Times New Roman" w:eastAsia="Times New Roman" w:hAnsi="Times New Roman"/>
                <w:sz w:val="13"/>
                <w:szCs w:val="13"/>
                <w:color w:val="0000FF"/>
              </w:rPr>
              <w:t>Standard Chartered Bank</w:t>
            </w: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0000FF"/>
              </w:rPr>
              <w:t>Standard Chartered Bank</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0000FF"/>
              </w:rPr>
              <w:t>3 Bryant Park</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0000FF"/>
              </w:rPr>
              <w:t>New York, New York 10036</w:t>
            </w:r>
          </w:p>
        </w:tc>
      </w:tr>
      <w:tr>
        <w:trPr>
          <w:trHeight w:val="151"/>
        </w:trPr>
        <w:tc>
          <w:tcPr>
            <w:tcW w:w="2900" w:type="dxa"/>
            <w:vAlign w:val="bottom"/>
          </w:tcPr>
          <w:p>
            <w:pPr>
              <w:spacing w:after="0"/>
              <w:rPr>
                <w:sz w:val="13"/>
                <w:szCs w:val="13"/>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0000FF"/>
              </w:rPr>
              <w:t>Attention: Structured Credit Trading Americas</w:t>
            </w:r>
          </w:p>
        </w:tc>
      </w:tr>
      <w:tr>
        <w:trPr>
          <w:trHeight w:val="171"/>
        </w:trPr>
        <w:tc>
          <w:tcPr>
            <w:tcW w:w="2900" w:type="dxa"/>
            <w:vAlign w:val="bottom"/>
          </w:tcPr>
          <w:p>
            <w:pPr>
              <w:spacing w:after="0"/>
              <w:rPr>
                <w:sz w:val="14"/>
                <w:szCs w:val="14"/>
                <w:color w:val="auto"/>
              </w:rPr>
            </w:pPr>
          </w:p>
        </w:tc>
        <w:tc>
          <w:tcPr>
            <w:tcW w:w="5360" w:type="dxa"/>
            <w:vAlign w:val="bottom"/>
          </w:tcPr>
          <w:p>
            <w:pPr>
              <w:ind w:left="540"/>
              <w:spacing w:after="0"/>
              <w:rPr>
                <w:sz w:val="20"/>
                <w:szCs w:val="20"/>
                <w:color w:val="auto"/>
              </w:rPr>
            </w:pPr>
            <w:r>
              <w:rPr>
                <w:rFonts w:ascii="Times New Roman" w:cs="Times New Roman" w:eastAsia="Times New Roman" w:hAnsi="Times New Roman"/>
                <w:sz w:val="13"/>
                <w:szCs w:val="13"/>
                <w:color w:val="0000FF"/>
              </w:rPr>
              <w:t>Email: US-SCT@sc.com</w:t>
            </w:r>
          </w:p>
        </w:tc>
      </w:tr>
      <w:tr>
        <w:trPr>
          <w:trHeight w:val="1050"/>
        </w:trPr>
        <w:tc>
          <w:tcPr>
            <w:tcW w:w="2900" w:type="dxa"/>
            <w:vAlign w:val="bottom"/>
            <w:tcBorders>
              <w:bottom w:val="single" w:sz="8" w:color="EEEEEE"/>
            </w:tcBorders>
          </w:tcPr>
          <w:p>
            <w:pPr>
              <w:spacing w:after="0"/>
              <w:rPr>
                <w:sz w:val="24"/>
                <w:szCs w:val="24"/>
                <w:color w:val="auto"/>
              </w:rPr>
            </w:pPr>
          </w:p>
        </w:tc>
        <w:tc>
          <w:tcPr>
            <w:tcW w:w="53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-24765</wp:posOffset>
            </wp:positionV>
            <wp:extent cx="526605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00" w:name="page301"/>
    <w:bookmarkEnd w:id="300"/>
    <w:p>
      <w:pPr>
        <w:spacing w:after="0" w:line="291" w:lineRule="exact"/>
        <w:rPr>
          <w:sz w:val="20"/>
          <w:szCs w:val="20"/>
          <w:color w:val="auto"/>
        </w:rPr>
      </w:pPr>
    </w:p>
    <w:tbl>
      <w:tblPr>
        <w:tblLayout w:type="fixed"/>
        <w:tblInd w:w="380" w:type="dxa"/>
        <w:tblCellMar>
          <w:top w:w="0" w:type="dxa"/>
          <w:left w:w="0" w:type="dxa"/>
          <w:bottom w:w="0" w:type="dxa"/>
          <w:right w:w="0" w:type="dxa"/>
        </w:tblCellMar>
      </w:tblPr>
      <w:tr>
        <w:trPr>
          <w:trHeight w:val="151"/>
        </w:trPr>
        <w:tc>
          <w:tcPr>
            <w:tcW w:w="334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If to the Collateral Agent or the Collateral</w:t>
            </w:r>
          </w:p>
        </w:tc>
        <w:tc>
          <w:tcPr>
            <w:tcW w:w="4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Bank Trust Company, National Association</w:t>
            </w:r>
          </w:p>
        </w:tc>
      </w:tr>
      <w:tr>
        <w:trPr>
          <w:trHeight w:val="151"/>
        </w:trPr>
        <w:tc>
          <w:tcPr>
            <w:tcW w:w="334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Administrator:</w:t>
            </w:r>
          </w:p>
        </w:tc>
        <w:tc>
          <w:tcPr>
            <w:tcW w:w="4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Corporate Trust Services – CDO Unit</w:t>
            </w:r>
          </w:p>
        </w:tc>
      </w:tr>
      <w:tr>
        <w:trPr>
          <w:trHeight w:val="151"/>
        </w:trPr>
        <w:tc>
          <w:tcPr>
            <w:tcW w:w="3340" w:type="dxa"/>
            <w:vAlign w:val="bottom"/>
          </w:tcPr>
          <w:p>
            <w:pPr>
              <w:spacing w:after="0"/>
              <w:rPr>
                <w:sz w:val="13"/>
                <w:szCs w:val="13"/>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One Federal Street, Third Floor</w:t>
            </w:r>
          </w:p>
        </w:tc>
      </w:tr>
      <w:tr>
        <w:trPr>
          <w:trHeight w:val="151"/>
        </w:trPr>
        <w:tc>
          <w:tcPr>
            <w:tcW w:w="3340" w:type="dxa"/>
            <w:vAlign w:val="bottom"/>
          </w:tcPr>
          <w:p>
            <w:pPr>
              <w:spacing w:after="0"/>
              <w:rPr>
                <w:sz w:val="13"/>
                <w:szCs w:val="13"/>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Boston, Massachusetts</w:t>
            </w:r>
          </w:p>
        </w:tc>
      </w:tr>
      <w:tr>
        <w:trPr>
          <w:trHeight w:val="151"/>
        </w:trPr>
        <w:tc>
          <w:tcPr>
            <w:tcW w:w="3340" w:type="dxa"/>
            <w:vAlign w:val="bottom"/>
          </w:tcPr>
          <w:p>
            <w:pPr>
              <w:spacing w:after="0"/>
              <w:rPr>
                <w:sz w:val="13"/>
                <w:szCs w:val="13"/>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Attention: Dave Reale</w:t>
            </w:r>
          </w:p>
        </w:tc>
      </w:tr>
      <w:tr>
        <w:trPr>
          <w:trHeight w:val="138"/>
        </w:trPr>
        <w:tc>
          <w:tcPr>
            <w:tcW w:w="3340" w:type="dxa"/>
            <w:vAlign w:val="bottom"/>
          </w:tcPr>
          <w:p>
            <w:pPr>
              <w:spacing w:after="0"/>
              <w:rPr>
                <w:sz w:val="12"/>
                <w:szCs w:val="12"/>
                <w:color w:val="auto"/>
              </w:rPr>
            </w:pPr>
          </w:p>
        </w:tc>
        <w:tc>
          <w:tcPr>
            <w:tcW w:w="492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auto"/>
              </w:rPr>
              <w:t>Ref: PennantPark Floating Rate Funding I, LLC</w:t>
            </w:r>
          </w:p>
        </w:tc>
      </w:tr>
      <w:tr>
        <w:trPr>
          <w:trHeight w:val="164"/>
        </w:trPr>
        <w:tc>
          <w:tcPr>
            <w:tcW w:w="3340" w:type="dxa"/>
            <w:vAlign w:val="bottom"/>
          </w:tcPr>
          <w:p>
            <w:pPr>
              <w:spacing w:after="0"/>
              <w:rPr>
                <w:sz w:val="14"/>
                <w:szCs w:val="14"/>
                <w:color w:val="auto"/>
              </w:rPr>
            </w:pPr>
          </w:p>
        </w:tc>
        <w:tc>
          <w:tcPr>
            <w:tcW w:w="4920" w:type="dxa"/>
            <w:vAlign w:val="bottom"/>
          </w:tcPr>
          <w:p>
            <w:pPr>
              <w:ind w:left="100"/>
              <w:spacing w:after="0" w:line="150" w:lineRule="exact"/>
              <w:rPr>
                <w:sz w:val="20"/>
                <w:szCs w:val="20"/>
                <w:color w:val="auto"/>
              </w:rPr>
            </w:pPr>
            <w:r>
              <w:rPr>
                <w:rFonts w:ascii="Times New Roman" w:cs="Times New Roman" w:eastAsia="Times New Roman" w:hAnsi="Times New Roman"/>
                <w:sz w:val="13"/>
                <w:szCs w:val="13"/>
                <w:color w:val="auto"/>
              </w:rPr>
              <w:t>E</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mail: PennantPark.Team@usbank.com, with a copy to</w:t>
            </w:r>
          </w:p>
        </w:tc>
      </w:tr>
      <w:tr>
        <w:trPr>
          <w:trHeight w:val="171"/>
        </w:trPr>
        <w:tc>
          <w:tcPr>
            <w:tcW w:w="3340" w:type="dxa"/>
            <w:vAlign w:val="bottom"/>
          </w:tcPr>
          <w:p>
            <w:pPr>
              <w:spacing w:after="0"/>
              <w:rPr>
                <w:sz w:val="14"/>
                <w:szCs w:val="14"/>
                <w:color w:val="auto"/>
              </w:rPr>
            </w:pPr>
          </w:p>
        </w:tc>
        <w:tc>
          <w:tcPr>
            <w:tcW w:w="49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david.reale@usbank.com</w:t>
            </w:r>
          </w:p>
        </w:tc>
      </w:tr>
      <w:tr>
        <w:trPr>
          <w:trHeight w:val="465"/>
        </w:trPr>
        <w:tc>
          <w:tcPr>
            <w:tcW w:w="334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If to the Securities Intermediary:</w:t>
            </w:r>
          </w:p>
        </w:tc>
        <w:tc>
          <w:tcPr>
            <w:tcW w:w="4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Bank National Association</w:t>
            </w:r>
          </w:p>
        </w:tc>
      </w:tr>
      <w:tr>
        <w:trPr>
          <w:trHeight w:val="151"/>
        </w:trPr>
        <w:tc>
          <w:tcPr>
            <w:tcW w:w="3340" w:type="dxa"/>
            <w:vAlign w:val="bottom"/>
          </w:tcPr>
          <w:p>
            <w:pPr>
              <w:spacing w:after="0"/>
              <w:rPr>
                <w:sz w:val="13"/>
                <w:szCs w:val="13"/>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Corporate Trust Services – CDO Unit</w:t>
            </w:r>
          </w:p>
        </w:tc>
      </w:tr>
      <w:tr>
        <w:trPr>
          <w:trHeight w:val="151"/>
        </w:trPr>
        <w:tc>
          <w:tcPr>
            <w:tcW w:w="3340" w:type="dxa"/>
            <w:vAlign w:val="bottom"/>
          </w:tcPr>
          <w:p>
            <w:pPr>
              <w:spacing w:after="0"/>
              <w:rPr>
                <w:sz w:val="13"/>
                <w:szCs w:val="13"/>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One Federal Street, Third Floor</w:t>
            </w:r>
          </w:p>
        </w:tc>
      </w:tr>
      <w:tr>
        <w:trPr>
          <w:trHeight w:val="151"/>
        </w:trPr>
        <w:tc>
          <w:tcPr>
            <w:tcW w:w="3340" w:type="dxa"/>
            <w:vAlign w:val="bottom"/>
          </w:tcPr>
          <w:p>
            <w:pPr>
              <w:spacing w:after="0"/>
              <w:rPr>
                <w:sz w:val="13"/>
                <w:szCs w:val="13"/>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Boston, Massachusetts</w:t>
            </w:r>
          </w:p>
        </w:tc>
      </w:tr>
      <w:tr>
        <w:trPr>
          <w:trHeight w:val="151"/>
        </w:trPr>
        <w:tc>
          <w:tcPr>
            <w:tcW w:w="3340" w:type="dxa"/>
            <w:vAlign w:val="bottom"/>
          </w:tcPr>
          <w:p>
            <w:pPr>
              <w:spacing w:after="0"/>
              <w:rPr>
                <w:sz w:val="13"/>
                <w:szCs w:val="13"/>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Attention: Dave Reale</w:t>
            </w:r>
          </w:p>
        </w:tc>
      </w:tr>
      <w:tr>
        <w:trPr>
          <w:trHeight w:val="138"/>
        </w:trPr>
        <w:tc>
          <w:tcPr>
            <w:tcW w:w="3340" w:type="dxa"/>
            <w:vAlign w:val="bottom"/>
          </w:tcPr>
          <w:p>
            <w:pPr>
              <w:spacing w:after="0"/>
              <w:rPr>
                <w:sz w:val="12"/>
                <w:szCs w:val="12"/>
                <w:color w:val="auto"/>
              </w:rPr>
            </w:pPr>
          </w:p>
        </w:tc>
        <w:tc>
          <w:tcPr>
            <w:tcW w:w="492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auto"/>
              </w:rPr>
              <w:t>Ref: PennantPark Floating Rate Funding I, LLC</w:t>
            </w:r>
          </w:p>
        </w:tc>
      </w:tr>
      <w:tr>
        <w:trPr>
          <w:trHeight w:val="164"/>
        </w:trPr>
        <w:tc>
          <w:tcPr>
            <w:tcW w:w="3340" w:type="dxa"/>
            <w:vAlign w:val="bottom"/>
          </w:tcPr>
          <w:p>
            <w:pPr>
              <w:spacing w:after="0"/>
              <w:rPr>
                <w:sz w:val="14"/>
                <w:szCs w:val="14"/>
                <w:color w:val="auto"/>
              </w:rPr>
            </w:pPr>
          </w:p>
        </w:tc>
        <w:tc>
          <w:tcPr>
            <w:tcW w:w="4920" w:type="dxa"/>
            <w:vAlign w:val="bottom"/>
          </w:tcPr>
          <w:p>
            <w:pPr>
              <w:ind w:left="100"/>
              <w:spacing w:after="0" w:line="150" w:lineRule="exact"/>
              <w:rPr>
                <w:sz w:val="20"/>
                <w:szCs w:val="20"/>
                <w:color w:val="auto"/>
              </w:rPr>
            </w:pPr>
            <w:r>
              <w:rPr>
                <w:rFonts w:ascii="Times New Roman" w:cs="Times New Roman" w:eastAsia="Times New Roman" w:hAnsi="Times New Roman"/>
                <w:sz w:val="13"/>
                <w:szCs w:val="13"/>
                <w:color w:val="auto"/>
              </w:rPr>
              <w:t>E</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mail: PennantPark.Team@usbank.com, with a copy to</w:t>
            </w:r>
          </w:p>
        </w:tc>
      </w:tr>
      <w:tr>
        <w:trPr>
          <w:trHeight w:val="171"/>
        </w:trPr>
        <w:tc>
          <w:tcPr>
            <w:tcW w:w="3340" w:type="dxa"/>
            <w:vAlign w:val="bottom"/>
          </w:tcPr>
          <w:p>
            <w:pPr>
              <w:spacing w:after="0"/>
              <w:rPr>
                <w:sz w:val="14"/>
                <w:szCs w:val="14"/>
                <w:color w:val="auto"/>
              </w:rPr>
            </w:pPr>
          </w:p>
        </w:tc>
        <w:tc>
          <w:tcPr>
            <w:tcW w:w="49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david.reale@usbank.com</w:t>
            </w:r>
          </w:p>
        </w:tc>
      </w:tr>
      <w:tr>
        <w:trPr>
          <w:trHeight w:val="283"/>
        </w:trPr>
        <w:tc>
          <w:tcPr>
            <w:tcW w:w="334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If to the Custodian:</w:t>
            </w:r>
          </w:p>
        </w:tc>
        <w:tc>
          <w:tcPr>
            <w:tcW w:w="4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Bank National Association</w:t>
            </w:r>
          </w:p>
        </w:tc>
      </w:tr>
      <w:tr>
        <w:trPr>
          <w:trHeight w:val="151"/>
        </w:trPr>
        <w:tc>
          <w:tcPr>
            <w:tcW w:w="3340" w:type="dxa"/>
            <w:vAlign w:val="bottom"/>
          </w:tcPr>
          <w:p>
            <w:pPr>
              <w:spacing w:after="0"/>
              <w:rPr>
                <w:sz w:val="13"/>
                <w:szCs w:val="13"/>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1719 Range Way</w:t>
            </w:r>
          </w:p>
        </w:tc>
      </w:tr>
      <w:tr>
        <w:trPr>
          <w:trHeight w:val="138"/>
        </w:trPr>
        <w:tc>
          <w:tcPr>
            <w:tcW w:w="3340" w:type="dxa"/>
            <w:vAlign w:val="bottom"/>
          </w:tcPr>
          <w:p>
            <w:pPr>
              <w:spacing w:after="0"/>
              <w:rPr>
                <w:sz w:val="12"/>
                <w:szCs w:val="12"/>
                <w:color w:val="auto"/>
              </w:rPr>
            </w:pPr>
          </w:p>
        </w:tc>
        <w:tc>
          <w:tcPr>
            <w:tcW w:w="492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auto"/>
              </w:rPr>
              <w:t>Florence, South Carolina 29501</w:t>
            </w:r>
          </w:p>
        </w:tc>
      </w:tr>
      <w:tr>
        <w:trPr>
          <w:trHeight w:val="164"/>
        </w:trPr>
        <w:tc>
          <w:tcPr>
            <w:tcW w:w="3340" w:type="dxa"/>
            <w:vAlign w:val="bottom"/>
          </w:tcPr>
          <w:p>
            <w:pPr>
              <w:spacing w:after="0"/>
              <w:rPr>
                <w:sz w:val="14"/>
                <w:szCs w:val="14"/>
                <w:color w:val="auto"/>
              </w:rPr>
            </w:pPr>
          </w:p>
        </w:tc>
        <w:tc>
          <w:tcPr>
            <w:tcW w:w="4920" w:type="dxa"/>
            <w:vAlign w:val="bottom"/>
          </w:tcPr>
          <w:p>
            <w:pPr>
              <w:ind w:left="100"/>
              <w:spacing w:after="0" w:line="150" w:lineRule="exact"/>
              <w:rPr>
                <w:sz w:val="20"/>
                <w:szCs w:val="20"/>
                <w:color w:val="auto"/>
              </w:rPr>
            </w:pPr>
            <w:r>
              <w:rPr>
                <w:rFonts w:ascii="Times New Roman" w:cs="Times New Roman" w:eastAsia="Times New Roman" w:hAnsi="Times New Roman"/>
                <w:sz w:val="13"/>
                <w:szCs w:val="13"/>
                <w:color w:val="auto"/>
              </w:rPr>
              <w:t xml:space="preserve">Mail Code: Ex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SC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FLOR</w:t>
            </w:r>
          </w:p>
        </w:tc>
      </w:tr>
      <w:tr>
        <w:trPr>
          <w:trHeight w:val="151"/>
        </w:trPr>
        <w:tc>
          <w:tcPr>
            <w:tcW w:w="3340" w:type="dxa"/>
            <w:vAlign w:val="bottom"/>
          </w:tcPr>
          <w:p>
            <w:pPr>
              <w:spacing w:after="0"/>
              <w:rPr>
                <w:sz w:val="13"/>
                <w:szCs w:val="13"/>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Ref: PennantPark Floating Rate Funding I, LLC</w:t>
            </w:r>
          </w:p>
        </w:tc>
      </w:tr>
      <w:tr>
        <w:trPr>
          <w:trHeight w:val="138"/>
        </w:trPr>
        <w:tc>
          <w:tcPr>
            <w:tcW w:w="3340" w:type="dxa"/>
            <w:vAlign w:val="bottom"/>
          </w:tcPr>
          <w:p>
            <w:pPr>
              <w:spacing w:after="0"/>
              <w:rPr>
                <w:sz w:val="12"/>
                <w:szCs w:val="12"/>
                <w:color w:val="auto"/>
              </w:rPr>
            </w:pPr>
          </w:p>
        </w:tc>
        <w:tc>
          <w:tcPr>
            <w:tcW w:w="492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auto"/>
              </w:rPr>
              <w:t>Attention: Steven Garrett</w:t>
            </w:r>
          </w:p>
        </w:tc>
      </w:tr>
      <w:tr>
        <w:trPr>
          <w:trHeight w:val="151"/>
        </w:trPr>
        <w:tc>
          <w:tcPr>
            <w:tcW w:w="3340" w:type="dxa"/>
            <w:vAlign w:val="bottom"/>
          </w:tcPr>
          <w:p>
            <w:pPr>
              <w:spacing w:after="0"/>
              <w:rPr>
                <w:sz w:val="13"/>
                <w:szCs w:val="13"/>
                <w:color w:val="auto"/>
              </w:rPr>
            </w:pPr>
          </w:p>
        </w:tc>
        <w:tc>
          <w:tcPr>
            <w:tcW w:w="4920" w:type="dxa"/>
            <w:vAlign w:val="bottom"/>
          </w:tcPr>
          <w:p>
            <w:pPr>
              <w:ind w:left="100"/>
              <w:spacing w:after="0" w:line="150" w:lineRule="exact"/>
              <w:rPr>
                <w:sz w:val="20"/>
                <w:szCs w:val="20"/>
                <w:color w:val="auto"/>
              </w:rPr>
            </w:pPr>
            <w:r>
              <w:rPr>
                <w:rFonts w:ascii="Times New Roman" w:cs="Times New Roman" w:eastAsia="Times New Roman" w:hAnsi="Times New Roman"/>
                <w:sz w:val="13"/>
                <w:szCs w:val="13"/>
                <w:color w:val="auto"/>
              </w:rPr>
              <w:t>E</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mail: steven.garrett@usbank.com</w:t>
            </w:r>
          </w:p>
        </w:tc>
      </w:tr>
      <w:tr>
        <w:trPr>
          <w:trHeight w:val="151"/>
        </w:trPr>
        <w:tc>
          <w:tcPr>
            <w:tcW w:w="3340" w:type="dxa"/>
            <w:vAlign w:val="bottom"/>
          </w:tcPr>
          <w:p>
            <w:pPr>
              <w:spacing w:after="0"/>
              <w:rPr>
                <w:sz w:val="13"/>
                <w:szCs w:val="13"/>
                <w:color w:val="auto"/>
              </w:rPr>
            </w:pPr>
          </w:p>
        </w:tc>
        <w:tc>
          <w:tcPr>
            <w:tcW w:w="4920" w:type="dxa"/>
            <w:vAlign w:val="bottom"/>
          </w:tcPr>
          <w:p>
            <w:pPr>
              <w:ind w:left="100"/>
              <w:spacing w:after="0" w:line="150" w:lineRule="exact"/>
              <w:rPr>
                <w:sz w:val="20"/>
                <w:szCs w:val="20"/>
                <w:color w:val="auto"/>
              </w:rPr>
            </w:pPr>
            <w:r>
              <w:rPr>
                <w:rFonts w:ascii="Times New Roman" w:cs="Times New Roman" w:eastAsia="Times New Roman" w:hAnsi="Times New Roman"/>
                <w:sz w:val="13"/>
                <w:szCs w:val="13"/>
                <w:color w:val="auto"/>
              </w:rPr>
              <w:t>Facsimile No.: (843)</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673</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0162</w:t>
            </w:r>
          </w:p>
        </w:tc>
      </w:tr>
      <w:tr>
        <w:trPr>
          <w:trHeight w:val="188"/>
        </w:trPr>
        <w:tc>
          <w:tcPr>
            <w:tcW w:w="3340" w:type="dxa"/>
            <w:vAlign w:val="bottom"/>
          </w:tcPr>
          <w:p>
            <w:pPr>
              <w:spacing w:after="0"/>
              <w:rPr>
                <w:sz w:val="16"/>
                <w:szCs w:val="16"/>
                <w:color w:val="auto"/>
              </w:rPr>
            </w:pPr>
          </w:p>
        </w:tc>
        <w:tc>
          <w:tcPr>
            <w:tcW w:w="4920" w:type="dxa"/>
            <w:vAlign w:val="bottom"/>
          </w:tcPr>
          <w:p>
            <w:pPr>
              <w:ind w:left="100"/>
              <w:spacing w:after="0" w:line="150" w:lineRule="exact"/>
              <w:rPr>
                <w:sz w:val="20"/>
                <w:szCs w:val="20"/>
                <w:color w:val="auto"/>
              </w:rPr>
            </w:pPr>
            <w:r>
              <w:rPr>
                <w:rFonts w:ascii="Times New Roman" w:cs="Times New Roman" w:eastAsia="Times New Roman" w:hAnsi="Times New Roman"/>
                <w:sz w:val="13"/>
                <w:szCs w:val="13"/>
                <w:color w:val="auto"/>
              </w:rPr>
              <w:t>Telephone No: (843)</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676</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8901</w:t>
            </w:r>
          </w:p>
        </w:tc>
      </w:tr>
      <w:tr>
        <w:trPr>
          <w:trHeight w:val="279"/>
        </w:trPr>
        <w:tc>
          <w:tcPr>
            <w:tcW w:w="334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If to the Backup Collateral Manager:</w:t>
            </w:r>
          </w:p>
        </w:tc>
        <w:tc>
          <w:tcPr>
            <w:tcW w:w="4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Bank Trust Company, National Association</w:t>
            </w:r>
          </w:p>
        </w:tc>
      </w:tr>
      <w:tr>
        <w:trPr>
          <w:trHeight w:val="151"/>
        </w:trPr>
        <w:tc>
          <w:tcPr>
            <w:tcW w:w="3340" w:type="dxa"/>
            <w:vAlign w:val="bottom"/>
          </w:tcPr>
          <w:p>
            <w:pPr>
              <w:spacing w:after="0"/>
              <w:rPr>
                <w:sz w:val="13"/>
                <w:szCs w:val="13"/>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Corporate Trust Services</w:t>
            </w:r>
          </w:p>
        </w:tc>
      </w:tr>
      <w:tr>
        <w:trPr>
          <w:trHeight w:val="138"/>
        </w:trPr>
        <w:tc>
          <w:tcPr>
            <w:tcW w:w="3340" w:type="dxa"/>
            <w:vAlign w:val="bottom"/>
          </w:tcPr>
          <w:p>
            <w:pPr>
              <w:spacing w:after="0"/>
              <w:rPr>
                <w:sz w:val="12"/>
                <w:szCs w:val="12"/>
                <w:color w:val="auto"/>
              </w:rPr>
            </w:pPr>
          </w:p>
        </w:tc>
        <w:tc>
          <w:tcPr>
            <w:tcW w:w="492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auto"/>
              </w:rPr>
              <w:t>Backup Servicing/PennantPark Floating Rate Funding</w:t>
            </w:r>
          </w:p>
        </w:tc>
      </w:tr>
      <w:tr>
        <w:trPr>
          <w:trHeight w:val="164"/>
        </w:trPr>
        <w:tc>
          <w:tcPr>
            <w:tcW w:w="3340" w:type="dxa"/>
            <w:vAlign w:val="bottom"/>
          </w:tcPr>
          <w:p>
            <w:pPr>
              <w:spacing w:after="0"/>
              <w:rPr>
                <w:sz w:val="14"/>
                <w:szCs w:val="14"/>
                <w:color w:val="auto"/>
              </w:rPr>
            </w:pPr>
          </w:p>
        </w:tc>
        <w:tc>
          <w:tcPr>
            <w:tcW w:w="4920" w:type="dxa"/>
            <w:vAlign w:val="bottom"/>
          </w:tcPr>
          <w:p>
            <w:pPr>
              <w:ind w:left="100"/>
              <w:spacing w:after="0" w:line="150" w:lineRule="exact"/>
              <w:rPr>
                <w:sz w:val="20"/>
                <w:szCs w:val="20"/>
                <w:color w:val="auto"/>
              </w:rPr>
            </w:pPr>
            <w:r>
              <w:rPr>
                <w:rFonts w:ascii="Times New Roman" w:cs="Times New Roman" w:eastAsia="Times New Roman" w:hAnsi="Times New Roman"/>
                <w:sz w:val="13"/>
                <w:szCs w:val="13"/>
                <w:color w:val="auto"/>
              </w:rPr>
              <w:t>EP</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MN</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WS3D</w:t>
            </w:r>
          </w:p>
        </w:tc>
      </w:tr>
      <w:tr>
        <w:trPr>
          <w:trHeight w:val="151"/>
        </w:trPr>
        <w:tc>
          <w:tcPr>
            <w:tcW w:w="3340" w:type="dxa"/>
            <w:vAlign w:val="bottom"/>
          </w:tcPr>
          <w:p>
            <w:pPr>
              <w:spacing w:after="0"/>
              <w:rPr>
                <w:sz w:val="13"/>
                <w:szCs w:val="13"/>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60 Livingston Avenue</w:t>
            </w:r>
          </w:p>
        </w:tc>
      </w:tr>
      <w:tr>
        <w:trPr>
          <w:trHeight w:val="151"/>
        </w:trPr>
        <w:tc>
          <w:tcPr>
            <w:tcW w:w="3340" w:type="dxa"/>
            <w:vAlign w:val="bottom"/>
          </w:tcPr>
          <w:p>
            <w:pPr>
              <w:spacing w:after="0"/>
              <w:rPr>
                <w:sz w:val="13"/>
                <w:szCs w:val="13"/>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 Paul, MN 55107</w:t>
            </w:r>
          </w:p>
        </w:tc>
      </w:tr>
      <w:tr>
        <w:trPr>
          <w:trHeight w:val="138"/>
        </w:trPr>
        <w:tc>
          <w:tcPr>
            <w:tcW w:w="3340" w:type="dxa"/>
            <w:vAlign w:val="bottom"/>
          </w:tcPr>
          <w:p>
            <w:pPr>
              <w:spacing w:after="0"/>
              <w:rPr>
                <w:sz w:val="12"/>
                <w:szCs w:val="12"/>
                <w:color w:val="auto"/>
              </w:rPr>
            </w:pPr>
          </w:p>
        </w:tc>
        <w:tc>
          <w:tcPr>
            <w:tcW w:w="492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auto"/>
              </w:rPr>
              <w:t>Attention: Deborah Jones Franco</w:t>
            </w:r>
          </w:p>
        </w:tc>
      </w:tr>
      <w:tr>
        <w:trPr>
          <w:trHeight w:val="151"/>
        </w:trPr>
        <w:tc>
          <w:tcPr>
            <w:tcW w:w="3340" w:type="dxa"/>
            <w:vAlign w:val="bottom"/>
          </w:tcPr>
          <w:p>
            <w:pPr>
              <w:spacing w:after="0"/>
              <w:rPr>
                <w:sz w:val="13"/>
                <w:szCs w:val="13"/>
                <w:color w:val="auto"/>
              </w:rPr>
            </w:pPr>
          </w:p>
        </w:tc>
        <w:tc>
          <w:tcPr>
            <w:tcW w:w="4920" w:type="dxa"/>
            <w:vAlign w:val="bottom"/>
          </w:tcPr>
          <w:p>
            <w:pPr>
              <w:ind w:left="100"/>
              <w:spacing w:after="0" w:line="150" w:lineRule="exact"/>
              <w:rPr>
                <w:sz w:val="20"/>
                <w:szCs w:val="20"/>
                <w:color w:val="auto"/>
              </w:rPr>
            </w:pPr>
            <w:r>
              <w:rPr>
                <w:rFonts w:ascii="Times New Roman" w:cs="Times New Roman" w:eastAsia="Times New Roman" w:hAnsi="Times New Roman"/>
                <w:sz w:val="13"/>
                <w:szCs w:val="13"/>
                <w:color w:val="auto"/>
              </w:rPr>
              <w:t>Facsimile: (651)</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495</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8090</w:t>
            </w:r>
          </w:p>
        </w:tc>
      </w:tr>
      <w:tr>
        <w:trPr>
          <w:trHeight w:val="151"/>
        </w:trPr>
        <w:tc>
          <w:tcPr>
            <w:tcW w:w="3340" w:type="dxa"/>
            <w:vAlign w:val="bottom"/>
          </w:tcPr>
          <w:p>
            <w:pPr>
              <w:spacing w:after="0"/>
              <w:rPr>
                <w:sz w:val="13"/>
                <w:szCs w:val="13"/>
                <w:color w:val="auto"/>
              </w:rPr>
            </w:pPr>
          </w:p>
        </w:tc>
        <w:tc>
          <w:tcPr>
            <w:tcW w:w="4920" w:type="dxa"/>
            <w:vAlign w:val="bottom"/>
          </w:tcPr>
          <w:p>
            <w:pPr>
              <w:ind w:left="100"/>
              <w:spacing w:after="0" w:line="150" w:lineRule="exact"/>
              <w:rPr>
                <w:sz w:val="20"/>
                <w:szCs w:val="20"/>
                <w:color w:val="auto"/>
              </w:rPr>
            </w:pPr>
            <w:r>
              <w:rPr>
                <w:rFonts w:ascii="Times New Roman" w:cs="Times New Roman" w:eastAsia="Times New Roman" w:hAnsi="Times New Roman"/>
                <w:sz w:val="13"/>
                <w:szCs w:val="13"/>
                <w:color w:val="auto"/>
              </w:rPr>
              <w:t>Telephone No.: (651)</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495</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3413</w:t>
            </w:r>
          </w:p>
        </w:tc>
      </w:tr>
      <w:tr>
        <w:trPr>
          <w:trHeight w:val="188"/>
        </w:trPr>
        <w:tc>
          <w:tcPr>
            <w:tcW w:w="3340" w:type="dxa"/>
            <w:vAlign w:val="bottom"/>
          </w:tcPr>
          <w:p>
            <w:pPr>
              <w:spacing w:after="0"/>
              <w:rPr>
                <w:sz w:val="16"/>
                <w:szCs w:val="16"/>
                <w:color w:val="auto"/>
              </w:rPr>
            </w:pPr>
          </w:p>
        </w:tc>
        <w:tc>
          <w:tcPr>
            <w:tcW w:w="4920" w:type="dxa"/>
            <w:vAlign w:val="bottom"/>
          </w:tcPr>
          <w:p>
            <w:pPr>
              <w:ind w:left="100"/>
              <w:spacing w:after="0" w:line="150" w:lineRule="exact"/>
              <w:rPr>
                <w:sz w:val="20"/>
                <w:szCs w:val="20"/>
                <w:color w:val="auto"/>
              </w:rPr>
            </w:pPr>
            <w:r>
              <w:rPr>
                <w:rFonts w:ascii="Times New Roman" w:cs="Times New Roman" w:eastAsia="Times New Roman" w:hAnsi="Times New Roman"/>
                <w:sz w:val="13"/>
                <w:szCs w:val="13"/>
                <w:color w:val="auto"/>
              </w:rPr>
              <w:t>E</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mail: Deborah.Franco@USBank.com</w:t>
            </w:r>
          </w:p>
        </w:tc>
      </w:tr>
      <w:tr>
        <w:trPr>
          <w:trHeight w:val="1197"/>
        </w:trPr>
        <w:tc>
          <w:tcPr>
            <w:tcW w:w="3340" w:type="dxa"/>
            <w:vAlign w:val="bottom"/>
            <w:tcBorders>
              <w:bottom w:val="single" w:sz="8" w:color="EEEEEE"/>
            </w:tcBorders>
          </w:tcPr>
          <w:p>
            <w:pPr>
              <w:spacing w:after="0"/>
              <w:rPr>
                <w:sz w:val="24"/>
                <w:szCs w:val="24"/>
                <w:color w:val="auto"/>
              </w:rPr>
            </w:pPr>
          </w:p>
        </w:tc>
        <w:tc>
          <w:tcPr>
            <w:tcW w:w="49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-24765</wp:posOffset>
            </wp:positionV>
            <wp:extent cx="526605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01" w:name="page302"/>
    <w:bookmarkEnd w:id="301"/>
    <w:p>
      <w:pPr>
        <w:spacing w:after="0" w:line="109" w:lineRule="exact"/>
        <w:rPr>
          <w:sz w:val="20"/>
          <w:szCs w:val="20"/>
          <w:color w:val="auto"/>
        </w:rPr>
      </w:pPr>
    </w:p>
    <w:tbl>
      <w:tblPr>
        <w:tblLayout w:type="fixed"/>
        <w:tblInd w:w="380" w:type="dxa"/>
        <w:tblCellMar>
          <w:top w:w="0" w:type="dxa"/>
          <w:left w:w="0" w:type="dxa"/>
          <w:bottom w:w="0" w:type="dxa"/>
          <w:right w:w="0" w:type="dxa"/>
        </w:tblCellMar>
      </w:tblPr>
      <w:tr>
        <w:trPr>
          <w:trHeight w:val="151"/>
        </w:trPr>
        <w:tc>
          <w:tcPr>
            <w:tcW w:w="3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If to the Borrower:</w:t>
            </w:r>
          </w:p>
        </w:tc>
        <w:tc>
          <w:tcPr>
            <w:tcW w:w="52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PennantPark Floating Rate Funding I, LLC</w:t>
            </w:r>
          </w:p>
        </w:tc>
      </w:tr>
      <w:tr>
        <w:trPr>
          <w:trHeight w:val="131"/>
        </w:trPr>
        <w:tc>
          <w:tcPr>
            <w:tcW w:w="3000" w:type="dxa"/>
            <w:vAlign w:val="bottom"/>
          </w:tcPr>
          <w:p>
            <w:pPr>
              <w:spacing w:after="0"/>
              <w:rPr>
                <w:sz w:val="11"/>
                <w:szCs w:val="11"/>
                <w:color w:val="auto"/>
              </w:rPr>
            </w:pPr>
          </w:p>
        </w:tc>
        <w:tc>
          <w:tcPr>
            <w:tcW w:w="5260" w:type="dxa"/>
            <w:vAlign w:val="bottom"/>
          </w:tcPr>
          <w:p>
            <w:pPr>
              <w:ind w:left="440"/>
              <w:spacing w:after="0" w:line="131" w:lineRule="exact"/>
              <w:rPr>
                <w:sz w:val="20"/>
                <w:szCs w:val="20"/>
                <w:color w:val="auto"/>
              </w:rPr>
            </w:pPr>
            <w:r>
              <w:rPr>
                <w:rFonts w:ascii="Times New Roman" w:cs="Times New Roman" w:eastAsia="Times New Roman" w:hAnsi="Times New Roman"/>
                <w:sz w:val="13"/>
                <w:szCs w:val="13"/>
                <w:color w:val="auto"/>
              </w:rPr>
              <w:t>c/o PennantPark Investment Advisers, LLC</w:t>
            </w:r>
          </w:p>
        </w:tc>
      </w:tr>
      <w:tr>
        <w:trPr>
          <w:trHeight w:val="172"/>
        </w:trPr>
        <w:tc>
          <w:tcPr>
            <w:tcW w:w="3000" w:type="dxa"/>
            <w:vAlign w:val="bottom"/>
          </w:tcPr>
          <w:p>
            <w:pPr>
              <w:spacing w:after="0"/>
              <w:rPr>
                <w:sz w:val="14"/>
                <w:szCs w:val="14"/>
                <w:color w:val="auto"/>
              </w:rPr>
            </w:pPr>
          </w:p>
        </w:tc>
        <w:tc>
          <w:tcPr>
            <w:tcW w:w="5260" w:type="dxa"/>
            <w:vAlign w:val="bottom"/>
          </w:tcPr>
          <w:p>
            <w:pPr>
              <w:ind w:left="440"/>
              <w:spacing w:after="0" w:line="172" w:lineRule="exact"/>
              <w:rPr>
                <w:sz w:val="20"/>
                <w:szCs w:val="20"/>
                <w:color w:val="auto"/>
              </w:rPr>
            </w:pPr>
            <w:r>
              <w:rPr>
                <w:rFonts w:ascii="Times New Roman" w:cs="Times New Roman" w:eastAsia="Times New Roman" w:hAnsi="Times New Roman"/>
                <w:sz w:val="13"/>
                <w:szCs w:val="13"/>
                <w:color w:val="auto"/>
              </w:rPr>
              <w:t>590 Madison Avenue, 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Floor</w:t>
            </w:r>
          </w:p>
        </w:tc>
      </w:tr>
      <w:tr>
        <w:trPr>
          <w:trHeight w:val="151"/>
        </w:trPr>
        <w:tc>
          <w:tcPr>
            <w:tcW w:w="3000" w:type="dxa"/>
            <w:vAlign w:val="bottom"/>
          </w:tcPr>
          <w:p>
            <w:pPr>
              <w:spacing w:after="0"/>
              <w:rPr>
                <w:sz w:val="13"/>
                <w:szCs w:val="13"/>
                <w:color w:val="auto"/>
              </w:rPr>
            </w:pPr>
          </w:p>
        </w:tc>
        <w:tc>
          <w:tcPr>
            <w:tcW w:w="52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New York, NY 10022</w:t>
            </w:r>
          </w:p>
        </w:tc>
      </w:tr>
      <w:tr>
        <w:trPr>
          <w:trHeight w:val="138"/>
        </w:trPr>
        <w:tc>
          <w:tcPr>
            <w:tcW w:w="3000" w:type="dxa"/>
            <w:vAlign w:val="bottom"/>
          </w:tcPr>
          <w:p>
            <w:pPr>
              <w:spacing w:after="0"/>
              <w:rPr>
                <w:sz w:val="12"/>
                <w:szCs w:val="12"/>
                <w:color w:val="auto"/>
              </w:rPr>
            </w:pPr>
          </w:p>
        </w:tc>
        <w:tc>
          <w:tcPr>
            <w:tcW w:w="5260" w:type="dxa"/>
            <w:vAlign w:val="bottom"/>
          </w:tcPr>
          <w:p>
            <w:pPr>
              <w:ind w:left="440"/>
              <w:spacing w:after="0" w:line="139" w:lineRule="exact"/>
              <w:rPr>
                <w:sz w:val="20"/>
                <w:szCs w:val="20"/>
                <w:color w:val="auto"/>
              </w:rPr>
            </w:pPr>
            <w:r>
              <w:rPr>
                <w:rFonts w:ascii="Times New Roman" w:cs="Times New Roman" w:eastAsia="Times New Roman" w:hAnsi="Times New Roman"/>
                <w:sz w:val="13"/>
                <w:szCs w:val="13"/>
                <w:color w:val="auto"/>
              </w:rPr>
              <w:t>Attention: Arthur Penn</w:t>
            </w:r>
          </w:p>
        </w:tc>
      </w:tr>
      <w:tr>
        <w:trPr>
          <w:trHeight w:val="151"/>
        </w:trPr>
        <w:tc>
          <w:tcPr>
            <w:tcW w:w="3000" w:type="dxa"/>
            <w:vAlign w:val="bottom"/>
          </w:tcPr>
          <w:p>
            <w:pPr>
              <w:spacing w:after="0"/>
              <w:rPr>
                <w:sz w:val="13"/>
                <w:szCs w:val="13"/>
                <w:color w:val="auto"/>
              </w:rPr>
            </w:pPr>
          </w:p>
        </w:tc>
        <w:tc>
          <w:tcPr>
            <w:tcW w:w="5260" w:type="dxa"/>
            <w:vAlign w:val="bottom"/>
          </w:tcPr>
          <w:p>
            <w:pPr>
              <w:ind w:left="440"/>
              <w:spacing w:after="0" w:line="150" w:lineRule="exact"/>
              <w:rPr>
                <w:sz w:val="20"/>
                <w:szCs w:val="20"/>
                <w:color w:val="auto"/>
              </w:rPr>
            </w:pPr>
            <w:r>
              <w:rPr>
                <w:rFonts w:ascii="Times New Roman" w:cs="Times New Roman" w:eastAsia="Times New Roman" w:hAnsi="Times New Roman"/>
                <w:sz w:val="13"/>
                <w:szCs w:val="13"/>
                <w:color w:val="auto"/>
              </w:rPr>
              <w:t>Telephone No.: (212) 905</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1010</w:t>
            </w:r>
          </w:p>
        </w:tc>
      </w:tr>
      <w:tr>
        <w:trPr>
          <w:trHeight w:val="164"/>
        </w:trPr>
        <w:tc>
          <w:tcPr>
            <w:tcW w:w="3000" w:type="dxa"/>
            <w:vAlign w:val="bottom"/>
          </w:tcPr>
          <w:p>
            <w:pPr>
              <w:spacing w:after="0"/>
              <w:rPr>
                <w:sz w:val="14"/>
                <w:szCs w:val="14"/>
                <w:color w:val="auto"/>
              </w:rPr>
            </w:pPr>
          </w:p>
        </w:tc>
        <w:tc>
          <w:tcPr>
            <w:tcW w:w="5260" w:type="dxa"/>
            <w:vAlign w:val="bottom"/>
          </w:tcPr>
          <w:p>
            <w:pPr>
              <w:ind w:left="440"/>
              <w:spacing w:after="0" w:line="150" w:lineRule="exact"/>
              <w:rPr>
                <w:sz w:val="20"/>
                <w:szCs w:val="20"/>
                <w:color w:val="auto"/>
              </w:rPr>
            </w:pPr>
            <w:r>
              <w:rPr>
                <w:rFonts w:ascii="Times New Roman" w:cs="Times New Roman" w:eastAsia="Times New Roman" w:hAnsi="Times New Roman"/>
                <w:sz w:val="13"/>
                <w:szCs w:val="13"/>
                <w:color w:val="auto"/>
              </w:rPr>
              <w:t>Facsimile No.: (212) 905</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1075</w:t>
            </w:r>
          </w:p>
        </w:tc>
      </w:tr>
      <w:tr>
        <w:trPr>
          <w:trHeight w:val="171"/>
        </w:trPr>
        <w:tc>
          <w:tcPr>
            <w:tcW w:w="300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Email: Penn@pennantpark.com</w:t>
            </w:r>
          </w:p>
        </w:tc>
      </w:tr>
      <w:tr>
        <w:trPr>
          <w:trHeight w:val="333"/>
        </w:trPr>
        <w:tc>
          <w:tcPr>
            <w:tcW w:w="3000" w:type="dxa"/>
            <w:vAlign w:val="bottom"/>
          </w:tcPr>
          <w:p>
            <w:pPr>
              <w:spacing w:after="0"/>
              <w:rPr>
                <w:sz w:val="24"/>
                <w:szCs w:val="24"/>
                <w:color w:val="auto"/>
              </w:rPr>
            </w:pPr>
          </w:p>
        </w:tc>
        <w:tc>
          <w:tcPr>
            <w:tcW w:w="52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and:</w:t>
            </w:r>
          </w:p>
        </w:tc>
      </w:tr>
      <w:tr>
        <w:trPr>
          <w:trHeight w:val="301"/>
        </w:trPr>
        <w:tc>
          <w:tcPr>
            <w:tcW w:w="3000" w:type="dxa"/>
            <w:vAlign w:val="bottom"/>
          </w:tcPr>
          <w:p>
            <w:pPr>
              <w:spacing w:after="0"/>
              <w:rPr>
                <w:sz w:val="24"/>
                <w:szCs w:val="24"/>
                <w:color w:val="auto"/>
              </w:rPr>
            </w:pPr>
          </w:p>
        </w:tc>
        <w:tc>
          <w:tcPr>
            <w:tcW w:w="52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Attention: Richard Cheung</w:t>
            </w:r>
          </w:p>
        </w:tc>
      </w:tr>
      <w:tr>
        <w:trPr>
          <w:trHeight w:val="151"/>
        </w:trPr>
        <w:tc>
          <w:tcPr>
            <w:tcW w:w="3000" w:type="dxa"/>
            <w:vAlign w:val="bottom"/>
          </w:tcPr>
          <w:p>
            <w:pPr>
              <w:spacing w:after="0"/>
              <w:rPr>
                <w:sz w:val="13"/>
                <w:szCs w:val="13"/>
                <w:color w:val="auto"/>
              </w:rPr>
            </w:pPr>
          </w:p>
        </w:tc>
        <w:tc>
          <w:tcPr>
            <w:tcW w:w="5260" w:type="dxa"/>
            <w:vAlign w:val="bottom"/>
          </w:tcPr>
          <w:p>
            <w:pPr>
              <w:ind w:left="440"/>
              <w:spacing w:after="0" w:line="150" w:lineRule="exact"/>
              <w:rPr>
                <w:sz w:val="20"/>
                <w:szCs w:val="20"/>
                <w:color w:val="auto"/>
              </w:rPr>
            </w:pPr>
            <w:r>
              <w:rPr>
                <w:rFonts w:ascii="Times New Roman" w:cs="Times New Roman" w:eastAsia="Times New Roman" w:hAnsi="Times New Roman"/>
                <w:sz w:val="13"/>
                <w:szCs w:val="13"/>
                <w:color w:val="auto"/>
              </w:rPr>
              <w:t>Phone: (212) 905</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1001</w:t>
            </w:r>
          </w:p>
        </w:tc>
      </w:tr>
      <w:tr>
        <w:trPr>
          <w:trHeight w:val="164"/>
        </w:trPr>
        <w:tc>
          <w:tcPr>
            <w:tcW w:w="3000" w:type="dxa"/>
            <w:vAlign w:val="bottom"/>
          </w:tcPr>
          <w:p>
            <w:pPr>
              <w:spacing w:after="0"/>
              <w:rPr>
                <w:sz w:val="14"/>
                <w:szCs w:val="14"/>
                <w:color w:val="auto"/>
              </w:rPr>
            </w:pPr>
          </w:p>
        </w:tc>
        <w:tc>
          <w:tcPr>
            <w:tcW w:w="5260" w:type="dxa"/>
            <w:vAlign w:val="bottom"/>
          </w:tcPr>
          <w:p>
            <w:pPr>
              <w:ind w:left="440"/>
              <w:spacing w:after="0" w:line="150" w:lineRule="exact"/>
              <w:rPr>
                <w:sz w:val="20"/>
                <w:szCs w:val="20"/>
                <w:color w:val="auto"/>
              </w:rPr>
            </w:pPr>
            <w:r>
              <w:rPr>
                <w:rFonts w:ascii="Times New Roman" w:cs="Times New Roman" w:eastAsia="Times New Roman" w:hAnsi="Times New Roman"/>
                <w:sz w:val="13"/>
                <w:szCs w:val="13"/>
                <w:color w:val="auto"/>
              </w:rPr>
              <w:t>Facsimile No.: (212) 905</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1075</w:t>
            </w:r>
          </w:p>
        </w:tc>
      </w:tr>
      <w:tr>
        <w:trPr>
          <w:trHeight w:val="171"/>
        </w:trPr>
        <w:tc>
          <w:tcPr>
            <w:tcW w:w="300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Email: cheung@pennantpark.com</w:t>
            </w:r>
          </w:p>
        </w:tc>
      </w:tr>
      <w:tr>
        <w:trPr>
          <w:trHeight w:val="263"/>
        </w:trPr>
        <w:tc>
          <w:tcPr>
            <w:tcW w:w="30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If to the Collateral Manager:</w:t>
            </w:r>
          </w:p>
        </w:tc>
        <w:tc>
          <w:tcPr>
            <w:tcW w:w="52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PennantPark Investment Advisers, LLC</w:t>
            </w:r>
          </w:p>
        </w:tc>
      </w:tr>
      <w:tr>
        <w:trPr>
          <w:trHeight w:val="172"/>
        </w:trPr>
        <w:tc>
          <w:tcPr>
            <w:tcW w:w="3000" w:type="dxa"/>
            <w:vAlign w:val="bottom"/>
          </w:tcPr>
          <w:p>
            <w:pPr>
              <w:spacing w:after="0"/>
              <w:rPr>
                <w:sz w:val="14"/>
                <w:szCs w:val="14"/>
                <w:color w:val="auto"/>
              </w:rPr>
            </w:pPr>
          </w:p>
        </w:tc>
        <w:tc>
          <w:tcPr>
            <w:tcW w:w="5260" w:type="dxa"/>
            <w:vAlign w:val="bottom"/>
          </w:tcPr>
          <w:p>
            <w:pPr>
              <w:ind w:left="440"/>
              <w:spacing w:after="0" w:line="172" w:lineRule="exact"/>
              <w:rPr>
                <w:sz w:val="20"/>
                <w:szCs w:val="20"/>
                <w:color w:val="auto"/>
              </w:rPr>
            </w:pPr>
            <w:r>
              <w:rPr>
                <w:rFonts w:ascii="Times New Roman" w:cs="Times New Roman" w:eastAsia="Times New Roman" w:hAnsi="Times New Roman"/>
                <w:sz w:val="13"/>
                <w:szCs w:val="13"/>
                <w:color w:val="auto"/>
              </w:rPr>
              <w:t>590 Madison Avenue, 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Floor</w:t>
            </w:r>
          </w:p>
        </w:tc>
      </w:tr>
      <w:tr>
        <w:trPr>
          <w:trHeight w:val="151"/>
        </w:trPr>
        <w:tc>
          <w:tcPr>
            <w:tcW w:w="3000" w:type="dxa"/>
            <w:vAlign w:val="bottom"/>
          </w:tcPr>
          <w:p>
            <w:pPr>
              <w:spacing w:after="0"/>
              <w:rPr>
                <w:sz w:val="13"/>
                <w:szCs w:val="13"/>
                <w:color w:val="auto"/>
              </w:rPr>
            </w:pPr>
          </w:p>
        </w:tc>
        <w:tc>
          <w:tcPr>
            <w:tcW w:w="52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New York, NY 10022</w:t>
            </w:r>
          </w:p>
        </w:tc>
      </w:tr>
      <w:tr>
        <w:trPr>
          <w:trHeight w:val="138"/>
        </w:trPr>
        <w:tc>
          <w:tcPr>
            <w:tcW w:w="3000" w:type="dxa"/>
            <w:vAlign w:val="bottom"/>
          </w:tcPr>
          <w:p>
            <w:pPr>
              <w:spacing w:after="0"/>
              <w:rPr>
                <w:sz w:val="12"/>
                <w:szCs w:val="12"/>
                <w:color w:val="auto"/>
              </w:rPr>
            </w:pPr>
          </w:p>
        </w:tc>
        <w:tc>
          <w:tcPr>
            <w:tcW w:w="5260" w:type="dxa"/>
            <w:vAlign w:val="bottom"/>
          </w:tcPr>
          <w:p>
            <w:pPr>
              <w:ind w:left="440"/>
              <w:spacing w:after="0" w:line="139" w:lineRule="exact"/>
              <w:rPr>
                <w:sz w:val="20"/>
                <w:szCs w:val="20"/>
                <w:color w:val="auto"/>
              </w:rPr>
            </w:pPr>
            <w:r>
              <w:rPr>
                <w:rFonts w:ascii="Times New Roman" w:cs="Times New Roman" w:eastAsia="Times New Roman" w:hAnsi="Times New Roman"/>
                <w:sz w:val="13"/>
                <w:szCs w:val="13"/>
                <w:color w:val="auto"/>
              </w:rPr>
              <w:t>Attention: Arthur Penn</w:t>
            </w:r>
          </w:p>
        </w:tc>
      </w:tr>
      <w:tr>
        <w:trPr>
          <w:trHeight w:val="151"/>
        </w:trPr>
        <w:tc>
          <w:tcPr>
            <w:tcW w:w="3000" w:type="dxa"/>
            <w:vAlign w:val="bottom"/>
          </w:tcPr>
          <w:p>
            <w:pPr>
              <w:spacing w:after="0"/>
              <w:rPr>
                <w:sz w:val="13"/>
                <w:szCs w:val="13"/>
                <w:color w:val="auto"/>
              </w:rPr>
            </w:pPr>
          </w:p>
        </w:tc>
        <w:tc>
          <w:tcPr>
            <w:tcW w:w="5260" w:type="dxa"/>
            <w:vAlign w:val="bottom"/>
          </w:tcPr>
          <w:p>
            <w:pPr>
              <w:ind w:left="440"/>
              <w:spacing w:after="0" w:line="150" w:lineRule="exact"/>
              <w:rPr>
                <w:sz w:val="20"/>
                <w:szCs w:val="20"/>
                <w:color w:val="auto"/>
              </w:rPr>
            </w:pPr>
            <w:r>
              <w:rPr>
                <w:rFonts w:ascii="Times New Roman" w:cs="Times New Roman" w:eastAsia="Times New Roman" w:hAnsi="Times New Roman"/>
                <w:sz w:val="13"/>
                <w:szCs w:val="13"/>
                <w:color w:val="auto"/>
              </w:rPr>
              <w:t>Telephone No.: (212) 905</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1010</w:t>
            </w:r>
          </w:p>
        </w:tc>
      </w:tr>
      <w:tr>
        <w:trPr>
          <w:trHeight w:val="164"/>
        </w:trPr>
        <w:tc>
          <w:tcPr>
            <w:tcW w:w="3000" w:type="dxa"/>
            <w:vAlign w:val="bottom"/>
          </w:tcPr>
          <w:p>
            <w:pPr>
              <w:spacing w:after="0"/>
              <w:rPr>
                <w:sz w:val="14"/>
                <w:szCs w:val="14"/>
                <w:color w:val="auto"/>
              </w:rPr>
            </w:pPr>
          </w:p>
        </w:tc>
        <w:tc>
          <w:tcPr>
            <w:tcW w:w="5260" w:type="dxa"/>
            <w:vAlign w:val="bottom"/>
          </w:tcPr>
          <w:p>
            <w:pPr>
              <w:ind w:left="440"/>
              <w:spacing w:after="0" w:line="150" w:lineRule="exact"/>
              <w:rPr>
                <w:sz w:val="20"/>
                <w:szCs w:val="20"/>
                <w:color w:val="auto"/>
              </w:rPr>
            </w:pPr>
            <w:r>
              <w:rPr>
                <w:rFonts w:ascii="Times New Roman" w:cs="Times New Roman" w:eastAsia="Times New Roman" w:hAnsi="Times New Roman"/>
                <w:sz w:val="13"/>
                <w:szCs w:val="13"/>
                <w:color w:val="auto"/>
              </w:rPr>
              <w:t>Facsimile No.: (212) 905</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1075</w:t>
            </w:r>
          </w:p>
        </w:tc>
      </w:tr>
      <w:tr>
        <w:trPr>
          <w:trHeight w:val="171"/>
        </w:trPr>
        <w:tc>
          <w:tcPr>
            <w:tcW w:w="300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Email: Penn@pennantpark.com</w:t>
            </w:r>
          </w:p>
        </w:tc>
      </w:tr>
      <w:tr>
        <w:trPr>
          <w:trHeight w:val="333"/>
        </w:trPr>
        <w:tc>
          <w:tcPr>
            <w:tcW w:w="3000" w:type="dxa"/>
            <w:vAlign w:val="bottom"/>
          </w:tcPr>
          <w:p>
            <w:pPr>
              <w:spacing w:after="0"/>
              <w:rPr>
                <w:sz w:val="24"/>
                <w:szCs w:val="24"/>
                <w:color w:val="auto"/>
              </w:rPr>
            </w:pPr>
          </w:p>
        </w:tc>
        <w:tc>
          <w:tcPr>
            <w:tcW w:w="52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and:</w:t>
            </w:r>
          </w:p>
        </w:tc>
      </w:tr>
      <w:tr>
        <w:trPr>
          <w:trHeight w:val="301"/>
        </w:trPr>
        <w:tc>
          <w:tcPr>
            <w:tcW w:w="3000" w:type="dxa"/>
            <w:vAlign w:val="bottom"/>
          </w:tcPr>
          <w:p>
            <w:pPr>
              <w:spacing w:after="0"/>
              <w:rPr>
                <w:sz w:val="24"/>
                <w:szCs w:val="24"/>
                <w:color w:val="auto"/>
              </w:rPr>
            </w:pPr>
          </w:p>
        </w:tc>
        <w:tc>
          <w:tcPr>
            <w:tcW w:w="52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Attention: Sal Giannetti III</w:t>
            </w:r>
          </w:p>
        </w:tc>
      </w:tr>
      <w:tr>
        <w:trPr>
          <w:trHeight w:val="151"/>
        </w:trPr>
        <w:tc>
          <w:tcPr>
            <w:tcW w:w="3000" w:type="dxa"/>
            <w:vAlign w:val="bottom"/>
          </w:tcPr>
          <w:p>
            <w:pPr>
              <w:spacing w:after="0"/>
              <w:rPr>
                <w:sz w:val="13"/>
                <w:szCs w:val="13"/>
                <w:color w:val="auto"/>
              </w:rPr>
            </w:pPr>
          </w:p>
        </w:tc>
        <w:tc>
          <w:tcPr>
            <w:tcW w:w="5260" w:type="dxa"/>
            <w:vAlign w:val="bottom"/>
          </w:tcPr>
          <w:p>
            <w:pPr>
              <w:ind w:left="440"/>
              <w:spacing w:after="0" w:line="150" w:lineRule="exact"/>
              <w:rPr>
                <w:sz w:val="20"/>
                <w:szCs w:val="20"/>
                <w:color w:val="auto"/>
              </w:rPr>
            </w:pPr>
            <w:r>
              <w:rPr>
                <w:rFonts w:ascii="Times New Roman" w:cs="Times New Roman" w:eastAsia="Times New Roman" w:hAnsi="Times New Roman"/>
                <w:sz w:val="13"/>
                <w:szCs w:val="13"/>
                <w:color w:val="auto"/>
              </w:rPr>
              <w:t>Phone: (212) 905</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1050</w:t>
            </w:r>
          </w:p>
        </w:tc>
      </w:tr>
      <w:tr>
        <w:trPr>
          <w:trHeight w:val="164"/>
        </w:trPr>
        <w:tc>
          <w:tcPr>
            <w:tcW w:w="3000" w:type="dxa"/>
            <w:vAlign w:val="bottom"/>
          </w:tcPr>
          <w:p>
            <w:pPr>
              <w:spacing w:after="0"/>
              <w:rPr>
                <w:sz w:val="14"/>
                <w:szCs w:val="14"/>
                <w:color w:val="auto"/>
              </w:rPr>
            </w:pPr>
          </w:p>
        </w:tc>
        <w:tc>
          <w:tcPr>
            <w:tcW w:w="5260" w:type="dxa"/>
            <w:vAlign w:val="bottom"/>
          </w:tcPr>
          <w:p>
            <w:pPr>
              <w:ind w:left="440"/>
              <w:spacing w:after="0" w:line="150" w:lineRule="exact"/>
              <w:rPr>
                <w:sz w:val="20"/>
                <w:szCs w:val="20"/>
                <w:color w:val="auto"/>
              </w:rPr>
            </w:pPr>
            <w:r>
              <w:rPr>
                <w:rFonts w:ascii="Times New Roman" w:cs="Times New Roman" w:eastAsia="Times New Roman" w:hAnsi="Times New Roman"/>
                <w:sz w:val="13"/>
                <w:szCs w:val="13"/>
                <w:color w:val="auto"/>
              </w:rPr>
              <w:t>Facsimile No.: (212) 905</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1075</w:t>
            </w:r>
          </w:p>
        </w:tc>
      </w:tr>
      <w:tr>
        <w:trPr>
          <w:trHeight w:val="171"/>
        </w:trPr>
        <w:tc>
          <w:tcPr>
            <w:tcW w:w="300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Email: Giannetti@pennantpark.com</w:t>
            </w:r>
          </w:p>
        </w:tc>
      </w:tr>
      <w:tr>
        <w:trPr>
          <w:trHeight w:val="1050"/>
        </w:trPr>
        <w:tc>
          <w:tcPr>
            <w:tcW w:w="3000" w:type="dxa"/>
            <w:vAlign w:val="bottom"/>
            <w:tcBorders>
              <w:bottom w:val="single" w:sz="8" w:color="EEEEEE"/>
            </w:tcBorders>
          </w:tcPr>
          <w:p>
            <w:pPr>
              <w:spacing w:after="0"/>
              <w:rPr>
                <w:sz w:val="24"/>
                <w:szCs w:val="24"/>
                <w:color w:val="auto"/>
              </w:rPr>
            </w:pPr>
          </w:p>
        </w:tc>
        <w:tc>
          <w:tcPr>
            <w:tcW w:w="52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-24765</wp:posOffset>
            </wp:positionV>
            <wp:extent cx="526605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02" w:name="page303"/>
    <w:bookmarkEnd w:id="302"/>
    <w:p>
      <w:pPr>
        <w:spacing w:after="0" w:line="88"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3060" w:type="dxa"/>
            <w:vAlign w:val="bottom"/>
          </w:tcPr>
          <w:p>
            <w:pPr>
              <w:spacing w:after="0"/>
              <w:rPr>
                <w:sz w:val="18"/>
                <w:szCs w:val="18"/>
                <w:color w:val="auto"/>
              </w:rPr>
            </w:pPr>
          </w:p>
        </w:tc>
        <w:tc>
          <w:tcPr>
            <w:tcW w:w="52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Schedule 7</w:t>
            </w:r>
          </w:p>
        </w:tc>
      </w:tr>
      <w:tr>
        <w:trPr>
          <w:trHeight w:val="434"/>
        </w:trPr>
        <w:tc>
          <w:tcPr>
            <w:tcW w:w="3060" w:type="dxa"/>
            <w:vAlign w:val="bottom"/>
          </w:tcPr>
          <w:p>
            <w:pPr>
              <w:spacing w:after="0"/>
              <w:rPr>
                <w:sz w:val="24"/>
                <w:szCs w:val="24"/>
                <w:color w:val="auto"/>
              </w:rPr>
            </w:pPr>
          </w:p>
        </w:tc>
        <w:tc>
          <w:tcPr>
            <w:tcW w:w="52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Covered Account Details</w:t>
            </w:r>
          </w:p>
        </w:tc>
      </w:tr>
      <w:tr>
        <w:trPr>
          <w:trHeight w:val="541"/>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Collection Account</w:t>
            </w:r>
          </w:p>
        </w:tc>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Bank National Association, Account Number</w:t>
            </w:r>
          </w:p>
        </w:tc>
      </w:tr>
      <w:tr>
        <w:trPr>
          <w:trHeight w:val="232"/>
        </w:trPr>
        <w:tc>
          <w:tcPr>
            <w:tcW w:w="3060" w:type="dxa"/>
            <w:vAlign w:val="bottom"/>
          </w:tcPr>
          <w:p>
            <w:pPr>
              <w:spacing w:after="0"/>
              <w:rPr>
                <w:sz w:val="20"/>
                <w:szCs w:val="20"/>
                <w:color w:val="auto"/>
              </w:rPr>
            </w:pP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148599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201</w:t>
            </w:r>
          </w:p>
        </w:tc>
      </w:tr>
      <w:tr>
        <w:trPr>
          <w:trHeight w:val="333"/>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Interest Collection</w:t>
            </w:r>
          </w:p>
        </w:tc>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Bank National Association, Account Number</w:t>
            </w:r>
          </w:p>
        </w:tc>
      </w:tr>
      <w:tr>
        <w:trPr>
          <w:trHeight w:val="232"/>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Subaccount (Dollars)</w:t>
            </w: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148599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202</w:t>
            </w:r>
          </w:p>
        </w:tc>
      </w:tr>
      <w:tr>
        <w:trPr>
          <w:trHeight w:val="333"/>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Principal Collection</w:t>
            </w:r>
          </w:p>
        </w:tc>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Bank National Association, Account Number</w:t>
            </w:r>
          </w:p>
        </w:tc>
      </w:tr>
      <w:tr>
        <w:trPr>
          <w:trHeight w:val="232"/>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Subaccount (Dollars)</w:t>
            </w: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148599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203</w:t>
            </w:r>
          </w:p>
        </w:tc>
      </w:tr>
      <w:tr>
        <w:trPr>
          <w:trHeight w:val="333"/>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Payment Account (Dollars)</w:t>
            </w:r>
          </w:p>
        </w:tc>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Bank National Association, Account Number</w:t>
            </w:r>
          </w:p>
        </w:tc>
      </w:tr>
      <w:tr>
        <w:trPr>
          <w:trHeight w:val="232"/>
        </w:trPr>
        <w:tc>
          <w:tcPr>
            <w:tcW w:w="3060" w:type="dxa"/>
            <w:vAlign w:val="bottom"/>
          </w:tcPr>
          <w:p>
            <w:pPr>
              <w:spacing w:after="0"/>
              <w:rPr>
                <w:sz w:val="20"/>
                <w:szCs w:val="20"/>
                <w:color w:val="auto"/>
              </w:rPr>
            </w:pP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148599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200</w:t>
            </w:r>
          </w:p>
        </w:tc>
      </w:tr>
      <w:tr>
        <w:trPr>
          <w:trHeight w:val="333"/>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Interest Collection</w:t>
            </w:r>
          </w:p>
        </w:tc>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Bank National Association, Account Number</w:t>
            </w:r>
          </w:p>
        </w:tc>
      </w:tr>
      <w:tr>
        <w:trPr>
          <w:trHeight w:val="208"/>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Subaccount (Canadian</w:t>
            </w: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148599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206</w:t>
            </w:r>
          </w:p>
        </w:tc>
      </w:tr>
      <w:tr>
        <w:trPr>
          <w:trHeight w:val="210"/>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Dollars)</w:t>
            </w:r>
          </w:p>
        </w:tc>
        <w:tc>
          <w:tcPr>
            <w:tcW w:w="5200" w:type="dxa"/>
            <w:vAlign w:val="bottom"/>
          </w:tcPr>
          <w:p>
            <w:pPr>
              <w:spacing w:after="0"/>
              <w:rPr>
                <w:sz w:val="18"/>
                <w:szCs w:val="18"/>
                <w:color w:val="auto"/>
              </w:rPr>
            </w:pPr>
          </w:p>
        </w:tc>
      </w:tr>
      <w:tr>
        <w:trPr>
          <w:trHeight w:val="339"/>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Principal Collection</w:t>
            </w:r>
          </w:p>
        </w:tc>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Bank National Association, Account Number</w:t>
            </w:r>
          </w:p>
        </w:tc>
      </w:tr>
      <w:tr>
        <w:trPr>
          <w:trHeight w:val="208"/>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Subaccount (Canadian</w:t>
            </w: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148599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207</w:t>
            </w:r>
          </w:p>
        </w:tc>
      </w:tr>
      <w:tr>
        <w:trPr>
          <w:trHeight w:val="210"/>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Dollars)</w:t>
            </w:r>
          </w:p>
        </w:tc>
        <w:tc>
          <w:tcPr>
            <w:tcW w:w="5200" w:type="dxa"/>
            <w:vAlign w:val="bottom"/>
          </w:tcPr>
          <w:p>
            <w:pPr>
              <w:spacing w:after="0"/>
              <w:rPr>
                <w:sz w:val="18"/>
                <w:szCs w:val="18"/>
                <w:color w:val="auto"/>
              </w:rPr>
            </w:pPr>
          </w:p>
        </w:tc>
      </w:tr>
      <w:tr>
        <w:trPr>
          <w:trHeight w:val="339"/>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Payment Account (Canadian</w:t>
            </w:r>
          </w:p>
        </w:tc>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Bank National Association, Account Number</w:t>
            </w:r>
          </w:p>
        </w:tc>
      </w:tr>
      <w:tr>
        <w:trPr>
          <w:trHeight w:val="232"/>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Dollars)</w:t>
            </w: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148599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205</w:t>
            </w:r>
          </w:p>
        </w:tc>
      </w:tr>
      <w:tr>
        <w:trPr>
          <w:trHeight w:val="333"/>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Interest Collection</w:t>
            </w:r>
          </w:p>
        </w:tc>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Bank National Association, Account Number</w:t>
            </w:r>
          </w:p>
        </w:tc>
      </w:tr>
      <w:tr>
        <w:trPr>
          <w:trHeight w:val="232"/>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Subaccount (Pounds Sterling)</w:t>
            </w: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148599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215</w:t>
            </w:r>
          </w:p>
        </w:tc>
      </w:tr>
      <w:tr>
        <w:trPr>
          <w:trHeight w:val="333"/>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Principal Collection</w:t>
            </w:r>
          </w:p>
        </w:tc>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Bank National Association, Account Number</w:t>
            </w:r>
          </w:p>
        </w:tc>
      </w:tr>
      <w:tr>
        <w:trPr>
          <w:trHeight w:val="232"/>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Subaccount (Pounds Sterling)</w:t>
            </w: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148599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216</w:t>
            </w:r>
          </w:p>
        </w:tc>
      </w:tr>
      <w:tr>
        <w:trPr>
          <w:trHeight w:val="333"/>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Payment Account (Pounds</w:t>
            </w:r>
          </w:p>
        </w:tc>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Bank National Association, Account Number</w:t>
            </w:r>
          </w:p>
        </w:tc>
      </w:tr>
      <w:tr>
        <w:trPr>
          <w:trHeight w:val="232"/>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Sterling)</w:t>
            </w: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148599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214</w:t>
            </w:r>
          </w:p>
        </w:tc>
      </w:tr>
      <w:tr>
        <w:trPr>
          <w:trHeight w:val="333"/>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Interest Collection</w:t>
            </w:r>
          </w:p>
        </w:tc>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Bank National Association, Account Number</w:t>
            </w:r>
          </w:p>
        </w:tc>
      </w:tr>
      <w:tr>
        <w:trPr>
          <w:trHeight w:val="232"/>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Subaccount (Euros)</w:t>
            </w: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148599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212</w:t>
            </w:r>
          </w:p>
        </w:tc>
      </w:tr>
      <w:tr>
        <w:trPr>
          <w:trHeight w:val="333"/>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Principal Collection</w:t>
            </w:r>
          </w:p>
        </w:tc>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Bank National Association, Account Number</w:t>
            </w:r>
          </w:p>
        </w:tc>
      </w:tr>
      <w:tr>
        <w:trPr>
          <w:trHeight w:val="232"/>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Subaccount (Euros)</w:t>
            </w: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148599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213</w:t>
            </w:r>
          </w:p>
        </w:tc>
      </w:tr>
      <w:tr>
        <w:trPr>
          <w:trHeight w:val="333"/>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Payment Account (Euros)</w:t>
            </w:r>
          </w:p>
        </w:tc>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Bank National Association, Account Number</w:t>
            </w:r>
          </w:p>
        </w:tc>
      </w:tr>
      <w:tr>
        <w:trPr>
          <w:trHeight w:val="232"/>
        </w:trPr>
        <w:tc>
          <w:tcPr>
            <w:tcW w:w="3060" w:type="dxa"/>
            <w:vAlign w:val="bottom"/>
          </w:tcPr>
          <w:p>
            <w:pPr>
              <w:spacing w:after="0"/>
              <w:rPr>
                <w:sz w:val="20"/>
                <w:szCs w:val="20"/>
                <w:color w:val="auto"/>
              </w:rPr>
            </w:pP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148599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211</w:t>
            </w:r>
          </w:p>
        </w:tc>
      </w:tr>
      <w:tr>
        <w:trPr>
          <w:trHeight w:val="1046"/>
        </w:trPr>
        <w:tc>
          <w:tcPr>
            <w:tcW w:w="3060" w:type="dxa"/>
            <w:vAlign w:val="bottom"/>
            <w:tcBorders>
              <w:bottom w:val="single" w:sz="8" w:color="EEEEEE"/>
            </w:tcBorders>
          </w:tcPr>
          <w:p>
            <w:pPr>
              <w:spacing w:after="0"/>
              <w:rPr>
                <w:sz w:val="24"/>
                <w:szCs w:val="24"/>
                <w:color w:val="auto"/>
              </w:rPr>
            </w:pPr>
          </w:p>
        </w:tc>
        <w:tc>
          <w:tcPr>
            <w:tcW w:w="52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-24765</wp:posOffset>
            </wp:positionV>
            <wp:extent cx="526605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03" w:name="page304"/>
    <w:bookmarkEnd w:id="303"/>
    <w:p>
      <w:pPr>
        <w:spacing w:after="0" w:line="282"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Interest Collection</w:t>
            </w:r>
          </w:p>
        </w:tc>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Bank National Association, Account Number</w:t>
            </w:r>
          </w:p>
        </w:tc>
      </w:tr>
      <w:tr>
        <w:trPr>
          <w:trHeight w:val="208"/>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Subaccount (Australian</w:t>
            </w: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148599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209</w:t>
            </w:r>
          </w:p>
        </w:tc>
      </w:tr>
      <w:tr>
        <w:trPr>
          <w:trHeight w:val="210"/>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Dollars)</w:t>
            </w:r>
          </w:p>
        </w:tc>
        <w:tc>
          <w:tcPr>
            <w:tcW w:w="5200" w:type="dxa"/>
            <w:vAlign w:val="bottom"/>
          </w:tcPr>
          <w:p>
            <w:pPr>
              <w:spacing w:after="0"/>
              <w:rPr>
                <w:sz w:val="18"/>
                <w:szCs w:val="18"/>
                <w:color w:val="auto"/>
              </w:rPr>
            </w:pPr>
          </w:p>
        </w:tc>
      </w:tr>
      <w:tr>
        <w:trPr>
          <w:trHeight w:val="339"/>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Principal Collection</w:t>
            </w:r>
          </w:p>
        </w:tc>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Bank National Association, Account Number</w:t>
            </w:r>
          </w:p>
        </w:tc>
      </w:tr>
      <w:tr>
        <w:trPr>
          <w:trHeight w:val="208"/>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Subaccount (Australian</w:t>
            </w: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148599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210</w:t>
            </w:r>
          </w:p>
        </w:tc>
      </w:tr>
      <w:tr>
        <w:trPr>
          <w:trHeight w:val="210"/>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Dollars)</w:t>
            </w:r>
          </w:p>
        </w:tc>
        <w:tc>
          <w:tcPr>
            <w:tcW w:w="5200" w:type="dxa"/>
            <w:vAlign w:val="bottom"/>
          </w:tcPr>
          <w:p>
            <w:pPr>
              <w:spacing w:after="0"/>
              <w:rPr>
                <w:sz w:val="18"/>
                <w:szCs w:val="18"/>
                <w:color w:val="auto"/>
              </w:rPr>
            </w:pPr>
          </w:p>
        </w:tc>
      </w:tr>
      <w:tr>
        <w:trPr>
          <w:trHeight w:val="339"/>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Payment Account (Australian</w:t>
            </w:r>
          </w:p>
        </w:tc>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Bank National Association, Account Number</w:t>
            </w:r>
          </w:p>
        </w:tc>
      </w:tr>
      <w:tr>
        <w:trPr>
          <w:trHeight w:val="232"/>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Dollars)</w:t>
            </w: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148599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208</w:t>
            </w:r>
          </w:p>
        </w:tc>
      </w:tr>
      <w:tr>
        <w:trPr>
          <w:trHeight w:val="333"/>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Revolving Reserve Account</w:t>
            </w:r>
          </w:p>
        </w:tc>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Bank National Association, Account Number</w:t>
            </w:r>
          </w:p>
        </w:tc>
      </w:tr>
      <w:tr>
        <w:trPr>
          <w:trHeight w:val="232"/>
        </w:trPr>
        <w:tc>
          <w:tcPr>
            <w:tcW w:w="3060" w:type="dxa"/>
            <w:vAlign w:val="bottom"/>
          </w:tcPr>
          <w:p>
            <w:pPr>
              <w:spacing w:after="0"/>
              <w:rPr>
                <w:sz w:val="20"/>
                <w:szCs w:val="20"/>
                <w:color w:val="auto"/>
              </w:rPr>
            </w:pP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148599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100</w:t>
            </w:r>
          </w:p>
        </w:tc>
      </w:tr>
      <w:tr>
        <w:trPr>
          <w:trHeight w:val="333"/>
        </w:trPr>
        <w:tc>
          <w:tcPr>
            <w:tcW w:w="30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Custodial Account</w:t>
            </w:r>
          </w:p>
        </w:tc>
        <w:tc>
          <w:tcPr>
            <w:tcW w:w="5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 Bank National Association, Account Number</w:t>
            </w:r>
          </w:p>
        </w:tc>
      </w:tr>
      <w:tr>
        <w:trPr>
          <w:trHeight w:val="232"/>
        </w:trPr>
        <w:tc>
          <w:tcPr>
            <w:tcW w:w="3060" w:type="dxa"/>
            <w:vAlign w:val="bottom"/>
          </w:tcPr>
          <w:p>
            <w:pPr>
              <w:spacing w:after="0"/>
              <w:rPr>
                <w:sz w:val="20"/>
                <w:szCs w:val="20"/>
                <w:color w:val="auto"/>
              </w:rPr>
            </w:pP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148599</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700</w:t>
            </w:r>
          </w:p>
        </w:tc>
      </w:tr>
      <w:tr>
        <w:trPr>
          <w:trHeight w:val="1570"/>
        </w:trPr>
        <w:tc>
          <w:tcPr>
            <w:tcW w:w="3060" w:type="dxa"/>
            <w:vAlign w:val="bottom"/>
            <w:tcBorders>
              <w:bottom w:val="single" w:sz="8" w:color="EEEEEE"/>
            </w:tcBorders>
          </w:tcPr>
          <w:p>
            <w:pPr>
              <w:spacing w:after="0"/>
              <w:rPr>
                <w:sz w:val="24"/>
                <w:szCs w:val="24"/>
                <w:color w:val="auto"/>
              </w:rPr>
            </w:pPr>
          </w:p>
        </w:tc>
        <w:tc>
          <w:tcPr>
            <w:tcW w:w="52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-24765</wp:posOffset>
            </wp:positionV>
            <wp:extent cx="526605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04" w:name="page305"/>
    <w:bookmarkEnd w:id="304"/>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A</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Excess Interest Proceeds Estimate]</w:t>
      </w:r>
    </w:p>
    <w:p>
      <w:pPr>
        <w:spacing w:after="0" w:line="19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color w:val="auto"/>
        </w:rPr>
        <w:t>Excess Interest Proceeds Amount: $_________________</w:t>
      </w:r>
    </w:p>
    <w:p>
      <w:pPr>
        <w:spacing w:after="0" w:line="183"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4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Report Date: _________, 201__ Next Payment Date: _________, 201__</w:t>
            </w:r>
          </w:p>
        </w:tc>
        <w:tc>
          <w:tcPr>
            <w:tcW w:w="2040" w:type="dxa"/>
            <w:vAlign w:val="bottom"/>
          </w:tcPr>
          <w:p>
            <w:pPr>
              <w:spacing w:after="0"/>
              <w:rPr>
                <w:sz w:val="14"/>
                <w:szCs w:val="14"/>
                <w:color w:val="auto"/>
              </w:rPr>
            </w:pPr>
          </w:p>
        </w:tc>
      </w:tr>
      <w:tr>
        <w:trPr>
          <w:trHeight w:val="354"/>
        </w:trPr>
        <w:tc>
          <w:tcPr>
            <w:tcW w:w="41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(A) Dollar Equivalent of Interest Proceeds on deposit in the Interest</w:t>
            </w:r>
          </w:p>
        </w:tc>
        <w:tc>
          <w:tcPr>
            <w:tcW w:w="2040" w:type="dxa"/>
            <w:vAlign w:val="bottom"/>
          </w:tcPr>
          <w:p>
            <w:pPr>
              <w:jc w:val="center"/>
              <w:ind w:right="794"/>
              <w:spacing w:after="0"/>
              <w:rPr>
                <w:sz w:val="20"/>
                <w:szCs w:val="20"/>
                <w:color w:val="auto"/>
              </w:rPr>
            </w:pPr>
            <w:r>
              <w:rPr>
                <w:rFonts w:ascii="Times New Roman" w:cs="Times New Roman" w:eastAsia="Times New Roman" w:hAnsi="Times New Roman"/>
                <w:sz w:val="13"/>
                <w:szCs w:val="13"/>
                <w:color w:val="auto"/>
                <w:w w:val="99"/>
              </w:rPr>
              <w:t>____________</w:t>
            </w:r>
          </w:p>
        </w:tc>
      </w:tr>
      <w:tr>
        <w:trPr>
          <w:trHeight w:val="171"/>
        </w:trPr>
        <w:tc>
          <w:tcPr>
            <w:tcW w:w="412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Collection Account</w:t>
            </w:r>
          </w:p>
        </w:tc>
        <w:tc>
          <w:tcPr>
            <w:tcW w:w="2040" w:type="dxa"/>
            <w:vAlign w:val="bottom"/>
          </w:tcPr>
          <w:p>
            <w:pPr>
              <w:spacing w:after="0"/>
              <w:rPr>
                <w:sz w:val="14"/>
                <w:szCs w:val="14"/>
                <w:color w:val="auto"/>
              </w:rPr>
            </w:pPr>
          </w:p>
        </w:tc>
      </w:tr>
      <w:tr>
        <w:trPr>
          <w:trHeight w:val="192"/>
        </w:trPr>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Dollar Equivalent of the Estimated Fees, Interest and Expenses</w:t>
            </w:r>
          </w:p>
        </w:tc>
        <w:tc>
          <w:tcPr>
            <w:tcW w:w="2040" w:type="dxa"/>
            <w:vAlign w:val="bottom"/>
          </w:tcPr>
          <w:p>
            <w:pPr>
              <w:spacing w:after="0"/>
              <w:rPr>
                <w:sz w:val="16"/>
                <w:szCs w:val="16"/>
                <w:color w:val="auto"/>
              </w:rPr>
            </w:pPr>
          </w:p>
        </w:tc>
      </w:tr>
      <w:tr>
        <w:trPr>
          <w:trHeight w:val="192"/>
        </w:trPr>
        <w:tc>
          <w:tcPr>
            <w:tcW w:w="48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2"/>
              </w:rPr>
              <w:t>(1)</w:t>
            </w:r>
          </w:p>
        </w:tc>
        <w:tc>
          <w:tcPr>
            <w:tcW w:w="3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Out of Pocket Expenses of the Collateral Agent:</w:t>
            </w:r>
          </w:p>
        </w:tc>
        <w:tc>
          <w:tcPr>
            <w:tcW w:w="2040" w:type="dxa"/>
            <w:vAlign w:val="bottom"/>
          </w:tcPr>
          <w:p>
            <w:pPr>
              <w:jc w:val="center"/>
              <w:ind w:right="794"/>
              <w:spacing w:after="0"/>
              <w:rPr>
                <w:sz w:val="20"/>
                <w:szCs w:val="20"/>
                <w:color w:val="auto"/>
              </w:rPr>
            </w:pPr>
            <w:r>
              <w:rPr>
                <w:rFonts w:ascii="Times New Roman" w:cs="Times New Roman" w:eastAsia="Times New Roman" w:hAnsi="Times New Roman"/>
                <w:sz w:val="13"/>
                <w:szCs w:val="13"/>
                <w:color w:val="auto"/>
                <w:w w:val="99"/>
              </w:rPr>
              <w:t>____________</w:t>
            </w:r>
          </w:p>
        </w:tc>
      </w:tr>
      <w:tr>
        <w:trPr>
          <w:trHeight w:val="192"/>
        </w:trPr>
        <w:tc>
          <w:tcPr>
            <w:tcW w:w="48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2"/>
              </w:rPr>
              <w:t>(2)</w:t>
            </w:r>
          </w:p>
        </w:tc>
        <w:tc>
          <w:tcPr>
            <w:tcW w:w="3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Administrative Expenses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____________</w:t>
            </w:r>
          </w:p>
        </w:tc>
      </w:tr>
      <w:tr>
        <w:trPr>
          <w:trHeight w:val="192"/>
        </w:trPr>
        <w:tc>
          <w:tcPr>
            <w:tcW w:w="480" w:type="dxa"/>
            <w:vAlign w:val="bottom"/>
          </w:tcPr>
          <w:p>
            <w:pPr>
              <w:spacing w:after="0"/>
              <w:rPr>
                <w:sz w:val="16"/>
                <w:szCs w:val="16"/>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 Collateral Agent Fees and Expenses: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____________</w:t>
            </w:r>
          </w:p>
        </w:tc>
      </w:tr>
      <w:tr>
        <w:trPr>
          <w:trHeight w:val="192"/>
        </w:trPr>
        <w:tc>
          <w:tcPr>
            <w:tcW w:w="480" w:type="dxa"/>
            <w:vAlign w:val="bottom"/>
          </w:tcPr>
          <w:p>
            <w:pPr>
              <w:spacing w:after="0"/>
              <w:rPr>
                <w:sz w:val="16"/>
                <w:szCs w:val="16"/>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 Collateral Administrator Fees and Expenses: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____________</w:t>
            </w:r>
          </w:p>
        </w:tc>
      </w:tr>
      <w:tr>
        <w:trPr>
          <w:trHeight w:val="192"/>
        </w:trPr>
        <w:tc>
          <w:tcPr>
            <w:tcW w:w="480" w:type="dxa"/>
            <w:vAlign w:val="bottom"/>
          </w:tcPr>
          <w:p>
            <w:pPr>
              <w:spacing w:after="0"/>
              <w:rPr>
                <w:sz w:val="16"/>
                <w:szCs w:val="16"/>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 Backup Collateral Manager Fees and Expenses: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____________</w:t>
            </w:r>
          </w:p>
        </w:tc>
      </w:tr>
      <w:tr>
        <w:trPr>
          <w:trHeight w:val="192"/>
        </w:trPr>
        <w:tc>
          <w:tcPr>
            <w:tcW w:w="480" w:type="dxa"/>
            <w:vAlign w:val="bottom"/>
          </w:tcPr>
          <w:p>
            <w:pPr>
              <w:spacing w:after="0"/>
              <w:rPr>
                <w:sz w:val="16"/>
                <w:szCs w:val="16"/>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 Securities Intermediary Fees and Expenses: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____________</w:t>
            </w:r>
          </w:p>
        </w:tc>
      </w:tr>
      <w:tr>
        <w:trPr>
          <w:trHeight w:val="192"/>
        </w:trPr>
        <w:tc>
          <w:tcPr>
            <w:tcW w:w="480" w:type="dxa"/>
            <w:vAlign w:val="bottom"/>
          </w:tcPr>
          <w:p>
            <w:pPr>
              <w:spacing w:after="0"/>
              <w:rPr>
                <w:sz w:val="16"/>
                <w:szCs w:val="16"/>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 Document Custodian Fees and Expenses: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____________</w:t>
            </w:r>
          </w:p>
        </w:tc>
      </w:tr>
      <w:tr>
        <w:trPr>
          <w:trHeight w:val="192"/>
        </w:trPr>
        <w:tc>
          <w:tcPr>
            <w:tcW w:w="480" w:type="dxa"/>
            <w:vAlign w:val="bottom"/>
          </w:tcPr>
          <w:p>
            <w:pPr>
              <w:spacing w:after="0"/>
              <w:rPr>
                <w:sz w:val="16"/>
                <w:szCs w:val="16"/>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 Fees and accrued expenses of Administrative Agent:</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____________</w:t>
            </w:r>
          </w:p>
        </w:tc>
      </w:tr>
      <w:tr>
        <w:trPr>
          <w:trHeight w:val="192"/>
        </w:trPr>
        <w:tc>
          <w:tcPr>
            <w:tcW w:w="480" w:type="dxa"/>
            <w:vAlign w:val="bottom"/>
          </w:tcPr>
          <w:p>
            <w:pPr>
              <w:spacing w:after="0"/>
              <w:rPr>
                <w:sz w:val="16"/>
                <w:szCs w:val="16"/>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 Expenses (and indemnities) incurred by Collateral Manager:</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____________</w:t>
            </w:r>
          </w:p>
        </w:tc>
      </w:tr>
      <w:tr>
        <w:trPr>
          <w:trHeight w:val="172"/>
        </w:trPr>
        <w:tc>
          <w:tcPr>
            <w:tcW w:w="480" w:type="dxa"/>
            <w:vAlign w:val="bottom"/>
          </w:tcPr>
          <w:p>
            <w:pPr>
              <w:spacing w:after="0"/>
              <w:rPr>
                <w:sz w:val="14"/>
                <w:szCs w:val="14"/>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(h) Fees and expenses of Independent Accountants, agents and</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____________</w:t>
            </w:r>
          </w:p>
        </w:tc>
      </w:tr>
      <w:tr>
        <w:trPr>
          <w:trHeight w:val="171"/>
        </w:trPr>
        <w:tc>
          <w:tcPr>
            <w:tcW w:w="480" w:type="dxa"/>
            <w:vAlign w:val="bottom"/>
          </w:tcPr>
          <w:p>
            <w:pPr>
              <w:spacing w:after="0"/>
              <w:rPr>
                <w:sz w:val="14"/>
                <w:szCs w:val="14"/>
                <w:color w:val="auto"/>
              </w:rPr>
            </w:pPr>
          </w:p>
        </w:tc>
        <w:tc>
          <w:tcPr>
            <w:tcW w:w="36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counsel:</w:t>
            </w:r>
          </w:p>
        </w:tc>
        <w:tc>
          <w:tcPr>
            <w:tcW w:w="2040" w:type="dxa"/>
            <w:vAlign w:val="bottom"/>
          </w:tcPr>
          <w:p>
            <w:pPr>
              <w:spacing w:after="0"/>
              <w:rPr>
                <w:sz w:val="14"/>
                <w:szCs w:val="14"/>
                <w:color w:val="auto"/>
              </w:rPr>
            </w:pPr>
          </w:p>
        </w:tc>
      </w:tr>
      <w:tr>
        <w:trPr>
          <w:trHeight w:val="192"/>
        </w:trPr>
        <w:tc>
          <w:tcPr>
            <w:tcW w:w="480" w:type="dxa"/>
            <w:vAlign w:val="bottom"/>
          </w:tcPr>
          <w:p>
            <w:pPr>
              <w:spacing w:after="0"/>
              <w:rPr>
                <w:sz w:val="16"/>
                <w:szCs w:val="16"/>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 Fees and expenses of Rating Agencies :</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____________</w:t>
            </w:r>
          </w:p>
        </w:tc>
      </w:tr>
      <w:tr>
        <w:trPr>
          <w:trHeight w:val="192"/>
        </w:trPr>
        <w:tc>
          <w:tcPr>
            <w:tcW w:w="480" w:type="dxa"/>
            <w:vAlign w:val="bottom"/>
          </w:tcPr>
          <w:p>
            <w:pPr>
              <w:spacing w:after="0"/>
              <w:rPr>
                <w:sz w:val="16"/>
                <w:szCs w:val="16"/>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 Expenses incurred by any other Person :</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____________</w:t>
            </w:r>
          </w:p>
        </w:tc>
      </w:tr>
      <w:tr>
        <w:trPr>
          <w:trHeight w:val="192"/>
        </w:trPr>
        <w:tc>
          <w:tcPr>
            <w:tcW w:w="480" w:type="dxa"/>
            <w:vAlign w:val="bottom"/>
          </w:tcPr>
          <w:p>
            <w:pPr>
              <w:spacing w:after="0"/>
              <w:rPr>
                <w:sz w:val="16"/>
                <w:szCs w:val="16"/>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(k) Expenses incurred by Lenders and Agents :</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____________</w:t>
            </w:r>
          </w:p>
        </w:tc>
      </w:tr>
      <w:tr>
        <w:trPr>
          <w:trHeight w:val="192"/>
        </w:trPr>
        <w:tc>
          <w:tcPr>
            <w:tcW w:w="480" w:type="dxa"/>
            <w:vAlign w:val="bottom"/>
          </w:tcPr>
          <w:p>
            <w:pPr>
              <w:spacing w:after="0"/>
              <w:rPr>
                <w:sz w:val="16"/>
                <w:szCs w:val="16"/>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Administrative Expenses :</w:t>
            </w:r>
          </w:p>
        </w:tc>
        <w:tc>
          <w:tcPr>
            <w:tcW w:w="2040" w:type="dxa"/>
            <w:vAlign w:val="bottom"/>
          </w:tcPr>
          <w:p>
            <w:pPr>
              <w:jc w:val="center"/>
              <w:ind w:right="794"/>
              <w:spacing w:after="0"/>
              <w:rPr>
                <w:sz w:val="20"/>
                <w:szCs w:val="20"/>
                <w:color w:val="auto"/>
              </w:rPr>
            </w:pPr>
            <w:r>
              <w:rPr>
                <w:rFonts w:ascii="Times New Roman" w:cs="Times New Roman" w:eastAsia="Times New Roman" w:hAnsi="Times New Roman"/>
                <w:sz w:val="13"/>
                <w:szCs w:val="13"/>
                <w:color w:val="auto"/>
              </w:rPr>
              <w:t>$____________</w:t>
            </w:r>
          </w:p>
        </w:tc>
      </w:tr>
      <w:tr>
        <w:trPr>
          <w:trHeight w:val="192"/>
        </w:trPr>
        <w:tc>
          <w:tcPr>
            <w:tcW w:w="48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2"/>
              </w:rPr>
              <w:t>(3)</w:t>
            </w:r>
          </w:p>
        </w:tc>
        <w:tc>
          <w:tcPr>
            <w:tcW w:w="3640" w:type="dxa"/>
            <w:vAlign w:val="bottom"/>
          </w:tcPr>
          <w:p>
            <w:pPr>
              <w:ind w:left="20"/>
              <w:spacing w:after="0" w:line="150" w:lineRule="exact"/>
              <w:rPr>
                <w:sz w:val="20"/>
                <w:szCs w:val="20"/>
                <w:color w:val="auto"/>
              </w:rPr>
            </w:pPr>
            <w:r>
              <w:rPr>
                <w:rFonts w:ascii="Times New Roman" w:cs="Times New Roman" w:eastAsia="Times New Roman" w:hAnsi="Times New Roman"/>
                <w:sz w:val="13"/>
                <w:szCs w:val="13"/>
                <w:color w:val="auto"/>
              </w:rPr>
              <w:t>One</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Time Successor Servicer Engagement Fee:</w:t>
            </w:r>
          </w:p>
        </w:tc>
        <w:tc>
          <w:tcPr>
            <w:tcW w:w="2040" w:type="dxa"/>
            <w:vAlign w:val="bottom"/>
          </w:tcPr>
          <w:p>
            <w:pPr>
              <w:jc w:val="center"/>
              <w:ind w:right="794"/>
              <w:spacing w:after="0"/>
              <w:rPr>
                <w:sz w:val="20"/>
                <w:szCs w:val="20"/>
                <w:color w:val="auto"/>
              </w:rPr>
            </w:pPr>
            <w:r>
              <w:rPr>
                <w:rFonts w:ascii="Times New Roman" w:cs="Times New Roman" w:eastAsia="Times New Roman" w:hAnsi="Times New Roman"/>
                <w:sz w:val="13"/>
                <w:szCs w:val="13"/>
                <w:color w:val="auto"/>
                <w:w w:val="99"/>
              </w:rPr>
              <w:t>____________</w:t>
            </w:r>
          </w:p>
        </w:tc>
      </w:tr>
      <w:tr>
        <w:trPr>
          <w:trHeight w:val="192"/>
        </w:trPr>
        <w:tc>
          <w:tcPr>
            <w:tcW w:w="48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2"/>
              </w:rPr>
              <w:t>(4)</w:t>
            </w:r>
          </w:p>
        </w:tc>
        <w:tc>
          <w:tcPr>
            <w:tcW w:w="3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Hedge agreement expenses:</w:t>
            </w:r>
          </w:p>
        </w:tc>
        <w:tc>
          <w:tcPr>
            <w:tcW w:w="2040" w:type="dxa"/>
            <w:vAlign w:val="bottom"/>
          </w:tcPr>
          <w:p>
            <w:pPr>
              <w:jc w:val="center"/>
              <w:ind w:right="794"/>
              <w:spacing w:after="0"/>
              <w:rPr>
                <w:sz w:val="20"/>
                <w:szCs w:val="20"/>
                <w:color w:val="auto"/>
              </w:rPr>
            </w:pPr>
            <w:r>
              <w:rPr>
                <w:rFonts w:ascii="Times New Roman" w:cs="Times New Roman" w:eastAsia="Times New Roman" w:hAnsi="Times New Roman"/>
                <w:sz w:val="13"/>
                <w:szCs w:val="13"/>
                <w:color w:val="auto"/>
                <w:w w:val="99"/>
              </w:rPr>
              <w:t>____________</w:t>
            </w:r>
          </w:p>
        </w:tc>
      </w:tr>
      <w:tr>
        <w:trPr>
          <w:trHeight w:val="192"/>
        </w:trPr>
        <w:tc>
          <w:tcPr>
            <w:tcW w:w="48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2"/>
              </w:rPr>
              <w:t>(5)</w:t>
            </w:r>
          </w:p>
        </w:tc>
        <w:tc>
          <w:tcPr>
            <w:tcW w:w="3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Unpaid Senior Collateral Management Fees:</w:t>
            </w:r>
          </w:p>
        </w:tc>
        <w:tc>
          <w:tcPr>
            <w:tcW w:w="2040" w:type="dxa"/>
            <w:vAlign w:val="bottom"/>
          </w:tcPr>
          <w:p>
            <w:pPr>
              <w:jc w:val="center"/>
              <w:ind w:right="794"/>
              <w:spacing w:after="0"/>
              <w:rPr>
                <w:sz w:val="20"/>
                <w:szCs w:val="20"/>
                <w:color w:val="auto"/>
              </w:rPr>
            </w:pPr>
            <w:r>
              <w:rPr>
                <w:rFonts w:ascii="Times New Roman" w:cs="Times New Roman" w:eastAsia="Times New Roman" w:hAnsi="Times New Roman"/>
                <w:sz w:val="13"/>
                <w:szCs w:val="13"/>
                <w:color w:val="auto"/>
                <w:w w:val="99"/>
              </w:rPr>
              <w:t>____________</w:t>
            </w:r>
          </w:p>
        </w:tc>
      </w:tr>
      <w:tr>
        <w:trPr>
          <w:trHeight w:val="172"/>
        </w:trPr>
        <w:tc>
          <w:tcPr>
            <w:tcW w:w="48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2"/>
              </w:rPr>
              <w:t>(6)</w:t>
            </w:r>
          </w:p>
        </w:tc>
        <w:tc>
          <w:tcPr>
            <w:tcW w:w="3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and unpaid interest on Advances, Commitment Fees and</w:t>
            </w:r>
          </w:p>
        </w:tc>
        <w:tc>
          <w:tcPr>
            <w:tcW w:w="2040" w:type="dxa"/>
            <w:vAlign w:val="bottom"/>
          </w:tcPr>
          <w:p>
            <w:pPr>
              <w:jc w:val="center"/>
              <w:ind w:right="794"/>
              <w:spacing w:after="0"/>
              <w:rPr>
                <w:sz w:val="20"/>
                <w:szCs w:val="20"/>
                <w:color w:val="auto"/>
              </w:rPr>
            </w:pPr>
            <w:r>
              <w:rPr>
                <w:rFonts w:ascii="Times New Roman" w:cs="Times New Roman" w:eastAsia="Times New Roman" w:hAnsi="Times New Roman"/>
                <w:sz w:val="13"/>
                <w:szCs w:val="13"/>
                <w:color w:val="auto"/>
                <w:w w:val="99"/>
              </w:rPr>
              <w:t>____________</w:t>
            </w:r>
          </w:p>
        </w:tc>
      </w:tr>
      <w:tr>
        <w:trPr>
          <w:trHeight w:val="171"/>
        </w:trPr>
        <w:tc>
          <w:tcPr>
            <w:tcW w:w="480" w:type="dxa"/>
            <w:vAlign w:val="bottom"/>
          </w:tcPr>
          <w:p>
            <w:pPr>
              <w:spacing w:after="0"/>
              <w:rPr>
                <w:sz w:val="14"/>
                <w:szCs w:val="14"/>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breakage costs due to the Lenders:</w:t>
            </w:r>
          </w:p>
        </w:tc>
        <w:tc>
          <w:tcPr>
            <w:tcW w:w="2040" w:type="dxa"/>
            <w:vAlign w:val="bottom"/>
          </w:tcPr>
          <w:p>
            <w:pPr>
              <w:spacing w:after="0"/>
              <w:rPr>
                <w:sz w:val="14"/>
                <w:szCs w:val="14"/>
                <w:color w:val="auto"/>
              </w:rPr>
            </w:pPr>
          </w:p>
        </w:tc>
      </w:tr>
      <w:tr>
        <w:trPr>
          <w:trHeight w:val="196"/>
        </w:trPr>
        <w:tc>
          <w:tcPr>
            <w:tcW w:w="4120" w:type="dxa"/>
            <w:vAlign w:val="bottom"/>
            <w:gridSpan w:val="2"/>
          </w:tcPr>
          <w:p>
            <w:pPr>
              <w:ind w:left="80"/>
              <w:spacing w:after="0" w:line="150" w:lineRule="exact"/>
              <w:rPr>
                <w:sz w:val="20"/>
                <w:szCs w:val="20"/>
                <w:color w:val="auto"/>
              </w:rPr>
            </w:pPr>
            <w:r>
              <w:rPr>
                <w:rFonts w:ascii="Times New Roman" w:cs="Times New Roman" w:eastAsia="Times New Roman" w:hAnsi="Times New Roman"/>
                <w:sz w:val="13"/>
                <w:szCs w:val="13"/>
                <w:color w:val="auto"/>
              </w:rPr>
              <w:t>(B) Total Estimated Fees, Interest and Expenses (Sum of Lines 1</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6):</w:t>
            </w:r>
          </w:p>
        </w:tc>
        <w:tc>
          <w:tcPr>
            <w:tcW w:w="2040" w:type="dxa"/>
            <w:vAlign w:val="bottom"/>
          </w:tcPr>
          <w:p>
            <w:pPr>
              <w:jc w:val="center"/>
              <w:ind w:right="794"/>
              <w:spacing w:after="0"/>
              <w:rPr>
                <w:sz w:val="20"/>
                <w:szCs w:val="20"/>
                <w:color w:val="auto"/>
              </w:rPr>
            </w:pPr>
            <w:r>
              <w:rPr>
                <w:rFonts w:ascii="Times New Roman" w:cs="Times New Roman" w:eastAsia="Times New Roman" w:hAnsi="Times New Roman"/>
                <w:sz w:val="13"/>
                <w:szCs w:val="13"/>
                <w:color w:val="auto"/>
              </w:rPr>
              <w:t>$____________</w:t>
            </w:r>
          </w:p>
        </w:tc>
      </w:tr>
      <w:tr>
        <w:trPr>
          <w:trHeight w:val="188"/>
        </w:trPr>
        <w:tc>
          <w:tcPr>
            <w:tcW w:w="41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 Stressed Expense Estimate (Line (B) multiplied by 1.5):</w:t>
            </w:r>
          </w:p>
        </w:tc>
        <w:tc>
          <w:tcPr>
            <w:tcW w:w="2040" w:type="dxa"/>
            <w:vAlign w:val="bottom"/>
          </w:tcPr>
          <w:p>
            <w:pPr>
              <w:jc w:val="center"/>
              <w:ind w:right="794"/>
              <w:spacing w:after="0"/>
              <w:rPr>
                <w:sz w:val="20"/>
                <w:szCs w:val="20"/>
                <w:color w:val="auto"/>
              </w:rPr>
            </w:pPr>
            <w:r>
              <w:rPr>
                <w:rFonts w:ascii="Times New Roman" w:cs="Times New Roman" w:eastAsia="Times New Roman" w:hAnsi="Times New Roman"/>
                <w:sz w:val="13"/>
                <w:szCs w:val="13"/>
                <w:color w:val="auto"/>
              </w:rPr>
              <w:t>$____________</w:t>
            </w:r>
          </w:p>
        </w:tc>
      </w:tr>
      <w:tr>
        <w:trPr>
          <w:trHeight w:val="192"/>
        </w:trPr>
        <w:tc>
          <w:tcPr>
            <w:tcW w:w="41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(D) Excess Interest Proceeds Amount (Line (A) minus Line (C)):</w:t>
            </w:r>
          </w:p>
        </w:tc>
        <w:tc>
          <w:tcPr>
            <w:tcW w:w="2040" w:type="dxa"/>
            <w:vAlign w:val="bottom"/>
          </w:tcPr>
          <w:p>
            <w:pPr>
              <w:jc w:val="center"/>
              <w:ind w:right="794"/>
              <w:spacing w:after="0"/>
              <w:rPr>
                <w:sz w:val="20"/>
                <w:szCs w:val="20"/>
                <w:color w:val="auto"/>
              </w:rPr>
            </w:pPr>
            <w:r>
              <w:rPr>
                <w:rFonts w:ascii="Times New Roman" w:cs="Times New Roman" w:eastAsia="Times New Roman" w:hAnsi="Times New Roman"/>
                <w:sz w:val="13"/>
                <w:szCs w:val="13"/>
                <w:color w:val="auto"/>
              </w:rPr>
              <w:t>$____________</w:t>
            </w:r>
          </w:p>
        </w:tc>
      </w:tr>
    </w:tbl>
    <w:p>
      <w:pPr>
        <w:spacing w:after="0" w:line="2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PennantPark Investment Advisers, LLC, as</w:t>
      </w:r>
    </w:p>
    <w:p>
      <w:pPr>
        <w:spacing w:after="0" w:line="2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Collateral Manager</w:t>
      </w:r>
    </w:p>
    <w:p>
      <w:pPr>
        <w:spacing w:after="0" w:line="3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By</w:t>
      </w:r>
    </w:p>
    <w:p>
      <w:pPr>
        <w:spacing w:after="0" w:line="1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652145</wp:posOffset>
            </wp:positionV>
            <wp:extent cx="526605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05" w:name="page306"/>
    <w:bookmarkEnd w:id="305"/>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B</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Notice of Borrowing]</w:t>
      </w:r>
    </w:p>
    <w:p>
      <w:pPr>
        <w:spacing w:after="0" w:line="27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6"/>
          <w:szCs w:val="16"/>
          <w:color w:val="auto"/>
        </w:rPr>
        <w:t>[Date]</w:t>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Truist Bank</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as Administrative Agent</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303 Peachtree St., NE, 24th Floor</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Atlanta, Georgia 30308</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U.S. Bank Trust Company, National Association</w:t>
      </w:r>
    </w:p>
    <w:p>
      <w:pPr>
        <w:spacing w:after="0" w:line="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as Collateral Agent</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Corporate Trust Services – CDO Unit</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One Federal Street, Third Floor</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Attn: Dave Reale</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Ref: PennantPark Floating Rate Funding I, LLC</w:t>
      </w:r>
    </w:p>
    <w:p>
      <w:pPr>
        <w:spacing w:after="0" w:line="171" w:lineRule="exact"/>
        <w:rPr>
          <w:sz w:val="20"/>
          <w:szCs w:val="20"/>
          <w:color w:val="auto"/>
        </w:rPr>
      </w:pPr>
    </w:p>
    <w:p>
      <w:pPr>
        <w:ind w:left="1360" w:right="1360" w:firstLine="484"/>
        <w:spacing w:after="0" w:line="252" w:lineRule="auto"/>
        <w:rPr>
          <w:sz w:val="20"/>
          <w:szCs w:val="20"/>
          <w:color w:val="auto"/>
        </w:rPr>
      </w:pPr>
      <w:r>
        <w:rPr>
          <w:rFonts w:ascii="Times New Roman" w:cs="Times New Roman" w:eastAsia="Times New Roman" w:hAnsi="Times New Roman"/>
          <w:sz w:val="16"/>
          <w:szCs w:val="16"/>
          <w:color w:val="auto"/>
        </w:rPr>
        <w:t xml:space="preserve">This Notice of Borrowing is made pursuant to Section 2.02 of that certain Revolving Credit and Security Agreement dated as of August 12, 2021 (as the same may from time to time be amended, supplemented, waived or modified, the </w:t>
      </w:r>
      <w:r>
        <w:rPr>
          <w:rFonts w:ascii="Times New Roman" w:cs="Times New Roman" w:eastAsia="Times New Roman" w:hAnsi="Times New Roman"/>
          <w:sz w:val="16"/>
          <w:szCs w:val="16"/>
          <w:i w:val="1"/>
          <w:iCs w:val="1"/>
          <w:color w:val="auto"/>
        </w:rPr>
        <w:t>“Credit Agreement”</w:t>
      </w:r>
      <w:r>
        <w:rPr>
          <w:rFonts w:ascii="Times New Roman" w:cs="Times New Roman" w:eastAsia="Times New Roman" w:hAnsi="Times New Roman"/>
          <w:sz w:val="16"/>
          <w:szCs w:val="16"/>
          <w:color w:val="auto"/>
        </w:rPr>
        <w:t xml:space="preserve">) among PennantPark Floating Rate Funding I, LLC, a Delaware limited liability company, as borrower (together with its permitted successors and assigns, the </w:t>
      </w:r>
      <w:r>
        <w:rPr>
          <w:rFonts w:ascii="Times New Roman" w:cs="Times New Roman" w:eastAsia="Times New Roman" w:hAnsi="Times New Roman"/>
          <w:sz w:val="16"/>
          <w:szCs w:val="16"/>
          <w:i w:val="1"/>
          <w:iCs w:val="1"/>
          <w:color w:val="auto"/>
        </w:rPr>
        <w:t>“Borrower”</w:t>
      </w:r>
      <w:r>
        <w:rPr>
          <w:rFonts w:ascii="Times New Roman" w:cs="Times New Roman" w:eastAsia="Times New Roman" w:hAnsi="Times New Roman"/>
          <w:sz w:val="16"/>
          <w:szCs w:val="16"/>
          <w:color w:val="auto"/>
        </w:rPr>
        <w:t xml:space="preserve">); PennantPark Investment Advisers, LLC, a Delaware limited liability company, as the collateral manager (together with its permitted successors and assigns, the </w:t>
      </w:r>
      <w:r>
        <w:rPr>
          <w:rFonts w:ascii="Times New Roman" w:cs="Times New Roman" w:eastAsia="Times New Roman" w:hAnsi="Times New Roman"/>
          <w:sz w:val="16"/>
          <w:szCs w:val="16"/>
          <w:i w:val="1"/>
          <w:iCs w:val="1"/>
          <w:color w:val="auto"/>
        </w:rPr>
        <w:t>“Collateral Manager”</w:t>
      </w:r>
      <w:r>
        <w:rPr>
          <w:rFonts w:ascii="Times New Roman" w:cs="Times New Roman" w:eastAsia="Times New Roman" w:hAnsi="Times New Roman"/>
          <w:sz w:val="16"/>
          <w:szCs w:val="16"/>
          <w:color w:val="auto"/>
        </w:rPr>
        <w:t xml:space="preserve">), the Lenders from time to time party thereto; Truist Bank, as administrative agent for the Secured Parties (as hereinafter defined) (in such capacity, together with its successors and assigns, the </w:t>
      </w:r>
      <w:r>
        <w:rPr>
          <w:rFonts w:ascii="Times New Roman" w:cs="Times New Roman" w:eastAsia="Times New Roman" w:hAnsi="Times New Roman"/>
          <w:sz w:val="16"/>
          <w:szCs w:val="16"/>
          <w:i w:val="1"/>
          <w:iCs w:val="1"/>
          <w:color w:val="auto"/>
        </w:rPr>
        <w:t>“Administrative Agent”</w:t>
      </w:r>
      <w:r>
        <w:rPr>
          <w:rFonts w:ascii="Times New Roman" w:cs="Times New Roman" w:eastAsia="Times New Roman" w:hAnsi="Times New Roman"/>
          <w:sz w:val="16"/>
          <w:szCs w:val="16"/>
          <w:color w:val="auto"/>
        </w:rPr>
        <w:t>), Truist Bank, as the swingline lender (the “</w:t>
      </w:r>
      <w:r>
        <w:rPr>
          <w:rFonts w:ascii="Times New Roman" w:cs="Times New Roman" w:eastAsia="Times New Roman" w:hAnsi="Times New Roman"/>
          <w:sz w:val="16"/>
          <w:szCs w:val="16"/>
          <w:i w:val="1"/>
          <w:iCs w:val="1"/>
          <w:color w:val="auto"/>
        </w:rPr>
        <w:t>Swingline Lender</w:t>
      </w:r>
      <w:r>
        <w:rPr>
          <w:rFonts w:ascii="Times New Roman" w:cs="Times New Roman" w:eastAsia="Times New Roman" w:hAnsi="Times New Roman"/>
          <w:sz w:val="16"/>
          <w:szCs w:val="16"/>
          <w:color w:val="auto"/>
        </w:rPr>
        <w:t xml:space="preserve">”), U.S. Bank Trust Company, National Association, as successor in interest to U.S. Bank National Association, as collateral agent for the Secured Parties (in such capacity, together with its successors and assigns, the </w:t>
      </w:r>
      <w:r>
        <w:rPr>
          <w:rFonts w:ascii="Times New Roman" w:cs="Times New Roman" w:eastAsia="Times New Roman" w:hAnsi="Times New Roman"/>
          <w:sz w:val="16"/>
          <w:szCs w:val="16"/>
          <w:i w:val="1"/>
          <w:iCs w:val="1"/>
          <w:color w:val="auto"/>
        </w:rPr>
        <w:t>“Collateral Agent”</w:t>
      </w:r>
      <w:r>
        <w:rPr>
          <w:rFonts w:ascii="Times New Roman" w:cs="Times New Roman" w:eastAsia="Times New Roman" w:hAnsi="Times New Roman"/>
          <w:sz w:val="16"/>
          <w:szCs w:val="16"/>
          <w:color w:val="auto"/>
        </w:rPr>
        <w:t>); U.S. Bank National Association, as custodian; U.S. Bank Trust Company, National Association, as successor in interest to U.S. Bank National Association, as collateral administrator, and U.S. Bank Trust Company, National Association, as successor in interest to U.S. Bank National Association, as backup collateral manager. Capitalized terms used but not otherwise defined herein shall have the respective meanings assigned to such terms in the Credit Agreement.</w:t>
      </w:r>
    </w:p>
    <w:p>
      <w:pPr>
        <w:spacing w:after="0" w:line="15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Insert for Syndicated Borrowings:</w:t>
      </w:r>
    </w:p>
    <w:p>
      <w:pPr>
        <w:spacing w:after="0" w:line="187" w:lineRule="exact"/>
        <w:rPr>
          <w:sz w:val="20"/>
          <w:szCs w:val="20"/>
          <w:color w:val="auto"/>
        </w:rPr>
      </w:pPr>
    </w:p>
    <w:p>
      <w:pPr>
        <w:ind w:left="1840" w:right="1420" w:firstLine="44"/>
        <w:spacing w:after="0" w:line="262" w:lineRule="auto"/>
        <w:tabs>
          <w:tab w:leader="none" w:pos="2042"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hereby requests that on _____________, 20__ (the </w:t>
      </w:r>
      <w:r>
        <w:rPr>
          <w:rFonts w:ascii="Times New Roman" w:cs="Times New Roman" w:eastAsia="Times New Roman" w:hAnsi="Times New Roman"/>
          <w:sz w:val="16"/>
          <w:szCs w:val="16"/>
          <w:i w:val="1"/>
          <w:iCs w:val="1"/>
          <w:color w:val="auto"/>
        </w:rPr>
        <w:t>“Borrowing Date”</w:t>
      </w:r>
      <w:r>
        <w:rPr>
          <w:rFonts w:ascii="Times New Roman" w:cs="Times New Roman" w:eastAsia="Times New Roman" w:hAnsi="Times New Roman"/>
          <w:sz w:val="16"/>
          <w:szCs w:val="16"/>
          <w:color w:val="auto"/>
        </w:rPr>
        <w:t xml:space="preserve">) it receive Syndicated Borrowings under the Credit Agreement in an aggregate principal amount of ____________ [USD$] [AUS$] [Euro €] [CAD$] [Pounds Sterling £] (the </w:t>
      </w:r>
      <w:r>
        <w:rPr>
          <w:rFonts w:ascii="Times New Roman" w:cs="Times New Roman" w:eastAsia="Times New Roman" w:hAnsi="Times New Roman"/>
          <w:sz w:val="16"/>
          <w:szCs w:val="16"/>
          <w:i w:val="1"/>
          <w:iCs w:val="1"/>
          <w:color w:val="auto"/>
        </w:rPr>
        <w:t>“Requested Amount”</w:t>
      </w:r>
      <w:r>
        <w:rPr>
          <w:rFonts w:ascii="Times New Roman" w:cs="Times New Roman" w:eastAsia="Times New Roman" w:hAnsi="Times New Roman"/>
          <w:sz w:val="16"/>
          <w:szCs w:val="16"/>
          <w:color w:val="auto"/>
        </w:rPr>
        <w:t>).</w:t>
      </w:r>
    </w:p>
    <w:p>
      <w:pPr>
        <w:spacing w:after="0" w:line="146" w:lineRule="exact"/>
        <w:rPr>
          <w:rFonts w:ascii="Times New Roman" w:cs="Times New Roman" w:eastAsia="Times New Roman" w:hAnsi="Times New Roman"/>
          <w:sz w:val="16"/>
          <w:szCs w:val="16"/>
          <w:color w:val="auto"/>
        </w:rPr>
      </w:pPr>
    </w:p>
    <w:p>
      <w:pPr>
        <w:ind w:left="1840" w:right="1460" w:firstLine="44"/>
        <w:spacing w:after="0" w:line="261" w:lineRule="auto"/>
        <w:tabs>
          <w:tab w:leader="none" w:pos="2042"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hereby gives notice of its request for Syndicated Advances in an aggregate principal amount equal to the Requested Amount to the Collateral Agent (who shall forward such request to the Lenders) pursuant to Section 2.02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638810</wp:posOffset>
            </wp:positionV>
            <wp:extent cx="526605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06" w:name="page307"/>
    <w:bookmarkEnd w:id="306"/>
    <w:p>
      <w:pPr>
        <w:spacing w:after="0" w:line="270" w:lineRule="exact"/>
        <w:rPr>
          <w:sz w:val="20"/>
          <w:szCs w:val="20"/>
          <w:color w:val="auto"/>
        </w:rPr>
      </w:pPr>
    </w:p>
    <w:p>
      <w:pPr>
        <w:jc w:val="both"/>
        <w:ind w:left="1840" w:right="1560"/>
        <w:spacing w:after="0" w:line="266" w:lineRule="auto"/>
        <w:rPr>
          <w:sz w:val="20"/>
          <w:szCs w:val="20"/>
          <w:color w:val="auto"/>
        </w:rPr>
      </w:pPr>
      <w:r>
        <w:rPr>
          <w:rFonts w:ascii="Times New Roman" w:cs="Times New Roman" w:eastAsia="Times New Roman" w:hAnsi="Times New Roman"/>
          <w:sz w:val="16"/>
          <w:szCs w:val="16"/>
          <w:color w:val="auto"/>
        </w:rPr>
        <w:t xml:space="preserve">and requests that the Lenders remit, or cause to be remitted, the proceeds thereof to the Principal Collection Subaccount in the respective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amounts in accordance with the following wiring instructions:</w:t>
      </w:r>
    </w:p>
    <w:p>
      <w:pPr>
        <w:spacing w:after="0" w:line="14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color w:val="auto"/>
        </w:rPr>
        <w:t>US Bank National Association</w:t>
      </w:r>
    </w:p>
    <w:p>
      <w:pPr>
        <w:spacing w:after="0" w:line="2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color w:val="auto"/>
        </w:rPr>
        <w:t>St Paul, Minnesota</w:t>
      </w:r>
    </w:p>
    <w:p>
      <w:pPr>
        <w:spacing w:after="0" w:line="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color w:val="auto"/>
        </w:rPr>
        <w:t>ABA 091 000 022</w:t>
      </w:r>
    </w:p>
    <w:p>
      <w:pPr>
        <w:spacing w:after="0" w:line="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color w:val="auto"/>
        </w:rPr>
        <w:t>Acct 1047 9006 2574</w:t>
      </w:r>
    </w:p>
    <w:p>
      <w:pPr>
        <w:spacing w:after="0" w:line="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color w:val="auto"/>
        </w:rPr>
        <w:t>Acct name: PennantPark Floating Rate Fd 1</w:t>
      </w:r>
    </w:p>
    <w:p>
      <w:pPr>
        <w:spacing w:after="0" w:line="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color w:val="auto"/>
        </w:rPr>
        <w:t>Reference: Sender's name</w:t>
      </w:r>
    </w:p>
    <w:p>
      <w:pPr>
        <w:spacing w:after="0" w:line="171" w:lineRule="exact"/>
        <w:rPr>
          <w:sz w:val="20"/>
          <w:szCs w:val="20"/>
          <w:color w:val="auto"/>
        </w:rPr>
      </w:pPr>
    </w:p>
    <w:p>
      <w:pPr>
        <w:ind w:left="1840" w:right="1400" w:firstLine="44"/>
        <w:spacing w:after="0" w:line="261" w:lineRule="auto"/>
        <w:tabs>
          <w:tab w:leader="none" w:pos="2042"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certifies that immediately after giving effect to the proposed Borrowing on the Borrowing Date each of the applicable conditions precedent set forth in Section</w:t>
      </w:r>
    </w:p>
    <w:p>
      <w:pPr>
        <w:spacing w:after="0" w:line="1" w:lineRule="exact"/>
        <w:rPr>
          <w:rFonts w:ascii="Times New Roman" w:cs="Times New Roman" w:eastAsia="Times New Roman" w:hAnsi="Times New Roman"/>
          <w:sz w:val="16"/>
          <w:szCs w:val="16"/>
          <w:color w:val="auto"/>
        </w:rPr>
      </w:pPr>
    </w:p>
    <w:p>
      <w:pPr>
        <w:ind w:left="18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3.02 of the Credit Agreement is satisfied, including:</w:t>
      </w:r>
    </w:p>
    <w:p>
      <w:pPr>
        <w:spacing w:after="0" w:line="171" w:lineRule="exact"/>
        <w:rPr>
          <w:rFonts w:ascii="Times New Roman" w:cs="Times New Roman" w:eastAsia="Times New Roman" w:hAnsi="Times New Roman"/>
          <w:sz w:val="16"/>
          <w:szCs w:val="16"/>
          <w:color w:val="auto"/>
        </w:rPr>
      </w:pPr>
    </w:p>
    <w:p>
      <w:pPr>
        <w:ind w:left="2600" w:hanging="231"/>
        <w:spacing w:after="0"/>
        <w:tabs>
          <w:tab w:leader="none" w:pos="2600" w:val="left"/>
        </w:tabs>
        <w:numPr>
          <w:ilvl w:val="1"/>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pacing w:after="0" w:line="189" w:lineRule="exact"/>
        <w:rPr>
          <w:rFonts w:ascii="Times New Roman" w:cs="Times New Roman" w:eastAsia="Times New Roman" w:hAnsi="Times New Roman"/>
          <w:sz w:val="16"/>
          <w:szCs w:val="16"/>
          <w:color w:val="auto"/>
        </w:rPr>
      </w:pPr>
    </w:p>
    <w:p>
      <w:pPr>
        <w:ind w:left="2320" w:right="1480" w:firstLine="49"/>
        <w:spacing w:after="0" w:line="255" w:lineRule="auto"/>
        <w:tabs>
          <w:tab w:leader="none" w:pos="2589" w:val="left"/>
        </w:tabs>
        <w:numPr>
          <w:ilvl w:val="1"/>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representations and warranties of the Borrower contained in Article IV of the Credit Agreement is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are true and correct in all material respects as of such earlier date); and</w:t>
      </w:r>
    </w:p>
    <w:p>
      <w:pPr>
        <w:spacing w:after="0" w:line="155" w:lineRule="exact"/>
        <w:rPr>
          <w:rFonts w:ascii="Times New Roman" w:cs="Times New Roman" w:eastAsia="Times New Roman" w:hAnsi="Times New Roman"/>
          <w:sz w:val="16"/>
          <w:szCs w:val="16"/>
          <w:color w:val="auto"/>
        </w:rPr>
      </w:pPr>
    </w:p>
    <w:p>
      <w:pPr>
        <w:ind w:left="2320" w:right="1560" w:firstLine="49"/>
        <w:spacing w:after="0" w:line="266" w:lineRule="auto"/>
        <w:tabs>
          <w:tab w:leader="none" w:pos="2589" w:val="left"/>
        </w:tabs>
        <w:numPr>
          <w:ilvl w:val="1"/>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or Event of Default shall have occurred and be continuing at the time of the making of such Advance or shall result upon the making of such Advance.</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Insert for Swingline Borrowings:</w:t>
      </w:r>
    </w:p>
    <w:p>
      <w:pPr>
        <w:spacing w:after="0" w:line="187" w:lineRule="exact"/>
        <w:rPr>
          <w:sz w:val="20"/>
          <w:szCs w:val="20"/>
          <w:color w:val="auto"/>
        </w:rPr>
      </w:pPr>
    </w:p>
    <w:p>
      <w:pPr>
        <w:ind w:left="1840" w:right="1700" w:firstLine="44"/>
        <w:spacing w:after="0" w:line="268" w:lineRule="auto"/>
        <w:tabs>
          <w:tab w:leader="none" w:pos="2042" w:val="left"/>
        </w:tabs>
        <w:numPr>
          <w:ilvl w:val="1"/>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hereby requests that on ________, 20__ (the </w:t>
      </w:r>
      <w:r>
        <w:rPr>
          <w:rFonts w:ascii="Times New Roman" w:cs="Times New Roman" w:eastAsia="Times New Roman" w:hAnsi="Times New Roman"/>
          <w:sz w:val="16"/>
          <w:szCs w:val="16"/>
          <w:i w:val="1"/>
          <w:iCs w:val="1"/>
          <w:color w:val="auto"/>
        </w:rPr>
        <w:t>“Borrowing Date”</w:t>
      </w:r>
      <w:r>
        <w:rPr>
          <w:rFonts w:ascii="Times New Roman" w:cs="Times New Roman" w:eastAsia="Times New Roman" w:hAnsi="Times New Roman"/>
          <w:sz w:val="16"/>
          <w:szCs w:val="16"/>
          <w:color w:val="auto"/>
        </w:rPr>
        <w:t xml:space="preserve">) it receive a Swingline Advance under the Credit Agreement in an aggregate principal amount of ____________ Dollars ($ _________) (the </w:t>
      </w:r>
      <w:r>
        <w:rPr>
          <w:rFonts w:ascii="Times New Roman" w:cs="Times New Roman" w:eastAsia="Times New Roman" w:hAnsi="Times New Roman"/>
          <w:sz w:val="16"/>
          <w:szCs w:val="16"/>
          <w:i w:val="1"/>
          <w:iCs w:val="1"/>
          <w:color w:val="auto"/>
        </w:rPr>
        <w:t>“Requested Amount”</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1</w:t>
      </w:r>
    </w:p>
    <w:p>
      <w:pPr>
        <w:spacing w:after="0" w:line="142" w:lineRule="exact"/>
        <w:rPr>
          <w:rFonts w:ascii="Times New Roman" w:cs="Times New Roman" w:eastAsia="Times New Roman" w:hAnsi="Times New Roman"/>
          <w:sz w:val="16"/>
          <w:szCs w:val="16"/>
          <w:color w:val="auto"/>
        </w:rPr>
      </w:pPr>
    </w:p>
    <w:p>
      <w:pPr>
        <w:ind w:left="1840" w:right="1420" w:firstLine="44"/>
        <w:spacing w:after="0" w:line="256" w:lineRule="auto"/>
        <w:tabs>
          <w:tab w:leader="none" w:pos="2042" w:val="left"/>
        </w:tabs>
        <w:numPr>
          <w:ilvl w:val="1"/>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hereby gives notice of its request for a Swingline Advance in the aggregate principal amount equal to the Requested Amount to the Swingline Lender, the Collateral Agent and the Swingline Lender pursuant to Section 2.02 of the Credit Agreement and requests the Swingline Lender to remit, or cause to be remitted, the proceeds thereof to the Principal Collection Subaccount in accordance with the following wiring instructions:</w:t>
      </w:r>
    </w:p>
    <w:p>
      <w:pPr>
        <w:spacing w:after="0" w:line="165" w:lineRule="exact"/>
        <w:rPr>
          <w:rFonts w:ascii="Times New Roman" w:cs="Times New Roman" w:eastAsia="Times New Roman" w:hAnsi="Times New Roman"/>
          <w:sz w:val="16"/>
          <w:szCs w:val="16"/>
          <w:color w:val="auto"/>
        </w:rPr>
      </w:pPr>
    </w:p>
    <w:p>
      <w:pPr>
        <w:ind w:left="1840" w:right="1600" w:hanging="484"/>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1 Swingline Borrowings limited to the lesser of $20 million and the Swingline Lender’s unused Commitment in the aggregate at any one time outstanding, and all Advances (Swingline and Syndicated) cannot exceed the aggregate borrowing limits set forth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-384810</wp:posOffset>
            </wp:positionV>
            <wp:extent cx="1268095" cy="444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6">
                      <a:extLst>
                        <a:ext uri="{28A0092B-C50C-407E-A947-70E740481C1C}"/>
                      </a:extLst>
                    </a:blip>
                    <a:srcRect/>
                    <a:stretch>
                      <a:fillRect/>
                    </a:stretch>
                  </pic:blipFill>
                  <pic:spPr bwMode="auto">
                    <a:xfrm>
                      <a:off x="0" y="0"/>
                      <a:ext cx="1268095" cy="44450"/>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742315</wp:posOffset>
            </wp:positionV>
            <wp:extent cx="526605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07" w:name="page308"/>
    <w:bookmarkEnd w:id="307"/>
    <w:p>
      <w:pPr>
        <w:spacing w:after="0" w:line="28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color w:val="auto"/>
        </w:rPr>
        <w:t>US Bank National Association</w:t>
      </w:r>
    </w:p>
    <w:p>
      <w:pPr>
        <w:spacing w:after="0" w:line="2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color w:val="auto"/>
        </w:rPr>
        <w:t>St Paul, MN</w:t>
      </w:r>
    </w:p>
    <w:p>
      <w:pPr>
        <w:spacing w:after="0" w:line="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color w:val="auto"/>
        </w:rPr>
        <w:t>ABA 091 000 022</w:t>
      </w:r>
    </w:p>
    <w:p>
      <w:pPr>
        <w:spacing w:after="0" w:line="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color w:val="auto"/>
        </w:rPr>
        <w:t>Acct 1047 9006 2574</w:t>
      </w:r>
    </w:p>
    <w:p>
      <w:pPr>
        <w:spacing w:after="0" w:line="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color w:val="auto"/>
        </w:rPr>
        <w:t>Acct name: PennantPark Floating Rate Fd 1</w:t>
      </w:r>
    </w:p>
    <w:p>
      <w:pPr>
        <w:spacing w:after="0" w:line="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color w:val="auto"/>
        </w:rPr>
        <w:t>Reference: [Sender's name]</w:t>
      </w:r>
    </w:p>
    <w:p>
      <w:pPr>
        <w:spacing w:after="0" w:line="121" w:lineRule="exact"/>
        <w:rPr>
          <w:sz w:val="20"/>
          <w:szCs w:val="20"/>
          <w:color w:val="auto"/>
        </w:rPr>
      </w:pPr>
    </w:p>
    <w:p>
      <w:pPr>
        <w:ind w:left="1840" w:right="1360" w:firstLine="44"/>
        <w:spacing w:after="0" w:line="255" w:lineRule="auto"/>
        <w:tabs>
          <w:tab w:leader="none" w:pos="2042"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Notice of Borrowing shall also constitute a request for a Syndicated Borrowing of a Swingline Refinancing Advance to be made by the Lenders on [___________, 20__]</w:t>
      </w:r>
      <w:r>
        <w:rPr>
          <w:rFonts w:ascii="Times New Roman" w:cs="Times New Roman" w:eastAsia="Times New Roman" w:hAnsi="Times New Roman"/>
          <w:sz w:val="13"/>
          <w:szCs w:val="13"/>
          <w:color w:val="auto"/>
        </w:rPr>
        <w:t>2</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“Swingline Refinancing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Borrower has submitted a Notice of Prepayment in tandem with this Notice of Borrowing for a Swingline Advance, then a Swingline Refinancing Advance shall only be requested for that portion of the Requested Amount that is not being repaid. The portion of the Requested Amount subject to a Swingline Refinancing Advance shall be equal to $[____________].</w:t>
      </w:r>
    </w:p>
    <w:p>
      <w:pPr>
        <w:spacing w:after="0" w:line="105" w:lineRule="exact"/>
        <w:rPr>
          <w:sz w:val="20"/>
          <w:szCs w:val="20"/>
          <w:color w:val="auto"/>
        </w:rPr>
      </w:pPr>
    </w:p>
    <w:p>
      <w:pPr>
        <w:ind w:left="1840" w:right="1420" w:firstLine="484"/>
        <w:spacing w:after="0" w:line="255" w:lineRule="auto"/>
        <w:rPr>
          <w:sz w:val="20"/>
          <w:szCs w:val="20"/>
          <w:color w:val="auto"/>
        </w:rPr>
      </w:pPr>
      <w:r>
        <w:rPr>
          <w:rFonts w:ascii="Times New Roman" w:cs="Times New Roman" w:eastAsia="Times New Roman" w:hAnsi="Times New Roman"/>
          <w:sz w:val="16"/>
          <w:szCs w:val="16"/>
          <w:color w:val="auto"/>
        </w:rPr>
        <w:t>In connection with such Syndicated Borrowing, the Borrower hereby gives notice of its request for Syndicated Advances in the aggregate principal amount equal to the Requested Amount (or portion thereof subject to a Swingline Refinancing Advance) to the Collateral Agent (who shall forward such request to the Lenders) pursuant to Section 2.02 of the Credit Agreement and requests the Lenders to remit, or cause to be remitted, the proceeds thereof to the Principal Collection Subaccount on the Swingline Refinancing Date in the respective pro rata amounts.</w:t>
      </w:r>
    </w:p>
    <w:p>
      <w:pPr>
        <w:spacing w:after="0" w:line="155" w:lineRule="exact"/>
        <w:rPr>
          <w:sz w:val="20"/>
          <w:szCs w:val="20"/>
          <w:color w:val="auto"/>
        </w:rPr>
      </w:pPr>
    </w:p>
    <w:p>
      <w:pPr>
        <w:ind w:left="1840" w:right="1380" w:firstLine="44"/>
        <w:spacing w:after="0" w:line="266" w:lineRule="auto"/>
        <w:tabs>
          <w:tab w:leader="none" w:pos="2042"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certifies that immediately after giving effect to the proposed Swingline Borrowing on the Borrowing Date each of the applicable conditions precedent set forth in Section 3.02 of the Credit Agreement is satisfied, including:</w:t>
      </w:r>
    </w:p>
    <w:p>
      <w:pPr>
        <w:spacing w:after="0" w:line="94" w:lineRule="exact"/>
        <w:rPr>
          <w:rFonts w:ascii="Times New Roman" w:cs="Times New Roman" w:eastAsia="Times New Roman" w:hAnsi="Times New Roman"/>
          <w:sz w:val="16"/>
          <w:szCs w:val="16"/>
          <w:color w:val="auto"/>
        </w:rPr>
      </w:pPr>
    </w:p>
    <w:p>
      <w:pPr>
        <w:ind w:left="2600" w:hanging="231"/>
        <w:spacing w:after="0"/>
        <w:tabs>
          <w:tab w:leader="none" w:pos="2600" w:val="left"/>
        </w:tabs>
        <w:numPr>
          <w:ilvl w:val="1"/>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pacing w:after="0" w:line="138" w:lineRule="exact"/>
        <w:rPr>
          <w:rFonts w:ascii="Times New Roman" w:cs="Times New Roman" w:eastAsia="Times New Roman" w:hAnsi="Times New Roman"/>
          <w:sz w:val="16"/>
          <w:szCs w:val="16"/>
          <w:color w:val="auto"/>
        </w:rPr>
      </w:pPr>
    </w:p>
    <w:p>
      <w:pPr>
        <w:ind w:left="2320" w:right="1480" w:firstLine="49"/>
        <w:spacing w:after="0" w:line="255" w:lineRule="auto"/>
        <w:tabs>
          <w:tab w:leader="none" w:pos="2589" w:val="left"/>
        </w:tabs>
        <w:numPr>
          <w:ilvl w:val="1"/>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representations and warranties of the Borrower contained in Article IV of the Credit Agreement is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are true and correct in all material respects as of such earlier date); and</w:t>
      </w:r>
    </w:p>
    <w:p>
      <w:pPr>
        <w:spacing w:after="0" w:line="104" w:lineRule="exact"/>
        <w:rPr>
          <w:rFonts w:ascii="Times New Roman" w:cs="Times New Roman" w:eastAsia="Times New Roman" w:hAnsi="Times New Roman"/>
          <w:sz w:val="16"/>
          <w:szCs w:val="16"/>
          <w:color w:val="auto"/>
        </w:rPr>
      </w:pPr>
    </w:p>
    <w:p>
      <w:pPr>
        <w:ind w:left="2320" w:right="1440" w:firstLine="49"/>
        <w:spacing w:after="0" w:line="266" w:lineRule="auto"/>
        <w:tabs>
          <w:tab w:leader="none" w:pos="2589" w:val="left"/>
        </w:tabs>
        <w:numPr>
          <w:ilvl w:val="1"/>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or Event of Default shall have occurred and be continuing at the time of the making of such Swingline Advance or shall result upon the making of such Swingline Advance.</w:t>
      </w:r>
    </w:p>
    <w:p>
      <w:pPr>
        <w:spacing w:after="0" w:line="9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50165</wp:posOffset>
            </wp:positionV>
            <wp:extent cx="1268095" cy="444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8">
                      <a:extLst>
                        <a:ext uri="{28A0092B-C50C-407E-A947-70E740481C1C}"/>
                      </a:extLst>
                    </a:blip>
                    <a:srcRect/>
                    <a:stretch>
                      <a:fillRect/>
                    </a:stretch>
                  </pic:blipFill>
                  <pic:spPr bwMode="auto">
                    <a:xfrm>
                      <a:off x="0" y="0"/>
                      <a:ext cx="1268095" cy="44450"/>
                    </a:xfrm>
                    <a:prstGeom prst="rect">
                      <a:avLst/>
                    </a:prstGeom>
                    <a:noFill/>
                  </pic:spPr>
                </pic:pic>
              </a:graphicData>
            </a:graphic>
          </wp:anchor>
        </w:drawing>
      </w:r>
    </w:p>
    <w:p>
      <w:pPr>
        <w:spacing w:after="0" w:line="180" w:lineRule="exact"/>
        <w:rPr>
          <w:sz w:val="20"/>
          <w:szCs w:val="20"/>
          <w:color w:val="auto"/>
        </w:rPr>
      </w:pPr>
    </w:p>
    <w:p>
      <w:pPr>
        <w:jc w:val="both"/>
        <w:ind w:left="1840" w:right="1620" w:hanging="483"/>
        <w:spacing w:after="0" w:line="260" w:lineRule="auto"/>
        <w:rPr>
          <w:sz w:val="20"/>
          <w:szCs w:val="20"/>
          <w:color w:val="auto"/>
        </w:rPr>
      </w:pPr>
      <w:r>
        <w:rPr>
          <w:rFonts w:ascii="Times New Roman" w:cs="Times New Roman" w:eastAsia="Times New Roman" w:hAnsi="Times New Roman"/>
          <w:sz w:val="13"/>
          <w:szCs w:val="13"/>
          <w:color w:val="auto"/>
        </w:rPr>
        <w:t>2 Insert date that is one (1) Business Day after the Borrowing Date of the Swingline Advance. The Borrower must provide information for the Swingline Refinancing Advance concurrently in this notice when requesting a Swingline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742315</wp:posOffset>
            </wp:positionV>
            <wp:extent cx="526605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08" w:name="page309"/>
    <w:bookmarkEnd w:id="308"/>
    <w:p>
      <w:pPr>
        <w:spacing w:after="0" w:line="27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This Notice of Borrowing is made this ____ day of ________, 20__.</w:t>
      </w:r>
    </w:p>
    <w:p>
      <w:pPr>
        <w:spacing w:after="0" w:line="18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PennantPark Floating Rate Funding I, LLC, as</w:t>
      </w:r>
    </w:p>
    <w:p>
      <w:pPr>
        <w:spacing w:after="0" w:line="2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Borrower</w:t>
      </w:r>
    </w:p>
    <w:p>
      <w:pPr>
        <w:spacing w:after="0" w:line="171"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6"/>
          <w:szCs w:val="16"/>
          <w:color w:val="auto"/>
        </w:rPr>
        <w:t>By: PennantPark Floating Rate Capital Ltd., as</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Designated Manager</w:t>
      </w:r>
    </w:p>
    <w:p>
      <w:pPr>
        <w:spacing w:after="0" w:line="200" w:lineRule="exact"/>
        <w:rPr>
          <w:sz w:val="20"/>
          <w:szCs w:val="20"/>
          <w:color w:val="auto"/>
        </w:rPr>
      </w:pPr>
    </w:p>
    <w:p>
      <w:pPr>
        <w:spacing w:after="0" w:line="2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749935</wp:posOffset>
            </wp:positionV>
            <wp:extent cx="526605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09" w:name="page310"/>
    <w:bookmarkEnd w:id="309"/>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Schedule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Notice of Borrowing</w:t>
      </w:r>
    </w:p>
    <w:p>
      <w:pPr>
        <w:spacing w:after="0" w:line="17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966470</wp:posOffset>
            </wp:positionV>
            <wp:extent cx="526605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10" w:name="page311"/>
    <w:bookmarkEnd w:id="310"/>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C</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Notice of Prepayment]</w:t>
      </w:r>
    </w:p>
    <w:p>
      <w:pPr>
        <w:spacing w:after="0" w:line="27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5"/>
          <w:szCs w:val="15"/>
          <w:color w:val="auto"/>
        </w:rPr>
        <w:t>[Date]</w:t>
      </w:r>
    </w:p>
    <w:p>
      <w:pPr>
        <w:spacing w:after="0" w:line="2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Truist Bank</w:t>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as Administrative Agent</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303 Peachtree St., NE, 24th Floor</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Atlanta, Georgia 30308</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U.S. Bank Trust Company, National Association</w:t>
      </w:r>
    </w:p>
    <w:p>
      <w:pPr>
        <w:spacing w:after="0" w:line="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as Collateral Agent</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Corporate Trust Services – CDO Unit</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One Federal Street, Third Floor</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Attn: Dave Reale</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Ref: PennantPark Floating Rate Funding I, LLC</w:t>
      </w:r>
    </w:p>
    <w:p>
      <w:pPr>
        <w:spacing w:after="0" w:line="171" w:lineRule="exact"/>
        <w:rPr>
          <w:sz w:val="20"/>
          <w:szCs w:val="20"/>
          <w:color w:val="auto"/>
        </w:rPr>
      </w:pPr>
    </w:p>
    <w:p>
      <w:pPr>
        <w:ind w:left="1360" w:right="1360" w:firstLine="484"/>
        <w:spacing w:after="0" w:line="252" w:lineRule="auto"/>
        <w:rPr>
          <w:sz w:val="20"/>
          <w:szCs w:val="20"/>
          <w:color w:val="auto"/>
        </w:rPr>
      </w:pPr>
      <w:r>
        <w:rPr>
          <w:rFonts w:ascii="Times New Roman" w:cs="Times New Roman" w:eastAsia="Times New Roman" w:hAnsi="Times New Roman"/>
          <w:sz w:val="16"/>
          <w:szCs w:val="16"/>
          <w:color w:val="auto"/>
        </w:rPr>
        <w:t xml:space="preserve">This Notice of Prepayment is made pursuant to Section 2.05 of that certain Revolving Credit and Security Agreement dated as of August 12, 2021 (as the same may from time to time be amended, supplemented, waived or modified, the </w:t>
      </w:r>
      <w:r>
        <w:rPr>
          <w:rFonts w:ascii="Times New Roman" w:cs="Times New Roman" w:eastAsia="Times New Roman" w:hAnsi="Times New Roman"/>
          <w:sz w:val="16"/>
          <w:szCs w:val="16"/>
          <w:i w:val="1"/>
          <w:iCs w:val="1"/>
          <w:color w:val="auto"/>
        </w:rPr>
        <w:t>“Credit Agreement”</w:t>
      </w:r>
      <w:r>
        <w:rPr>
          <w:rFonts w:ascii="Times New Roman" w:cs="Times New Roman" w:eastAsia="Times New Roman" w:hAnsi="Times New Roman"/>
          <w:sz w:val="16"/>
          <w:szCs w:val="16"/>
          <w:color w:val="auto"/>
        </w:rPr>
        <w:t xml:space="preserve">) among PennantPark Floating Rate Funding I, LLC, a Delaware limited liability company, as borrower (together with its permitted successors and assigns, the </w:t>
      </w:r>
      <w:r>
        <w:rPr>
          <w:rFonts w:ascii="Times New Roman" w:cs="Times New Roman" w:eastAsia="Times New Roman" w:hAnsi="Times New Roman"/>
          <w:sz w:val="16"/>
          <w:szCs w:val="16"/>
          <w:i w:val="1"/>
          <w:iCs w:val="1"/>
          <w:color w:val="auto"/>
        </w:rPr>
        <w:t>“Borrower”</w:t>
      </w:r>
      <w:r>
        <w:rPr>
          <w:rFonts w:ascii="Times New Roman" w:cs="Times New Roman" w:eastAsia="Times New Roman" w:hAnsi="Times New Roman"/>
          <w:sz w:val="16"/>
          <w:szCs w:val="16"/>
          <w:color w:val="auto"/>
        </w:rPr>
        <w:t xml:space="preserve">); PennantPark Investment Advisers, LLC, a Delaware limited liability company, as the collateral manager (together with its permitted successors and assigns, the </w:t>
      </w:r>
      <w:r>
        <w:rPr>
          <w:rFonts w:ascii="Times New Roman" w:cs="Times New Roman" w:eastAsia="Times New Roman" w:hAnsi="Times New Roman"/>
          <w:sz w:val="16"/>
          <w:szCs w:val="16"/>
          <w:i w:val="1"/>
          <w:iCs w:val="1"/>
          <w:color w:val="auto"/>
        </w:rPr>
        <w:t>“Collateral Manager”</w:t>
      </w:r>
      <w:r>
        <w:rPr>
          <w:rFonts w:ascii="Times New Roman" w:cs="Times New Roman" w:eastAsia="Times New Roman" w:hAnsi="Times New Roman"/>
          <w:sz w:val="16"/>
          <w:szCs w:val="16"/>
          <w:color w:val="auto"/>
        </w:rPr>
        <w:t xml:space="preserve">), the Lenders from time to time party thereto; Truist Bank, as administrative agent for the Secured Parties (as hereinafter defined) (in such capacity, together with its successors and assigns, the </w:t>
      </w:r>
      <w:r>
        <w:rPr>
          <w:rFonts w:ascii="Times New Roman" w:cs="Times New Roman" w:eastAsia="Times New Roman" w:hAnsi="Times New Roman"/>
          <w:sz w:val="16"/>
          <w:szCs w:val="16"/>
          <w:i w:val="1"/>
          <w:iCs w:val="1"/>
          <w:color w:val="auto"/>
        </w:rPr>
        <w:t>“Administrative Agent”</w:t>
      </w:r>
      <w:r>
        <w:rPr>
          <w:rFonts w:ascii="Times New Roman" w:cs="Times New Roman" w:eastAsia="Times New Roman" w:hAnsi="Times New Roman"/>
          <w:sz w:val="16"/>
          <w:szCs w:val="16"/>
          <w:color w:val="auto"/>
        </w:rPr>
        <w:t>), Truist Bank, as the swingline lender (the “</w:t>
      </w:r>
      <w:r>
        <w:rPr>
          <w:rFonts w:ascii="Times New Roman" w:cs="Times New Roman" w:eastAsia="Times New Roman" w:hAnsi="Times New Roman"/>
          <w:sz w:val="16"/>
          <w:szCs w:val="16"/>
          <w:i w:val="1"/>
          <w:iCs w:val="1"/>
          <w:color w:val="auto"/>
        </w:rPr>
        <w:t>Swingline Lender</w:t>
      </w:r>
      <w:r>
        <w:rPr>
          <w:rFonts w:ascii="Times New Roman" w:cs="Times New Roman" w:eastAsia="Times New Roman" w:hAnsi="Times New Roman"/>
          <w:sz w:val="16"/>
          <w:szCs w:val="16"/>
          <w:color w:val="auto"/>
        </w:rPr>
        <w:t xml:space="preserve">”), U.S. Bank Trust Company, National Association, as successor in interest to U.S. Bank National Association, as collateral agent for the Secured Parties (in such capacity, together with its successors and assigns, the </w:t>
      </w:r>
      <w:r>
        <w:rPr>
          <w:rFonts w:ascii="Times New Roman" w:cs="Times New Roman" w:eastAsia="Times New Roman" w:hAnsi="Times New Roman"/>
          <w:sz w:val="16"/>
          <w:szCs w:val="16"/>
          <w:i w:val="1"/>
          <w:iCs w:val="1"/>
          <w:color w:val="auto"/>
        </w:rPr>
        <w:t>“Collateral Agent”</w:t>
      </w:r>
      <w:r>
        <w:rPr>
          <w:rFonts w:ascii="Times New Roman" w:cs="Times New Roman" w:eastAsia="Times New Roman" w:hAnsi="Times New Roman"/>
          <w:sz w:val="16"/>
          <w:szCs w:val="16"/>
          <w:color w:val="auto"/>
        </w:rPr>
        <w:t>); U.S. Bank National Association, as custodian; U.S. Bank Trust Company, National Association, as successor in interest to U.S. Bank National Association, as collateral administrator, and U.S. Bank Trust Company, National Association, as successor in interest to U.S. Bank National Association, as backup collateral manager. Capitalized terms used but not otherwise defined herein shall have the respective meanings assigned to such terms in the Credit Agreement.</w:t>
      </w:r>
    </w:p>
    <w:p>
      <w:pPr>
        <w:spacing w:after="0" w:line="154" w:lineRule="exact"/>
        <w:rPr>
          <w:sz w:val="20"/>
          <w:szCs w:val="20"/>
          <w:color w:val="auto"/>
        </w:rPr>
      </w:pPr>
    </w:p>
    <w:p>
      <w:pPr>
        <w:ind w:left="1840" w:right="1440" w:firstLine="44"/>
        <w:spacing w:after="0" w:line="263" w:lineRule="auto"/>
        <w:tabs>
          <w:tab w:leader="none" w:pos="2042"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hereby gives notice that on __________, 20__ (the </w:t>
      </w:r>
      <w:r>
        <w:rPr>
          <w:rFonts w:ascii="Times New Roman" w:cs="Times New Roman" w:eastAsia="Times New Roman" w:hAnsi="Times New Roman"/>
          <w:sz w:val="16"/>
          <w:szCs w:val="16"/>
          <w:i w:val="1"/>
          <w:iCs w:val="1"/>
          <w:color w:val="auto"/>
        </w:rPr>
        <w:t>“Prepayment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Date”</w:t>
      </w:r>
      <w:r>
        <w:rPr>
          <w:rFonts w:ascii="Times New Roman" w:cs="Times New Roman" w:eastAsia="Times New Roman" w:hAnsi="Times New Roman"/>
          <w:sz w:val="16"/>
          <w:szCs w:val="16"/>
          <w:color w:val="auto"/>
        </w:rPr>
        <w:t>) it will make a prepayment under the Credit Agreement in the principal amount of</w:t>
      </w:r>
    </w:p>
    <w:p>
      <w:pPr>
        <w:ind w:left="1840" w:right="138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_____________ [USD$] [Euro €] [AUS$] [CAD$] [Pounds Sterling £] (the </w:t>
      </w:r>
      <w:r>
        <w:rPr>
          <w:rFonts w:ascii="Times New Roman" w:cs="Times New Roman" w:eastAsia="Times New Roman" w:hAnsi="Times New Roman"/>
          <w:sz w:val="16"/>
          <w:szCs w:val="16"/>
          <w:i w:val="1"/>
          <w:iCs w:val="1"/>
          <w:color w:val="auto"/>
        </w:rPr>
        <w:t>“Prepayment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Amount”</w:t>
      </w:r>
      <w:r>
        <w:rPr>
          <w:rFonts w:ascii="Times New Roman" w:cs="Times New Roman" w:eastAsia="Times New Roman" w:hAnsi="Times New Roman"/>
          <w:sz w:val="16"/>
          <w:szCs w:val="16"/>
          <w:color w:val="auto"/>
        </w:rPr>
        <w:t>).</w:t>
      </w:r>
    </w:p>
    <w:p>
      <w:pPr>
        <w:spacing w:after="0" w:line="148" w:lineRule="exact"/>
        <w:rPr>
          <w:rFonts w:ascii="Times New Roman" w:cs="Times New Roman" w:eastAsia="Times New Roman" w:hAnsi="Times New Roman"/>
          <w:sz w:val="16"/>
          <w:szCs w:val="16"/>
          <w:color w:val="auto"/>
        </w:rPr>
      </w:pPr>
    </w:p>
    <w:p>
      <w:pPr>
        <w:jc w:val="both"/>
        <w:ind w:left="1840" w:right="1500" w:firstLine="44"/>
        <w:spacing w:after="0" w:line="266" w:lineRule="auto"/>
        <w:tabs>
          <w:tab w:leader="none" w:pos="2042"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hereby gives notice of intent to prepay an aggregate principal amount equal to the Prepayment Amount to the Collateral Agent pursuant to Section 2.05 of the Credit Agreement and will remit, or cause to be remitted, the proceeds thereof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636905</wp:posOffset>
            </wp:positionV>
            <wp:extent cx="526605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11" w:name="page312"/>
    <w:bookmarkEnd w:id="311"/>
    <w:p>
      <w:pPr>
        <w:spacing w:after="0" w:line="270" w:lineRule="exact"/>
        <w:rPr>
          <w:sz w:val="20"/>
          <w:szCs w:val="20"/>
          <w:color w:val="auto"/>
        </w:rPr>
      </w:pPr>
    </w:p>
    <w:p>
      <w:pPr>
        <w:ind w:left="1840" w:right="1800"/>
        <w:spacing w:after="0" w:line="283" w:lineRule="auto"/>
        <w:rPr>
          <w:sz w:val="20"/>
          <w:szCs w:val="20"/>
          <w:color w:val="auto"/>
        </w:rPr>
      </w:pPr>
      <w:r>
        <w:rPr>
          <w:rFonts w:ascii="Times New Roman" w:cs="Times New Roman" w:eastAsia="Times New Roman" w:hAnsi="Times New Roman"/>
          <w:sz w:val="16"/>
          <w:szCs w:val="16"/>
          <w:color w:val="auto"/>
        </w:rPr>
        <w:t>Agent’s Account. The calculation of the Coverage Tests after giving effect to such prepayment is set forth in Schedule I hereto.</w:t>
      </w:r>
    </w:p>
    <w:p>
      <w:pPr>
        <w:spacing w:after="0" w:line="8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664845</wp:posOffset>
            </wp:positionV>
            <wp:extent cx="526605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12" w:name="page313"/>
    <w:bookmarkEnd w:id="312"/>
    <w:p>
      <w:pPr>
        <w:spacing w:after="0" w:line="27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Witness my hand on this ____ day of ___________, 20__.</w:t>
      </w:r>
    </w:p>
    <w:p>
      <w:pPr>
        <w:spacing w:after="0" w:line="18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PennantPark Floating Rate Funding I, LLC, as</w:t>
      </w:r>
    </w:p>
    <w:p>
      <w:pPr>
        <w:spacing w:after="0" w:line="2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Borrower</w:t>
      </w:r>
    </w:p>
    <w:p>
      <w:pPr>
        <w:spacing w:after="0" w:line="171"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6"/>
          <w:szCs w:val="16"/>
          <w:color w:val="auto"/>
        </w:rPr>
        <w:t>By: PennantPark Floating Rate Capital Ltd., as</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Designated Manager</w:t>
      </w:r>
    </w:p>
    <w:p>
      <w:pPr>
        <w:spacing w:after="0" w:line="200" w:lineRule="exact"/>
        <w:rPr>
          <w:sz w:val="20"/>
          <w:szCs w:val="20"/>
          <w:color w:val="auto"/>
        </w:rPr>
      </w:pPr>
    </w:p>
    <w:p>
      <w:pPr>
        <w:spacing w:after="0" w:line="2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653415</wp:posOffset>
            </wp:positionV>
            <wp:extent cx="526605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13" w:name="page314"/>
    <w:bookmarkEnd w:id="313"/>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Schedule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Calculation of Coverage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756920</wp:posOffset>
            </wp:positionV>
            <wp:extent cx="526605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14" w:name="page315"/>
    <w:bookmarkEnd w:id="314"/>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Assignment and Acceptance]</w:t>
      </w:r>
    </w:p>
    <w:p>
      <w:pPr>
        <w:spacing w:after="0" w:line="189" w:lineRule="exact"/>
        <w:rPr>
          <w:sz w:val="20"/>
          <w:szCs w:val="20"/>
          <w:color w:val="auto"/>
        </w:rPr>
      </w:pPr>
    </w:p>
    <w:p>
      <w:pPr>
        <w:ind w:left="1360" w:right="1380" w:firstLine="484"/>
        <w:spacing w:after="0" w:line="252" w:lineRule="auto"/>
        <w:rPr>
          <w:sz w:val="20"/>
          <w:szCs w:val="20"/>
          <w:color w:val="auto"/>
        </w:rPr>
      </w:pPr>
      <w:r>
        <w:rPr>
          <w:rFonts w:ascii="Times New Roman" w:cs="Times New Roman" w:eastAsia="Times New Roman" w:hAnsi="Times New Roman"/>
          <w:sz w:val="16"/>
          <w:szCs w:val="16"/>
          <w:color w:val="auto"/>
        </w:rPr>
        <w:t xml:space="preserve">Reference is made to the Revolving Credit and Security Agreement dated as of August 12, 2021 (as the same may from time to time be amended, supplemented, waived or modified, the </w:t>
      </w:r>
      <w:r>
        <w:rPr>
          <w:rFonts w:ascii="Times New Roman" w:cs="Times New Roman" w:eastAsia="Times New Roman" w:hAnsi="Times New Roman"/>
          <w:sz w:val="16"/>
          <w:szCs w:val="16"/>
          <w:i w:val="1"/>
          <w:iCs w:val="1"/>
          <w:color w:val="auto"/>
        </w:rPr>
        <w:t>“Credit Agreement”</w:t>
      </w:r>
      <w:r>
        <w:rPr>
          <w:rFonts w:ascii="Times New Roman" w:cs="Times New Roman" w:eastAsia="Times New Roman" w:hAnsi="Times New Roman"/>
          <w:sz w:val="16"/>
          <w:szCs w:val="16"/>
          <w:color w:val="auto"/>
        </w:rPr>
        <w:t xml:space="preserve">) among [Insert Name of Assigning Lender] (the </w:t>
      </w:r>
      <w:r>
        <w:rPr>
          <w:rFonts w:ascii="Times New Roman" w:cs="Times New Roman" w:eastAsia="Times New Roman" w:hAnsi="Times New Roman"/>
          <w:sz w:val="16"/>
          <w:szCs w:val="16"/>
          <w:i w:val="1"/>
          <w:iCs w:val="1"/>
          <w:color w:val="auto"/>
        </w:rPr>
        <w:t>“Assignor”</w:t>
      </w:r>
      <w:r>
        <w:rPr>
          <w:rFonts w:ascii="Times New Roman" w:cs="Times New Roman" w:eastAsia="Times New Roman" w:hAnsi="Times New Roman"/>
          <w:sz w:val="16"/>
          <w:szCs w:val="16"/>
          <w:color w:val="auto"/>
        </w:rPr>
        <w:t xml:space="preserve"> ), PennantPark Floating Rate Funding I, LLC, a Delaware limited liability company, as borrower (together with its permitted successors and assigns, the </w:t>
      </w:r>
      <w:r>
        <w:rPr>
          <w:rFonts w:ascii="Times New Roman" w:cs="Times New Roman" w:eastAsia="Times New Roman" w:hAnsi="Times New Roman"/>
          <w:sz w:val="16"/>
          <w:szCs w:val="16"/>
          <w:i w:val="1"/>
          <w:iCs w:val="1"/>
          <w:color w:val="auto"/>
        </w:rPr>
        <w:t>“Borrower”</w:t>
      </w:r>
      <w:r>
        <w:rPr>
          <w:rFonts w:ascii="Times New Roman" w:cs="Times New Roman" w:eastAsia="Times New Roman" w:hAnsi="Times New Roman"/>
          <w:sz w:val="16"/>
          <w:szCs w:val="16"/>
          <w:color w:val="auto"/>
        </w:rPr>
        <w:t xml:space="preserve">); PennantPark Investment Advisers, LLC, a Delaware limited liability company, as the collateral manager (together with its permitted successors and assigns, the </w:t>
      </w:r>
      <w:r>
        <w:rPr>
          <w:rFonts w:ascii="Times New Roman" w:cs="Times New Roman" w:eastAsia="Times New Roman" w:hAnsi="Times New Roman"/>
          <w:sz w:val="16"/>
          <w:szCs w:val="16"/>
          <w:i w:val="1"/>
          <w:iCs w:val="1"/>
          <w:color w:val="auto"/>
        </w:rPr>
        <w:t>“Collateral Manager”</w:t>
      </w:r>
      <w:r>
        <w:rPr>
          <w:rFonts w:ascii="Times New Roman" w:cs="Times New Roman" w:eastAsia="Times New Roman" w:hAnsi="Times New Roman"/>
          <w:sz w:val="16"/>
          <w:szCs w:val="16"/>
          <w:color w:val="auto"/>
        </w:rPr>
        <w:t xml:space="preserve">), the Lenders from time to time party thereto; Truist Bank, as administrative agent for the Secured Parties (as hereinafter defined) (in such capacity, together with its successors and assigns, the </w:t>
      </w:r>
      <w:r>
        <w:rPr>
          <w:rFonts w:ascii="Times New Roman" w:cs="Times New Roman" w:eastAsia="Times New Roman" w:hAnsi="Times New Roman"/>
          <w:sz w:val="16"/>
          <w:szCs w:val="16"/>
          <w:i w:val="1"/>
          <w:iCs w:val="1"/>
          <w:color w:val="auto"/>
        </w:rPr>
        <w:t>“Administrative Agent”</w:t>
      </w:r>
      <w:r>
        <w:rPr>
          <w:rFonts w:ascii="Times New Roman" w:cs="Times New Roman" w:eastAsia="Times New Roman" w:hAnsi="Times New Roman"/>
          <w:sz w:val="16"/>
          <w:szCs w:val="16"/>
          <w:color w:val="auto"/>
        </w:rPr>
        <w:t>), Truist Bank, as the swingline lender (the “</w:t>
      </w:r>
      <w:r>
        <w:rPr>
          <w:rFonts w:ascii="Times New Roman" w:cs="Times New Roman" w:eastAsia="Times New Roman" w:hAnsi="Times New Roman"/>
          <w:sz w:val="16"/>
          <w:szCs w:val="16"/>
          <w:i w:val="1"/>
          <w:iCs w:val="1"/>
          <w:color w:val="auto"/>
        </w:rPr>
        <w:t>Swingline Lender</w:t>
      </w:r>
      <w:r>
        <w:rPr>
          <w:rFonts w:ascii="Times New Roman" w:cs="Times New Roman" w:eastAsia="Times New Roman" w:hAnsi="Times New Roman"/>
          <w:sz w:val="16"/>
          <w:szCs w:val="16"/>
          <w:color w:val="auto"/>
        </w:rPr>
        <w:t xml:space="preserve">”), U.S. Bank Trust Company, National Association, as successor in interest to U.S. Bank National Association, as collateral agent for the Secured Parties (in such capacity, together with its successors and assigns, the </w:t>
      </w:r>
      <w:r>
        <w:rPr>
          <w:rFonts w:ascii="Times New Roman" w:cs="Times New Roman" w:eastAsia="Times New Roman" w:hAnsi="Times New Roman"/>
          <w:sz w:val="16"/>
          <w:szCs w:val="16"/>
          <w:i w:val="1"/>
          <w:iCs w:val="1"/>
          <w:color w:val="auto"/>
        </w:rPr>
        <w:t>“Collateral Agent”</w:t>
      </w:r>
      <w:r>
        <w:rPr>
          <w:rFonts w:ascii="Times New Roman" w:cs="Times New Roman" w:eastAsia="Times New Roman" w:hAnsi="Times New Roman"/>
          <w:sz w:val="16"/>
          <w:szCs w:val="16"/>
          <w:color w:val="auto"/>
        </w:rPr>
        <w:t>); U.S. Bank National Association, as custodian; U.S. Bank Trust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National Association, as successor in interest to U.S. Bank National Association, as collateral administrator, and U.S. Bank Trust Company, National Association, as successor in interest to U.S. Bank National Association, as backup collateral manager. Capitalized terms used but not otherwise defined herein shall have the respective meanings assigned to such terms in the Credit Agreement.</w:t>
      </w: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The Assignor and the “Assignee” referred to on Schedule I hereto agree as follows:</w:t>
      </w:r>
    </w:p>
    <w:p>
      <w:pPr>
        <w:spacing w:after="0" w:line="189" w:lineRule="exact"/>
        <w:rPr>
          <w:sz w:val="20"/>
          <w:szCs w:val="20"/>
          <w:color w:val="auto"/>
        </w:rPr>
      </w:pPr>
    </w:p>
    <w:p>
      <w:pPr>
        <w:ind w:left="1840" w:right="1460" w:firstLine="44"/>
        <w:spacing w:after="0" w:line="253" w:lineRule="auto"/>
        <w:tabs>
          <w:tab w:leader="none" w:pos="2042"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the Effective Date (as defined below), the Assignor hereby absolutely and unconditionally sells and assigns, without recourse, to the Assignee, and the Assignee hereby purchases and assumes, without recourse to or representation of any kind (except as set forth below) from Assignor, an interest in and to the Assignor’s rights and obligations under the Credit Agreement and under the other Facility Documents equal to the percentage interest specified on Schedule I hereto, including the Assignor’s percentage interest specified on Schedule I hereto of the outstanding principal amount of the Advances to the Borrower (such rights and obligations assigned hereby being the </w:t>
      </w:r>
      <w:r>
        <w:rPr>
          <w:rFonts w:ascii="Times New Roman" w:cs="Times New Roman" w:eastAsia="Times New Roman" w:hAnsi="Times New Roman"/>
          <w:sz w:val="16"/>
          <w:szCs w:val="16"/>
          <w:i w:val="1"/>
          <w:iCs w:val="1"/>
          <w:color w:val="auto"/>
        </w:rPr>
        <w:t>“Assigned Interests”</w:t>
      </w:r>
      <w:r>
        <w:rPr>
          <w:rFonts w:ascii="Times New Roman" w:cs="Times New Roman" w:eastAsia="Times New Roman" w:hAnsi="Times New Roman"/>
          <w:sz w:val="16"/>
          <w:szCs w:val="16"/>
          <w:color w:val="auto"/>
        </w:rPr>
        <w:t>). After giving effect to such sale, assignment and acceptance,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Assignee’s “Percentage” will be as set forth on Schedule I hereto.</w:t>
      </w:r>
    </w:p>
    <w:p>
      <w:pPr>
        <w:spacing w:after="0" w:line="159" w:lineRule="exact"/>
        <w:rPr>
          <w:rFonts w:ascii="Times New Roman" w:cs="Times New Roman" w:eastAsia="Times New Roman" w:hAnsi="Times New Roman"/>
          <w:sz w:val="16"/>
          <w:szCs w:val="16"/>
          <w:color w:val="auto"/>
        </w:rPr>
      </w:pPr>
    </w:p>
    <w:p>
      <w:pPr>
        <w:ind w:left="1840" w:right="1480" w:firstLine="44"/>
        <w:spacing w:after="0" w:line="253" w:lineRule="auto"/>
        <w:tabs>
          <w:tab w:leader="none" w:pos="2042"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Assignor (i) represents and warrants that immediately prior to the Effective Date it is the legal and beneficial owner of the Assigned Interest free and clear of any Lien created by the Assignor; (ii) makes no representation or warranty and assumes no responsibility with respect to any statements, warranties or representations made in or in connection with the Facility Documents or the execution, legality, validity, enforceability, genuineness, sufficiency or value of, or the perfection or priority of any lien or security or ownership interest created or purported to be created under or in connection with, the Facility Documents or any other instrument or document furnished pursuant thereto or the condition or value of the Assigned Interest, Collateral relating to the Borrower, or any interest therein; and (iii) makes no representation or warranty and assumes no responsibility with respect to the condition (financial or otherwise) of the Borrower,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643255</wp:posOffset>
            </wp:positionV>
            <wp:extent cx="526605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15" w:name="page316"/>
    <w:bookmarkEnd w:id="315"/>
    <w:p>
      <w:pPr>
        <w:spacing w:after="0" w:line="270" w:lineRule="exact"/>
        <w:rPr>
          <w:sz w:val="20"/>
          <w:szCs w:val="20"/>
          <w:color w:val="auto"/>
        </w:rPr>
      </w:pPr>
    </w:p>
    <w:p>
      <w:pPr>
        <w:ind w:left="1840" w:right="1420"/>
        <w:spacing w:after="0" w:line="266" w:lineRule="auto"/>
        <w:rPr>
          <w:sz w:val="20"/>
          <w:szCs w:val="20"/>
          <w:color w:val="auto"/>
        </w:rPr>
      </w:pPr>
      <w:r>
        <w:rPr>
          <w:rFonts w:ascii="Times New Roman" w:cs="Times New Roman" w:eastAsia="Times New Roman" w:hAnsi="Times New Roman"/>
          <w:sz w:val="16"/>
          <w:szCs w:val="16"/>
          <w:color w:val="auto"/>
        </w:rPr>
        <w:t>Administrative Agent, the Collateral Manager or any other Person, or the performance or observance by any Person of any of its obligations under any Facility Document or any instrument or document furnished pursuant thereto.</w:t>
      </w:r>
    </w:p>
    <w:p>
      <w:pPr>
        <w:spacing w:after="0" w:line="145" w:lineRule="exact"/>
        <w:rPr>
          <w:sz w:val="20"/>
          <w:szCs w:val="20"/>
          <w:color w:val="auto"/>
        </w:rPr>
      </w:pPr>
    </w:p>
    <w:p>
      <w:pPr>
        <w:ind w:left="1840" w:right="1440" w:firstLine="44"/>
        <w:spacing w:after="0" w:line="252" w:lineRule="auto"/>
        <w:tabs>
          <w:tab w:leader="none" w:pos="2042"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Assignee (i) confirms that it has received a copy of the Credit Agreement and the other Facility Documents, together with copies of any financial statements delivered pursuant to Section 5.01 of the Credit Agreement and such other documents and information as it has deemed appropriate to make its own credit analysis and decision to enter into this Assignment and Acceptance; (ii)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or in connection with any of the Facility Documents; (iii) appoints and authorizes the Administrative Agent to take such action as agent on its behalf and to exercise such powers and discretion under the Facility Documents as are delegated to the Administrative Agent by the terms thereof, together with such powers and discretion as are reasonably incidental thereto; and (iv) agrees that it will perform in accordance with their terms all of the obligations that by the terms of the Facility Documents are required to be performed by it as a Lender.</w:t>
      </w:r>
    </w:p>
    <w:p>
      <w:pPr>
        <w:spacing w:after="0" w:line="159" w:lineRule="exact"/>
        <w:rPr>
          <w:rFonts w:ascii="Times New Roman" w:cs="Times New Roman" w:eastAsia="Times New Roman" w:hAnsi="Times New Roman"/>
          <w:sz w:val="16"/>
          <w:szCs w:val="16"/>
          <w:color w:val="auto"/>
        </w:rPr>
      </w:pPr>
    </w:p>
    <w:p>
      <w:pPr>
        <w:ind w:left="1840" w:right="1380" w:firstLine="44"/>
        <w:spacing w:after="0" w:line="258" w:lineRule="auto"/>
        <w:tabs>
          <w:tab w:leader="none" w:pos="2042"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Assignee, by checking the box below, (i) acknowledges that it is required to be a Qualified Purchaser for purposes of the Investment Company Act at the time it becomes a Lender and on each date on which an Advance is made under the Credit Agreement and (ii) represents and warrants to the Assignor, the Borrower and the Agents that the Assignee is a Qualified Purchaser:</w:t>
      </w:r>
    </w:p>
    <w:p>
      <w:pPr>
        <w:spacing w:after="0" w:line="151" w:lineRule="exact"/>
        <w:rPr>
          <w:sz w:val="20"/>
          <w:szCs w:val="20"/>
          <w:color w:val="auto"/>
        </w:rPr>
      </w:pPr>
    </w:p>
    <w:p>
      <w:pPr>
        <w:ind w:left="2820" w:right="1380" w:hanging="443"/>
        <w:spacing w:after="0" w:line="283" w:lineRule="auto"/>
        <w:rPr>
          <w:sz w:val="20"/>
          <w:szCs w:val="20"/>
          <w:color w:val="auto"/>
        </w:rPr>
      </w:pPr>
      <w:r>
        <w:rPr>
          <w:rFonts w:ascii="Times New Roman" w:cs="Times New Roman" w:eastAsia="Times New Roman" w:hAnsi="Times New Roman"/>
          <w:sz w:val="16"/>
          <w:szCs w:val="16"/>
          <w:color w:val="auto"/>
        </w:rPr>
        <w:t>FORMCHECKBOX By checking this box, the Assignee represents and warrants that it is a Qualified Purchaser.</w:t>
      </w:r>
    </w:p>
    <w:p>
      <w:pPr>
        <w:spacing w:after="0" w:line="131" w:lineRule="exact"/>
        <w:rPr>
          <w:sz w:val="20"/>
          <w:szCs w:val="20"/>
          <w:color w:val="auto"/>
        </w:rPr>
      </w:pPr>
    </w:p>
    <w:p>
      <w:pPr>
        <w:ind w:left="1840" w:right="1380" w:firstLine="44"/>
        <w:spacing w:after="0" w:line="258" w:lineRule="auto"/>
        <w:tabs>
          <w:tab w:leader="none" w:pos="2042"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Following the execution of this Assignment and Acceptance, it will be delivered to the Administrative Agent for acceptance and recording by the Administrative Agent. The effective date for this Assignment and Acceptance (the </w:t>
      </w:r>
      <w:r>
        <w:rPr>
          <w:rFonts w:ascii="Times New Roman" w:cs="Times New Roman" w:eastAsia="Times New Roman" w:hAnsi="Times New Roman"/>
          <w:sz w:val="16"/>
          <w:szCs w:val="16"/>
          <w:i w:val="1"/>
          <w:iCs w:val="1"/>
          <w:color w:val="auto"/>
        </w:rPr>
        <w:t>“Effective Date”</w:t>
      </w:r>
      <w:r>
        <w:rPr>
          <w:rFonts w:ascii="Times New Roman" w:cs="Times New Roman" w:eastAsia="Times New Roman" w:hAnsi="Times New Roman"/>
          <w:sz w:val="16"/>
          <w:szCs w:val="16"/>
          <w:color w:val="auto"/>
        </w:rPr>
        <w:t>) shall be the date of acceptance hereof by the Administrative Agent, unless a later effective date is specified on Schedule I hereto.</w:t>
      </w:r>
    </w:p>
    <w:p>
      <w:pPr>
        <w:spacing w:after="0" w:line="151" w:lineRule="exact"/>
        <w:rPr>
          <w:rFonts w:ascii="Times New Roman" w:cs="Times New Roman" w:eastAsia="Times New Roman" w:hAnsi="Times New Roman"/>
          <w:sz w:val="16"/>
          <w:szCs w:val="16"/>
          <w:color w:val="auto"/>
        </w:rPr>
      </w:pPr>
    </w:p>
    <w:p>
      <w:pPr>
        <w:ind w:left="1840" w:right="1420" w:firstLine="44"/>
        <w:spacing w:after="0" w:line="254" w:lineRule="auto"/>
        <w:tabs>
          <w:tab w:leader="none" w:pos="2042"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such acceptance and recording by the Administrative Agent, as of the Effective Date, (i) the Assignee shall be a party to and bound by the provisions of the Credit Agreement and, to the extent provided in this Assignment and Acceptance, have the rights and obligations of a Lender thereunder and under any other Facility Document, (ii) without limiting the generality of the foregoing, the Assignee expressly acknowledges and agrees to its obligations of indemnification to the Agents pursuant to and as provided in Section 15.04 thereof, and (iii) the Assignor shall, to the extent provided in this Assignment and Acceptance, relinquish its rights and be released from its obligations under the Credit Agreement and under any other Facility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643255</wp:posOffset>
            </wp:positionV>
            <wp:extent cx="526605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16" w:name="page317"/>
    <w:bookmarkEnd w:id="316"/>
    <w:p>
      <w:pPr>
        <w:spacing w:after="0" w:line="270" w:lineRule="exact"/>
        <w:rPr>
          <w:sz w:val="20"/>
          <w:szCs w:val="20"/>
          <w:color w:val="auto"/>
        </w:rPr>
      </w:pPr>
    </w:p>
    <w:p>
      <w:pPr>
        <w:ind w:left="1840" w:right="1480" w:firstLine="44"/>
        <w:spacing w:after="0" w:line="258" w:lineRule="auto"/>
        <w:tabs>
          <w:tab w:leader="none" w:pos="2042"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such acceptance and recording by the Administrative Agent, from and after the Effective Date, the Borrower shall make all payments under the Credit Agreement in respect of the Assigned Interest to the Assignee. The Assignor and Assignee shall make all appropriate adjustments in payments under the Credit Agreement and the Assigned Interests for periods prior to the Effective Date directly between themselves.</w:t>
      </w:r>
    </w:p>
    <w:p>
      <w:pPr>
        <w:spacing w:after="0" w:line="151" w:lineRule="exact"/>
        <w:rPr>
          <w:rFonts w:ascii="Times New Roman" w:cs="Times New Roman" w:eastAsia="Times New Roman" w:hAnsi="Times New Roman"/>
          <w:sz w:val="16"/>
          <w:szCs w:val="16"/>
          <w:color w:val="auto"/>
        </w:rPr>
      </w:pPr>
    </w:p>
    <w:p>
      <w:pPr>
        <w:ind w:left="1840" w:right="1520" w:firstLine="44"/>
        <w:spacing w:after="0" w:line="283" w:lineRule="auto"/>
        <w:tabs>
          <w:tab w:leader="none" w:pos="2042"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Assignment and Acceptance shall be governed by, and construed in accordance with, the internal laws of the State of New York.</w:t>
      </w:r>
    </w:p>
    <w:p>
      <w:pPr>
        <w:spacing w:after="0" w:line="131" w:lineRule="exact"/>
        <w:rPr>
          <w:rFonts w:ascii="Times New Roman" w:cs="Times New Roman" w:eastAsia="Times New Roman" w:hAnsi="Times New Roman"/>
          <w:sz w:val="16"/>
          <w:szCs w:val="16"/>
          <w:color w:val="auto"/>
        </w:rPr>
      </w:pPr>
    </w:p>
    <w:p>
      <w:pPr>
        <w:ind w:left="1840" w:right="1420" w:firstLine="44"/>
        <w:spacing w:after="0" w:line="256" w:lineRule="auto"/>
        <w:tabs>
          <w:tab w:leader="none" w:pos="2042"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I to this Assignment and Acceptance by telecopier shall be effective as a delivery of a manually executed counterpart of this Assignment and Acceptance.</w:t>
      </w:r>
    </w:p>
    <w:p>
      <w:pPr>
        <w:spacing w:after="0" w:line="154" w:lineRule="exact"/>
        <w:rPr>
          <w:sz w:val="20"/>
          <w:szCs w:val="20"/>
          <w:color w:val="auto"/>
        </w:rPr>
      </w:pPr>
    </w:p>
    <w:p>
      <w:pPr>
        <w:ind w:left="1360" w:right="1500" w:firstLine="484"/>
        <w:spacing w:after="0" w:line="266" w:lineRule="auto"/>
        <w:rPr>
          <w:sz w:val="20"/>
          <w:szCs w:val="20"/>
          <w:color w:val="auto"/>
        </w:rPr>
      </w:pPr>
      <w:r>
        <w:rPr>
          <w:rFonts w:ascii="Times New Roman" w:cs="Times New Roman" w:eastAsia="Times New Roman" w:hAnsi="Times New Roman"/>
          <w:sz w:val="16"/>
          <w:szCs w:val="16"/>
          <w:color w:val="auto"/>
        </w:rPr>
        <w:t>In Witness Whereof, the Assignor and the Assignee have caused Schedule I to this Assignment and Acceptance to be executed by their officers thereunto duly authorized as of the date specified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758825</wp:posOffset>
            </wp:positionV>
            <wp:extent cx="526605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17" w:name="page318"/>
    <w:bookmarkEnd w:id="317"/>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Schedule I</w:t>
      </w:r>
    </w:p>
    <w:p>
      <w:pPr>
        <w:spacing w:after="0" w:line="18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Percentage interest transferred by Assignor: __________%</w:t>
      </w:r>
    </w:p>
    <w:p>
      <w:pPr>
        <w:spacing w:after="0" w:line="16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Assignor:</w:t>
      </w:r>
    </w:p>
    <w:p>
      <w:pPr>
        <w:spacing w:after="0" w:line="169" w:lineRule="exact"/>
        <w:rPr>
          <w:sz w:val="20"/>
          <w:szCs w:val="20"/>
          <w:color w:val="auto"/>
        </w:rPr>
      </w:pPr>
    </w:p>
    <w:p>
      <w:pPr>
        <w:jc w:val="right"/>
        <w:ind w:right="1960"/>
        <w:spacing w:after="0"/>
        <w:rPr>
          <w:sz w:val="20"/>
          <w:szCs w:val="20"/>
          <w:color w:val="auto"/>
        </w:rPr>
      </w:pPr>
      <w:r>
        <w:rPr>
          <w:rFonts w:ascii="Times New Roman" w:cs="Times New Roman" w:eastAsia="Times New Roman" w:hAnsi="Times New Roman"/>
          <w:sz w:val="16"/>
          <w:szCs w:val="16"/>
          <w:color w:val="auto"/>
        </w:rPr>
        <w:t>[Insert Name Of Assignor], as Assignor</w:t>
      </w:r>
    </w:p>
    <w:p>
      <w:pPr>
        <w:spacing w:after="0" w:line="3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15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Assignee:</w:t>
      </w:r>
    </w:p>
    <w:p>
      <w:pPr>
        <w:spacing w:after="0" w:line="16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[Insert Name of Assignee] as Assignee</w:t>
      </w:r>
    </w:p>
    <w:p>
      <w:pPr>
        <w:spacing w:after="0" w:line="3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Accepted this ___ day of __________, 20__</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Truist Bank, as Administrative Agent</w:t>
      </w:r>
    </w:p>
    <w:p>
      <w:pPr>
        <w:spacing w:after="0" w:line="3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20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[Consented to this ___ day of _________, 20__</w:t>
      </w:r>
    </w:p>
    <w:p>
      <w:pPr>
        <w:spacing w:after="0" w:line="18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PennantPark Floating Rate Funding I, LLC, as</w:t>
      </w:r>
    </w:p>
    <w:p>
      <w:pPr>
        <w:spacing w:after="0" w:line="2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color w:val="auto"/>
        </w:rPr>
        <w:t>Borrower</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By: PennantPark Floating Rate Capital Ltd., as</w:t>
      </w:r>
    </w:p>
    <w:p>
      <w:pPr>
        <w:spacing w:after="0" w:line="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Designated Manager</w:t>
      </w:r>
    </w:p>
    <w:p>
      <w:pPr>
        <w:spacing w:after="0" w:line="200" w:lineRule="exact"/>
        <w:rPr>
          <w:sz w:val="20"/>
          <w:szCs w:val="20"/>
          <w:color w:val="auto"/>
        </w:rPr>
      </w:pPr>
    </w:p>
    <w:p>
      <w:pPr>
        <w:spacing w:after="0" w:line="21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Name:</w:t>
      </w:r>
    </w:p>
    <w:p>
      <w:pPr>
        <w:spacing w:after="0" w:line="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 xml:space="preserve">Title: </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76835</wp:posOffset>
            </wp:positionV>
            <wp:extent cx="1268095" cy="444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9">
                      <a:extLst>
                        <a:ext uri="{28A0092B-C50C-407E-A947-70E740481C1C}"/>
                      </a:extLst>
                    </a:blip>
                    <a:srcRect/>
                    <a:stretch>
                      <a:fillRect/>
                    </a:stretch>
                  </pic:blipFill>
                  <pic:spPr bwMode="auto">
                    <a:xfrm>
                      <a:off x="0" y="0"/>
                      <a:ext cx="1268095" cy="44450"/>
                    </a:xfrm>
                    <a:prstGeom prst="rect">
                      <a:avLst/>
                    </a:prstGeom>
                    <a:noFill/>
                  </pic:spPr>
                </pic:pic>
              </a:graphicData>
            </a:graphic>
          </wp:anchor>
        </w:drawing>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3"/>
          <w:szCs w:val="13"/>
          <w:color w:val="auto"/>
        </w:rPr>
        <w:t xml:space="preserve"> Insert in an Assignment and Acceptance if Borrower consent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700405</wp:posOffset>
            </wp:positionV>
            <wp:extent cx="526605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18" w:name="page319"/>
    <w:bookmarkEnd w:id="318"/>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Account Control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Account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915035</wp:posOffset>
            </wp:positionV>
            <wp:extent cx="526605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19" w:name="page320"/>
    <w:bookmarkEnd w:id="319"/>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F</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Facility Amount Increase Request]</w:t>
      </w:r>
    </w:p>
    <w:p>
      <w:pPr>
        <w:spacing w:after="0" w:line="25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color w:val="auto"/>
        </w:rPr>
        <w:t>_____________, 20___</w:t>
      </w:r>
    </w:p>
    <w:p>
      <w:pPr>
        <w:spacing w:after="0" w:line="18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To: Truist Bank, as Administrative Agent for the Lenders parties to</w:t>
      </w:r>
    </w:p>
    <w:p>
      <w:pPr>
        <w:spacing w:after="0" w:line="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the Revolving Credit and Security Agreement dated as of</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August 12, 2021 (as extended, renewed, amended or</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 xml:space="preserve">restated from time to time, the </w:t>
      </w:r>
      <w:r>
        <w:rPr>
          <w:rFonts w:ascii="Times New Roman" w:cs="Times New Roman" w:eastAsia="Times New Roman" w:hAnsi="Times New Roman"/>
          <w:sz w:val="16"/>
          <w:szCs w:val="16"/>
          <w:i w:val="1"/>
          <w:iCs w:val="1"/>
          <w:color w:val="auto"/>
        </w:rPr>
        <w:t>“Credit Agreement”</w:t>
      </w:r>
      <w:r>
        <w:rPr>
          <w:rFonts w:ascii="Times New Roman" w:cs="Times New Roman" w:eastAsia="Times New Roman" w:hAnsi="Times New Roman"/>
          <w:sz w:val="16"/>
          <w:szCs w:val="16"/>
          <w:color w:val="auto"/>
        </w:rPr>
        <w:t>),</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among PennantPark Floating Rate Funding I, LLC, a</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Delaware limited liability company, as borrower (together</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 xml:space="preserve">with its permitted successors and assigns, the </w:t>
      </w:r>
      <w:r>
        <w:rPr>
          <w:rFonts w:ascii="Times New Roman" w:cs="Times New Roman" w:eastAsia="Times New Roman" w:hAnsi="Times New Roman"/>
          <w:sz w:val="16"/>
          <w:szCs w:val="16"/>
          <w:i w:val="1"/>
          <w:iCs w:val="1"/>
          <w:color w:val="auto"/>
        </w:rPr>
        <w:t>“Borrower”</w:t>
      </w:r>
      <w:r>
        <w:rPr>
          <w:rFonts w:ascii="Times New Roman" w:cs="Times New Roman" w:eastAsia="Times New Roman" w:hAnsi="Times New Roman"/>
          <w:sz w:val="16"/>
          <w:szCs w:val="16"/>
          <w:color w:val="auto"/>
        </w:rPr>
        <w:t>);</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PennantPark Investment Advisers, LLC, a Delaware limited</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liability company, as the collateral manager (together with</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 xml:space="preserve">its permitted successors and assigns, the </w:t>
      </w:r>
      <w:r>
        <w:rPr>
          <w:rFonts w:ascii="Times New Roman" w:cs="Times New Roman" w:eastAsia="Times New Roman" w:hAnsi="Times New Roman"/>
          <w:sz w:val="16"/>
          <w:szCs w:val="16"/>
          <w:i w:val="1"/>
          <w:iCs w:val="1"/>
          <w:color w:val="auto"/>
        </w:rPr>
        <w:t>“Collateral</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Manager”</w:t>
      </w:r>
      <w:r>
        <w:rPr>
          <w:rFonts w:ascii="Times New Roman" w:cs="Times New Roman" w:eastAsia="Times New Roman" w:hAnsi="Times New Roman"/>
          <w:sz w:val="16"/>
          <w:szCs w:val="16"/>
          <w:color w:val="auto"/>
        </w:rPr>
        <w:t>), the Lenders from time to time party thereto;</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Truist Bank, as administrative agent (in such capacity,</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together with its successors and assigns, the</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“Administrative Agent”</w:t>
      </w:r>
      <w:r>
        <w:rPr>
          <w:rFonts w:ascii="Times New Roman" w:cs="Times New Roman" w:eastAsia="Times New Roman" w:hAnsi="Times New Roman"/>
          <w:sz w:val="16"/>
          <w:szCs w:val="16"/>
          <w:color w:val="auto"/>
        </w:rPr>
        <w:t>), Truist Bank, as the swingline</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lender (the “</w:t>
      </w:r>
      <w:r>
        <w:rPr>
          <w:rFonts w:ascii="Times New Roman" w:cs="Times New Roman" w:eastAsia="Times New Roman" w:hAnsi="Times New Roman"/>
          <w:sz w:val="16"/>
          <w:szCs w:val="16"/>
          <w:i w:val="1"/>
          <w:iCs w:val="1"/>
          <w:color w:val="auto"/>
        </w:rPr>
        <w:t>Swingline Lender</w:t>
      </w:r>
      <w:r>
        <w:rPr>
          <w:rFonts w:ascii="Times New Roman" w:cs="Times New Roman" w:eastAsia="Times New Roman" w:hAnsi="Times New Roman"/>
          <w:sz w:val="16"/>
          <w:szCs w:val="16"/>
          <w:color w:val="auto"/>
        </w:rPr>
        <w:t>”), U.S. Bank Trust</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Company, National Association, as successor in interest to</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U.S. Bank National Association, as collateral agent, U.S.</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Bank National Association, as custodian, U.S. Bank Trust</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Company, National Association, as successor in interest to</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U.S. Bank National Association, as Collateral</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Administrator, and U.S. Bank Trust Company, National</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Association, as successor in interest to U.S. Bank National</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Association, as backup collateral manager.</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89" w:lineRule="exact"/>
        <w:rPr>
          <w:sz w:val="20"/>
          <w:szCs w:val="20"/>
          <w:color w:val="auto"/>
        </w:rPr>
      </w:pPr>
    </w:p>
    <w:p>
      <w:pPr>
        <w:ind w:left="1360" w:right="1380" w:firstLine="484"/>
        <w:spacing w:after="0" w:line="254" w:lineRule="auto"/>
        <w:rPr>
          <w:sz w:val="20"/>
          <w:szCs w:val="20"/>
          <w:color w:val="auto"/>
        </w:rPr>
      </w:pPr>
      <w:r>
        <w:rPr>
          <w:rFonts w:ascii="Times New Roman" w:cs="Times New Roman" w:eastAsia="Times New Roman" w:hAnsi="Times New Roman"/>
          <w:sz w:val="16"/>
          <w:szCs w:val="16"/>
          <w:color w:val="auto"/>
        </w:rPr>
        <w:t xml:space="preserve">The undersigned, PennantPark Floating Rate Funding I, LLC, a Delaware limited liability company (the </w:t>
      </w:r>
      <w:r>
        <w:rPr>
          <w:rFonts w:ascii="Times New Roman" w:cs="Times New Roman" w:eastAsia="Times New Roman" w:hAnsi="Times New Roman"/>
          <w:sz w:val="16"/>
          <w:szCs w:val="16"/>
          <w:i w:val="1"/>
          <w:iCs w:val="1"/>
          <w:color w:val="auto"/>
        </w:rPr>
        <w:t>“Borrower”</w:t>
      </w:r>
      <w:r>
        <w:rPr>
          <w:rFonts w:ascii="Times New Roman" w:cs="Times New Roman" w:eastAsia="Times New Roman" w:hAnsi="Times New Roman"/>
          <w:sz w:val="16"/>
          <w:szCs w:val="16"/>
          <w:color w:val="auto"/>
        </w:rPr>
        <w:t xml:space="preserve">) hereby refers to the Credit Agreement and requests that the Administrative Agent consent to an increase in the Facility Amount (the </w:t>
      </w:r>
      <w:r>
        <w:rPr>
          <w:rFonts w:ascii="Times New Roman" w:cs="Times New Roman" w:eastAsia="Times New Roman" w:hAnsi="Times New Roman"/>
          <w:sz w:val="16"/>
          <w:szCs w:val="16"/>
          <w:i w:val="1"/>
          <w:iCs w:val="1"/>
          <w:color w:val="auto"/>
        </w:rPr>
        <w:t>“Facility Amount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Increase”</w:t>
      </w:r>
      <w:r>
        <w:rPr>
          <w:rFonts w:ascii="Times New Roman" w:cs="Times New Roman" w:eastAsia="Times New Roman" w:hAnsi="Times New Roman"/>
          <w:sz w:val="16"/>
          <w:szCs w:val="16"/>
          <w:color w:val="auto"/>
        </w:rPr>
        <w:t>), in accordance with Section 2.15 of the Credit Agreement, to be effected by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increase in the Commitment of [name of existing Lender] [the addition of [name of new Lender] (the </w:t>
      </w:r>
      <w:r>
        <w:rPr>
          <w:rFonts w:ascii="Times New Roman" w:cs="Times New Roman" w:eastAsia="Times New Roman" w:hAnsi="Times New Roman"/>
          <w:sz w:val="16"/>
          <w:szCs w:val="16"/>
          <w:i w:val="1"/>
          <w:iCs w:val="1"/>
          <w:color w:val="auto"/>
        </w:rPr>
        <w:t>“New Lender”</w:t>
      </w:r>
      <w:r>
        <w:rPr>
          <w:rFonts w:ascii="Times New Roman" w:cs="Times New Roman" w:eastAsia="Times New Roman" w:hAnsi="Times New Roman"/>
          <w:sz w:val="16"/>
          <w:szCs w:val="16"/>
          <w:color w:val="auto"/>
        </w:rPr>
        <w:t>) as a Lender under the terms of the Credit Agreement]. Capitalized terms used herein without definition shall have the same meanings herein as such terms have in the Credit Agreement.</w:t>
      </w:r>
    </w:p>
    <w:p>
      <w:pPr>
        <w:spacing w:after="0" w:line="157" w:lineRule="exact"/>
        <w:rPr>
          <w:sz w:val="20"/>
          <w:szCs w:val="20"/>
          <w:color w:val="auto"/>
        </w:rPr>
      </w:pPr>
    </w:p>
    <w:p>
      <w:pPr>
        <w:ind w:left="1360" w:right="1600" w:firstLine="484"/>
        <w:spacing w:after="0" w:line="283" w:lineRule="auto"/>
        <w:rPr>
          <w:sz w:val="20"/>
          <w:szCs w:val="20"/>
          <w:color w:val="auto"/>
        </w:rPr>
      </w:pPr>
      <w:r>
        <w:rPr>
          <w:rFonts w:ascii="Times New Roman" w:cs="Times New Roman" w:eastAsia="Times New Roman" w:hAnsi="Times New Roman"/>
          <w:sz w:val="16"/>
          <w:szCs w:val="16"/>
          <w:color w:val="auto"/>
        </w:rPr>
        <w:t>After giving effect to such Facility Amount Increase, the Commitment of the [Lender] [New Lender] shall be $_____________.</w:t>
      </w:r>
    </w:p>
    <w:p>
      <w:pPr>
        <w:spacing w:after="0" w:line="115" w:lineRule="exact"/>
        <w:rPr>
          <w:sz w:val="20"/>
          <w:szCs w:val="20"/>
          <w:color w:val="auto"/>
        </w:rPr>
      </w:pPr>
    </w:p>
    <w:p>
      <w:pPr>
        <w:ind w:left="3360"/>
        <w:spacing w:after="0" w:line="184" w:lineRule="exact"/>
        <w:rPr>
          <w:sz w:val="20"/>
          <w:szCs w:val="20"/>
          <w:color w:val="auto"/>
        </w:rPr>
      </w:pPr>
      <w:r>
        <w:rPr>
          <w:rFonts w:ascii="Times New Roman" w:cs="Times New Roman" w:eastAsia="Times New Roman" w:hAnsi="Times New Roman"/>
          <w:sz w:val="16"/>
          <w:szCs w:val="16"/>
          <w:color w:val="auto"/>
        </w:rPr>
        <w:t>[Include paragraphs 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4 for a New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675005</wp:posOffset>
            </wp:positionV>
            <wp:extent cx="526605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20" w:name="page321"/>
    <w:bookmarkEnd w:id="320"/>
    <w:p>
      <w:pPr>
        <w:spacing w:after="0" w:line="270" w:lineRule="exact"/>
        <w:rPr>
          <w:sz w:val="20"/>
          <w:szCs w:val="20"/>
          <w:color w:val="auto"/>
        </w:rPr>
      </w:pPr>
    </w:p>
    <w:p>
      <w:pPr>
        <w:ind w:left="1360" w:right="1380" w:firstLine="40"/>
        <w:spacing w:after="0" w:line="253" w:lineRule="auto"/>
        <w:tabs>
          <w:tab w:leader="none" w:pos="1562"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New Lender hereby confirms that it has received a copy of the Facility Documents and the exhibits related thereto, together with copies of the documents which were required to be delivered under the Credit Agreement as a condition to the making of the Advances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Facility Document or with respect to the legality, validity, sufficiency or enforceability of the Credit Agreement or any other Facility Document or the value of any security therefor.</w:t>
      </w:r>
    </w:p>
    <w:p>
      <w:pPr>
        <w:spacing w:after="0" w:line="154" w:lineRule="exact"/>
        <w:rPr>
          <w:rFonts w:ascii="Times New Roman" w:cs="Times New Roman" w:eastAsia="Times New Roman" w:hAnsi="Times New Roman"/>
          <w:sz w:val="16"/>
          <w:szCs w:val="16"/>
          <w:color w:val="auto"/>
        </w:rPr>
      </w:pPr>
    </w:p>
    <w:p>
      <w:pPr>
        <w:ind w:left="1360" w:right="1460" w:firstLine="40"/>
        <w:spacing w:after="0" w:line="256" w:lineRule="auto"/>
        <w:tabs>
          <w:tab w:leader="none" w:pos="1562"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the Credit Agreement, effective as of the date of acceptance hereof by the Administrative Agent, the New Lender (i) shall be deemed automatically to have become a party to the Credit Agreement and the Lender Fee Letter and have all the rights and obligations of a “Lender” under the Credit Agreement and the Lender Fee Letter as if it were an original signatory thereto and (ii) agrees to be bound by the terms and conditions set forth in the Credit Agreement and the Lender Fee Letter as if it were an original signatory thereto.</w:t>
      </w:r>
    </w:p>
    <w:p>
      <w:pPr>
        <w:spacing w:after="0" w:line="154" w:lineRule="exact"/>
        <w:rPr>
          <w:rFonts w:ascii="Times New Roman" w:cs="Times New Roman" w:eastAsia="Times New Roman" w:hAnsi="Times New Roman"/>
          <w:sz w:val="16"/>
          <w:szCs w:val="16"/>
          <w:color w:val="auto"/>
        </w:rPr>
      </w:pPr>
    </w:p>
    <w:p>
      <w:pPr>
        <w:ind w:left="1360" w:right="1800" w:firstLine="40"/>
        <w:spacing w:after="0" w:line="266" w:lineRule="auto"/>
        <w:tabs>
          <w:tab w:leader="none" w:pos="1562"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New Lender shall deliver to the Administrative Agent such information and shall complete such forms as are reasonably requested of the New Lender by the Administrative Agent.</w:t>
      </w:r>
    </w:p>
    <w:p>
      <w:pPr>
        <w:spacing w:after="0" w:line="145" w:lineRule="exact"/>
        <w:rPr>
          <w:sz w:val="20"/>
          <w:szCs w:val="20"/>
          <w:color w:val="auto"/>
        </w:rPr>
      </w:pPr>
    </w:p>
    <w:p>
      <w:pPr>
        <w:ind w:left="1360" w:right="1400" w:firstLine="40"/>
        <w:spacing w:after="0" w:line="266" w:lineRule="auto"/>
        <w:rPr>
          <w:sz w:val="20"/>
          <w:szCs w:val="20"/>
          <w:color w:val="auto"/>
        </w:rPr>
      </w:pPr>
      <w:r>
        <w:rPr>
          <w:rFonts w:ascii="Times New Roman" w:cs="Times New Roman" w:eastAsia="Times New Roman" w:hAnsi="Times New Roman"/>
          <w:sz w:val="16"/>
          <w:szCs w:val="16"/>
          <w:color w:val="auto"/>
        </w:rPr>
        <w:t>[4. The New Lender has delivered, if appropriate, to the Borrower and the Administrative Agent (or is delivering to the Borrower and the Administrative Agent concurrently herewith) the tax forms referred to in Section 15.03 of the Credit Agreement.]</w:t>
      </w:r>
      <w:r>
        <w:rPr>
          <w:rFonts w:ascii="Times New Roman" w:cs="Times New Roman" w:eastAsia="Times New Roman" w:hAnsi="Times New Roman"/>
          <w:sz w:val="13"/>
          <w:szCs w:val="13"/>
          <w:color w:val="auto"/>
        </w:rPr>
        <w:t>4</w:t>
      </w:r>
    </w:p>
    <w:p>
      <w:pPr>
        <w:spacing w:after="0" w:line="64" w:lineRule="exact"/>
        <w:rPr>
          <w:sz w:val="20"/>
          <w:szCs w:val="20"/>
          <w:color w:val="auto"/>
        </w:rPr>
      </w:pPr>
    </w:p>
    <w:p>
      <w:pPr>
        <w:ind w:left="1360" w:right="1900" w:firstLine="484"/>
        <w:spacing w:after="0" w:line="283" w:lineRule="auto"/>
        <w:rPr>
          <w:sz w:val="20"/>
          <w:szCs w:val="20"/>
          <w:color w:val="auto"/>
        </w:rPr>
      </w:pPr>
      <w:r>
        <w:rPr>
          <w:rFonts w:ascii="Times New Roman" w:cs="Times New Roman" w:eastAsia="Times New Roman" w:hAnsi="Times New Roman"/>
          <w:sz w:val="16"/>
          <w:szCs w:val="16"/>
          <w:color w:val="auto"/>
        </w:rPr>
        <w:t>This Agreement shall be deemed to be a contractual obligation under, and shall be governed by and construed in accordance with, the laws of the state of New York.</w:t>
      </w:r>
    </w:p>
    <w:p>
      <w:pPr>
        <w:spacing w:after="0" w:line="131" w:lineRule="exact"/>
        <w:rPr>
          <w:sz w:val="20"/>
          <w:szCs w:val="20"/>
          <w:color w:val="auto"/>
        </w:rPr>
      </w:pPr>
    </w:p>
    <w:p>
      <w:pPr>
        <w:ind w:left="1360" w:right="1480" w:firstLine="484"/>
        <w:spacing w:after="0" w:line="257" w:lineRule="auto"/>
        <w:rPr>
          <w:sz w:val="20"/>
          <w:szCs w:val="20"/>
          <w:color w:val="auto"/>
        </w:rPr>
      </w:pPr>
      <w:r>
        <w:rPr>
          <w:rFonts w:ascii="Times New Roman" w:cs="Times New Roman" w:eastAsia="Times New Roman" w:hAnsi="Times New Roman"/>
          <w:sz w:val="16"/>
          <w:szCs w:val="16"/>
          <w:color w:val="auto"/>
        </w:rPr>
        <w:t>The Facility Amount Increase shall be effective when the executed consent of the Administrative Agent is received or otherwise in accordance with Section 2.15 of the Credit Agreement, but not in any case prior to ___________________, 20__. It shall be a condition to</w:t>
      </w:r>
    </w:p>
    <w:p>
      <w:pPr>
        <w:spacing w:after="0" w:line="2" w:lineRule="exact"/>
        <w:rPr>
          <w:sz w:val="20"/>
          <w:szCs w:val="20"/>
          <w:color w:val="auto"/>
        </w:rPr>
      </w:pPr>
    </w:p>
    <w:p>
      <w:pPr>
        <w:ind w:left="1360" w:right="1480"/>
        <w:spacing w:after="0" w:line="260" w:lineRule="auto"/>
        <w:rPr>
          <w:sz w:val="20"/>
          <w:szCs w:val="20"/>
          <w:color w:val="auto"/>
        </w:rPr>
      </w:pPr>
      <w:r>
        <w:rPr>
          <w:rFonts w:ascii="Times New Roman" w:cs="Times New Roman" w:eastAsia="Times New Roman" w:hAnsi="Times New Roman"/>
          <w:sz w:val="16"/>
          <w:szCs w:val="16"/>
          <w:color w:val="auto"/>
        </w:rPr>
        <w:t>the effectiveness of the Facility Amount Increase that all expenses referred to in Section 2.15 of the Credit Agreement shall have been paid.</w:t>
      </w:r>
    </w:p>
    <w:p>
      <w:pPr>
        <w:spacing w:after="0" w:line="148" w:lineRule="exact"/>
        <w:rPr>
          <w:sz w:val="20"/>
          <w:szCs w:val="20"/>
          <w:color w:val="auto"/>
        </w:rPr>
      </w:pPr>
    </w:p>
    <w:p>
      <w:pPr>
        <w:ind w:left="1360" w:right="1640" w:firstLine="484"/>
        <w:spacing w:after="0" w:line="283" w:lineRule="auto"/>
        <w:rPr>
          <w:sz w:val="20"/>
          <w:szCs w:val="20"/>
          <w:color w:val="auto"/>
        </w:rPr>
      </w:pPr>
      <w:r>
        <w:rPr>
          <w:rFonts w:ascii="Times New Roman" w:cs="Times New Roman" w:eastAsia="Times New Roman" w:hAnsi="Times New Roman"/>
          <w:sz w:val="16"/>
          <w:szCs w:val="16"/>
          <w:color w:val="auto"/>
        </w:rPr>
        <w:t>The Borrower hereby certifies that no Default or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13335</wp:posOffset>
            </wp:positionV>
            <wp:extent cx="1268095" cy="444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3">
                      <a:extLst>
                        <a:ext uri="{28A0092B-C50C-407E-A947-70E740481C1C}"/>
                      </a:extLst>
                    </a:blip>
                    <a:srcRect/>
                    <a:stretch>
                      <a:fillRect/>
                    </a:stretch>
                  </pic:blipFill>
                  <pic:spPr bwMode="auto">
                    <a:xfrm>
                      <a:off x="0" y="0"/>
                      <a:ext cx="1268095" cy="44450"/>
                    </a:xfrm>
                    <a:prstGeom prst="rect">
                      <a:avLst/>
                    </a:prstGeom>
                    <a:noFill/>
                  </pic:spPr>
                </pic:pic>
              </a:graphicData>
            </a:graphic>
          </wp:anchor>
        </w:drawing>
      </w:r>
    </w:p>
    <w:p>
      <w:pPr>
        <w:spacing w:after="0" w:line="122" w:lineRule="exact"/>
        <w:rPr>
          <w:sz w:val="20"/>
          <w:szCs w:val="20"/>
          <w:color w:val="auto"/>
        </w:rPr>
      </w:pPr>
    </w:p>
    <w:p>
      <w:pPr>
        <w:ind w:left="1480" w:right="1520" w:hanging="120"/>
        <w:spacing w:after="0" w:line="277" w:lineRule="auto"/>
        <w:rPr>
          <w:sz w:val="20"/>
          <w:szCs w:val="20"/>
          <w:color w:val="auto"/>
        </w:rPr>
      </w:pPr>
      <w:r>
        <w:rPr>
          <w:rFonts w:ascii="Times New Roman" w:cs="Times New Roman" w:eastAsia="Times New Roman" w:hAnsi="Times New Roman"/>
          <w:sz w:val="13"/>
          <w:szCs w:val="13"/>
          <w:color w:val="auto"/>
        </w:rPr>
        <w:t xml:space="preserve"> Insert bracketed paragraph if New Lender is organized under the law of a jurisdiction other than the United States of America or a state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735330</wp:posOffset>
            </wp:positionV>
            <wp:extent cx="526605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21" w:name="page322"/>
    <w:bookmarkEnd w:id="321"/>
    <w:p>
      <w:pPr>
        <w:spacing w:after="0" w:line="270" w:lineRule="exact"/>
        <w:rPr>
          <w:sz w:val="20"/>
          <w:szCs w:val="20"/>
          <w:color w:val="auto"/>
        </w:rPr>
      </w:pPr>
    </w:p>
    <w:p>
      <w:pPr>
        <w:ind w:left="1360" w:right="1500" w:firstLine="484"/>
        <w:spacing w:after="0" w:line="283" w:lineRule="auto"/>
        <w:rPr>
          <w:sz w:val="20"/>
          <w:szCs w:val="20"/>
          <w:color w:val="auto"/>
        </w:rPr>
      </w:pPr>
      <w:r>
        <w:rPr>
          <w:rFonts w:ascii="Times New Roman" w:cs="Times New Roman" w:eastAsia="Times New Roman" w:hAnsi="Times New Roman"/>
          <w:sz w:val="16"/>
          <w:szCs w:val="16"/>
          <w:color w:val="auto"/>
        </w:rPr>
        <w:t>Please indicate the Administrative Agent’s consent to such Facility Amount Increase by signing the enclosed copy of this letter in the space provided below.</w:t>
      </w:r>
    </w:p>
    <w:p>
      <w:pPr>
        <w:spacing w:after="0" w:line="1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8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PennantPark Floating Rate Funding I, LLC, as</w:t>
      </w:r>
    </w:p>
    <w:p>
      <w:pPr>
        <w:spacing w:after="0" w:line="2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Borrower</w:t>
      </w:r>
    </w:p>
    <w:p>
      <w:pPr>
        <w:spacing w:after="0" w:line="171"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6"/>
          <w:szCs w:val="16"/>
          <w:color w:val="auto"/>
        </w:rPr>
        <w:t>By: PennantPark Floating Rate Capital Ltd., as</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Designated Manager</w:t>
      </w:r>
    </w:p>
    <w:p>
      <w:pPr>
        <w:spacing w:after="0" w:line="3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w:t>
      </w:r>
    </w:p>
    <w:p>
      <w:pPr>
        <w:spacing w:after="0" w:line="3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[New or existing Lender Increasing</w:t>
      </w:r>
    </w:p>
    <w:p>
      <w:pPr>
        <w:spacing w:after="0" w:line="2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Commitments]</w:t>
      </w:r>
    </w:p>
    <w:p>
      <w:pPr>
        <w:spacing w:after="0" w:line="3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The undersigned hereby consents on</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this __ day of _____________, _____</w:t>
      </w:r>
    </w:p>
    <w:p>
      <w:pPr>
        <w:spacing w:after="0" w:line="2" w:lineRule="exact"/>
        <w:rPr>
          <w:sz w:val="20"/>
          <w:szCs w:val="20"/>
          <w:color w:val="auto"/>
        </w:rPr>
      </w:pPr>
    </w:p>
    <w:p>
      <w:pPr>
        <w:ind w:left="1360"/>
        <w:spacing w:after="0" w:line="184" w:lineRule="exact"/>
        <w:rPr>
          <w:sz w:val="20"/>
          <w:szCs w:val="20"/>
          <w:color w:val="auto"/>
        </w:rPr>
      </w:pPr>
      <w:r>
        <w:rPr>
          <w:rFonts w:ascii="Times New Roman" w:cs="Times New Roman" w:eastAsia="Times New Roman" w:hAnsi="Times New Roman"/>
          <w:sz w:val="16"/>
          <w:szCs w:val="16"/>
          <w:color w:val="auto"/>
        </w:rPr>
        <w:t>to the above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requested Facility</w:t>
      </w:r>
    </w:p>
    <w:p>
      <w:pPr>
        <w:spacing w:after="0" w:line="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Amount Increase.</w:t>
      </w:r>
    </w:p>
    <w:p>
      <w:pPr>
        <w:spacing w:after="0" w:line="2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Truist Bank, as Administrative Agent</w:t>
      </w:r>
    </w:p>
    <w:p>
      <w:pPr>
        <w:spacing w:after="0" w:line="200" w:lineRule="exact"/>
        <w:rPr>
          <w:sz w:val="20"/>
          <w:szCs w:val="20"/>
          <w:color w:val="auto"/>
        </w:rPr>
      </w:pP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653415</wp:posOffset>
            </wp:positionV>
            <wp:extent cx="526605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22" w:name="page323"/>
    <w:bookmarkEnd w:id="322"/>
    <w:p>
      <w:pPr>
        <w:spacing w:after="0" w:line="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Exhibit G</w:t>
      </w: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 of Release of Underlying Instruments]</w:t>
      </w:r>
    </w:p>
    <w:p>
      <w:pPr>
        <w:spacing w:after="0" w:line="18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[Delivery Date]</w:t>
      </w:r>
    </w:p>
    <w:p>
      <w:pPr>
        <w:spacing w:after="0" w:line="153" w:lineRule="exact"/>
        <w:rPr>
          <w:sz w:val="20"/>
          <w:szCs w:val="20"/>
          <w:color w:val="auto"/>
        </w:rPr>
      </w:pPr>
    </w:p>
    <w:p>
      <w:pPr>
        <w:ind w:left="1360"/>
        <w:spacing w:after="0" w:line="184" w:lineRule="exact"/>
        <w:rPr>
          <w:sz w:val="20"/>
          <w:szCs w:val="20"/>
          <w:color w:val="auto"/>
        </w:rPr>
      </w:pPr>
      <w:r>
        <w:rPr>
          <w:rFonts w:ascii="Times New Roman" w:cs="Times New Roman" w:eastAsia="Times New Roman" w:hAnsi="Times New Roman"/>
          <w:sz w:val="16"/>
          <w:szCs w:val="16"/>
          <w:color w:val="auto"/>
        </w:rPr>
        <w:t>By Facsimile: (___) ____</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____</w:t>
      </w:r>
    </w:p>
    <w:p>
      <w:pPr>
        <w:spacing w:after="0" w:line="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_______________</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_______________</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_______________</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_______________</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Attention: _______________</w:t>
      </w:r>
    </w:p>
    <w:p>
      <w:pPr>
        <w:spacing w:after="0" w:line="151" w:lineRule="exact"/>
        <w:rPr>
          <w:sz w:val="20"/>
          <w:szCs w:val="20"/>
          <w:color w:val="auto"/>
        </w:rPr>
      </w:pPr>
    </w:p>
    <w:p>
      <w:pPr>
        <w:ind w:left="1840" w:right="1380" w:hanging="483"/>
        <w:spacing w:after="0" w:line="251" w:lineRule="auto"/>
        <w:rPr>
          <w:sz w:val="20"/>
          <w:szCs w:val="20"/>
          <w:color w:val="auto"/>
        </w:rPr>
      </w:pPr>
      <w:r>
        <w:rPr>
          <w:rFonts w:ascii="Times New Roman" w:cs="Times New Roman" w:eastAsia="Times New Roman" w:hAnsi="Times New Roman"/>
          <w:sz w:val="16"/>
          <w:szCs w:val="16"/>
          <w:color w:val="auto"/>
        </w:rPr>
        <w:t>Re: Revolving Credit and Security Agreement dated as of August 12, 2021 (as extended, renewed, amended or restated from time to time, the “</w:t>
      </w:r>
      <w:r>
        <w:rPr>
          <w:rFonts w:ascii="Times New Roman" w:cs="Times New Roman" w:eastAsia="Times New Roman" w:hAnsi="Times New Roman"/>
          <w:sz w:val="16"/>
          <w:szCs w:val="16"/>
          <w:i w:val="1"/>
          <w:iCs w:val="1"/>
          <w:color w:val="auto"/>
        </w:rPr>
        <w:t>Credit Agreement</w:t>
      </w:r>
      <w:r>
        <w:rPr>
          <w:rFonts w:ascii="Times New Roman" w:cs="Times New Roman" w:eastAsia="Times New Roman" w:hAnsi="Times New Roman"/>
          <w:sz w:val="16"/>
          <w:szCs w:val="16"/>
          <w:color w:val="auto"/>
        </w:rPr>
        <w:t>”), among PennantPark Floating Rate Funding I, LLC, a Delaware limited liability company, as borrower (together with its permitted successors and assigns, the “</w:t>
      </w:r>
      <w:r>
        <w:rPr>
          <w:rFonts w:ascii="Times New Roman" w:cs="Times New Roman" w:eastAsia="Times New Roman" w:hAnsi="Times New Roman"/>
          <w:sz w:val="16"/>
          <w:szCs w:val="16"/>
          <w:i w:val="1"/>
          <w:iCs w:val="1"/>
          <w:color w:val="auto"/>
        </w:rPr>
        <w:t>Borrower</w:t>
      </w:r>
      <w:r>
        <w:rPr>
          <w:rFonts w:ascii="Times New Roman" w:cs="Times New Roman" w:eastAsia="Times New Roman" w:hAnsi="Times New Roman"/>
          <w:sz w:val="16"/>
          <w:szCs w:val="16"/>
          <w:color w:val="auto"/>
        </w:rPr>
        <w:t>”); PennantPark Investment Advisers, LLC, a Delaware limited liability company, as the collateral manager (together with its permitted successors and assigns, the “</w:t>
      </w:r>
      <w:r>
        <w:rPr>
          <w:rFonts w:ascii="Times New Roman" w:cs="Times New Roman" w:eastAsia="Times New Roman" w:hAnsi="Times New Roman"/>
          <w:sz w:val="16"/>
          <w:szCs w:val="16"/>
          <w:i w:val="1"/>
          <w:iCs w:val="1"/>
          <w:color w:val="auto"/>
        </w:rPr>
        <w:t>Collateral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Manager </w:t>
      </w:r>
      <w:r>
        <w:rPr>
          <w:rFonts w:ascii="Times New Roman" w:cs="Times New Roman" w:eastAsia="Times New Roman" w:hAnsi="Times New Roman"/>
          <w:sz w:val="16"/>
          <w:szCs w:val="16"/>
          <w:color w:val="auto"/>
        </w:rPr>
        <w:t>”), the Lenders from time to time party thereto; Truist Bank, as administrative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agent (in such capacity, together with its successors and assigns, the “</w:t>
      </w:r>
      <w:r>
        <w:rPr>
          <w:rFonts w:ascii="Times New Roman" w:cs="Times New Roman" w:eastAsia="Times New Roman" w:hAnsi="Times New Roman"/>
          <w:sz w:val="16"/>
          <w:szCs w:val="16"/>
          <w:i w:val="1"/>
          <w:iCs w:val="1"/>
          <w:color w:val="auto"/>
        </w:rPr>
        <w:t>Administrative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Agent</w:t>
      </w:r>
      <w:r>
        <w:rPr>
          <w:rFonts w:ascii="Times New Roman" w:cs="Times New Roman" w:eastAsia="Times New Roman" w:hAnsi="Times New Roman"/>
          <w:sz w:val="16"/>
          <w:szCs w:val="16"/>
          <w:color w:val="auto"/>
        </w:rPr>
        <w:t>”), Truist Bank, as the swingline lender (the “</w:t>
      </w:r>
      <w:r>
        <w:rPr>
          <w:rFonts w:ascii="Times New Roman" w:cs="Times New Roman" w:eastAsia="Times New Roman" w:hAnsi="Times New Roman"/>
          <w:sz w:val="16"/>
          <w:szCs w:val="16"/>
          <w:i w:val="1"/>
          <w:iCs w:val="1"/>
          <w:color w:val="auto"/>
        </w:rPr>
        <w:t>Swingline Lender</w:t>
      </w:r>
      <w:r>
        <w:rPr>
          <w:rFonts w:ascii="Times New Roman" w:cs="Times New Roman" w:eastAsia="Times New Roman" w:hAnsi="Times New Roman"/>
          <w:sz w:val="16"/>
          <w:szCs w:val="16"/>
          <w:color w:val="auto"/>
        </w:rPr>
        <w:t>”), U.S. Bank Trust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National Association, as successor in interest to U.S. Bank National Association, as collateral agent (in such capacity, together with its successors and assigns, the “</w:t>
      </w:r>
      <w:r>
        <w:rPr>
          <w:rFonts w:ascii="Times New Roman" w:cs="Times New Roman" w:eastAsia="Times New Roman" w:hAnsi="Times New Roman"/>
          <w:sz w:val="16"/>
          <w:szCs w:val="16"/>
          <w:i w:val="1"/>
          <w:iCs w:val="1"/>
          <w:color w:val="auto"/>
        </w:rPr>
        <w:t>Collateral Agent</w:t>
      </w:r>
      <w:r>
        <w:rPr>
          <w:rFonts w:ascii="Times New Roman" w:cs="Times New Roman" w:eastAsia="Times New Roman" w:hAnsi="Times New Roman"/>
          <w:sz w:val="16"/>
          <w:szCs w:val="16"/>
          <w:color w:val="auto"/>
        </w:rPr>
        <w:t>”), U.S. Bank National Association, as custodian (in such capacity, together with its successors and assigns, the “</w:t>
      </w:r>
      <w:r>
        <w:rPr>
          <w:rFonts w:ascii="Times New Roman" w:cs="Times New Roman" w:eastAsia="Times New Roman" w:hAnsi="Times New Roman"/>
          <w:sz w:val="16"/>
          <w:szCs w:val="16"/>
          <w:i w:val="1"/>
          <w:iCs w:val="1"/>
          <w:color w:val="auto"/>
        </w:rPr>
        <w:t>Custodian</w:t>
      </w:r>
      <w:r>
        <w:rPr>
          <w:rFonts w:ascii="Times New Roman" w:cs="Times New Roman" w:eastAsia="Times New Roman" w:hAnsi="Times New Roman"/>
          <w:sz w:val="16"/>
          <w:szCs w:val="16"/>
          <w:color w:val="auto"/>
        </w:rPr>
        <w:t>”); U.S. Bank Trust Company, National Association, as successor in interest to U.S. Bank National Association, as collateral administrator (in such capacity, together with its successors and assigns, the “</w:t>
      </w:r>
      <w:r>
        <w:rPr>
          <w:rFonts w:ascii="Times New Roman" w:cs="Times New Roman" w:eastAsia="Times New Roman" w:hAnsi="Times New Roman"/>
          <w:sz w:val="16"/>
          <w:szCs w:val="16"/>
          <w:i w:val="1"/>
          <w:iCs w:val="1"/>
          <w:color w:val="auto"/>
        </w:rPr>
        <w:t>Collateral Administrator</w:t>
      </w:r>
      <w:r>
        <w:rPr>
          <w:rFonts w:ascii="Times New Roman" w:cs="Times New Roman" w:eastAsia="Times New Roman" w:hAnsi="Times New Roman"/>
          <w:sz w:val="16"/>
          <w:szCs w:val="16"/>
          <w:color w:val="auto"/>
        </w:rPr>
        <w:t>”); and U.S. Bank Trust Company, National Association, as successor in interest to U.S. Bank National Association, as backup collateral manager (in such capacity, together with its successors and assigns, the “</w:t>
      </w:r>
      <w:r>
        <w:rPr>
          <w:rFonts w:ascii="Times New Roman" w:cs="Times New Roman" w:eastAsia="Times New Roman" w:hAnsi="Times New Roman"/>
          <w:sz w:val="16"/>
          <w:szCs w:val="16"/>
          <w:i w:val="1"/>
          <w:iCs w:val="1"/>
          <w:color w:val="auto"/>
        </w:rPr>
        <w:t>Backup Collateral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Manager</w:t>
      </w:r>
      <w:r>
        <w:rPr>
          <w:rFonts w:ascii="Times New Roman" w:cs="Times New Roman" w:eastAsia="Times New Roman" w:hAnsi="Times New Roman"/>
          <w:sz w:val="16"/>
          <w:szCs w:val="16"/>
          <w:color w:val="auto"/>
        </w:rPr>
        <w:t>”).</w:t>
      </w:r>
    </w:p>
    <w:p>
      <w:pPr>
        <w:spacing w:after="0" w:line="14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69" w:lineRule="exact"/>
        <w:rPr>
          <w:sz w:val="20"/>
          <w:szCs w:val="20"/>
          <w:color w:val="auto"/>
        </w:rPr>
      </w:pPr>
    </w:p>
    <w:p>
      <w:pPr>
        <w:ind w:left="1360" w:right="1480" w:firstLine="484"/>
        <w:spacing w:after="0" w:line="256" w:lineRule="auto"/>
        <w:rPr>
          <w:sz w:val="20"/>
          <w:szCs w:val="20"/>
          <w:color w:val="auto"/>
        </w:rPr>
      </w:pPr>
      <w:r>
        <w:rPr>
          <w:rFonts w:ascii="Times New Roman" w:cs="Times New Roman" w:eastAsia="Times New Roman" w:hAnsi="Times New Roman"/>
          <w:sz w:val="16"/>
          <w:szCs w:val="16"/>
          <w:color w:val="auto"/>
        </w:rPr>
        <w:t>In connection with the administration of the Related Documents held by U.S. Bank National Association as the Custodian on behalf of the Administrative Agent as agent for the Secured Parties, under the Credit Agreement, we request the release of the Related Documents (or such documents as specified below) for the Collateral Loans described below, for the reason indicated. All capitalized terms used but not defined herein shall have the meaning provided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642620</wp:posOffset>
            </wp:positionV>
            <wp:extent cx="526605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6">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23" w:name="page324"/>
    <w:bookmarkEnd w:id="323"/>
    <w:p>
      <w:pPr>
        <w:spacing w:after="0" w:line="2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Obligor’s Name, Address &amp; Zip Code:</w:t>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Loan Identification Number:</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Reason for Requesting Documents (check one)</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____ 1. Collateral Loan paid in full. (The Collateral Manager hereby certifies that all amounts</w:t>
      </w:r>
    </w:p>
    <w:p>
      <w:pPr>
        <w:spacing w:after="0" w:line="26" w:lineRule="exact"/>
        <w:rPr>
          <w:sz w:val="20"/>
          <w:szCs w:val="20"/>
          <w:color w:val="auto"/>
        </w:rPr>
      </w:pPr>
    </w:p>
    <w:p>
      <w:pPr>
        <w:ind w:left="2320" w:right="1860"/>
        <w:spacing w:after="0" w:line="250" w:lineRule="auto"/>
        <w:rPr>
          <w:sz w:val="20"/>
          <w:szCs w:val="20"/>
          <w:color w:val="auto"/>
        </w:rPr>
      </w:pPr>
      <w:r>
        <w:rPr>
          <w:rFonts w:ascii="Times New Roman" w:cs="Times New Roman" w:eastAsia="Times New Roman" w:hAnsi="Times New Roman"/>
          <w:sz w:val="16"/>
          <w:szCs w:val="16"/>
          <w:color w:val="auto"/>
        </w:rPr>
        <w:t>received in connection with such Collateral Loan have been credited to the Collection Account.)</w:t>
      </w:r>
    </w:p>
    <w:p>
      <w:pPr>
        <w:ind w:left="1360"/>
        <w:spacing w:after="0"/>
        <w:rPr>
          <w:sz w:val="20"/>
          <w:szCs w:val="20"/>
          <w:color w:val="auto"/>
        </w:rPr>
      </w:pPr>
      <w:r>
        <w:rPr>
          <w:rFonts w:ascii="Times New Roman" w:cs="Times New Roman" w:eastAsia="Times New Roman" w:hAnsi="Times New Roman"/>
          <w:sz w:val="16"/>
          <w:szCs w:val="16"/>
          <w:color w:val="auto"/>
        </w:rPr>
        <w:t>_____ 2. Collateral Loan liquidated by ____________________________. (The Collateral</w:t>
      </w:r>
    </w:p>
    <w:p>
      <w:pPr>
        <w:spacing w:after="0" w:line="8" w:lineRule="exact"/>
        <w:rPr>
          <w:sz w:val="20"/>
          <w:szCs w:val="20"/>
          <w:color w:val="auto"/>
        </w:rPr>
      </w:pPr>
    </w:p>
    <w:p>
      <w:pPr>
        <w:ind w:left="2320" w:right="1480"/>
        <w:spacing w:after="0" w:line="250" w:lineRule="auto"/>
        <w:rPr>
          <w:sz w:val="20"/>
          <w:szCs w:val="20"/>
          <w:color w:val="auto"/>
        </w:rPr>
      </w:pPr>
      <w:r>
        <w:rPr>
          <w:rFonts w:ascii="Times New Roman" w:cs="Times New Roman" w:eastAsia="Times New Roman" w:hAnsi="Times New Roman"/>
          <w:sz w:val="16"/>
          <w:szCs w:val="16"/>
          <w:color w:val="auto"/>
        </w:rPr>
        <w:t>Manager hereby certifies that all proceeds (net of liquidation expenses which the Collateral Manager may retain to pay such expenses) of foreclosure, insurance, condemnation or other liquidation have been finally received and credited to the Collection Account.)</w:t>
      </w:r>
    </w:p>
    <w:p>
      <w:pPr>
        <w:ind w:left="1360"/>
        <w:spacing w:after="0"/>
        <w:rPr>
          <w:sz w:val="20"/>
          <w:szCs w:val="20"/>
          <w:color w:val="auto"/>
        </w:rPr>
      </w:pPr>
      <w:r>
        <w:rPr>
          <w:rFonts w:ascii="Times New Roman" w:cs="Times New Roman" w:eastAsia="Times New Roman" w:hAnsi="Times New Roman"/>
          <w:sz w:val="16"/>
          <w:szCs w:val="16"/>
          <w:color w:val="auto"/>
        </w:rPr>
        <w:t>____ 3. Collateral Loan in foreclosure.</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____ 4. Delivered in Error.</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____ 5. Substitution.</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____ 6. Failure to satisfy Review Criteria.</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____ 7. Repurchased.</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____ 8. Optional Sale.</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____ 9. Discretionary Sale.</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____ 10. Termination of Agreement.</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____ 11. Servicing.</w:t>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____ 12. Other (explain).</w:t>
      </w:r>
    </w:p>
    <w:p>
      <w:pPr>
        <w:spacing w:after="0" w:line="12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6"/>
          <w:szCs w:val="16"/>
          <w:color w:val="auto"/>
        </w:rPr>
        <w:t>____________________________________________________</w:t>
      </w:r>
    </w:p>
    <w:p>
      <w:pPr>
        <w:spacing w:after="0" w:line="13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6"/>
          <w:szCs w:val="16"/>
          <w:color w:val="auto"/>
        </w:rPr>
        <w:t>____________________________________________________</w:t>
      </w:r>
    </w:p>
    <w:p>
      <w:pPr>
        <w:spacing w:after="0" w:line="13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6"/>
          <w:szCs w:val="16"/>
          <w:color w:val="auto"/>
        </w:rPr>
        <w:t>____________________________________________________</w:t>
      </w:r>
    </w:p>
    <w:p>
      <w:pPr>
        <w:spacing w:after="0" w:line="189" w:lineRule="exact"/>
        <w:rPr>
          <w:sz w:val="20"/>
          <w:szCs w:val="20"/>
          <w:color w:val="auto"/>
        </w:rPr>
      </w:pPr>
    </w:p>
    <w:p>
      <w:pPr>
        <w:ind w:left="1360" w:right="1360" w:firstLine="484"/>
        <w:spacing w:after="0" w:line="261" w:lineRule="auto"/>
        <w:rPr>
          <w:sz w:val="20"/>
          <w:szCs w:val="20"/>
          <w:color w:val="auto"/>
        </w:rPr>
      </w:pPr>
      <w:r>
        <w:rPr>
          <w:rFonts w:ascii="Times New Roman" w:cs="Times New Roman" w:eastAsia="Times New Roman" w:hAnsi="Times New Roman"/>
          <w:sz w:val="16"/>
          <w:szCs w:val="16"/>
          <w:color w:val="auto"/>
        </w:rPr>
        <w:t>If box 1, 2, 4, 5, 6, 7, 8, 9 or 10 above is checked, and if all or part of the Related Documents were previously released to us, please release to us the Related Documents, requested in our previous request and receipt on file with you, as well as any additional documents in your possession relating to the specified Collateral Loan.</w:t>
      </w:r>
    </w:p>
    <w:p>
      <w:pPr>
        <w:spacing w:after="0" w:line="148" w:lineRule="exact"/>
        <w:rPr>
          <w:sz w:val="20"/>
          <w:szCs w:val="20"/>
          <w:color w:val="auto"/>
        </w:rPr>
      </w:pPr>
    </w:p>
    <w:p>
      <w:pPr>
        <w:ind w:left="1360" w:right="1400" w:firstLine="484"/>
        <w:spacing w:after="0" w:line="266" w:lineRule="auto"/>
        <w:rPr>
          <w:sz w:val="20"/>
          <w:szCs w:val="20"/>
          <w:color w:val="auto"/>
        </w:rPr>
      </w:pPr>
      <w:r>
        <w:rPr>
          <w:rFonts w:ascii="Times New Roman" w:cs="Times New Roman" w:eastAsia="Times New Roman" w:hAnsi="Times New Roman"/>
          <w:sz w:val="16"/>
          <w:szCs w:val="16"/>
          <w:color w:val="auto"/>
        </w:rPr>
        <w:t>If box 3, 11 or 12 above is checked, we will return of all of the above Related Documents to you as the Custodian (i) promptly upon the request of the Administrative Agent or (ii) when our need therefor no longer exists.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664845</wp:posOffset>
            </wp:positionV>
            <wp:extent cx="526605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7">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24" w:name="page325"/>
    <w:bookmarkEnd w:id="324"/>
    <w:p>
      <w:pPr>
        <w:spacing w:after="0" w:line="88" w:lineRule="exact"/>
        <w:rPr>
          <w:sz w:val="20"/>
          <w:szCs w:val="20"/>
          <w:color w:val="auto"/>
        </w:rPr>
      </w:pPr>
    </w:p>
    <w:p>
      <w:pPr>
        <w:jc w:val="right"/>
        <w:ind w:right="1500"/>
        <w:spacing w:after="0"/>
        <w:rPr>
          <w:sz w:val="20"/>
          <w:szCs w:val="20"/>
          <w:color w:val="auto"/>
        </w:rPr>
      </w:pPr>
      <w:r>
        <w:rPr>
          <w:rFonts w:ascii="Times New Roman" w:cs="Times New Roman" w:eastAsia="Times New Roman" w:hAnsi="Times New Roman"/>
          <w:sz w:val="16"/>
          <w:szCs w:val="16"/>
          <w:color w:val="auto"/>
        </w:rPr>
        <w:t>PennantPark Investment Advisers, LLC, as the</w:t>
      </w:r>
    </w:p>
    <w:p>
      <w:pPr>
        <w:spacing w:after="0" w:line="2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Collateral Manager</w:t>
      </w:r>
    </w:p>
    <w:p>
      <w:pPr>
        <w:spacing w:after="0" w:line="200" w:lineRule="exact"/>
        <w:rPr>
          <w:sz w:val="20"/>
          <w:szCs w:val="20"/>
          <w:color w:val="auto"/>
        </w:rPr>
      </w:pPr>
    </w:p>
    <w:p>
      <w:pPr>
        <w:spacing w:after="0" w:line="2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Title</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Consent of Administrative Agent if required under the Agreement:</w:t>
      </w:r>
    </w:p>
    <w:p>
      <w:pPr>
        <w:spacing w:after="0" w:line="2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Truist Bank, as Administrative Agent</w:t>
      </w:r>
    </w:p>
    <w:p>
      <w:pPr>
        <w:spacing w:after="0" w:line="3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749935</wp:posOffset>
            </wp:positionV>
            <wp:extent cx="526605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8">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25" w:name="page326"/>
    <w:bookmarkEnd w:id="325"/>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H</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Closing Certificate]</w:t>
      </w:r>
    </w:p>
    <w:p>
      <w:pPr>
        <w:spacing w:after="0" w:line="189" w:lineRule="exact"/>
        <w:rPr>
          <w:sz w:val="20"/>
          <w:szCs w:val="20"/>
          <w:color w:val="auto"/>
        </w:rPr>
      </w:pPr>
    </w:p>
    <w:p>
      <w:pPr>
        <w:ind w:left="1360" w:right="1340" w:firstLine="484"/>
        <w:spacing w:after="0" w:line="253" w:lineRule="auto"/>
        <w:rPr>
          <w:sz w:val="20"/>
          <w:szCs w:val="20"/>
          <w:color w:val="auto"/>
        </w:rPr>
      </w:pPr>
      <w:r>
        <w:rPr>
          <w:rFonts w:ascii="Times New Roman" w:cs="Times New Roman" w:eastAsia="Times New Roman" w:hAnsi="Times New Roman"/>
          <w:sz w:val="16"/>
          <w:szCs w:val="16"/>
          <w:color w:val="auto"/>
        </w:rPr>
        <w:t>Pursuant to Section 3.03(c) of that certain Revolving Credit and Security Agreement (the “</w:t>
      </w:r>
      <w:r>
        <w:rPr>
          <w:rFonts w:ascii="Times New Roman" w:cs="Times New Roman" w:eastAsia="Times New Roman" w:hAnsi="Times New Roman"/>
          <w:sz w:val="16"/>
          <w:szCs w:val="16"/>
          <w:i w:val="1"/>
          <w:iCs w:val="1"/>
          <w:color w:val="auto"/>
        </w:rPr>
        <w:t>Credit Agreement</w:t>
      </w:r>
      <w:r>
        <w:rPr>
          <w:rFonts w:ascii="Times New Roman" w:cs="Times New Roman" w:eastAsia="Times New Roman" w:hAnsi="Times New Roman"/>
          <w:sz w:val="16"/>
          <w:szCs w:val="16"/>
          <w:color w:val="auto"/>
        </w:rPr>
        <w:t>”), dated as August 12, 2021, by and among PennantPark Floating Rate Funding I, LLC, a Delaware limited liability company, as borrower (the “</w:t>
      </w:r>
      <w:r>
        <w:rPr>
          <w:rFonts w:ascii="Times New Roman" w:cs="Times New Roman" w:eastAsia="Times New Roman" w:hAnsi="Times New Roman"/>
          <w:sz w:val="16"/>
          <w:szCs w:val="16"/>
          <w:i w:val="1"/>
          <w:iCs w:val="1"/>
          <w:color w:val="auto"/>
        </w:rPr>
        <w:t>Borrower</w:t>
      </w:r>
      <w:r>
        <w:rPr>
          <w:rFonts w:ascii="Times New Roman" w:cs="Times New Roman" w:eastAsia="Times New Roman" w:hAnsi="Times New Roman"/>
          <w:sz w:val="16"/>
          <w:szCs w:val="16"/>
          <w:color w:val="auto"/>
        </w:rPr>
        <w:t>”), PennantPark Investment Advisers, LLC, a Delaware limited liability company, as collateral manager, the Lenders from time to time party thereto, Truist Bank, as swingline lender, Truist Bank, as administrative agent, and U.S. Bank Trust Company, National Association, as successor interest to U.S. Bank National Association, as collateral agent (the “</w:t>
      </w:r>
      <w:r>
        <w:rPr>
          <w:rFonts w:ascii="Times New Roman" w:cs="Times New Roman" w:eastAsia="Times New Roman" w:hAnsi="Times New Roman"/>
          <w:sz w:val="16"/>
          <w:szCs w:val="16"/>
          <w:i w:val="1"/>
          <w:iCs w:val="1"/>
          <w:color w:val="auto"/>
        </w:rPr>
        <w:t>Collateral Agent</w:t>
      </w:r>
      <w:r>
        <w:rPr>
          <w:rFonts w:ascii="Times New Roman" w:cs="Times New Roman" w:eastAsia="Times New Roman" w:hAnsi="Times New Roman"/>
          <w:sz w:val="16"/>
          <w:szCs w:val="16"/>
          <w:color w:val="auto"/>
        </w:rPr>
        <w:t>”), as collateral administrator and as backup collateral manager, and U.S. Bank National Association, as Custodian, Borrower does hereby certify that, in the case of each item of Collateral pledged to the Collateral Agent, on the date hereof and immediately prior to the delivery thereof on the date hereof:</w:t>
      </w:r>
    </w:p>
    <w:p>
      <w:pPr>
        <w:spacing w:after="0" w:line="157" w:lineRule="exact"/>
        <w:rPr>
          <w:sz w:val="20"/>
          <w:szCs w:val="20"/>
          <w:color w:val="auto"/>
        </w:rPr>
      </w:pPr>
    </w:p>
    <w:p>
      <w:pPr>
        <w:ind w:left="1840" w:right="1540" w:firstLine="44"/>
        <w:spacing w:after="0" w:line="283" w:lineRule="auto"/>
        <w:tabs>
          <w:tab w:leader="none" w:pos="2042"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calculation of the Borrowing Base and the Maximum Advance Rate Test on the Closing Date is set forth on Schedule I hereto.</w:t>
      </w:r>
    </w:p>
    <w:p>
      <w:pPr>
        <w:spacing w:after="0" w:line="131" w:lineRule="exact"/>
        <w:rPr>
          <w:rFonts w:ascii="Times New Roman" w:cs="Times New Roman" w:eastAsia="Times New Roman" w:hAnsi="Times New Roman"/>
          <w:sz w:val="16"/>
          <w:szCs w:val="16"/>
          <w:color w:val="auto"/>
        </w:rPr>
      </w:pPr>
    </w:p>
    <w:p>
      <w:pPr>
        <w:ind w:left="1840" w:right="1660" w:firstLine="44"/>
        <w:spacing w:after="0" w:line="283" w:lineRule="auto"/>
        <w:tabs>
          <w:tab w:leader="none" w:pos="2042"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Closing Date, each Coverage Test is satisfied and no Default or Event of Default has occurred and is continuing under the Credit Agreement.</w:t>
      </w:r>
    </w:p>
    <w:p>
      <w:pPr>
        <w:spacing w:after="0" w:line="131" w:lineRule="exact"/>
        <w:rPr>
          <w:rFonts w:ascii="Times New Roman" w:cs="Times New Roman" w:eastAsia="Times New Roman" w:hAnsi="Times New Roman"/>
          <w:sz w:val="16"/>
          <w:szCs w:val="16"/>
          <w:color w:val="auto"/>
        </w:rPr>
      </w:pPr>
    </w:p>
    <w:p>
      <w:pPr>
        <w:ind w:left="1840" w:right="1380" w:firstLine="44"/>
        <w:spacing w:after="0" w:line="255" w:lineRule="auto"/>
        <w:tabs>
          <w:tab w:leader="none" w:pos="2042"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Closing Date, each of the representations and warranties of the Borrower contained in Article IV of the Credit Agreement is true and correct in all material respects (except for representations and warranties already qualified by materiality or Material Adverse Effect, which shall be true and correct) as of the Closing Date (except to the extent such representations and warranties expressly relate to any earlier date, in which case such representations and warranties are true and correct in all material respects as of such earlier date).</w:t>
      </w:r>
    </w:p>
    <w:p>
      <w:pPr>
        <w:spacing w:after="0" w:line="155" w:lineRule="exact"/>
        <w:rPr>
          <w:sz w:val="20"/>
          <w:szCs w:val="20"/>
          <w:color w:val="auto"/>
        </w:rPr>
      </w:pPr>
    </w:p>
    <w:p>
      <w:pPr>
        <w:ind w:left="1360" w:right="1420" w:firstLine="484"/>
        <w:spacing w:after="0" w:line="283" w:lineRule="auto"/>
        <w:rPr>
          <w:sz w:val="20"/>
          <w:szCs w:val="20"/>
          <w:color w:val="auto"/>
        </w:rPr>
      </w:pPr>
      <w:r>
        <w:rPr>
          <w:rFonts w:ascii="Times New Roman" w:cs="Times New Roman" w:eastAsia="Times New Roman" w:hAnsi="Times New Roman"/>
          <w:sz w:val="16"/>
          <w:szCs w:val="16"/>
          <w:color w:val="auto"/>
        </w:rPr>
        <w:t>Capitalized terms used but not defined herein shall have the meaning given to such terms in the Credit Agreement.</w:t>
      </w:r>
    </w:p>
    <w:p>
      <w:pPr>
        <w:spacing w:after="0" w:line="2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761365</wp:posOffset>
            </wp:positionV>
            <wp:extent cx="526605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9">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26" w:name="page327"/>
    <w:bookmarkEnd w:id="326"/>
    <w:p>
      <w:pPr>
        <w:spacing w:after="0" w:line="270" w:lineRule="exact"/>
        <w:rPr>
          <w:sz w:val="20"/>
          <w:szCs w:val="20"/>
          <w:color w:val="auto"/>
        </w:rPr>
      </w:pPr>
    </w:p>
    <w:p>
      <w:pPr>
        <w:ind w:left="1360" w:right="1380" w:firstLine="484"/>
        <w:spacing w:after="0" w:line="283" w:lineRule="auto"/>
        <w:rPr>
          <w:sz w:val="20"/>
          <w:szCs w:val="20"/>
          <w:color w:val="auto"/>
        </w:rPr>
      </w:pPr>
      <w:r>
        <w:rPr>
          <w:rFonts w:ascii="Times New Roman" w:cs="Times New Roman" w:eastAsia="Times New Roman" w:hAnsi="Times New Roman"/>
          <w:sz w:val="16"/>
          <w:szCs w:val="16"/>
          <w:color w:val="auto"/>
        </w:rPr>
        <w:t>In Witness Whereof, the Borrower has caused this Closing Certificate to be duly executed as of the day and year first above written.</w:t>
      </w:r>
    </w:p>
    <w:p>
      <w:pPr>
        <w:spacing w:after="0" w:line="1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PennantPark Floating Rate Funding I, LLC, as</w:t>
      </w:r>
    </w:p>
    <w:p>
      <w:pPr>
        <w:spacing w:after="0" w:line="2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Borrower</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PennantPark Floating Rate Capital Ltd., as</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Designated Manager</w:t>
      </w:r>
    </w:p>
    <w:p>
      <w:pPr>
        <w:spacing w:after="0" w:line="200" w:lineRule="exact"/>
        <w:rPr>
          <w:sz w:val="20"/>
          <w:szCs w:val="20"/>
          <w:color w:val="auto"/>
        </w:rPr>
      </w:pPr>
    </w:p>
    <w:p>
      <w:pPr>
        <w:spacing w:after="0" w:line="2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749935</wp:posOffset>
            </wp:positionV>
            <wp:extent cx="526605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0">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27" w:name="page328"/>
    <w:bookmarkEnd w:id="327"/>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Schedule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Closing Certificate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761365</wp:posOffset>
            </wp:positionV>
            <wp:extent cx="526605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1">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28" w:name="page329"/>
    <w:bookmarkEnd w:id="328"/>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EXHIBIT 31.1</w:t>
      </w:r>
    </w:p>
    <w:p>
      <w:pPr>
        <w:spacing w:after="0" w:line="13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1"/>
          <w:szCs w:val="11"/>
          <w:b w:val="1"/>
          <w:bCs w:val="1"/>
          <w:color w:val="auto"/>
        </w:rPr>
        <w:t>CERTIFICATION PURSUANT TO SECTION 302</w:t>
      </w:r>
    </w:p>
    <w:p>
      <w:pPr>
        <w:spacing w:after="0" w:line="1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1"/>
          <w:szCs w:val="11"/>
          <w:b w:val="1"/>
          <w:bCs w:val="1"/>
          <w:color w:val="auto"/>
        </w:rPr>
        <w:t>CHIEF EXECUTIVE OFFICER CERTIFICATION</w:t>
      </w:r>
    </w:p>
    <w:p>
      <w:pPr>
        <w:spacing w:after="0" w:line="1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I, Arthur H. Penn, Chief Executive Officer of PennantPark Floating Rate Capital, Ltd., certify that:</w:t>
      </w:r>
    </w:p>
    <w:p>
      <w:pPr>
        <w:spacing w:after="0" w:line="136" w:lineRule="exact"/>
        <w:rPr>
          <w:sz w:val="20"/>
          <w:szCs w:val="20"/>
          <w:color w:val="auto"/>
        </w:rPr>
      </w:pPr>
    </w:p>
    <w:p>
      <w:pPr>
        <w:ind w:left="1180" w:hanging="103"/>
        <w:spacing w:after="0"/>
        <w:tabs>
          <w:tab w:leader="none" w:pos="1180" w:val="left"/>
        </w:tabs>
        <w:numPr>
          <w:ilvl w:val="0"/>
          <w:numId w:val="2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 have reviewed this Report on Form 10-Q of PennantPark Floating Rate Capital, Ltd.;</w:t>
      </w:r>
    </w:p>
    <w:p>
      <w:pPr>
        <w:spacing w:after="0" w:line="135" w:lineRule="exact"/>
        <w:rPr>
          <w:rFonts w:ascii="Times New Roman" w:cs="Times New Roman" w:eastAsia="Times New Roman" w:hAnsi="Times New Roman"/>
          <w:sz w:val="11"/>
          <w:szCs w:val="11"/>
          <w:color w:val="auto"/>
        </w:rPr>
      </w:pPr>
    </w:p>
    <w:p>
      <w:pPr>
        <w:ind w:left="780" w:right="1340" w:firstLine="297"/>
        <w:spacing w:after="0" w:line="279" w:lineRule="auto"/>
        <w:tabs>
          <w:tab w:leader="none" w:pos="1194" w:val="left"/>
        </w:tabs>
        <w:numPr>
          <w:ilvl w:val="0"/>
          <w:numId w:val="2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1"/>
          <w:szCs w:val="11"/>
          <w:color w:val="auto"/>
        </w:rPr>
      </w:pPr>
    </w:p>
    <w:p>
      <w:pPr>
        <w:ind w:left="780" w:right="900" w:firstLine="297"/>
        <w:spacing w:after="0" w:line="279" w:lineRule="auto"/>
        <w:tabs>
          <w:tab w:leader="none" w:pos="1194" w:val="left"/>
        </w:tabs>
        <w:numPr>
          <w:ilvl w:val="0"/>
          <w:numId w:val="2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1"/>
          <w:szCs w:val="11"/>
          <w:color w:val="auto"/>
        </w:rPr>
      </w:pPr>
    </w:p>
    <w:p>
      <w:pPr>
        <w:ind w:left="780" w:right="840" w:firstLine="297"/>
        <w:spacing w:after="0" w:line="279" w:lineRule="auto"/>
        <w:tabs>
          <w:tab w:leader="none" w:pos="1194" w:val="left"/>
        </w:tabs>
        <w:numPr>
          <w:ilvl w:val="0"/>
          <w:numId w:val="2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9" w:lineRule="exact"/>
        <w:rPr>
          <w:rFonts w:ascii="Times New Roman" w:cs="Times New Roman" w:eastAsia="Times New Roman" w:hAnsi="Times New Roman"/>
          <w:sz w:val="11"/>
          <w:szCs w:val="11"/>
          <w:color w:val="auto"/>
        </w:rPr>
      </w:pPr>
    </w:p>
    <w:p>
      <w:pPr>
        <w:ind w:left="780" w:right="1040" w:firstLine="479"/>
        <w:spacing w:after="0" w:line="264" w:lineRule="auto"/>
        <w:tabs>
          <w:tab w:leader="none" w:pos="1378" w:val="left"/>
        </w:tabs>
        <w:numPr>
          <w:ilvl w:val="1"/>
          <w:numId w:val="2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Times New Roman" w:cs="Times New Roman" w:eastAsia="Times New Roman" w:hAnsi="Times New Roman"/>
          <w:sz w:val="11"/>
          <w:szCs w:val="11"/>
          <w:color w:val="auto"/>
        </w:rPr>
      </w:pPr>
    </w:p>
    <w:p>
      <w:pPr>
        <w:ind w:left="1380" w:hanging="121"/>
        <w:spacing w:after="0"/>
        <w:tabs>
          <w:tab w:leader="none" w:pos="1380" w:val="left"/>
        </w:tabs>
        <w:numPr>
          <w:ilvl w:val="1"/>
          <w:numId w:val="2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Designed such internal control over financial reporting, or caused such internal control over financial reporting to be designed under our supervision,</w:t>
      </w:r>
    </w:p>
    <w:p>
      <w:pPr>
        <w:spacing w:after="0" w:line="16" w:lineRule="exact"/>
        <w:rPr>
          <w:sz w:val="20"/>
          <w:szCs w:val="20"/>
          <w:color w:val="auto"/>
        </w:rPr>
      </w:pPr>
    </w:p>
    <w:p>
      <w:pPr>
        <w:ind w:left="780" w:right="1040"/>
        <w:spacing w:after="0" w:line="257" w:lineRule="auto"/>
        <w:rPr>
          <w:sz w:val="20"/>
          <w:szCs w:val="20"/>
          <w:color w:val="auto"/>
        </w:rPr>
      </w:pPr>
      <w:r>
        <w:rPr>
          <w:rFonts w:ascii="Times New Roman" w:cs="Times New Roman" w:eastAsia="Times New Roman" w:hAnsi="Times New Roman"/>
          <w:sz w:val="11"/>
          <w:szCs w:val="11"/>
          <w:color w:val="auto"/>
        </w:rPr>
        <w:t>to provide reasonable assurance regarding the reliability of financial reporting and the preparation of financial statements for external purposes in accordance with generally accepted accounting principles;</w:t>
      </w:r>
    </w:p>
    <w:p>
      <w:pPr>
        <w:spacing w:after="0" w:line="111" w:lineRule="exact"/>
        <w:rPr>
          <w:sz w:val="20"/>
          <w:szCs w:val="20"/>
          <w:color w:val="auto"/>
        </w:rPr>
      </w:pPr>
    </w:p>
    <w:p>
      <w:pPr>
        <w:ind w:left="780" w:right="740" w:firstLine="479"/>
        <w:spacing w:after="0" w:line="279" w:lineRule="auto"/>
        <w:tabs>
          <w:tab w:leader="none" w:pos="1378" w:val="left"/>
        </w:tabs>
        <w:numPr>
          <w:ilvl w:val="1"/>
          <w:numId w:val="2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1"/>
          <w:szCs w:val="11"/>
          <w:color w:val="auto"/>
        </w:rPr>
      </w:pPr>
    </w:p>
    <w:p>
      <w:pPr>
        <w:jc w:val="both"/>
        <w:ind w:left="780" w:right="1040" w:firstLine="479"/>
        <w:spacing w:after="0" w:line="264" w:lineRule="auto"/>
        <w:tabs>
          <w:tab w:leader="none" w:pos="1384" w:val="left"/>
        </w:tabs>
        <w:numPr>
          <w:ilvl w:val="1"/>
          <w:numId w:val="2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Times New Roman" w:cs="Times New Roman" w:eastAsia="Times New Roman" w:hAnsi="Times New Roman"/>
          <w:sz w:val="11"/>
          <w:szCs w:val="11"/>
          <w:color w:val="auto"/>
        </w:rPr>
      </w:pPr>
    </w:p>
    <w:p>
      <w:pPr>
        <w:ind w:left="780" w:right="780" w:firstLine="297"/>
        <w:spacing w:after="0" w:line="279" w:lineRule="auto"/>
        <w:tabs>
          <w:tab w:leader="none" w:pos="1194" w:val="left"/>
        </w:tabs>
        <w:numPr>
          <w:ilvl w:val="0"/>
          <w:numId w:val="26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1"/>
          <w:szCs w:val="11"/>
          <w:color w:val="auto"/>
        </w:rPr>
      </w:pPr>
    </w:p>
    <w:p>
      <w:pPr>
        <w:ind w:left="780" w:right="900" w:firstLine="479"/>
        <w:spacing w:after="0" w:line="279" w:lineRule="auto"/>
        <w:tabs>
          <w:tab w:leader="none" w:pos="1378" w:val="left"/>
        </w:tabs>
        <w:numPr>
          <w:ilvl w:val="1"/>
          <w:numId w:val="26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1"/>
          <w:szCs w:val="11"/>
          <w:color w:val="auto"/>
        </w:rPr>
      </w:pPr>
    </w:p>
    <w:p>
      <w:pPr>
        <w:ind w:left="780" w:right="1040" w:firstLine="479"/>
        <w:spacing w:after="0" w:line="279" w:lineRule="auto"/>
        <w:tabs>
          <w:tab w:leader="none" w:pos="1384" w:val="left"/>
        </w:tabs>
        <w:numPr>
          <w:ilvl w:val="1"/>
          <w:numId w:val="26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Dated: February 9, 2026</w:t>
      </w:r>
    </w:p>
    <w:p>
      <w:pPr>
        <w:spacing w:after="0" w:line="1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/s/ Arthur H. Penn</w:t>
      </w:r>
    </w:p>
    <w:p>
      <w:pPr>
        <w:spacing w:after="0" w:line="16" w:lineRule="exact"/>
        <w:rPr>
          <w:sz w:val="20"/>
          <w:szCs w:val="20"/>
          <w:color w:val="auto"/>
        </w:rPr>
      </w:pPr>
    </w:p>
    <w:p>
      <w:pPr>
        <w:ind w:left="780"/>
        <w:spacing w:after="0"/>
        <w:tabs>
          <w:tab w:leader="none" w:pos="1140" w:val="left"/>
        </w:tabs>
        <w:rPr>
          <w:sz w:val="20"/>
          <w:szCs w:val="20"/>
          <w:color w:val="auto"/>
        </w:rPr>
      </w:pPr>
      <w:r>
        <w:rPr>
          <w:rFonts w:ascii="Times New Roman" w:cs="Times New Roman" w:eastAsia="Times New Roman" w:hAnsi="Times New Roman"/>
          <w:sz w:val="11"/>
          <w:szCs w:val="11"/>
          <w:color w:val="auto"/>
        </w:rPr>
        <w:t>Name:</w:t>
        <w:tab/>
        <w:t>Arthur H. Penn</w:t>
      </w:r>
    </w:p>
    <w:p>
      <w:pPr>
        <w:spacing w:after="0" w:line="5" w:lineRule="exact"/>
        <w:rPr>
          <w:sz w:val="20"/>
          <w:szCs w:val="20"/>
          <w:color w:val="auto"/>
        </w:rPr>
      </w:pPr>
    </w:p>
    <w:p>
      <w:pPr>
        <w:ind w:left="780"/>
        <w:spacing w:after="0"/>
        <w:tabs>
          <w:tab w:leader="none" w:pos="1140" w:val="left"/>
        </w:tabs>
        <w:rPr>
          <w:sz w:val="20"/>
          <w:szCs w:val="20"/>
          <w:color w:val="auto"/>
        </w:rPr>
      </w:pPr>
      <w:r>
        <w:rPr>
          <w:rFonts w:ascii="Times New Roman" w:cs="Times New Roman" w:eastAsia="Times New Roman" w:hAnsi="Times New Roman"/>
          <w:sz w:val="11"/>
          <w:szCs w:val="11"/>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527050</wp:posOffset>
            </wp:positionV>
            <wp:extent cx="526605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2">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329" w:name="page330"/>
    <w:bookmarkEnd w:id="329"/>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EXHIBIT 31.2</w:t>
      </w:r>
    </w:p>
    <w:p>
      <w:pPr>
        <w:spacing w:after="0" w:line="13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1"/>
          <w:szCs w:val="11"/>
          <w:b w:val="1"/>
          <w:bCs w:val="1"/>
          <w:color w:val="auto"/>
        </w:rPr>
        <w:t>CERTIFICATION PURSUANT TO SECTION 302</w:t>
      </w:r>
    </w:p>
    <w:p>
      <w:pPr>
        <w:spacing w:after="0" w:line="1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1"/>
          <w:szCs w:val="11"/>
          <w:b w:val="1"/>
          <w:bCs w:val="1"/>
          <w:color w:val="auto"/>
        </w:rPr>
        <w:t>CHIEF FINANCIAL OFFICER CERTIFICATION</w:t>
      </w:r>
    </w:p>
    <w:p>
      <w:pPr>
        <w:spacing w:after="0" w:line="1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I, Richard T. Allorto, Jr., Chief Financial Officer of PennantPark Floating Rate Capital, Ltd., certify that:</w:t>
      </w:r>
    </w:p>
    <w:p>
      <w:pPr>
        <w:spacing w:after="0" w:line="136" w:lineRule="exact"/>
        <w:rPr>
          <w:sz w:val="20"/>
          <w:szCs w:val="20"/>
          <w:color w:val="auto"/>
        </w:rPr>
      </w:pPr>
    </w:p>
    <w:p>
      <w:pPr>
        <w:ind w:left="1180" w:hanging="103"/>
        <w:spacing w:after="0"/>
        <w:tabs>
          <w:tab w:leader="none" w:pos="1180" w:val="left"/>
        </w:tabs>
        <w:numPr>
          <w:ilvl w:val="0"/>
          <w:numId w:val="2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 have reviewed this Report on Form 10-Q of PennantPark Floating Rate Capital, Ltd.;</w:t>
      </w:r>
    </w:p>
    <w:p>
      <w:pPr>
        <w:spacing w:after="0" w:line="135" w:lineRule="exact"/>
        <w:rPr>
          <w:rFonts w:ascii="Times New Roman" w:cs="Times New Roman" w:eastAsia="Times New Roman" w:hAnsi="Times New Roman"/>
          <w:sz w:val="11"/>
          <w:szCs w:val="11"/>
          <w:color w:val="auto"/>
        </w:rPr>
      </w:pPr>
    </w:p>
    <w:p>
      <w:pPr>
        <w:ind w:left="780" w:right="1340" w:firstLine="297"/>
        <w:spacing w:after="0" w:line="279" w:lineRule="auto"/>
        <w:tabs>
          <w:tab w:leader="none" w:pos="1194" w:val="left"/>
        </w:tabs>
        <w:numPr>
          <w:ilvl w:val="0"/>
          <w:numId w:val="2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1"/>
          <w:szCs w:val="11"/>
          <w:color w:val="auto"/>
        </w:rPr>
      </w:pPr>
    </w:p>
    <w:p>
      <w:pPr>
        <w:ind w:left="780" w:right="900" w:firstLine="297"/>
        <w:spacing w:after="0" w:line="279" w:lineRule="auto"/>
        <w:tabs>
          <w:tab w:leader="none" w:pos="1194" w:val="left"/>
        </w:tabs>
        <w:numPr>
          <w:ilvl w:val="0"/>
          <w:numId w:val="2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1"/>
          <w:szCs w:val="11"/>
          <w:color w:val="auto"/>
        </w:rPr>
      </w:pPr>
    </w:p>
    <w:p>
      <w:pPr>
        <w:jc w:val="both"/>
        <w:ind w:left="780" w:right="1020" w:firstLine="297"/>
        <w:spacing w:after="0" w:line="264" w:lineRule="auto"/>
        <w:tabs>
          <w:tab w:leader="none" w:pos="1194" w:val="left"/>
        </w:tabs>
        <w:numPr>
          <w:ilvl w:val="0"/>
          <w:numId w:val="2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Times New Roman" w:cs="Times New Roman" w:eastAsia="Times New Roman" w:hAnsi="Times New Roman"/>
          <w:sz w:val="11"/>
          <w:szCs w:val="11"/>
          <w:color w:val="auto"/>
        </w:rPr>
      </w:pPr>
    </w:p>
    <w:p>
      <w:pPr>
        <w:ind w:left="780" w:right="1040" w:firstLine="479"/>
        <w:spacing w:after="0" w:line="264" w:lineRule="auto"/>
        <w:tabs>
          <w:tab w:leader="none" w:pos="1378" w:val="left"/>
        </w:tabs>
        <w:numPr>
          <w:ilvl w:val="1"/>
          <w:numId w:val="2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Times New Roman" w:cs="Times New Roman" w:eastAsia="Times New Roman" w:hAnsi="Times New Roman"/>
          <w:sz w:val="11"/>
          <w:szCs w:val="11"/>
          <w:color w:val="auto"/>
        </w:rPr>
      </w:pPr>
    </w:p>
    <w:p>
      <w:pPr>
        <w:jc w:val="both"/>
        <w:ind w:left="780" w:right="1020" w:firstLine="479"/>
        <w:spacing w:after="0" w:line="264" w:lineRule="auto"/>
        <w:tabs>
          <w:tab w:leader="none" w:pos="1384" w:val="left"/>
        </w:tabs>
        <w:numPr>
          <w:ilvl w:val="1"/>
          <w:numId w:val="2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Times New Roman" w:cs="Times New Roman" w:eastAsia="Times New Roman" w:hAnsi="Times New Roman"/>
          <w:sz w:val="11"/>
          <w:szCs w:val="11"/>
          <w:color w:val="auto"/>
        </w:rPr>
      </w:pPr>
    </w:p>
    <w:p>
      <w:pPr>
        <w:ind w:left="780" w:right="740" w:firstLine="479"/>
        <w:spacing w:after="0" w:line="279" w:lineRule="auto"/>
        <w:tabs>
          <w:tab w:leader="none" w:pos="1378" w:val="left"/>
        </w:tabs>
        <w:numPr>
          <w:ilvl w:val="1"/>
          <w:numId w:val="2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1"/>
          <w:szCs w:val="11"/>
          <w:color w:val="auto"/>
        </w:rPr>
      </w:pPr>
    </w:p>
    <w:p>
      <w:pPr>
        <w:jc w:val="both"/>
        <w:ind w:left="780" w:right="1040" w:firstLine="479"/>
        <w:spacing w:after="0" w:line="264" w:lineRule="auto"/>
        <w:tabs>
          <w:tab w:leader="none" w:pos="1384" w:val="left"/>
        </w:tabs>
        <w:numPr>
          <w:ilvl w:val="1"/>
          <w:numId w:val="2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Times New Roman" w:cs="Times New Roman" w:eastAsia="Times New Roman" w:hAnsi="Times New Roman"/>
          <w:sz w:val="11"/>
          <w:szCs w:val="11"/>
          <w:color w:val="auto"/>
        </w:rPr>
      </w:pPr>
    </w:p>
    <w:p>
      <w:pPr>
        <w:ind w:left="780" w:right="780" w:firstLine="297"/>
        <w:spacing w:after="0" w:line="279" w:lineRule="auto"/>
        <w:tabs>
          <w:tab w:leader="none" w:pos="1194" w:val="left"/>
        </w:tabs>
        <w:numPr>
          <w:ilvl w:val="0"/>
          <w:numId w:val="2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1"/>
          <w:szCs w:val="11"/>
          <w:color w:val="auto"/>
        </w:rPr>
      </w:pPr>
    </w:p>
    <w:p>
      <w:pPr>
        <w:ind w:left="780" w:right="900" w:firstLine="479"/>
        <w:spacing w:after="0" w:line="279" w:lineRule="auto"/>
        <w:tabs>
          <w:tab w:leader="none" w:pos="1378" w:val="left"/>
        </w:tabs>
        <w:numPr>
          <w:ilvl w:val="1"/>
          <w:numId w:val="2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1"/>
          <w:szCs w:val="11"/>
          <w:color w:val="auto"/>
        </w:rPr>
      </w:pPr>
    </w:p>
    <w:p>
      <w:pPr>
        <w:ind w:left="780" w:right="1040" w:firstLine="479"/>
        <w:spacing w:after="0" w:line="279" w:lineRule="auto"/>
        <w:tabs>
          <w:tab w:leader="none" w:pos="1384" w:val="left"/>
        </w:tabs>
        <w:numPr>
          <w:ilvl w:val="1"/>
          <w:numId w:val="2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Dated: February 9, 2026</w:t>
      </w:r>
    </w:p>
    <w:p>
      <w:pPr>
        <w:spacing w:after="0" w:line="1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/s/ Richard T. Allorto, Jr.</w:t>
      </w:r>
    </w:p>
    <w:p>
      <w:pPr>
        <w:spacing w:after="0" w:line="16" w:lineRule="exact"/>
        <w:rPr>
          <w:sz w:val="20"/>
          <w:szCs w:val="20"/>
          <w:color w:val="auto"/>
        </w:rPr>
      </w:pPr>
    </w:p>
    <w:p>
      <w:pPr>
        <w:ind w:left="780"/>
        <w:spacing w:after="0"/>
        <w:tabs>
          <w:tab w:leader="none" w:pos="1140" w:val="left"/>
        </w:tabs>
        <w:rPr>
          <w:sz w:val="20"/>
          <w:szCs w:val="20"/>
          <w:color w:val="auto"/>
        </w:rPr>
      </w:pPr>
      <w:r>
        <w:rPr>
          <w:rFonts w:ascii="Times New Roman" w:cs="Times New Roman" w:eastAsia="Times New Roman" w:hAnsi="Times New Roman"/>
          <w:sz w:val="11"/>
          <w:szCs w:val="11"/>
          <w:color w:val="auto"/>
        </w:rPr>
        <w:t>Name:</w:t>
        <w:tab/>
        <w:t>Richard T. Allorto, Jr.</w:t>
      </w:r>
    </w:p>
    <w:p>
      <w:pPr>
        <w:spacing w:after="0" w:line="5" w:lineRule="exact"/>
        <w:rPr>
          <w:sz w:val="20"/>
          <w:szCs w:val="20"/>
          <w:color w:val="auto"/>
        </w:rPr>
      </w:pPr>
    </w:p>
    <w:p>
      <w:pPr>
        <w:ind w:left="780"/>
        <w:spacing w:after="0"/>
        <w:tabs>
          <w:tab w:leader="none" w:pos="1140" w:val="left"/>
        </w:tabs>
        <w:rPr>
          <w:sz w:val="20"/>
          <w:szCs w:val="20"/>
          <w:color w:val="auto"/>
        </w:rPr>
      </w:pPr>
      <w:r>
        <w:rPr>
          <w:rFonts w:ascii="Times New Roman" w:cs="Times New Roman" w:eastAsia="Times New Roman" w:hAnsi="Times New Roman"/>
          <w:sz w:val="11"/>
          <w:szCs w:val="11"/>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527050</wp:posOffset>
            </wp:positionV>
            <wp:extent cx="526605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3">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330" w:name="page331"/>
    <w:bookmarkEnd w:id="330"/>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EXHIBIT 32.1</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1"/>
          <w:szCs w:val="11"/>
          <w:b w:val="1"/>
          <w:bCs w:val="1"/>
          <w:color w:val="auto"/>
        </w:rPr>
        <w:t>CERTIFICATION OF CHIEF EXECUTIVE OFFICER</w:t>
      </w:r>
    </w:p>
    <w:p>
      <w:pPr>
        <w:spacing w:after="0" w:line="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PURSUANT TO</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SECTION 906 OF THE SARBANES-OXLEY ACT OF 2002 (18 U.S.C. 1350)</w:t>
      </w:r>
    </w:p>
    <w:p>
      <w:pPr>
        <w:spacing w:after="0" w:line="124" w:lineRule="exact"/>
        <w:rPr>
          <w:sz w:val="20"/>
          <w:szCs w:val="20"/>
          <w:color w:val="auto"/>
        </w:rPr>
      </w:pPr>
    </w:p>
    <w:p>
      <w:pPr>
        <w:ind w:left="780" w:right="660" w:firstLine="313"/>
        <w:spacing w:after="0" w:line="264" w:lineRule="auto"/>
        <w:rPr>
          <w:sz w:val="20"/>
          <w:szCs w:val="20"/>
          <w:color w:val="auto"/>
        </w:rPr>
      </w:pPr>
      <w:r>
        <w:rPr>
          <w:rFonts w:ascii="Times New Roman" w:cs="Times New Roman" w:eastAsia="Times New Roman" w:hAnsi="Times New Roman"/>
          <w:sz w:val="11"/>
          <w:szCs w:val="11"/>
          <w:color w:val="auto"/>
        </w:rPr>
        <w:t>In connection with this Report on Form 10-Q for the three months ended December 31, 2025 (the “Report”) of PennantPark Floating Rate Capital, Ltd. (the “Registrant”), as filed with the Securities and Exchange Commission on the date hereof, I, Arthur H. Penn, Chief Executive Officer of the Registrant, hereby certify, to the best of my knowledge, that:</w:t>
      </w:r>
    </w:p>
    <w:p>
      <w:pPr>
        <w:spacing w:after="0" w:line="107" w:lineRule="exact"/>
        <w:rPr>
          <w:sz w:val="20"/>
          <w:szCs w:val="20"/>
          <w:color w:val="auto"/>
        </w:rPr>
      </w:pPr>
    </w:p>
    <w:p>
      <w:pPr>
        <w:ind w:left="1300" w:hanging="213"/>
        <w:spacing w:after="0"/>
        <w:tabs>
          <w:tab w:leader="none" w:pos="1300" w:val="left"/>
        </w:tabs>
        <w:numPr>
          <w:ilvl w:val="0"/>
          <w:numId w:val="2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Report fully complies with the requirements of Section 13(a) or 15(d) of the Securities Exchange Act of 1934, as amended; and</w:t>
      </w:r>
    </w:p>
    <w:p>
      <w:pPr>
        <w:spacing w:after="0" w:line="135" w:lineRule="exact"/>
        <w:rPr>
          <w:rFonts w:ascii="Times New Roman" w:cs="Times New Roman" w:eastAsia="Times New Roman" w:hAnsi="Times New Roman"/>
          <w:sz w:val="11"/>
          <w:szCs w:val="11"/>
          <w:color w:val="auto"/>
        </w:rPr>
      </w:pPr>
    </w:p>
    <w:p>
      <w:pPr>
        <w:ind w:left="1300" w:hanging="213"/>
        <w:spacing w:after="0"/>
        <w:tabs>
          <w:tab w:leader="none" w:pos="1300" w:val="left"/>
        </w:tabs>
        <w:numPr>
          <w:ilvl w:val="0"/>
          <w:numId w:val="2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information contained in the Report fairly presents, in all material respects, the financial condition and results of operations of the Registrant.</w:t>
      </w:r>
    </w:p>
    <w:p>
      <w:pPr>
        <w:spacing w:after="0" w:line="1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/s/ Arthur H. Penn</w:t>
      </w:r>
    </w:p>
    <w:p>
      <w:pPr>
        <w:spacing w:after="0" w:line="16" w:lineRule="exact"/>
        <w:rPr>
          <w:sz w:val="20"/>
          <w:szCs w:val="20"/>
          <w:color w:val="auto"/>
        </w:rPr>
      </w:pPr>
    </w:p>
    <w:p>
      <w:pPr>
        <w:ind w:left="780"/>
        <w:spacing w:after="0"/>
        <w:tabs>
          <w:tab w:leader="none" w:pos="1140" w:val="left"/>
        </w:tabs>
        <w:rPr>
          <w:sz w:val="20"/>
          <w:szCs w:val="20"/>
          <w:color w:val="auto"/>
        </w:rPr>
      </w:pPr>
      <w:r>
        <w:rPr>
          <w:rFonts w:ascii="Times New Roman" w:cs="Times New Roman" w:eastAsia="Times New Roman" w:hAnsi="Times New Roman"/>
          <w:sz w:val="11"/>
          <w:szCs w:val="11"/>
          <w:color w:val="auto"/>
        </w:rPr>
        <w:t>Name:</w:t>
        <w:tab/>
        <w:t>Arthur H. Penn</w:t>
      </w:r>
    </w:p>
    <w:p>
      <w:pPr>
        <w:spacing w:after="0" w:line="5" w:lineRule="exact"/>
        <w:rPr>
          <w:sz w:val="20"/>
          <w:szCs w:val="20"/>
          <w:color w:val="auto"/>
        </w:rPr>
      </w:pPr>
    </w:p>
    <w:p>
      <w:pPr>
        <w:ind w:left="780"/>
        <w:spacing w:after="0"/>
        <w:tabs>
          <w:tab w:leader="none" w:pos="1140" w:val="left"/>
        </w:tabs>
        <w:rPr>
          <w:sz w:val="20"/>
          <w:szCs w:val="20"/>
          <w:color w:val="auto"/>
        </w:rPr>
      </w:pPr>
      <w:r>
        <w:rPr>
          <w:rFonts w:ascii="Times New Roman" w:cs="Times New Roman" w:eastAsia="Times New Roman" w:hAnsi="Times New Roman"/>
          <w:sz w:val="11"/>
          <w:szCs w:val="11"/>
          <w:color w:val="auto"/>
        </w:rPr>
        <w:t>Title:</w:t>
        <w:tab/>
        <w:t>Chief Executive Officer</w:t>
      </w:r>
    </w:p>
    <w:p>
      <w:pPr>
        <w:spacing w:after="0" w:line="5" w:lineRule="exact"/>
        <w:rPr>
          <w:sz w:val="20"/>
          <w:szCs w:val="20"/>
          <w:color w:val="auto"/>
        </w:rPr>
      </w:pPr>
    </w:p>
    <w:p>
      <w:pPr>
        <w:ind w:left="780"/>
        <w:spacing w:after="0"/>
        <w:tabs>
          <w:tab w:leader="none" w:pos="1140" w:val="left"/>
        </w:tabs>
        <w:rPr>
          <w:sz w:val="20"/>
          <w:szCs w:val="20"/>
          <w:color w:val="auto"/>
        </w:rPr>
      </w:pPr>
      <w:r>
        <w:rPr>
          <w:rFonts w:ascii="Times New Roman" w:cs="Times New Roman" w:eastAsia="Times New Roman" w:hAnsi="Times New Roman"/>
          <w:sz w:val="11"/>
          <w:szCs w:val="11"/>
          <w:color w:val="auto"/>
        </w:rPr>
        <w:t>Date:</w:t>
        <w:tab/>
        <w:t>February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527050</wp:posOffset>
            </wp:positionV>
            <wp:extent cx="526605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4">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331" w:name="page332"/>
    <w:bookmarkEnd w:id="331"/>
    <w:p>
      <w:pPr>
        <w:ind w:left="7680"/>
        <w:spacing w:after="0"/>
        <w:rPr>
          <w:sz w:val="20"/>
          <w:szCs w:val="20"/>
          <w:color w:val="auto"/>
        </w:rPr>
      </w:pPr>
      <w:r>
        <w:rPr>
          <w:rFonts w:ascii="Times New Roman" w:cs="Times New Roman" w:eastAsia="Times New Roman" w:hAnsi="Times New Roman"/>
          <w:sz w:val="11"/>
          <w:szCs w:val="11"/>
          <w:b w:val="1"/>
          <w:bCs w:val="1"/>
          <w:color w:val="auto"/>
        </w:rPr>
        <w:t>EXHIBIT 32.2</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1"/>
          <w:szCs w:val="11"/>
          <w:b w:val="1"/>
          <w:bCs w:val="1"/>
          <w:color w:val="auto"/>
        </w:rPr>
        <w:t>CERTIFICATION OF CHIEF FINANCIAL OFFICER</w:t>
      </w:r>
    </w:p>
    <w:p>
      <w:pPr>
        <w:spacing w:after="0" w:line="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PURSUANT TO</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1"/>
          <w:szCs w:val="11"/>
          <w:b w:val="1"/>
          <w:bCs w:val="1"/>
          <w:color w:val="auto"/>
        </w:rPr>
        <w:t>SECTION 906 OF THE SARBANES-OXLEY ACT OF 2002 (18 U.S.C. 1350)</w:t>
      </w:r>
    </w:p>
    <w:p>
      <w:pPr>
        <w:spacing w:after="0" w:line="124" w:lineRule="exact"/>
        <w:rPr>
          <w:sz w:val="20"/>
          <w:szCs w:val="20"/>
          <w:color w:val="auto"/>
        </w:rPr>
      </w:pPr>
    </w:p>
    <w:p>
      <w:pPr>
        <w:ind w:left="780" w:right="660" w:firstLine="313"/>
        <w:spacing w:after="0" w:line="264" w:lineRule="auto"/>
        <w:rPr>
          <w:sz w:val="20"/>
          <w:szCs w:val="20"/>
          <w:color w:val="auto"/>
        </w:rPr>
      </w:pPr>
      <w:r>
        <w:rPr>
          <w:rFonts w:ascii="Times New Roman" w:cs="Times New Roman" w:eastAsia="Times New Roman" w:hAnsi="Times New Roman"/>
          <w:sz w:val="11"/>
          <w:szCs w:val="11"/>
          <w:color w:val="auto"/>
        </w:rPr>
        <w:t>In connection with this Report on Form 10-Q for the three months ended December 31, 2025 (the “Report”) of PennantPark Floating Rate Capital, Ltd. (the “Registrant”), as filed with the Securities and Exchange Commission on the date hereof, I, Richard T. Allorto, Jr., Chief Financial Officer of the Registrant, hereby certify, to the best of my knowledge, that:</w:t>
      </w:r>
    </w:p>
    <w:p>
      <w:pPr>
        <w:spacing w:after="0" w:line="107" w:lineRule="exact"/>
        <w:rPr>
          <w:sz w:val="20"/>
          <w:szCs w:val="20"/>
          <w:color w:val="auto"/>
        </w:rPr>
      </w:pPr>
    </w:p>
    <w:p>
      <w:pPr>
        <w:ind w:left="1300" w:hanging="213"/>
        <w:spacing w:after="0"/>
        <w:tabs>
          <w:tab w:leader="none" w:pos="1300" w:val="left"/>
        </w:tabs>
        <w:numPr>
          <w:ilvl w:val="0"/>
          <w:numId w:val="2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Report fully complies with the requirements of Section 13(a) or 15(d) of the Securities Exchange Act of 1934, as amended; and</w:t>
      </w:r>
    </w:p>
    <w:p>
      <w:pPr>
        <w:spacing w:after="0" w:line="135" w:lineRule="exact"/>
        <w:rPr>
          <w:rFonts w:ascii="Times New Roman" w:cs="Times New Roman" w:eastAsia="Times New Roman" w:hAnsi="Times New Roman"/>
          <w:sz w:val="11"/>
          <w:szCs w:val="11"/>
          <w:color w:val="auto"/>
        </w:rPr>
      </w:pPr>
    </w:p>
    <w:p>
      <w:pPr>
        <w:ind w:left="1300" w:hanging="213"/>
        <w:spacing w:after="0"/>
        <w:tabs>
          <w:tab w:leader="none" w:pos="1300" w:val="left"/>
        </w:tabs>
        <w:numPr>
          <w:ilvl w:val="0"/>
          <w:numId w:val="2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information contained in the Report fairly presents, in all material respects, the financial condition and results of operations of the Registrant.</w:t>
      </w:r>
    </w:p>
    <w:p>
      <w:pPr>
        <w:spacing w:after="0" w:line="1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1"/>
          <w:szCs w:val="11"/>
          <w:color w:val="auto"/>
        </w:rPr>
        <w:t>/s/ Richard T. Allorto, Jr.</w:t>
      </w:r>
    </w:p>
    <w:p>
      <w:pPr>
        <w:spacing w:after="0" w:line="9" w:lineRule="exact"/>
        <w:rPr>
          <w:sz w:val="20"/>
          <w:szCs w:val="20"/>
          <w:color w:val="auto"/>
        </w:rPr>
      </w:pPr>
    </w:p>
    <w:tbl>
      <w:tblPr>
        <w:tblLayout w:type="fixed"/>
        <w:tblInd w:w="380" w:type="dxa"/>
        <w:tblCellMar>
          <w:top w:w="0" w:type="dxa"/>
          <w:left w:w="0" w:type="dxa"/>
          <w:bottom w:w="0" w:type="dxa"/>
          <w:right w:w="0" w:type="dxa"/>
        </w:tblCellMar>
      </w:tblPr>
      <w:tr>
        <w:trPr>
          <w:trHeight w:val="126"/>
        </w:trPr>
        <w:tc>
          <w:tcPr>
            <w:tcW w:w="7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Name:</w:t>
            </w:r>
          </w:p>
        </w:tc>
        <w:tc>
          <w:tcPr>
            <w:tcW w:w="7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Richard T. Allorto, Jr.</w:t>
            </w:r>
          </w:p>
        </w:tc>
      </w:tr>
      <w:tr>
        <w:trPr>
          <w:trHeight w:val="131"/>
        </w:trPr>
        <w:tc>
          <w:tcPr>
            <w:tcW w:w="7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Title:</w:t>
            </w:r>
          </w:p>
        </w:tc>
        <w:tc>
          <w:tcPr>
            <w:tcW w:w="7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Chief Financial Officer</w:t>
            </w:r>
          </w:p>
        </w:tc>
      </w:tr>
      <w:tr>
        <w:trPr>
          <w:trHeight w:val="143"/>
        </w:trPr>
        <w:tc>
          <w:tcPr>
            <w:tcW w:w="7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Date:</w:t>
            </w:r>
          </w:p>
        </w:tc>
        <w:tc>
          <w:tcPr>
            <w:tcW w:w="7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February 9, 2026</w:t>
            </w:r>
          </w:p>
        </w:tc>
      </w:tr>
      <w:tr>
        <w:trPr>
          <w:trHeight w:val="856"/>
        </w:trPr>
        <w:tc>
          <w:tcPr>
            <w:tcW w:w="780" w:type="dxa"/>
            <w:vAlign w:val="bottom"/>
            <w:tcBorders>
              <w:bottom w:val="single" w:sz="8" w:color="EEEEEE"/>
            </w:tcBorders>
          </w:tcPr>
          <w:p>
            <w:pPr>
              <w:spacing w:after="0"/>
              <w:rPr>
                <w:sz w:val="24"/>
                <w:szCs w:val="24"/>
                <w:color w:val="auto"/>
              </w:rPr>
            </w:pPr>
          </w:p>
        </w:tc>
        <w:tc>
          <w:tcPr>
            <w:tcW w:w="74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-24765</wp:posOffset>
            </wp:positionV>
            <wp:extent cx="526605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5">
                      <a:extLst>
                        <a:ext uri="{28A0092B-C50C-407E-A947-70E740481C1C}"/>
                      </a:extLst>
                    </a:blip>
                    <a:srcRect/>
                    <a:stretch>
                      <a:fillRect/>
                    </a:stretch>
                  </pic:blipFill>
                  <pic:spPr bwMode="auto">
                    <a:xfrm>
                      <a:off x="0" y="0"/>
                      <a:ext cx="5266055" cy="38100"/>
                    </a:xfrm>
                    <a:prstGeom prst="rect">
                      <a:avLst/>
                    </a:prstGeom>
                    <a:noFill/>
                  </pic:spPr>
                </pic:pic>
              </a:graphicData>
            </a:graphic>
          </wp:anchor>
        </w:drawing>
      </w:r>
    </w:p>
    <w:p>
      <w:pPr>
        <w:sectPr>
          <w:pgSz w:w="11900" w:h="16840" w:orient="portrait"/>
          <w:cols w:equalWidth="0" w:num="1">
            <w:col w:w="9020"/>
          </w:cols>
          <w:pgMar w:left="1440" w:top="1042" w:right="1440" w:bottom="1440" w:gutter="0" w:footer="0" w:header="0"/>
        </w:sectPr>
      </w:pPr>
    </w:p>
    <w:bookmarkStart w:id="332" w:name="page333"/>
    <w:bookmarkEnd w:id="332"/>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FAE18"/>
    <w:multiLevelType w:val="hybridMultilevel"/>
    <w:lvl w:ilvl="0">
      <w:lvlJc w:val="left"/>
      <w:lvlText w:val="☒"/>
      <w:numFmt w:val="bullet"/>
      <w:start w:val="1"/>
    </w:lvl>
  </w:abstractNum>
  <w:abstractNum w:abstractNumId="1">
    <w:nsid w:val="E3E47A8"/>
    <w:multiLevelType w:val="hybridMultilevel"/>
    <w:lvl w:ilvl="0">
      <w:lvlJc w:val="left"/>
      <w:lvlText w:val="☐"/>
      <w:numFmt w:val="bullet"/>
      <w:start w:val="1"/>
    </w:lvl>
  </w:abstractNum>
  <w:abstractNum w:abstractNumId="2">
    <w:nsid w:val="2E48F044"/>
    <w:multiLevelType w:val="hybridMultilevel"/>
    <w:lvl w:ilvl="0">
      <w:lvlJc w:val="left"/>
      <w:lvlText w:val="%1"/>
      <w:numFmt w:val="upperLetter"/>
      <w:start w:val="35"/>
    </w:lvl>
  </w:abstractNum>
  <w:abstractNum w:abstractNumId="3">
    <w:nsid w:val="49D0FEAC"/>
    <w:multiLevelType w:val="hybridMultilevel"/>
    <w:lvl w:ilvl="0">
      <w:lvlJc w:val="left"/>
      <w:lvlText w:val="$"/>
      <w:numFmt w:val="bullet"/>
      <w:start w:val="1"/>
    </w:lvl>
  </w:abstractNum>
  <w:abstractNum w:abstractNumId="4">
    <w:nsid w:val="4BEE5A5B"/>
    <w:multiLevelType w:val="hybridMultilevel"/>
    <w:lvl w:ilvl="0">
      <w:lvlJc w:val="left"/>
      <w:lvlText w:val="$"/>
      <w:numFmt w:val="bullet"/>
      <w:start w:val="1"/>
    </w:lvl>
    <w:lvl w:ilvl="1">
      <w:lvlJc w:val="left"/>
      <w:lvlText w:val="(%2)"/>
      <w:numFmt w:val="lowerLetter"/>
      <w:start w:val="5"/>
    </w:lvl>
  </w:abstractNum>
  <w:abstractNum w:abstractNumId="5">
    <w:nsid w:val="5551B9F3"/>
    <w:multiLevelType w:val="hybridMultilevel"/>
    <w:lvl w:ilvl="0">
      <w:lvlJc w:val="left"/>
      <w:lvlText w:val="$"/>
      <w:numFmt w:val="bullet"/>
      <w:start w:val="1"/>
    </w:lvl>
  </w:abstractNum>
  <w:abstractNum w:abstractNumId="6">
    <w:nsid w:val="24F6AB8E"/>
    <w:multiLevelType w:val="hybridMultilevel"/>
    <w:lvl w:ilvl="0">
      <w:lvlJc w:val="left"/>
      <w:lvlText w:val="$"/>
      <w:numFmt w:val="bullet"/>
      <w:start w:val="1"/>
    </w:lvl>
  </w:abstractNum>
  <w:abstractNum w:abstractNumId="7">
    <w:nsid w:val="634C574C"/>
    <w:multiLevelType w:val="hybridMultilevel"/>
    <w:lvl w:ilvl="0">
      <w:lvlJc w:val="left"/>
      <w:lvlText w:val="$"/>
      <w:numFmt w:val="bullet"/>
      <w:start w:val="1"/>
    </w:lvl>
  </w:abstractNum>
  <w:abstractNum w:abstractNumId="8">
    <w:nsid w:val="24E99DD7"/>
    <w:multiLevelType w:val="hybridMultilevel"/>
    <w:lvl w:ilvl="0">
      <w:lvlJc w:val="left"/>
      <w:lvlText w:val="$"/>
      <w:numFmt w:val="bullet"/>
      <w:start w:val="1"/>
    </w:lvl>
  </w:abstractNum>
  <w:abstractNum w:abstractNumId="9">
    <w:nsid w:val="2A31B62D"/>
    <w:multiLevelType w:val="hybridMultilevel"/>
    <w:lvl w:ilvl="0">
      <w:lvlJc w:val="left"/>
      <w:lvlText w:val="(%1)"/>
      <w:numFmt w:val="decimal"/>
      <w:start w:val="1"/>
    </w:lvl>
  </w:abstractNum>
  <w:abstractNum w:abstractNumId="10">
    <w:nsid w:val="1849C29B"/>
    <w:multiLevelType w:val="hybridMultilevel"/>
    <w:lvl w:ilvl="0">
      <w:lvlJc w:val="left"/>
      <w:lvlText w:val="(%1)"/>
      <w:numFmt w:val="decimal"/>
      <w:start w:val="1"/>
    </w:lvl>
  </w:abstractNum>
  <w:abstractNum w:abstractNumId="11">
    <w:nsid w:val="7DFF9D09"/>
    <w:multiLevelType w:val="hybridMultilevel"/>
    <w:lvl w:ilvl="0">
      <w:lvlJc w:val="left"/>
      <w:lvlText w:val="*"/>
      <w:numFmt w:val="bullet"/>
      <w:start w:val="1"/>
    </w:lvl>
  </w:abstractNum>
  <w:abstractNum w:abstractNumId="12">
    <w:nsid w:val="754342"/>
    <w:multiLevelType w:val="hybridMultilevel"/>
    <w:lvl w:ilvl="0">
      <w:lvlJc w:val="left"/>
      <w:lvlText w:val="*"/>
      <w:numFmt w:val="bullet"/>
      <w:start w:val="1"/>
    </w:lvl>
  </w:abstractNum>
  <w:abstractNum w:abstractNumId="13">
    <w:nsid w:val="69E7F3E5"/>
    <w:multiLevelType w:val="hybridMultilevel"/>
    <w:lvl w:ilvl="0">
      <w:lvlJc w:val="left"/>
      <w:lvlText w:val="*"/>
      <w:numFmt w:val="bullet"/>
      <w:start w:val="1"/>
    </w:lvl>
  </w:abstractNum>
  <w:abstractNum w:abstractNumId="14">
    <w:nsid w:val="2A6DE806"/>
    <w:multiLevelType w:val="hybridMultilevel"/>
    <w:lvl w:ilvl="0">
      <w:lvlJc w:val="left"/>
      <w:lvlText w:val="**"/>
      <w:numFmt w:val="bullet"/>
      <w:start w:val="1"/>
    </w:lvl>
  </w:abstractNum>
  <w:abstractNum w:abstractNumId="15">
    <w:nsid w:val="1816F8C4"/>
    <w:multiLevelType w:val="hybridMultilevel"/>
    <w:lvl w:ilvl="0">
      <w:lvlJc w:val="left"/>
      <w:lvlText w:val="(%1)"/>
      <w:numFmt w:val="lowerRoman"/>
      <w:start w:val="7"/>
    </w:lvl>
  </w:abstractNum>
  <w:abstractNum w:abstractNumId="16">
    <w:nsid w:val="37DF2233"/>
    <w:multiLevelType w:val="hybridMultilevel"/>
    <w:lvl w:ilvl="0">
      <w:lvlJc w:val="left"/>
      <w:lvlText w:val="$"/>
      <w:numFmt w:val="bullet"/>
      <w:start w:val="1"/>
    </w:lvl>
  </w:abstractNum>
  <w:abstractNum w:abstractNumId="17">
    <w:nsid w:val="7AB49DAF"/>
    <w:multiLevelType w:val="hybridMultilevel"/>
    <w:lvl w:ilvl="0">
      <w:lvlJc w:val="left"/>
      <w:lvlText w:val="$"/>
      <w:numFmt w:val="bullet"/>
      <w:start w:val="1"/>
    </w:lvl>
  </w:abstractNum>
  <w:abstractNum w:abstractNumId="18">
    <w:nsid w:val="759F82CD"/>
    <w:multiLevelType w:val="hybridMultilevel"/>
    <w:lvl w:ilvl="0">
      <w:lvlJc w:val="left"/>
      <w:lvlText w:val="(%1)"/>
      <w:numFmt w:val="lowerRoman"/>
      <w:start w:val="3"/>
    </w:lvl>
  </w:abstractNum>
  <w:abstractNum w:abstractNumId="19">
    <w:nsid w:val="61E74EA3"/>
    <w:multiLevelType w:val="hybridMultilevel"/>
    <w:lvl w:ilvl="0">
      <w:lvlJc w:val="left"/>
      <w:lvlText w:val="%1."/>
      <w:numFmt w:val="decimal"/>
      <w:start w:val="3"/>
    </w:lvl>
  </w:abstractNum>
  <w:abstractNum w:abstractNumId="20">
    <w:nsid w:val="597B4D84"/>
    <w:multiLevelType w:val="hybridMultilevel"/>
    <w:lvl w:ilvl="0">
      <w:lvlJc w:val="left"/>
      <w:lvlText w:val="%1"/>
      <w:numFmt w:val="upperLetter"/>
      <w:start w:val="35"/>
    </w:lvl>
  </w:abstractNum>
  <w:abstractNum w:abstractNumId="21">
    <w:nsid w:val="F819E7F"/>
    <w:multiLevelType w:val="hybridMultilevel"/>
    <w:lvl w:ilvl="0">
      <w:lvlJc w:val="left"/>
      <w:lvlText w:val="(%1)"/>
      <w:numFmt w:val="upperLetter"/>
      <w:start w:val="2"/>
    </w:lvl>
  </w:abstractNum>
  <w:abstractNum w:abstractNumId="22">
    <w:nsid w:val="57C7D42D"/>
    <w:multiLevelType w:val="hybridMultilevel"/>
    <w:lvl w:ilvl="0">
      <w:lvlJc w:val="left"/>
      <w:lvlText w:val="(%1)"/>
      <w:numFmt w:val="decimal"/>
      <w:start w:val="1"/>
    </w:lvl>
  </w:abstractNum>
  <w:abstractNum w:abstractNumId="23">
    <w:nsid w:val="312167AD"/>
    <w:multiLevelType w:val="hybridMultilevel"/>
    <w:lvl w:ilvl="0">
      <w:lvlJc w:val="left"/>
      <w:lvlText w:val="%1)"/>
      <w:numFmt w:val="decimal"/>
      <w:start w:val="1"/>
    </w:lvl>
  </w:abstractNum>
  <w:abstractNum w:abstractNumId="24">
    <w:nsid w:val="631B64D4"/>
    <w:multiLevelType w:val="hybridMultilevel"/>
    <w:lvl w:ilvl="0">
      <w:lvlJc w:val="left"/>
      <w:lvlText w:val="%1"/>
      <w:numFmt w:val="decimal"/>
      <w:start w:val="104"/>
    </w:lvl>
  </w:abstractNum>
  <w:abstractNum w:abstractNumId="25">
    <w:nsid w:val="78B5E776"/>
    <w:multiLevelType w:val="hybridMultilevel"/>
    <w:lvl w:ilvl="0">
      <w:lvlJc w:val="left"/>
      <w:lvlText w:val="(%1)"/>
      <w:numFmt w:val="lowerLetter"/>
      <w:start w:val="1"/>
    </w:lvl>
    <w:lvl w:ilvl="1">
      <w:lvlJc w:val="left"/>
      <w:lvlText w:val="(%2)"/>
      <w:numFmt w:val="lowerRoman"/>
      <w:start w:val="1"/>
    </w:lvl>
  </w:abstractNum>
  <w:abstractNum w:abstractNumId="26">
    <w:nsid w:val="75486E47"/>
    <w:multiLevelType w:val="hybridMultilevel"/>
    <w:lvl w:ilvl="0">
      <w:lvlJc w:val="left"/>
      <w:lvlText w:val="(%1)"/>
      <w:numFmt w:val="lowerRoman"/>
      <w:start w:val="4"/>
    </w:lvl>
  </w:abstractNum>
  <w:abstractNum w:abstractNumId="27">
    <w:nsid w:val="6E534CDE"/>
    <w:multiLevelType w:val="hybridMultilevel"/>
    <w:lvl w:ilvl="0">
      <w:lvlJc w:val="left"/>
      <w:lvlText w:val="(%1)"/>
      <w:numFmt w:val="lowerLetter"/>
      <w:start w:val="1"/>
    </w:lvl>
  </w:abstractNum>
  <w:abstractNum w:abstractNumId="28">
    <w:nsid w:val="1A0DDE32"/>
    <w:multiLevelType w:val="hybridMultilevel"/>
    <w:lvl w:ilvl="0">
      <w:lvlJc w:val="left"/>
      <w:lvlText w:val="(%1)"/>
      <w:numFmt w:val="lowerLetter"/>
      <w:start w:val="1"/>
    </w:lvl>
  </w:abstractNum>
  <w:abstractNum w:abstractNumId="29">
    <w:nsid w:val="65968C1C"/>
    <w:multiLevelType w:val="hybridMultilevel"/>
    <w:lvl w:ilvl="0">
      <w:lvlJc w:val="left"/>
      <w:lvlText w:val="(%1)"/>
      <w:numFmt w:val="lowerLetter"/>
      <w:start w:val="1"/>
    </w:lvl>
  </w:abstractNum>
  <w:abstractNum w:abstractNumId="30">
    <w:nsid w:val="46263DEC"/>
    <w:multiLevelType w:val="hybridMultilevel"/>
    <w:lvl w:ilvl="0">
      <w:lvlJc w:val="left"/>
      <w:lvlText w:val="(%1)"/>
      <w:numFmt w:val="lowerLetter"/>
      <w:start w:val="1"/>
    </w:lvl>
  </w:abstractNum>
  <w:abstractNum w:abstractNumId="31">
    <w:nsid w:val="260D8C4A"/>
    <w:multiLevelType w:val="hybridMultilevel"/>
    <w:lvl w:ilvl="0">
      <w:lvlJc w:val="left"/>
      <w:lvlText w:val="(%1)"/>
      <w:numFmt w:val="decimal"/>
      <w:start w:val="1"/>
    </w:lvl>
  </w:abstractNum>
  <w:abstractNum w:abstractNumId="32">
    <w:nsid w:val="73D4D3C4"/>
    <w:multiLevelType w:val="hybridMultilevel"/>
    <w:lvl w:ilvl="0">
      <w:lvlJc w:val="left"/>
      <w:lvlText w:val="(%1)"/>
      <w:numFmt w:val="lowerLetter"/>
      <w:start w:val="1"/>
    </w:lvl>
  </w:abstractNum>
  <w:abstractNum w:abstractNumId="33">
    <w:nsid w:val="746F2E30"/>
    <w:multiLevelType w:val="hybridMultilevel"/>
    <w:lvl w:ilvl="0">
      <w:lvlJc w:val="left"/>
      <w:lvlText w:val="(%1)"/>
      <w:numFmt w:val="lowerLetter"/>
      <w:start w:val="1"/>
    </w:lvl>
  </w:abstractNum>
  <w:abstractNum w:abstractNumId="34">
    <w:nsid w:val="6FDE8AF6"/>
    <w:multiLevelType w:val="hybridMultilevel"/>
    <w:lvl w:ilvl="0">
      <w:lvlJc w:val="left"/>
      <w:lvlText w:val="(%1)"/>
      <w:numFmt w:val="lowerLetter"/>
      <w:start w:val="14"/>
    </w:lvl>
  </w:abstractNum>
  <w:abstractNum w:abstractNumId="35">
    <w:nsid w:val="3FC32E20"/>
    <w:multiLevelType w:val="hybridMultilevel"/>
    <w:lvl w:ilvl="0">
      <w:lvlJc w:val="left"/>
      <w:lvlText w:val="(%1)"/>
      <w:numFmt w:val="lowerLetter"/>
      <w:start w:val="1"/>
    </w:lvl>
  </w:abstractNum>
  <w:abstractNum w:abstractNumId="36">
    <w:nsid w:val="49C0E823"/>
    <w:multiLevelType w:val="hybridMultilevel"/>
    <w:lvl w:ilvl="0">
      <w:lvlJc w:val="left"/>
      <w:lvlText w:val="(%1)"/>
      <w:numFmt w:val="lowerLetter"/>
      <w:start w:val="1"/>
    </w:lvl>
  </w:abstractNum>
  <w:abstractNum w:abstractNumId="37">
    <w:nsid w:val="14D53685"/>
    <w:multiLevelType w:val="hybridMultilevel"/>
    <w:lvl w:ilvl="0">
      <w:lvlJc w:val="left"/>
      <w:lvlText w:val="(%1)"/>
      <w:numFmt w:val="decimal"/>
      <w:start w:val="6"/>
    </w:lvl>
  </w:abstractNum>
  <w:abstractNum w:abstractNumId="38">
    <w:nsid w:val="230F856C"/>
    <w:multiLevelType w:val="hybridMultilevel"/>
    <w:lvl w:ilvl="0">
      <w:lvlJc w:val="left"/>
      <w:lvlText w:val="(%1)"/>
      <w:numFmt w:val="lowerRoman"/>
      <w:start w:val="1"/>
    </w:lvl>
  </w:abstractNum>
  <w:abstractNum w:abstractNumId="39">
    <w:nsid w:val="6EAA85FB"/>
    <w:multiLevelType w:val="hybridMultilevel"/>
    <w:lvl w:ilvl="0">
      <w:lvlJc w:val="left"/>
      <w:lvlText w:val="(%1)"/>
      <w:numFmt w:val="lowerLetter"/>
      <w:start w:val="3"/>
    </w:lvl>
  </w:abstractNum>
  <w:abstractNum w:abstractNumId="40">
    <w:nsid w:val="3F06ECB2"/>
    <w:multiLevelType w:val="hybridMultilevel"/>
    <w:lvl w:ilvl="0">
      <w:lvlJc w:val="left"/>
      <w:lvlText w:val="(%1)"/>
      <w:numFmt w:val="lowerLetter"/>
      <w:start w:val="1"/>
    </w:lvl>
    <w:lvl w:ilvl="1">
      <w:lvlJc w:val="left"/>
      <w:lvlText w:val="(%2)"/>
      <w:numFmt w:val="lowerRoman"/>
      <w:start w:val="1"/>
    </w:lvl>
  </w:abstractNum>
  <w:abstractNum w:abstractNumId="41">
    <w:nsid w:val="3B594807"/>
    <w:multiLevelType w:val="hybridMultilevel"/>
    <w:lvl w:ilvl="0">
      <w:lvlJc w:val="left"/>
      <w:lvlText w:val="%1"/>
      <w:numFmt w:val="lowerLetter"/>
      <w:start w:val="1"/>
    </w:lvl>
    <w:lvl w:ilvl="1">
      <w:lvlJc w:val="left"/>
      <w:lvlText w:val="(%2)"/>
      <w:numFmt w:val="lowerLetter"/>
      <w:start w:val="35"/>
    </w:lvl>
  </w:abstractNum>
  <w:abstractNum w:abstractNumId="42">
    <w:nsid w:val="6CAA2304"/>
    <w:multiLevelType w:val="hybridMultilevel"/>
    <w:lvl w:ilvl="0">
      <w:lvlJc w:val="left"/>
      <w:lvlText w:val="(%1)"/>
      <w:numFmt w:val="lowerLetter"/>
      <w:start w:val="5"/>
    </w:lvl>
    <w:lvl w:ilvl="1">
      <w:lvlJc w:val="left"/>
      <w:lvlText w:val="(%2)"/>
      <w:numFmt w:val="lowerLetter"/>
      <w:start w:val="9"/>
    </w:lvl>
  </w:abstractNum>
  <w:abstractNum w:abstractNumId="43">
    <w:nsid w:val="3F7C2FF4"/>
    <w:multiLevelType w:val="hybridMultilevel"/>
    <w:lvl w:ilvl="0">
      <w:lvlJc w:val="left"/>
      <w:lvlText w:val="%1"/>
      <w:numFmt w:val="lowerLetter"/>
      <w:start w:val="1"/>
    </w:lvl>
    <w:lvl w:ilvl="1">
      <w:lvlJc w:val="left"/>
      <w:lvlText w:val="(%2)"/>
      <w:numFmt w:val="lowerRoman"/>
      <w:start w:val="2"/>
    </w:lvl>
  </w:abstractNum>
  <w:abstractNum w:abstractNumId="44">
    <w:nsid w:val="25413BEC"/>
    <w:multiLevelType w:val="hybridMultilevel"/>
    <w:lvl w:ilvl="0">
      <w:lvlJc w:val="left"/>
      <w:lvlText w:val="(%1)"/>
      <w:numFmt w:val="lowerLetter"/>
      <w:start w:val="6"/>
    </w:lvl>
    <w:lvl w:ilvl="1">
      <w:lvlJc w:val="left"/>
      <w:lvlText w:val="(%2)"/>
      <w:numFmt w:val="lowerRoman"/>
      <w:start w:val="1"/>
    </w:lvl>
  </w:abstractNum>
  <w:abstractNum w:abstractNumId="45">
    <w:nsid w:val="17180B0B"/>
    <w:multiLevelType w:val="hybridMultilevel"/>
    <w:lvl w:ilvl="0">
      <w:lvlJc w:val="left"/>
      <w:lvlText w:val="(%1)"/>
      <w:numFmt w:val="lowerLetter"/>
      <w:start w:val="1"/>
    </w:lvl>
  </w:abstractNum>
  <w:abstractNum w:abstractNumId="46">
    <w:nsid w:val="579328B9"/>
    <w:multiLevelType w:val="hybridMultilevel"/>
    <w:lvl w:ilvl="0">
      <w:lvlJc w:val="left"/>
      <w:lvlText w:val="(%1)"/>
      <w:numFmt w:val="lowerLetter"/>
      <w:start w:val="1"/>
    </w:lvl>
  </w:abstractNum>
  <w:abstractNum w:abstractNumId="47">
    <w:nsid w:val="5D205E20"/>
    <w:multiLevelType w:val="hybridMultilevel"/>
    <w:lvl w:ilvl="0">
      <w:lvlJc w:val="left"/>
      <w:lvlText w:val="(%1)"/>
      <w:numFmt w:val="lowerLetter"/>
      <w:start w:val="5"/>
    </w:lvl>
  </w:abstractNum>
  <w:abstractNum w:abstractNumId="48">
    <w:nsid w:val="11CCA8BA"/>
    <w:multiLevelType w:val="hybridMultilevel"/>
    <w:lvl w:ilvl="0">
      <w:lvlJc w:val="left"/>
      <w:lvlText w:val="(%1)"/>
      <w:numFmt w:val="lowerLetter"/>
      <w:start w:val="20"/>
    </w:lvl>
  </w:abstractNum>
  <w:abstractNum w:abstractNumId="49">
    <w:nsid w:val="4D32AB86"/>
    <w:multiLevelType w:val="hybridMultilevel"/>
    <w:lvl w:ilvl="0">
      <w:lvlJc w:val="left"/>
      <w:lvlText w:val="%1"/>
      <w:numFmt w:val="upperLetter"/>
      <w:start w:val="1"/>
    </w:lvl>
    <w:lvl w:ilvl="1">
      <w:lvlJc w:val="left"/>
      <w:lvlText w:val="(%2)"/>
      <w:numFmt w:val="lowerLetter"/>
      <w:start w:val="27"/>
    </w:lvl>
  </w:abstractNum>
  <w:abstractNum w:abstractNumId="50">
    <w:nsid w:val="3F07ACC3"/>
    <w:multiLevelType w:val="hybridMultilevel"/>
    <w:lvl w:ilvl="0">
      <w:lvlJc w:val="left"/>
      <w:lvlText w:val="(%1)"/>
      <w:numFmt w:val="upperLetter"/>
      <w:start w:val="2"/>
    </w:lvl>
    <w:lvl w:ilvl="1">
      <w:lvlJc w:val="left"/>
      <w:lvlText w:val="(%2)"/>
      <w:numFmt w:val="lowerLetter"/>
      <w:start w:val="29"/>
    </w:lvl>
  </w:abstractNum>
  <w:abstractNum w:abstractNumId="51">
    <w:nsid w:val="6B47F63E"/>
    <w:multiLevelType w:val="hybridMultilevel"/>
    <w:lvl w:ilvl="0">
      <w:lvlJc w:val="left"/>
      <w:lvlText w:val="(%1)"/>
      <w:numFmt w:val="lowerLetter"/>
      <w:start w:val="30"/>
    </w:lvl>
  </w:abstractNum>
  <w:abstractNum w:abstractNumId="52">
    <w:nsid w:val="5CB44A05"/>
    <w:multiLevelType w:val="hybridMultilevel"/>
    <w:lvl w:ilvl="0">
      <w:lvlJc w:val="left"/>
      <w:lvlText w:val="(%1)"/>
      <w:numFmt w:val="lowerRoman"/>
      <w:start w:val="2"/>
    </w:lvl>
  </w:abstractNum>
  <w:abstractNum w:abstractNumId="53">
    <w:nsid w:val="16CF80F1"/>
    <w:multiLevelType w:val="hybridMultilevel"/>
    <w:lvl w:ilvl="0">
      <w:lvlJc w:val="left"/>
      <w:lvlText w:val="(%1)"/>
      <w:numFmt w:val="lowerRoman"/>
      <w:start w:val="1"/>
    </w:lvl>
  </w:abstractNum>
  <w:abstractNum w:abstractNumId="54">
    <w:nsid w:val="1C695DEC"/>
    <w:multiLevelType w:val="hybridMultilevel"/>
    <w:lvl w:ilvl="0">
      <w:lvlJc w:val="left"/>
      <w:lvlText w:val="(%1)"/>
      <w:numFmt w:val="lowerRoman"/>
      <w:start w:val="3"/>
    </w:lvl>
  </w:abstractNum>
  <w:abstractNum w:abstractNumId="55">
    <w:nsid w:val="3FCFAED9"/>
    <w:multiLevelType w:val="hybridMultilevel"/>
    <w:lvl w:ilvl="0">
      <w:lvlJc w:val="left"/>
      <w:lvlText w:val="(%1)"/>
      <w:numFmt w:val="lowerLetter"/>
      <w:start w:val="3"/>
    </w:lvl>
  </w:abstractNum>
  <w:abstractNum w:abstractNumId="56">
    <w:nsid w:val="F856867"/>
    <w:multiLevelType w:val="hybridMultilevel"/>
    <w:lvl w:ilvl="0">
      <w:lvlJc w:val="left"/>
      <w:lvlText w:val="(%1)"/>
      <w:numFmt w:val="lowerLetter"/>
      <w:start w:val="4"/>
    </w:lvl>
  </w:abstractNum>
  <w:abstractNum w:abstractNumId="57">
    <w:nsid w:val="11B1CC33"/>
    <w:multiLevelType w:val="hybridMultilevel"/>
    <w:lvl w:ilvl="0">
      <w:lvlJc w:val="left"/>
      <w:lvlText w:val="(%1)"/>
      <w:numFmt w:val="lowerLetter"/>
      <w:start w:val="1"/>
    </w:lvl>
  </w:abstractNum>
  <w:abstractNum w:abstractNumId="58">
    <w:nsid w:val="2E22FBB7"/>
    <w:multiLevelType w:val="hybridMultilevel"/>
    <w:lvl w:ilvl="0">
      <w:lvlJc w:val="left"/>
      <w:lvlText w:val="(%1)"/>
      <w:numFmt w:val="lowerLetter"/>
      <w:start w:val="3"/>
    </w:lvl>
  </w:abstractNum>
  <w:abstractNum w:abstractNumId="59">
    <w:nsid w:val="29934699"/>
    <w:multiLevelType w:val="hybridMultilevel"/>
    <w:lvl w:ilvl="0">
      <w:lvlJc w:val="left"/>
      <w:lvlText w:val="(%1)"/>
      <w:numFmt w:val="lowerLetter"/>
      <w:start w:val="1"/>
    </w:lvl>
  </w:abstractNum>
  <w:abstractNum w:abstractNumId="60">
    <w:nsid w:val="77485850"/>
    <w:multiLevelType w:val="hybridMultilevel"/>
    <w:lvl w:ilvl="0">
      <w:lvlJc w:val="left"/>
      <w:lvlText w:val="(%1)"/>
      <w:numFmt w:val="lowerRoman"/>
      <w:start w:val="1"/>
    </w:lvl>
  </w:abstractNum>
  <w:abstractNum w:abstractNumId="61">
    <w:nsid w:val="744939A3"/>
    <w:multiLevelType w:val="hybridMultilevel"/>
    <w:lvl w:ilvl="0">
      <w:lvlJc w:val="left"/>
      <w:lvlText w:val="(%1)"/>
      <w:numFmt w:val="lowerLetter"/>
      <w:start w:val="2"/>
    </w:lvl>
  </w:abstractNum>
  <w:abstractNum w:abstractNumId="62">
    <w:nsid w:val="4FA0D2E3"/>
    <w:multiLevelType w:val="hybridMultilevel"/>
    <w:lvl w:ilvl="0">
      <w:lvlJc w:val="left"/>
      <w:lvlText w:val="(%1)"/>
      <w:numFmt w:val="lowerLetter"/>
      <w:start w:val="1"/>
    </w:lvl>
  </w:abstractNum>
  <w:abstractNum w:abstractNumId="63">
    <w:nsid w:val="6B1D2C14"/>
    <w:multiLevelType w:val="hybridMultilevel"/>
    <w:lvl w:ilvl="0">
      <w:lvlJc w:val="left"/>
      <w:lvlText w:val="(%1)"/>
      <w:numFmt w:val="lowerLetter"/>
      <w:start w:val="1"/>
    </w:lvl>
  </w:abstractNum>
  <w:abstractNum w:abstractNumId="64">
    <w:nsid w:val="68B867D3"/>
    <w:multiLevelType w:val="hybridMultilevel"/>
    <w:lvl w:ilvl="0">
      <w:lvlJc w:val="left"/>
      <w:lvlText w:val="(%1)"/>
      <w:numFmt w:val="decimal"/>
      <w:start w:val="1"/>
    </w:lvl>
  </w:abstractNum>
  <w:abstractNum w:abstractNumId="65">
    <w:nsid w:val="3F7F5DD9"/>
    <w:multiLevelType w:val="hybridMultilevel"/>
    <w:lvl w:ilvl="0">
      <w:lvlJc w:val="left"/>
      <w:lvlText w:val="(%1)"/>
      <w:numFmt w:val="lowerLetter"/>
      <w:start w:val="1"/>
    </w:lvl>
  </w:abstractNum>
  <w:abstractNum w:abstractNumId="66">
    <w:nsid w:val="2AE05A34"/>
    <w:multiLevelType w:val="hybridMultilevel"/>
    <w:lvl w:ilvl="0">
      <w:lvlJc w:val="left"/>
      <w:lvlText w:val="(%1)"/>
      <w:numFmt w:val="upperLetter"/>
      <w:start w:val="1"/>
    </w:lvl>
  </w:abstractNum>
  <w:abstractNum w:abstractNumId="67">
    <w:nsid w:val="32794FF7"/>
    <w:multiLevelType w:val="hybridMultilevel"/>
    <w:lvl w:ilvl="0">
      <w:lvlJc w:val="left"/>
      <w:lvlText w:val="(%1)"/>
      <w:numFmt w:val="upperLetter"/>
      <w:start w:val="1"/>
    </w:lvl>
  </w:abstractNum>
  <w:abstractNum w:abstractNumId="68">
    <w:nsid w:val="5454945E"/>
    <w:multiLevelType w:val="hybridMultilevel"/>
    <w:lvl w:ilvl="0">
      <w:lvlJc w:val="left"/>
      <w:lvlText w:val="(%1)"/>
      <w:numFmt w:val="upperLetter"/>
      <w:start w:val="1"/>
    </w:lvl>
  </w:abstractNum>
  <w:abstractNum w:abstractNumId="69">
    <w:nsid w:val="4DEFDFA0"/>
    <w:multiLevelType w:val="hybridMultilevel"/>
    <w:lvl w:ilvl="0">
      <w:lvlJc w:val="left"/>
      <w:lvlText w:val="(%1)"/>
      <w:numFmt w:val="upperLetter"/>
      <w:start w:val="1"/>
    </w:lvl>
  </w:abstractNum>
  <w:abstractNum w:abstractNumId="70">
    <w:nsid w:val="2123D5F2"/>
    <w:multiLevelType w:val="hybridMultilevel"/>
    <w:lvl w:ilvl="0">
      <w:lvlJc w:val="left"/>
      <w:lvlText w:val="(%1)"/>
      <w:numFmt w:val="lowerLetter"/>
      <w:start w:val="1"/>
    </w:lvl>
    <w:lvl w:ilvl="1">
      <w:lvlJc w:val="left"/>
      <w:lvlText w:val="(%2)"/>
      <w:numFmt w:val="lowerRoman"/>
      <w:start w:val="1"/>
    </w:lvl>
  </w:abstractNum>
  <w:abstractNum w:abstractNumId="71">
    <w:nsid w:val="135B8110"/>
    <w:multiLevelType w:val="hybridMultilevel"/>
    <w:lvl w:ilvl="0">
      <w:lvlJc w:val="left"/>
      <w:lvlText w:val="(%1)"/>
      <w:numFmt w:val="lowerLetter"/>
      <w:start w:val="1"/>
    </w:lvl>
  </w:abstractNum>
  <w:abstractNum w:abstractNumId="72">
    <w:nsid w:val="94927A8"/>
    <w:multiLevelType w:val="hybridMultilevel"/>
    <w:lvl w:ilvl="0">
      <w:lvlJc w:val="left"/>
      <w:lvlText w:val="(%1)"/>
      <w:numFmt w:val="lowerLetter"/>
      <w:start w:val="1"/>
    </w:lvl>
    <w:lvl w:ilvl="1">
      <w:lvlJc w:val="left"/>
      <w:lvlText w:val="(%2)"/>
      <w:numFmt w:val="lowerRoman"/>
      <w:start w:val="1"/>
    </w:lvl>
  </w:abstractNum>
  <w:abstractNum w:abstractNumId="73">
    <w:nsid w:val="DCDF8F6"/>
    <w:multiLevelType w:val="hybridMultilevel"/>
    <w:lvl w:ilvl="0">
      <w:lvlJc w:val="left"/>
      <w:lvlText w:val="(%1)"/>
      <w:numFmt w:val="lowerRoman"/>
      <w:start w:val="2"/>
    </w:lvl>
  </w:abstractNum>
  <w:abstractNum w:abstractNumId="74">
    <w:nsid w:val="52D7B105"/>
    <w:multiLevelType w:val="hybridMultilevel"/>
    <w:lvl w:ilvl="0">
      <w:lvlJc w:val="left"/>
      <w:lvlText w:val="(%1)"/>
      <w:numFmt w:val="lowerLetter"/>
      <w:start w:val="1"/>
    </w:lvl>
  </w:abstractNum>
  <w:abstractNum w:abstractNumId="75">
    <w:nsid w:val="2E8A6394"/>
    <w:multiLevelType w:val="hybridMultilevel"/>
    <w:lvl w:ilvl="0">
      <w:lvlJc w:val="left"/>
      <w:lvlText w:val="(%1)"/>
      <w:numFmt w:val="decimal"/>
      <w:start w:val="2"/>
    </w:lvl>
  </w:abstractNum>
  <w:abstractNum w:abstractNumId="76">
    <w:nsid w:val="24E60401"/>
    <w:multiLevelType w:val="hybridMultilevel"/>
    <w:lvl w:ilvl="0">
      <w:lvlJc w:val="left"/>
      <w:lvlText w:val="(%1)"/>
      <w:numFmt w:val="lowerLetter"/>
      <w:start w:val="1"/>
    </w:lvl>
    <w:lvl w:ilvl="1">
      <w:lvlJc w:val="left"/>
      <w:lvlText w:val="(%2)"/>
      <w:numFmt w:val="lowerRoman"/>
      <w:start w:val="1"/>
    </w:lvl>
  </w:abstractNum>
  <w:abstractNum w:abstractNumId="77">
    <w:nsid w:val="2A6AD9BE"/>
    <w:multiLevelType w:val="hybridMultilevel"/>
    <w:lvl w:ilvl="0">
      <w:lvlJc w:val="left"/>
      <w:lvlText w:val="(%1)"/>
      <w:numFmt w:val="lowerRoman"/>
      <w:start w:val="3"/>
    </w:lvl>
  </w:abstractNum>
  <w:abstractNum w:abstractNumId="78">
    <w:nsid w:val="BAAC1B4"/>
    <w:multiLevelType w:val="hybridMultilevel"/>
    <w:lvl w:ilvl="0">
      <w:lvlJc w:val="left"/>
      <w:lvlText w:val="(%1)"/>
      <w:numFmt w:val="lowerLetter"/>
      <w:start w:val="1"/>
    </w:lvl>
  </w:abstractNum>
  <w:abstractNum w:abstractNumId="79">
    <w:nsid w:val="36B2ACBC"/>
    <w:multiLevelType w:val="hybridMultilevel"/>
    <w:lvl w:ilvl="0">
      <w:lvlJc w:val="left"/>
      <w:lvlText w:val="(%1)"/>
      <w:numFmt w:val="lowerLetter"/>
      <w:start w:val="35"/>
    </w:lvl>
  </w:abstractNum>
  <w:abstractNum w:abstractNumId="80">
    <w:nsid w:val="779D8544"/>
    <w:multiLevelType w:val="hybridMultilevel"/>
    <w:lvl w:ilvl="0">
      <w:lvlJc w:val="left"/>
      <w:lvlText w:val="%1"/>
      <w:numFmt w:val="decimal"/>
      <w:start w:val="1"/>
    </w:lvl>
    <w:lvl w:ilvl="1">
      <w:lvlJc w:val="left"/>
      <w:lvlText w:val="(%2)"/>
      <w:numFmt w:val="lowerLetter"/>
      <w:start w:val="1"/>
    </w:lvl>
  </w:abstractNum>
  <w:abstractNum w:abstractNumId="81">
    <w:nsid w:val="4AB26E78"/>
    <w:multiLevelType w:val="hybridMultilevel"/>
    <w:lvl w:ilvl="0">
      <w:lvlJc w:val="left"/>
      <w:lvlText w:val="(%1)"/>
      <w:numFmt w:val="decimal"/>
      <w:start w:val="1"/>
    </w:lvl>
    <w:lvl w:ilvl="1">
      <w:lvlJc w:val="left"/>
      <w:lvlText w:val="(%2)"/>
      <w:numFmt w:val="lowerLetter"/>
      <w:start w:val="2"/>
    </w:lvl>
  </w:abstractNum>
  <w:abstractNum w:abstractNumId="82">
    <w:nsid w:val="21FAA2FA"/>
    <w:multiLevelType w:val="hybridMultilevel"/>
    <w:lvl w:ilvl="0">
      <w:lvlJc w:val="left"/>
      <w:lvlText w:val="(%1)"/>
      <w:numFmt w:val="lowerLetter"/>
      <w:start w:val="1"/>
    </w:lvl>
  </w:abstractNum>
  <w:abstractNum w:abstractNumId="83">
    <w:nsid w:val="5451CF49"/>
    <w:multiLevelType w:val="hybridMultilevel"/>
    <w:lvl w:ilvl="0">
      <w:lvlJc w:val="left"/>
      <w:lvlText w:val="(%1)"/>
      <w:numFmt w:val="lowerLetter"/>
      <w:start w:val="2"/>
    </w:lvl>
  </w:abstractNum>
  <w:abstractNum w:abstractNumId="84">
    <w:nsid w:val="6181EF69"/>
    <w:multiLevelType w:val="hybridMultilevel"/>
    <w:lvl w:ilvl="0">
      <w:lvlJc w:val="left"/>
      <w:lvlText w:val="%1"/>
      <w:numFmt w:val="decimal"/>
      <w:start w:val="1"/>
    </w:lvl>
    <w:lvl w:ilvl="1">
      <w:lvlJc w:val="left"/>
      <w:lvlText w:val="(%2)"/>
      <w:numFmt w:val="lowerLetter"/>
      <w:start w:val="1"/>
    </w:lvl>
  </w:abstractNum>
  <w:abstractNum w:abstractNumId="85">
    <w:nsid w:val="3E6400E6"/>
    <w:multiLevelType w:val="hybridMultilevel"/>
    <w:lvl w:ilvl="0">
      <w:lvlJc w:val="left"/>
      <w:lvlText w:val="(%1)"/>
      <w:numFmt w:val="decimal"/>
      <w:start w:val="2"/>
    </w:lvl>
    <w:lvl w:ilvl="1">
      <w:lvlJc w:val="left"/>
      <w:lvlText w:val="(%2)"/>
      <w:numFmt w:val="lowerLetter"/>
      <w:start w:val="2"/>
    </w:lvl>
  </w:abstractNum>
  <w:abstractNum w:abstractNumId="86">
    <w:nsid w:val="14217E23"/>
    <w:multiLevelType w:val="hybridMultilevel"/>
    <w:lvl w:ilvl="0">
      <w:lvlJc w:val="left"/>
      <w:lvlText w:val="(%1)"/>
      <w:numFmt w:val="lowerLetter"/>
      <w:start w:val="4"/>
    </w:lvl>
  </w:abstractNum>
  <w:abstractNum w:abstractNumId="87">
    <w:nsid w:val="710757D0"/>
    <w:multiLevelType w:val="hybridMultilevel"/>
    <w:lvl w:ilvl="0">
      <w:lvlJc w:val="left"/>
      <w:lvlText w:val="(%1)"/>
      <w:numFmt w:val="lowerLetter"/>
      <w:start w:val="2"/>
    </w:lvl>
  </w:abstractNum>
  <w:abstractNum w:abstractNumId="88">
    <w:nsid w:val="5015CD1A"/>
    <w:multiLevelType w:val="hybridMultilevel"/>
    <w:lvl w:ilvl="0">
      <w:lvlJc w:val="left"/>
      <w:lvlText w:val="(%1)"/>
      <w:numFmt w:val="lowerLetter"/>
      <w:start w:val="1"/>
    </w:lvl>
  </w:abstractNum>
  <w:abstractNum w:abstractNumId="89">
    <w:nsid w:val="424479DA"/>
    <w:multiLevelType w:val="hybridMultilevel"/>
    <w:lvl w:ilvl="0">
      <w:lvlJc w:val="left"/>
      <w:lvlText w:val="(%1)"/>
      <w:numFmt w:val="lowerLetter"/>
      <w:start w:val="1"/>
    </w:lvl>
  </w:abstractNum>
  <w:abstractNum w:abstractNumId="90">
    <w:nsid w:val="1A9A9E69"/>
    <w:multiLevelType w:val="hybridMultilevel"/>
    <w:lvl w:ilvl="0">
      <w:lvlJc w:val="left"/>
      <w:lvlText w:val="X"/>
      <w:numFmt w:val="bullet"/>
      <w:start w:val="1"/>
    </w:lvl>
  </w:abstractNum>
  <w:abstractNum w:abstractNumId="91">
    <w:nsid w:val="475E256A"/>
    <w:multiLevelType w:val="hybridMultilevel"/>
    <w:lvl w:ilvl="0">
      <w:lvlJc w:val="left"/>
      <w:lvlText w:val="(%1)"/>
      <w:numFmt w:val="lowerRoman"/>
      <w:start w:val="9"/>
    </w:lvl>
  </w:abstractNum>
  <w:abstractNum w:abstractNumId="92">
    <w:nsid w:val="368DB37E"/>
    <w:multiLevelType w:val="hybridMultilevel"/>
    <w:lvl w:ilvl="0">
      <w:lvlJc w:val="left"/>
      <w:lvlText w:val="(%1)"/>
      <w:numFmt w:val="lowerLetter"/>
      <w:start w:val="1"/>
    </w:lvl>
  </w:abstractNum>
  <w:abstractNum w:abstractNumId="93">
    <w:nsid w:val="6A3B714C"/>
    <w:multiLevelType w:val="hybridMultilevel"/>
    <w:lvl w:ilvl="0">
      <w:lvlJc w:val="left"/>
      <w:lvlText w:val="(%1)"/>
      <w:numFmt w:val="lowerLetter"/>
      <w:start w:val="9"/>
    </w:lvl>
  </w:abstractNum>
  <w:abstractNum w:abstractNumId="94">
    <w:nsid w:val="327B517E"/>
    <w:multiLevelType w:val="hybridMultilevel"/>
    <w:lvl w:ilvl="0">
      <w:lvlJc w:val="left"/>
      <w:lvlText w:val="(%1)"/>
      <w:numFmt w:val="lowerLetter"/>
      <w:start w:val="1"/>
    </w:lvl>
  </w:abstractNum>
  <w:abstractNum w:abstractNumId="95">
    <w:nsid w:val="1F461B51"/>
    <w:multiLevelType w:val="hybridMultilevel"/>
    <w:lvl w:ilvl="0">
      <w:lvlJc w:val="left"/>
      <w:lvlText w:val="(%1)"/>
      <w:numFmt w:val="lowerLetter"/>
      <w:start w:val="2"/>
    </w:lvl>
  </w:abstractNum>
  <w:abstractNum w:abstractNumId="96">
    <w:nsid w:val="29BACF25"/>
    <w:multiLevelType w:val="hybridMultilevel"/>
    <w:lvl w:ilvl="0">
      <w:lvlJc w:val="left"/>
      <w:lvlText w:val="(%1)"/>
      <w:numFmt w:val="lowerLetter"/>
      <w:start w:val="3"/>
    </w:lvl>
  </w:abstractNum>
  <w:abstractNum w:abstractNumId="97">
    <w:nsid w:val="5D5BABB3"/>
    <w:multiLevelType w:val="hybridMultilevel"/>
    <w:lvl w:ilvl="0">
      <w:lvlJc w:val="left"/>
      <w:lvlText w:val="%1"/>
      <w:numFmt w:val="decimal"/>
      <w:start w:val="1"/>
    </w:lvl>
    <w:lvl w:ilvl="1">
      <w:lvlJc w:val="left"/>
      <w:lvlText w:val="(%2)"/>
      <w:numFmt w:val="lowerRoman"/>
      <w:start w:val="1"/>
    </w:lvl>
  </w:abstractNum>
  <w:abstractNum w:abstractNumId="98">
    <w:nsid w:val="51BF6B48"/>
    <w:multiLevelType w:val="hybridMultilevel"/>
    <w:lvl w:ilvl="0">
      <w:lvlJc w:val="left"/>
      <w:lvlText w:val="(%1)"/>
      <w:numFmt w:val="decimal"/>
      <w:start w:val="1"/>
    </w:lvl>
    <w:lvl w:ilvl="1">
      <w:lvlJc w:val="left"/>
      <w:lvlText w:val="(%2)"/>
      <w:numFmt w:val="lowerRoman"/>
      <w:start w:val="2"/>
    </w:lvl>
  </w:abstractNum>
  <w:abstractNum w:abstractNumId="99">
    <w:nsid w:val="7E0F6384"/>
    <w:multiLevelType w:val="hybridMultilevel"/>
    <w:lvl w:ilvl="0">
      <w:lvlJc w:val="left"/>
      <w:lvlText w:val="(%1)"/>
      <w:numFmt w:val="lowerLetter"/>
      <w:start w:val="2"/>
    </w:lvl>
  </w:abstractNum>
  <w:abstractNum w:abstractNumId="100">
    <w:nsid w:val="2B4B8B53"/>
    <w:multiLevelType w:val="hybridMultilevel"/>
    <w:lvl w:ilvl="0">
      <w:lvlJc w:val="left"/>
      <w:lvlText w:val="(%1)"/>
      <w:numFmt w:val="lowerRoman"/>
      <w:start w:val="1"/>
    </w:lvl>
  </w:abstractNum>
  <w:abstractNum w:abstractNumId="101">
    <w:nsid w:val="72E3413A"/>
    <w:multiLevelType w:val="hybridMultilevel"/>
    <w:lvl w:ilvl="0">
      <w:lvlJc w:val="left"/>
      <w:lvlText w:val="(%1)"/>
      <w:numFmt w:val="lowerLetter"/>
      <w:start w:val="4"/>
    </w:lvl>
  </w:abstractNum>
  <w:abstractNum w:abstractNumId="102">
    <w:nsid w:val="116AE494"/>
    <w:multiLevelType w:val="hybridMultilevel"/>
    <w:lvl w:ilvl="0">
      <w:lvlJc w:val="left"/>
      <w:lvlText w:val="(%1)"/>
      <w:numFmt w:val="lowerLetter"/>
      <w:start w:val="2"/>
    </w:lvl>
  </w:abstractNum>
  <w:abstractNum w:abstractNumId="103">
    <w:nsid w:val="3494B2FB"/>
    <w:multiLevelType w:val="hybridMultilevel"/>
    <w:lvl w:ilvl="0">
      <w:lvlJc w:val="left"/>
      <w:lvlText w:val="(%1)"/>
      <w:numFmt w:val="lowerLetter"/>
      <w:start w:val="1"/>
    </w:lvl>
  </w:abstractNum>
  <w:abstractNum w:abstractNumId="104">
    <w:nsid w:val="B13A31"/>
    <w:multiLevelType w:val="hybridMultilevel"/>
    <w:lvl w:ilvl="0">
      <w:lvlJc w:val="left"/>
      <w:lvlText w:val="(%1)"/>
      <w:numFmt w:val="lowerLetter"/>
      <w:start w:val="4"/>
    </w:lvl>
  </w:abstractNum>
  <w:abstractNum w:abstractNumId="105">
    <w:nsid w:val="64429599"/>
    <w:multiLevelType w:val="hybridMultilevel"/>
    <w:lvl w:ilvl="0">
      <w:lvlJc w:val="left"/>
      <w:lvlText w:val="(%1)"/>
      <w:numFmt w:val="lowerLetter"/>
      <w:start w:val="2"/>
    </w:lvl>
  </w:abstractNum>
  <w:abstractNum w:abstractNumId="106">
    <w:nsid w:val="631F1690"/>
    <w:multiLevelType w:val="hybridMultilevel"/>
    <w:lvl w:ilvl="0">
      <w:lvlJc w:val="left"/>
      <w:lvlText w:val="(%1)"/>
      <w:numFmt w:val="lowerLetter"/>
      <w:start w:val="1"/>
    </w:lvl>
  </w:abstractNum>
  <w:abstractNum w:abstractNumId="107">
    <w:nsid w:val="25973E32"/>
    <w:multiLevelType w:val="hybridMultilevel"/>
    <w:lvl w:ilvl="0">
      <w:lvlJc w:val="left"/>
      <w:lvlText w:val="(%1)"/>
      <w:numFmt w:val="lowerLetter"/>
      <w:start w:val="2"/>
    </w:lvl>
  </w:abstractNum>
  <w:abstractNum w:abstractNumId="108">
    <w:nsid w:val="EAD6F57"/>
    <w:multiLevelType w:val="hybridMultilevel"/>
    <w:lvl w:ilvl="0">
      <w:lvlJc w:val="left"/>
      <w:lvlText w:val="(%1)"/>
      <w:numFmt w:val="lowerLetter"/>
      <w:start w:val="4"/>
    </w:lvl>
  </w:abstractNum>
  <w:abstractNum w:abstractNumId="109">
    <w:nsid w:val="6EC9D844"/>
    <w:multiLevelType w:val="hybridMultilevel"/>
    <w:lvl w:ilvl="0">
      <w:lvlJc w:val="left"/>
      <w:lvlText w:val="(%1)"/>
      <w:numFmt w:val="lowerRoman"/>
      <w:start w:val="1"/>
    </w:lvl>
  </w:abstractNum>
  <w:abstractNum w:abstractNumId="110">
    <w:nsid w:val="5C49EAEE"/>
    <w:multiLevelType w:val="hybridMultilevel"/>
    <w:lvl w:ilvl="0">
      <w:lvlJc w:val="left"/>
      <w:lvlText w:val="(%1)"/>
      <w:numFmt w:val="lowerLetter"/>
      <w:start w:val="1"/>
    </w:lvl>
  </w:abstractNum>
  <w:abstractNum w:abstractNumId="111">
    <w:nsid w:val="64AF49B"/>
    <w:multiLevelType w:val="hybridMultilevel"/>
    <w:lvl w:ilvl="0">
      <w:lvlJc w:val="left"/>
      <w:lvlText w:val="(%1)"/>
      <w:numFmt w:val="lowerRoman"/>
      <w:start w:val="1"/>
    </w:lvl>
  </w:abstractNum>
  <w:abstractNum w:abstractNumId="112">
    <w:nsid w:val="397C46BC"/>
    <w:multiLevelType w:val="hybridMultilevel"/>
    <w:lvl w:ilvl="0">
      <w:lvlJc w:val="left"/>
      <w:lvlText w:val="(%1)"/>
      <w:numFmt w:val="lowerLetter"/>
      <w:start w:val="2"/>
    </w:lvl>
  </w:abstractNum>
  <w:abstractNum w:abstractNumId="113">
    <w:nsid w:val="7E448DE9"/>
    <w:multiLevelType w:val="hybridMultilevel"/>
    <w:lvl w:ilvl="0">
      <w:lvlJc w:val="left"/>
      <w:lvlText w:val="(%1)"/>
      <w:numFmt w:val="lowerRoman"/>
      <w:start w:val="2"/>
    </w:lvl>
  </w:abstractNum>
  <w:abstractNum w:abstractNumId="114">
    <w:nsid w:val="5A9CC3E5"/>
    <w:multiLevelType w:val="hybridMultilevel"/>
    <w:lvl w:ilvl="0">
      <w:lvlJc w:val="left"/>
      <w:lvlText w:val="(%1)"/>
      <w:numFmt w:val="lowerRoman"/>
      <w:start w:val="6"/>
    </w:lvl>
  </w:abstractNum>
  <w:abstractNum w:abstractNumId="115">
    <w:nsid w:val="1AFE3625"/>
    <w:multiLevelType w:val="hybridMultilevel"/>
    <w:lvl w:ilvl="0">
      <w:lvlJc w:val="left"/>
      <w:lvlText w:val="(%1)"/>
      <w:numFmt w:val="lowerLetter"/>
      <w:start w:val="3"/>
    </w:lvl>
  </w:abstractNum>
  <w:abstractNum w:abstractNumId="116">
    <w:nsid w:val="3CA88ECF"/>
    <w:multiLevelType w:val="hybridMultilevel"/>
    <w:lvl w:ilvl="0">
      <w:lvlJc w:val="left"/>
      <w:lvlText w:val="(%1)"/>
      <w:numFmt w:val="decimal"/>
      <w:start w:val="1"/>
    </w:lvl>
  </w:abstractNum>
  <w:abstractNum w:abstractNumId="117">
    <w:nsid w:val="6EBE4208"/>
    <w:multiLevelType w:val="hybridMultilevel"/>
    <w:lvl w:ilvl="0">
      <w:lvlJc w:val="left"/>
      <w:lvlText w:val="(%1)"/>
      <w:numFmt w:val="decimal"/>
      <w:start w:val="1"/>
    </w:lvl>
    <w:lvl w:ilvl="1">
      <w:lvlJc w:val="left"/>
      <w:lvlText w:val="(%2)"/>
      <w:numFmt w:val="lowerLetter"/>
      <w:start w:val="1"/>
    </w:lvl>
  </w:abstractNum>
  <w:abstractNum w:abstractNumId="118">
    <w:nsid w:val="C058DF5"/>
    <w:multiLevelType w:val="hybridMultilevel"/>
    <w:lvl w:ilvl="0">
      <w:lvlJc w:val="left"/>
      <w:lvlText w:val="(%1)"/>
      <w:numFmt w:val="decimal"/>
      <w:start w:val="1"/>
    </w:lvl>
  </w:abstractNum>
  <w:abstractNum w:abstractNumId="119">
    <w:nsid w:val="CBE5BE9"/>
    <w:multiLevelType w:val="hybridMultilevel"/>
    <w:lvl w:ilvl="0">
      <w:lvlJc w:val="left"/>
      <w:lvlText w:val="(%1)"/>
      <w:numFmt w:val="lowerLetter"/>
      <w:start w:val="1"/>
    </w:lvl>
    <w:lvl w:ilvl="1">
      <w:lvlJc w:val="left"/>
      <w:lvlText w:val="(%2)"/>
      <w:numFmt w:val="lowerLetter"/>
      <w:start w:val="2"/>
    </w:lvl>
  </w:abstractNum>
  <w:abstractNum w:abstractNumId="120">
    <w:nsid w:val="3102BBE2"/>
    <w:multiLevelType w:val="hybridMultilevel"/>
    <w:lvl w:ilvl="0">
      <w:lvlJc w:val="left"/>
      <w:lvlText w:val="(%1)"/>
      <w:numFmt w:val="upperLetter"/>
      <w:start w:val="1"/>
    </w:lvl>
  </w:abstractNum>
  <w:abstractNum w:abstractNumId="121">
    <w:nsid w:val="26A02C5E"/>
    <w:multiLevelType w:val="hybridMultilevel"/>
    <w:lvl w:ilvl="0">
      <w:lvlJc w:val="left"/>
      <w:lvlText w:val="(%1)"/>
      <w:numFmt w:val="lowerLetter"/>
      <w:start w:val="2"/>
    </w:lvl>
  </w:abstractNum>
  <w:abstractNum w:abstractNumId="122">
    <w:nsid w:val="541C8153"/>
    <w:multiLevelType w:val="hybridMultilevel"/>
    <w:lvl w:ilvl="0">
      <w:lvlJc w:val="left"/>
      <w:lvlText w:val="(%1)"/>
      <w:numFmt w:val="lowerLetter"/>
      <w:start w:val="1"/>
    </w:lvl>
    <w:lvl w:ilvl="1">
      <w:lvlJc w:val="left"/>
      <w:lvlText w:val="(%2)"/>
      <w:numFmt w:val="lowerRoman"/>
      <w:start w:val="1"/>
    </w:lvl>
  </w:abstractNum>
  <w:abstractNum w:abstractNumId="123">
    <w:nsid w:val="67906F60"/>
    <w:multiLevelType w:val="hybridMultilevel"/>
    <w:lvl w:ilvl="0">
      <w:lvlJc w:val="left"/>
      <w:lvlText w:val="%1"/>
      <w:numFmt w:val="lowerLetter"/>
      <w:start w:val="1"/>
    </w:lvl>
    <w:lvl w:ilvl="1">
      <w:lvlJc w:val="left"/>
      <w:lvlText w:val="(%2)"/>
      <w:numFmt w:val="lowerRoman"/>
      <w:start w:val="3"/>
    </w:lvl>
  </w:abstractNum>
  <w:abstractNum w:abstractNumId="124">
    <w:nsid w:val="10DB9DAA"/>
    <w:multiLevelType w:val="hybridMultilevel"/>
    <w:lvl w:ilvl="0">
      <w:lvlJc w:val="left"/>
      <w:lvlText w:val="(%1)"/>
      <w:numFmt w:val="lowerLetter"/>
      <w:start w:val="2"/>
    </w:lvl>
    <w:lvl w:ilvl="1">
      <w:lvlJc w:val="left"/>
      <w:lvlText w:val="%2"/>
      <w:numFmt w:val="lowerRoman"/>
      <w:start w:val="1"/>
    </w:lvl>
  </w:abstractNum>
  <w:abstractNum w:abstractNumId="125">
    <w:nsid w:val="697D2D2"/>
    <w:multiLevelType w:val="hybridMultilevel"/>
    <w:lvl w:ilvl="0">
      <w:lvlJc w:val="left"/>
      <w:lvlText w:val="(%1)"/>
      <w:numFmt w:val="lowerLetter"/>
      <w:start w:val="3"/>
    </w:lvl>
  </w:abstractNum>
  <w:abstractNum w:abstractNumId="126">
    <w:nsid w:val="6D68AB2"/>
    <w:multiLevelType w:val="hybridMultilevel"/>
    <w:lvl w:ilvl="0">
      <w:lvlJc w:val="left"/>
      <w:lvlText w:val="(%1)"/>
      <w:numFmt w:val="lowerLetter"/>
      <w:start w:val="1"/>
    </w:lvl>
  </w:abstractNum>
  <w:abstractNum w:abstractNumId="127">
    <w:nsid w:val="3A966CD0"/>
    <w:multiLevelType w:val="hybridMultilevel"/>
    <w:lvl w:ilvl="0">
      <w:lvlJc w:val="left"/>
      <w:lvlText w:val="(%1)"/>
      <w:numFmt w:val="lowerLetter"/>
      <w:start w:val="7"/>
    </w:lvl>
    <w:lvl w:ilvl="1">
      <w:lvlJc w:val="left"/>
      <w:lvlText w:val="(%2)"/>
      <w:numFmt w:val="lowerRoman"/>
      <w:start w:val="1"/>
    </w:lvl>
  </w:abstractNum>
  <w:abstractNum w:abstractNumId="128">
    <w:nsid w:val="63F37E85"/>
    <w:multiLevelType w:val="hybridMultilevel"/>
    <w:lvl w:ilvl="0">
      <w:lvlJc w:val="left"/>
      <w:lvlText w:val="%1"/>
      <w:numFmt w:val="lowerLetter"/>
      <w:start w:val="1"/>
    </w:lvl>
    <w:lvl w:ilvl="1">
      <w:lvlJc w:val="left"/>
      <w:lvlText w:val="(%2)"/>
      <w:numFmt w:val="lowerLetter"/>
      <w:start w:val="13"/>
    </w:lvl>
  </w:abstractNum>
  <w:abstractNum w:abstractNumId="129">
    <w:nsid w:val="5895F5FA"/>
    <w:multiLevelType w:val="hybridMultilevel"/>
    <w:lvl w:ilvl="0">
      <w:lvlJc w:val="left"/>
      <w:lvlText w:val="(%1)"/>
      <w:numFmt w:val="lowerLetter"/>
      <w:start w:val="15"/>
    </w:lvl>
    <w:lvl w:ilvl="1">
      <w:lvlJc w:val="left"/>
      <w:lvlText w:val="%2"/>
      <w:numFmt w:val="lowerLetter"/>
      <w:start w:val="1"/>
    </w:lvl>
  </w:abstractNum>
  <w:abstractNum w:abstractNumId="130">
    <w:nsid w:val="38A5D054"/>
    <w:multiLevelType w:val="hybridMultilevel"/>
    <w:lvl w:ilvl="0">
      <w:lvlJc w:val="left"/>
      <w:lvlText w:val="(%1)"/>
      <w:numFmt w:val="lowerLetter"/>
      <w:start w:val="1"/>
    </w:lvl>
  </w:abstractNum>
  <w:abstractNum w:abstractNumId="131">
    <w:nsid w:val="F3F09D8"/>
    <w:multiLevelType w:val="hybridMultilevel"/>
    <w:lvl w:ilvl="0">
      <w:lvlJc w:val="left"/>
      <w:lvlText w:val="(%1)"/>
      <w:numFmt w:val="lowerLetter"/>
      <w:start w:val="4"/>
    </w:lvl>
  </w:abstractNum>
  <w:abstractNum w:abstractNumId="132">
    <w:nsid w:val="4B793735"/>
    <w:multiLevelType w:val="hybridMultilevel"/>
    <w:lvl w:ilvl="0">
      <w:lvlJc w:val="left"/>
      <w:lvlText w:val="(%1)"/>
      <w:numFmt w:val="lowerLetter"/>
      <w:start w:val="1"/>
    </w:lvl>
  </w:abstractNum>
  <w:abstractNum w:abstractNumId="133">
    <w:nsid w:val="4A10B4E8"/>
    <w:multiLevelType w:val="hybridMultilevel"/>
    <w:lvl w:ilvl="0">
      <w:lvlJc w:val="left"/>
      <w:lvlText w:val="(%1)"/>
      <w:numFmt w:val="lowerLetter"/>
      <w:start w:val="4"/>
    </w:lvl>
  </w:abstractNum>
  <w:abstractNum w:abstractNumId="134">
    <w:nsid w:val="43D3BCD4"/>
    <w:multiLevelType w:val="hybridMultilevel"/>
    <w:lvl w:ilvl="0">
      <w:lvlJc w:val="left"/>
      <w:lvlText w:val="(%1)"/>
      <w:numFmt w:val="lowerLetter"/>
      <w:start w:val="7"/>
    </w:lvl>
  </w:abstractNum>
  <w:abstractNum w:abstractNumId="135">
    <w:nsid w:val="4C2A7166"/>
    <w:multiLevelType w:val="hybridMultilevel"/>
    <w:lvl w:ilvl="0">
      <w:lvlJc w:val="left"/>
      <w:lvlText w:val="(%1)"/>
      <w:numFmt w:val="lowerLetter"/>
      <w:start w:val="13"/>
    </w:lvl>
    <w:lvl w:ilvl="1">
      <w:lvlJc w:val="left"/>
      <w:lvlText w:val="(%2)"/>
      <w:numFmt w:val="lowerRoman"/>
      <w:start w:val="1"/>
    </w:lvl>
  </w:abstractNum>
  <w:abstractNum w:abstractNumId="136">
    <w:nsid w:val="2E534A82"/>
    <w:multiLevelType w:val="hybridMultilevel"/>
    <w:lvl w:ilvl="0">
      <w:lvlJc w:val="left"/>
      <w:lvlText w:val="(%1)"/>
      <w:numFmt w:val="decimal"/>
      <w:start w:val="18"/>
    </w:lvl>
    <w:lvl w:ilvl="1">
      <w:lvlJc w:val="left"/>
      <w:lvlText w:val="(%2)"/>
      <w:numFmt w:val="lowerRoman"/>
      <w:start w:val="4"/>
    </w:lvl>
  </w:abstractNum>
  <w:abstractNum w:abstractNumId="137">
    <w:nsid w:val="26F2D364"/>
    <w:multiLevelType w:val="hybridMultilevel"/>
    <w:lvl w:ilvl="0">
      <w:lvlJc w:val="left"/>
      <w:lvlText w:val="(%1)"/>
      <w:numFmt w:val="lowerRoman"/>
      <w:start w:val="6"/>
    </w:lvl>
  </w:abstractNum>
  <w:abstractNum w:abstractNumId="138">
    <w:nsid w:val="71C1AF98"/>
    <w:multiLevelType w:val="hybridMultilevel"/>
    <w:lvl w:ilvl="0">
      <w:lvlJc w:val="left"/>
      <w:lvlText w:val="(%1)"/>
      <w:numFmt w:val="lowerLetter"/>
      <w:start w:val="1"/>
    </w:lvl>
  </w:abstractNum>
  <w:abstractNum w:abstractNumId="139">
    <w:nsid w:val="3D00B9D9"/>
    <w:multiLevelType w:val="hybridMultilevel"/>
    <w:lvl w:ilvl="0">
      <w:lvlJc w:val="left"/>
      <w:lvlText w:val="(%1)"/>
      <w:numFmt w:val="lowerLetter"/>
      <w:start w:val="4"/>
    </w:lvl>
  </w:abstractNum>
  <w:abstractNum w:abstractNumId="140">
    <w:nsid w:val="15BCABA8"/>
    <w:multiLevelType w:val="hybridMultilevel"/>
    <w:lvl w:ilvl="0">
      <w:lvlJc w:val="left"/>
      <w:lvlText w:val="(%1)"/>
      <w:numFmt w:val="lowerLetter"/>
      <w:start w:val="7"/>
    </w:lvl>
  </w:abstractNum>
  <w:abstractNum w:abstractNumId="141">
    <w:nsid w:val="4E0B9A87"/>
    <w:multiLevelType w:val="hybridMultilevel"/>
    <w:lvl w:ilvl="0">
      <w:lvlJc w:val="left"/>
      <w:lvlText w:val="(%1)"/>
      <w:numFmt w:val="lowerLetter"/>
      <w:start w:val="1"/>
    </w:lvl>
  </w:abstractNum>
  <w:abstractNum w:abstractNumId="142">
    <w:nsid w:val="434BAE75"/>
    <w:multiLevelType w:val="hybridMultilevel"/>
    <w:lvl w:ilvl="0">
      <w:lvlJc w:val="left"/>
      <w:lvlText w:val="(%1)"/>
      <w:numFmt w:val="lowerRoman"/>
      <w:start w:val="2"/>
    </w:lvl>
  </w:abstractNum>
  <w:abstractNum w:abstractNumId="143">
    <w:nsid w:val="4F38F265"/>
    <w:multiLevelType w:val="hybridMultilevel"/>
    <w:lvl w:ilvl="0">
      <w:lvlJc w:val="left"/>
      <w:lvlText w:val="(%1)"/>
      <w:numFmt w:val="lowerLetter"/>
      <w:start w:val="3"/>
    </w:lvl>
  </w:abstractNum>
  <w:abstractNum w:abstractNumId="144">
    <w:nsid w:val="4C502870"/>
    <w:multiLevelType w:val="hybridMultilevel"/>
    <w:lvl w:ilvl="0">
      <w:lvlJc w:val="left"/>
      <w:lvlText w:val="(%1)"/>
      <w:numFmt w:val="lowerLetter"/>
      <w:start w:val="4"/>
    </w:lvl>
    <w:lvl w:ilvl="1">
      <w:lvlJc w:val="left"/>
      <w:lvlText w:val="(%2)"/>
      <w:numFmt w:val="lowerLetter"/>
      <w:start w:val="9"/>
    </w:lvl>
  </w:abstractNum>
  <w:abstractNum w:abstractNumId="145">
    <w:nsid w:val="1DE8725A"/>
    <w:multiLevelType w:val="hybridMultilevel"/>
    <w:lvl w:ilvl="0">
      <w:lvlJc w:val="left"/>
      <w:lvlText w:val="(%1)"/>
      <w:numFmt w:val="lowerRoman"/>
      <w:start w:val="2"/>
    </w:lvl>
  </w:abstractNum>
  <w:abstractNum w:abstractNumId="146">
    <w:nsid w:val="6A37288A"/>
    <w:multiLevelType w:val="hybridMultilevel"/>
    <w:lvl w:ilvl="0">
      <w:lvlJc w:val="left"/>
      <w:lvlText w:val="%1"/>
      <w:numFmt w:val="lowerLetter"/>
      <w:start w:val="1"/>
    </w:lvl>
    <w:lvl w:ilvl="1">
      <w:lvlJc w:val="left"/>
      <w:lvlText w:val="(%2)"/>
      <w:numFmt w:val="lowerRoman"/>
      <w:start w:val="8"/>
    </w:lvl>
  </w:abstractNum>
  <w:abstractNum w:abstractNumId="147">
    <w:nsid w:val="8F8B73F"/>
    <w:multiLevelType w:val="hybridMultilevel"/>
    <w:lvl w:ilvl="0">
      <w:lvlJc w:val="left"/>
      <w:lvlText w:val="(%1)"/>
      <w:numFmt w:val="lowerLetter"/>
      <w:start w:val="5"/>
    </w:lvl>
    <w:lvl w:ilvl="1">
      <w:lvlJc w:val="left"/>
      <w:lvlText w:val="(%2)"/>
      <w:numFmt w:val="lowerRoman"/>
      <w:start w:val="1"/>
    </w:lvl>
  </w:abstractNum>
  <w:abstractNum w:abstractNumId="148">
    <w:nsid w:val="CA6B462"/>
    <w:multiLevelType w:val="hybridMultilevel"/>
    <w:lvl w:ilvl="0">
      <w:lvlJc w:val="left"/>
      <w:lvlText w:val="(%1)"/>
      <w:numFmt w:val="lowerRoman"/>
      <w:start w:val="5"/>
    </w:lvl>
  </w:abstractNum>
  <w:abstractNum w:abstractNumId="149">
    <w:nsid w:val="763CB680"/>
    <w:multiLevelType w:val="hybridMultilevel"/>
    <w:lvl w:ilvl="0">
      <w:lvlJc w:val="left"/>
      <w:lvlText w:val="%1"/>
      <w:numFmt w:val="lowerLetter"/>
      <w:start w:val="1"/>
    </w:lvl>
    <w:lvl w:ilvl="1">
      <w:lvlJc w:val="left"/>
      <w:lvlText w:val="(%2)"/>
      <w:numFmt w:val="lowerLetter"/>
      <w:start w:val="7"/>
    </w:lvl>
  </w:abstractNum>
  <w:abstractNum w:abstractNumId="150">
    <w:nsid w:val="15B71329"/>
    <w:multiLevelType w:val="hybridMultilevel"/>
    <w:lvl w:ilvl="0">
      <w:lvlJc w:val="left"/>
      <w:lvlText w:val="(%1)"/>
      <w:numFmt w:val="lowerLetter"/>
      <w:start w:val="35"/>
    </w:lvl>
    <w:lvl w:ilvl="1">
      <w:lvlJc w:val="left"/>
      <w:lvlText w:val="(%2)"/>
      <w:numFmt w:val="lowerLetter"/>
      <w:start w:val="8"/>
    </w:lvl>
  </w:abstractNum>
  <w:abstractNum w:abstractNumId="151">
    <w:nsid w:val="3DA97044"/>
    <w:multiLevelType w:val="hybridMultilevel"/>
    <w:lvl w:ilvl="0">
      <w:lvlJc w:val="left"/>
      <w:lvlText w:val="(%1)"/>
      <w:numFmt w:val="lowerLetter"/>
      <w:start w:val="10"/>
    </w:lvl>
  </w:abstractNum>
  <w:abstractNum w:abstractNumId="152">
    <w:nsid w:val="1CDCE2DE"/>
    <w:multiLevelType w:val="hybridMultilevel"/>
    <w:lvl w:ilvl="0">
      <w:lvlJc w:val="left"/>
      <w:lvlText w:val="(%1)"/>
      <w:numFmt w:val="lowerLetter"/>
      <w:start w:val="1"/>
    </w:lvl>
  </w:abstractNum>
  <w:abstractNum w:abstractNumId="153">
    <w:nsid w:val="69D3947C"/>
    <w:multiLevelType w:val="hybridMultilevel"/>
    <w:lvl w:ilvl="0">
      <w:lvlJc w:val="left"/>
      <w:lvlText w:val="(%1)"/>
      <w:numFmt w:val="lowerLetter"/>
      <w:start w:val="8"/>
    </w:lvl>
  </w:abstractNum>
  <w:abstractNum w:abstractNumId="154">
    <w:nsid w:val="2539DFA5"/>
    <w:multiLevelType w:val="hybridMultilevel"/>
    <w:lvl w:ilvl="0">
      <w:lvlJc w:val="left"/>
      <w:lvlText w:val="(%1)"/>
      <w:numFmt w:val="lowerLetter"/>
      <w:start w:val="15"/>
    </w:lvl>
  </w:abstractNum>
  <w:abstractNum w:abstractNumId="155">
    <w:nsid w:val="2DB88089"/>
    <w:multiLevelType w:val="hybridMultilevel"/>
    <w:lvl w:ilvl="0">
      <w:lvlJc w:val="left"/>
      <w:lvlText w:val="(%1)"/>
      <w:numFmt w:val="lowerLetter"/>
      <w:start w:val="1"/>
    </w:lvl>
  </w:abstractNum>
  <w:abstractNum w:abstractNumId="156">
    <w:nsid w:val="706B674E"/>
    <w:multiLevelType w:val="hybridMultilevel"/>
    <w:lvl w:ilvl="0">
      <w:lvlJc w:val="left"/>
      <w:lvlText w:val="(%1)"/>
      <w:numFmt w:val="lowerRoman"/>
      <w:start w:val="2"/>
    </w:lvl>
  </w:abstractNum>
  <w:abstractNum w:abstractNumId="157">
    <w:nsid w:val="2C106A57"/>
    <w:multiLevelType w:val="hybridMultilevel"/>
    <w:lvl w:ilvl="0">
      <w:lvlJc w:val="left"/>
      <w:lvlText w:val="(%1)"/>
      <w:numFmt w:val="lowerLetter"/>
      <w:start w:val="3"/>
    </w:lvl>
  </w:abstractNum>
  <w:abstractNum w:abstractNumId="158">
    <w:nsid w:val="684EED59"/>
    <w:multiLevelType w:val="hybridMultilevel"/>
    <w:lvl w:ilvl="0">
      <w:lvlJc w:val="left"/>
      <w:lvlText w:val="%1"/>
      <w:numFmt w:val="lowerLetter"/>
      <w:start w:val="1"/>
    </w:lvl>
    <w:lvl w:ilvl="1">
      <w:lvlJc w:val="left"/>
      <w:lvlText w:val="(%2)"/>
      <w:numFmt w:val="lowerLetter"/>
      <w:start w:val="4"/>
    </w:lvl>
  </w:abstractNum>
  <w:abstractNum w:abstractNumId="159">
    <w:nsid w:val="545EE5D3"/>
    <w:multiLevelType w:val="hybridMultilevel"/>
    <w:lvl w:ilvl="0">
      <w:lvlJc w:val="left"/>
      <w:lvlText w:val="(%1)"/>
      <w:numFmt w:val="lowerLetter"/>
      <w:start w:val="5"/>
    </w:lvl>
    <w:lvl w:ilvl="1">
      <w:lvlJc w:val="left"/>
      <w:lvlText w:val="%2"/>
      <w:numFmt w:val="lowerLetter"/>
      <w:start w:val="1"/>
    </w:lvl>
  </w:abstractNum>
  <w:abstractNum w:abstractNumId="160">
    <w:nsid w:val="4A66051"/>
    <w:multiLevelType w:val="hybridMultilevel"/>
    <w:lvl w:ilvl="0">
      <w:lvlJc w:val="left"/>
      <w:lvlText w:val="(%1)"/>
      <w:numFmt w:val="lowerLetter"/>
      <w:start w:val="6"/>
    </w:lvl>
  </w:abstractNum>
  <w:abstractNum w:abstractNumId="161">
    <w:nsid w:val="20F4BDAD"/>
    <w:multiLevelType w:val="hybridMultilevel"/>
    <w:lvl w:ilvl="0">
      <w:lvlJc w:val="left"/>
      <w:lvlText w:val="(%1)"/>
      <w:numFmt w:val="lowerLetter"/>
      <w:start w:val="1"/>
    </w:lvl>
  </w:abstractNum>
  <w:abstractNum w:abstractNumId="162">
    <w:nsid w:val="639DEFAC"/>
    <w:multiLevelType w:val="hybridMultilevel"/>
    <w:lvl w:ilvl="0">
      <w:lvlJc w:val="left"/>
      <w:lvlText w:val="(%1)"/>
      <w:numFmt w:val="decimal"/>
      <w:start w:val="1"/>
    </w:lvl>
  </w:abstractNum>
  <w:abstractNum w:abstractNumId="163">
    <w:nsid w:val="501F9786"/>
    <w:multiLevelType w:val="hybridMultilevel"/>
    <w:lvl w:ilvl="0">
      <w:lvlJc w:val="left"/>
      <w:lvlText w:val="(%1)"/>
      <w:numFmt w:val="decimal"/>
      <w:start w:val="11"/>
    </w:lvl>
  </w:abstractNum>
  <w:abstractNum w:abstractNumId="164">
    <w:nsid w:val="6B057295"/>
    <w:multiLevelType w:val="hybridMultilevel"/>
    <w:lvl w:ilvl="0">
      <w:lvlJc w:val="left"/>
      <w:lvlText w:val="(%1)"/>
      <w:numFmt w:val="lowerLetter"/>
      <w:start w:val="1"/>
    </w:lvl>
  </w:abstractNum>
  <w:abstractNum w:abstractNumId="165">
    <w:nsid w:val="2771AC80"/>
    <w:multiLevelType w:val="hybridMultilevel"/>
    <w:lvl w:ilvl="0">
      <w:lvlJc w:val="left"/>
      <w:lvlText w:val="(%1)"/>
      <w:numFmt w:val="lowerLetter"/>
      <w:start w:val="8"/>
    </w:lvl>
  </w:abstractNum>
  <w:abstractNum w:abstractNumId="166">
    <w:nsid w:val="1C4A08EC"/>
    <w:multiLevelType w:val="hybridMultilevel"/>
    <w:lvl w:ilvl="0">
      <w:lvlJc w:val="left"/>
      <w:lvlText w:val="(%1)"/>
      <w:numFmt w:val="lowerLetter"/>
      <w:start w:val="23"/>
    </w:lvl>
  </w:abstractNum>
  <w:abstractNum w:abstractNumId="167">
    <w:nsid w:val="1958BD17"/>
    <w:multiLevelType w:val="hybridMultilevel"/>
    <w:lvl w:ilvl="0">
      <w:lvlJc w:val="left"/>
      <w:lvlText w:val="(%1)"/>
      <w:numFmt w:val="lowerLetter"/>
      <w:start w:val="1"/>
    </w:lvl>
  </w:abstractNum>
  <w:abstractNum w:abstractNumId="168">
    <w:nsid w:val="4E647FE4"/>
    <w:multiLevelType w:val="hybridMultilevel"/>
    <w:lvl w:ilvl="0">
      <w:lvlJc w:val="left"/>
      <w:lvlText w:val="(%1)"/>
      <w:numFmt w:val="lowerLetter"/>
      <w:start w:val="5"/>
    </w:lvl>
  </w:abstractNum>
  <w:abstractNum w:abstractNumId="169">
    <w:nsid w:val="E0BB885"/>
    <w:multiLevelType w:val="hybridMultilevel"/>
    <w:lvl w:ilvl="0">
      <w:lvlJc w:val="left"/>
      <w:lvlText w:val="(%1)"/>
      <w:numFmt w:val="lowerRoman"/>
      <w:start w:val="1"/>
    </w:lvl>
  </w:abstractNum>
  <w:abstractNum w:abstractNumId="170">
    <w:nsid w:val="565976F1"/>
    <w:multiLevelType w:val="hybridMultilevel"/>
    <w:lvl w:ilvl="0">
      <w:lvlJc w:val="left"/>
      <w:lvlText w:val="(%1)"/>
      <w:numFmt w:val="lowerRoman"/>
      <w:start w:val="5"/>
    </w:lvl>
  </w:abstractNum>
  <w:abstractNum w:abstractNumId="171">
    <w:nsid w:val="64212B8C"/>
    <w:multiLevelType w:val="hybridMultilevel"/>
    <w:lvl w:ilvl="0">
      <w:lvlJc w:val="left"/>
      <w:lvlText w:val="(%1)"/>
      <w:numFmt w:val="lowerLetter"/>
      <w:start w:val="2"/>
    </w:lvl>
  </w:abstractNum>
  <w:abstractNum w:abstractNumId="172">
    <w:nsid w:val="5C17530C"/>
    <w:multiLevelType w:val="hybridMultilevel"/>
    <w:lvl w:ilvl="0">
      <w:lvlJc w:val="left"/>
      <w:lvlText w:val="(%1)"/>
      <w:numFmt w:val="lowerLetter"/>
      <w:start w:val="2"/>
    </w:lvl>
  </w:abstractNum>
  <w:abstractNum w:abstractNumId="173">
    <w:nsid w:val="19A52566"/>
    <w:multiLevelType w:val="hybridMultilevel"/>
    <w:lvl w:ilvl="0">
      <w:lvlJc w:val="left"/>
      <w:lvlText w:val="(%1)"/>
      <w:numFmt w:val="lowerLetter"/>
      <w:start w:val="2"/>
    </w:lvl>
  </w:abstractNum>
  <w:abstractNum w:abstractNumId="174">
    <w:nsid w:val="335A1DF1"/>
    <w:multiLevelType w:val="hybridMultilevel"/>
    <w:lvl w:ilvl="0">
      <w:lvlJc w:val="left"/>
      <w:lvlText w:val="(%1)"/>
      <w:numFmt w:val="lowerRoman"/>
      <w:start w:val="1"/>
    </w:lvl>
  </w:abstractNum>
  <w:abstractNum w:abstractNumId="175">
    <w:nsid w:val="28677B7C"/>
    <w:multiLevelType w:val="hybridMultilevel"/>
    <w:lvl w:ilvl="0">
      <w:lvlJc w:val="left"/>
      <w:lvlText w:val="(%1)"/>
      <w:numFmt w:val="lowerRoman"/>
      <w:start w:val="6"/>
    </w:lvl>
  </w:abstractNum>
  <w:abstractNum w:abstractNumId="176">
    <w:nsid w:val="378D97C0"/>
    <w:multiLevelType w:val="hybridMultilevel"/>
    <w:lvl w:ilvl="0">
      <w:lvlJc w:val="left"/>
      <w:lvlText w:val="(%1)"/>
      <w:numFmt w:val="lowerLetter"/>
      <w:start w:val="2"/>
    </w:lvl>
  </w:abstractNum>
  <w:abstractNum w:abstractNumId="177">
    <w:nsid w:val="1D91467C"/>
    <w:multiLevelType w:val="hybridMultilevel"/>
    <w:lvl w:ilvl="0">
      <w:lvlJc w:val="left"/>
      <w:lvlText w:val="(%1)"/>
      <w:numFmt w:val="lowerLetter"/>
      <w:start w:val="2"/>
    </w:lvl>
  </w:abstractNum>
  <w:abstractNum w:abstractNumId="178">
    <w:nsid w:val="316032BB"/>
    <w:multiLevelType w:val="hybridMultilevel"/>
    <w:lvl w:ilvl="0">
      <w:lvlJc w:val="left"/>
      <w:lvlText w:val="(%1)"/>
      <w:numFmt w:val="decimal"/>
      <w:start w:val="30"/>
    </w:lvl>
  </w:abstractNum>
  <w:abstractNum w:abstractNumId="179">
    <w:nsid w:val="44344C22"/>
    <w:multiLevelType w:val="hybridMultilevel"/>
    <w:lvl w:ilvl="0">
      <w:lvlJc w:val="left"/>
      <w:lvlText w:val="(%1)"/>
      <w:numFmt w:val="lowerLetter"/>
      <w:start w:val="2"/>
    </w:lvl>
  </w:abstractNum>
  <w:abstractNum w:abstractNumId="180">
    <w:nsid w:val="13CDFCFC"/>
    <w:multiLevelType w:val="hybridMultilevel"/>
    <w:lvl w:ilvl="0">
      <w:lvlJc w:val="left"/>
      <w:lvlText w:val="(%1)"/>
      <w:numFmt w:val="lowerLetter"/>
      <w:start w:val="1"/>
    </w:lvl>
  </w:abstractNum>
  <w:abstractNum w:abstractNumId="181">
    <w:nsid w:val="471745E4"/>
    <w:multiLevelType w:val="hybridMultilevel"/>
    <w:lvl w:ilvl="0">
      <w:lvlJc w:val="left"/>
      <w:lvlText w:val="(%1)"/>
      <w:numFmt w:val="lowerLetter"/>
      <w:start w:val="2"/>
    </w:lvl>
  </w:abstractNum>
  <w:abstractNum w:abstractNumId="182">
    <w:nsid w:val="1DDBC66"/>
    <w:multiLevelType w:val="hybridMultilevel"/>
    <w:lvl w:ilvl="0">
      <w:lvlJc w:val="left"/>
      <w:lvlText w:val="(%1)"/>
      <w:numFmt w:val="upperLetter"/>
      <w:start w:val="2"/>
    </w:lvl>
  </w:abstractNum>
  <w:abstractNum w:abstractNumId="183">
    <w:nsid w:val="30AADFDA"/>
    <w:multiLevelType w:val="hybridMultilevel"/>
    <w:lvl w:ilvl="0">
      <w:lvlJc w:val="left"/>
      <w:lvlText w:val="(%1)"/>
      <w:numFmt w:val="lowerLetter"/>
      <w:start w:val="2"/>
    </w:lvl>
  </w:abstractNum>
  <w:abstractNum w:abstractNumId="184">
    <w:nsid w:val="30EADA61"/>
    <w:multiLevelType w:val="hybridMultilevel"/>
    <w:lvl w:ilvl="0">
      <w:lvlJc w:val="left"/>
      <w:lvlText w:val="(%1)"/>
      <w:numFmt w:val="lowerLetter"/>
      <w:start w:val="5"/>
    </w:lvl>
  </w:abstractNum>
  <w:abstractNum w:abstractNumId="185">
    <w:nsid w:val="27179C0B"/>
    <w:multiLevelType w:val="hybridMultilevel"/>
    <w:lvl w:ilvl="0">
      <w:lvlJc w:val="left"/>
      <w:lvlText w:val="(%1)"/>
      <w:numFmt w:val="lowerLetter"/>
      <w:start w:val="2"/>
    </w:lvl>
  </w:abstractNum>
  <w:abstractNum w:abstractNumId="186">
    <w:nsid w:val="5E636063"/>
    <w:multiLevelType w:val="hybridMultilevel"/>
    <w:lvl w:ilvl="0">
      <w:lvlJc w:val="left"/>
      <w:lvlText w:val="(%1)"/>
      <w:numFmt w:val="lowerRoman"/>
      <w:start w:val="1"/>
    </w:lvl>
    <w:lvl w:ilvl="1">
      <w:lvlJc w:val="left"/>
      <w:lvlText w:val="(%2)"/>
      <w:numFmt w:val="upperLetter"/>
      <w:start w:val="1"/>
    </w:lvl>
  </w:abstractNum>
  <w:abstractNum w:abstractNumId="187">
    <w:nsid w:val="215641AF"/>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8"/>
    </w:lvl>
  </w:abstractNum>
  <w:abstractNum w:abstractNumId="188">
    <w:nsid w:val="53280662"/>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2"/>
    </w:lvl>
  </w:abstractNum>
  <w:abstractNum w:abstractNumId="189">
    <w:nsid w:val="46B24DBC"/>
    <w:multiLevelType w:val="hybridMultilevel"/>
    <w:lvl w:ilvl="0">
      <w:lvlJc w:val="left"/>
      <w:lvlText w:val="(%1)"/>
      <w:numFmt w:val="lowerRoman"/>
      <w:start w:val="2"/>
    </w:lvl>
    <w:lvl w:ilvl="1">
      <w:lvlJc w:val="left"/>
      <w:lvlText w:val="%2"/>
      <w:numFmt w:val="lowerRoman"/>
      <w:start w:val="1"/>
    </w:lvl>
    <w:lvl w:ilvl="2">
      <w:lvlJc w:val="left"/>
      <w:lvlText w:val="(%3)"/>
      <w:numFmt w:val="upperLetter"/>
      <w:start w:val="1"/>
    </w:lvl>
  </w:abstractNum>
  <w:abstractNum w:abstractNumId="190">
    <w:nsid w:val="75B52783"/>
    <w:multiLevelType w:val="hybridMultilevel"/>
    <w:lvl w:ilvl="0">
      <w:lvlJc w:val="left"/>
      <w:lvlText w:val="%1"/>
      <w:numFmt w:val="lowerLetter"/>
      <w:start w:val="1"/>
    </w:lvl>
    <w:lvl w:ilvl="1">
      <w:lvlJc w:val="left"/>
      <w:lvlText w:val="(%2)"/>
      <w:numFmt w:val="upperLetter"/>
      <w:start w:val="3"/>
    </w:lvl>
  </w:abstractNum>
  <w:abstractNum w:abstractNumId="191">
    <w:nsid w:val="57CE66B4"/>
    <w:multiLevelType w:val="hybridMultilevel"/>
    <w:lvl w:ilvl="0">
      <w:lvlJc w:val="left"/>
      <w:lvlText w:val="(%1)"/>
      <w:numFmt w:val="lowerLetter"/>
      <w:start w:val="2"/>
    </w:lvl>
    <w:lvl w:ilvl="1">
      <w:lvlJc w:val="left"/>
      <w:lvlText w:val="%2"/>
      <w:numFmt w:val="upperLetter"/>
      <w:start w:val="1"/>
    </w:lvl>
  </w:abstractNum>
  <w:abstractNum w:abstractNumId="192">
    <w:nsid w:val="67A70B69"/>
    <w:multiLevelType w:val="hybridMultilevel"/>
    <w:lvl w:ilvl="0">
      <w:lvlJc w:val="left"/>
      <w:lvlText w:val="(%1)"/>
      <w:numFmt w:val="lowerLetter"/>
      <w:start w:val="1"/>
    </w:lvl>
    <w:lvl w:ilvl="1">
      <w:lvlJc w:val="left"/>
      <w:lvlText w:val="(%2)"/>
      <w:numFmt w:val="lowerLetter"/>
      <w:start w:val="9"/>
    </w:lvl>
  </w:abstractNum>
  <w:abstractNum w:abstractNumId="193">
    <w:nsid w:val="5953172F"/>
    <w:multiLevelType w:val="hybridMultilevel"/>
    <w:lvl w:ilvl="0">
      <w:lvlJc w:val="left"/>
      <w:lvlText w:val="(%1)"/>
      <w:numFmt w:val="lowerRoman"/>
      <w:start w:val="2"/>
    </w:lvl>
  </w:abstractNum>
  <w:abstractNum w:abstractNumId="194">
    <w:nsid w:val="27EDFE3A"/>
    <w:multiLevelType w:val="hybridMultilevel"/>
    <w:lvl w:ilvl="0">
      <w:lvlJc w:val="left"/>
      <w:lvlText w:val="(%1)"/>
      <w:numFmt w:val="lowerLetter"/>
      <w:start w:val="2"/>
    </w:lvl>
  </w:abstractNum>
  <w:abstractNum w:abstractNumId="195">
    <w:nsid w:val="52AC7DFF"/>
    <w:multiLevelType w:val="hybridMultilevel"/>
    <w:lvl w:ilvl="0">
      <w:lvlJc w:val="left"/>
      <w:lvlText w:val="(%1)"/>
      <w:numFmt w:val="lowerLetter"/>
      <w:start w:val="1"/>
    </w:lvl>
    <w:lvl w:ilvl="1">
      <w:lvlJc w:val="left"/>
      <w:lvlText w:val="(%2)"/>
      <w:numFmt w:val="lowerRoman"/>
      <w:start w:val="1"/>
    </w:lvl>
  </w:abstractNum>
  <w:abstractNum w:abstractNumId="196">
    <w:nsid w:val="C4C3AF"/>
    <w:multiLevelType w:val="hybridMultilevel"/>
    <w:lvl w:ilvl="0">
      <w:lvlJc w:val="left"/>
      <w:lvlText w:val="(%1)"/>
      <w:numFmt w:val="lowerLetter"/>
      <w:start w:val="1"/>
    </w:lvl>
    <w:lvl w:ilvl="1">
      <w:lvlJc w:val="left"/>
      <w:lvlText w:val="(%2)"/>
      <w:numFmt w:val="lowerLetter"/>
      <w:start w:val="9"/>
    </w:lvl>
  </w:abstractNum>
  <w:abstractNum w:abstractNumId="197">
    <w:nsid w:val="44380727"/>
    <w:multiLevelType w:val="hybridMultilevel"/>
    <w:lvl w:ilvl="0">
      <w:lvlJc w:val="left"/>
      <w:lvlText w:val="(%1)"/>
      <w:numFmt w:val="lowerRoman"/>
      <w:start w:val="2"/>
    </w:lvl>
  </w:abstractNum>
  <w:abstractNum w:abstractNumId="198">
    <w:nsid w:val="6C053B16"/>
    <w:multiLevelType w:val="hybridMultilevel"/>
    <w:lvl w:ilvl="0">
      <w:lvlJc w:val="left"/>
      <w:lvlText w:val="%1"/>
      <w:numFmt w:val="lowerLetter"/>
      <w:start w:val="1"/>
    </w:lvl>
    <w:lvl w:ilvl="1">
      <w:lvlJc w:val="left"/>
      <w:lvlText w:val="(%2)"/>
      <w:numFmt w:val="lowerLetter"/>
      <w:start w:val="2"/>
    </w:lvl>
  </w:abstractNum>
  <w:abstractNum w:abstractNumId="199">
    <w:nsid w:val="4F294393"/>
    <w:multiLevelType w:val="hybridMultilevel"/>
    <w:lvl w:ilvl="0">
      <w:lvlJc w:val="left"/>
      <w:lvlText w:val="(%1)"/>
      <w:numFmt w:val="lowerLetter"/>
      <w:start w:val="35"/>
    </w:lvl>
    <w:lvl w:ilvl="1">
      <w:lvlJc w:val="left"/>
      <w:lvlText w:val="(%2)"/>
      <w:numFmt w:val="lowerLetter"/>
      <w:start w:val="3"/>
    </w:lvl>
  </w:abstractNum>
  <w:abstractNum w:abstractNumId="200">
    <w:nsid w:val="5243BFAC"/>
    <w:multiLevelType w:val="hybridMultilevel"/>
    <w:lvl w:ilvl="0">
      <w:lvlJc w:val="left"/>
      <w:lvlText w:val="(%1)"/>
      <w:numFmt w:val="lowerLetter"/>
      <w:start w:val="1"/>
    </w:lvl>
  </w:abstractNum>
  <w:abstractNum w:abstractNumId="201">
    <w:nsid w:val="425EB207"/>
    <w:multiLevelType w:val="hybridMultilevel"/>
    <w:lvl w:ilvl="0">
      <w:lvlJc w:val="left"/>
      <w:lvlText w:val="(%1)"/>
      <w:numFmt w:val="lowerLetter"/>
      <w:start w:val="1"/>
    </w:lvl>
    <w:lvl w:ilvl="1">
      <w:lvlJc w:val="left"/>
      <w:lvlText w:val="(%2)"/>
      <w:numFmt w:val="lowerRoman"/>
      <w:start w:val="1"/>
    </w:lvl>
  </w:abstractNum>
  <w:abstractNum w:abstractNumId="202">
    <w:nsid w:val="334A6F1F"/>
    <w:multiLevelType w:val="hybridMultilevel"/>
    <w:lvl w:ilvl="0">
      <w:lvlJc w:val="left"/>
      <w:lvlText w:val="(%1)"/>
      <w:numFmt w:val="lowerRoman"/>
      <w:start w:val="5"/>
    </w:lvl>
  </w:abstractNum>
  <w:abstractNum w:abstractNumId="203">
    <w:nsid w:val="2E5B12B8"/>
    <w:multiLevelType w:val="hybridMultilevel"/>
    <w:lvl w:ilvl="0">
      <w:lvlJc w:val="left"/>
      <w:lvlText w:val="(%1)"/>
      <w:numFmt w:val="lowerLetter"/>
      <w:start w:val="2"/>
    </w:lvl>
  </w:abstractNum>
  <w:abstractNum w:abstractNumId="204">
    <w:nsid w:val="5C03D76D"/>
    <w:multiLevelType w:val="hybridMultilevel"/>
    <w:lvl w:ilvl="0">
      <w:lvlJc w:val="left"/>
      <w:lvlText w:val="(%1)"/>
      <w:numFmt w:val="lowerLetter"/>
      <w:start w:val="2"/>
    </w:lvl>
  </w:abstractNum>
  <w:abstractNum w:abstractNumId="205">
    <w:nsid w:val="66A48D11"/>
    <w:multiLevelType w:val="hybridMultilevel"/>
    <w:lvl w:ilvl="0">
      <w:lvlJc w:val="left"/>
      <w:lvlText w:val="(%1)"/>
      <w:numFmt w:val="lowerLetter"/>
      <w:start w:val="3"/>
    </w:lvl>
  </w:abstractNum>
  <w:abstractNum w:abstractNumId="206">
    <w:nsid w:val="56C28E34"/>
    <w:multiLevelType w:val="hybridMultilevel"/>
    <w:lvl w:ilvl="0">
      <w:lvlJc w:val="left"/>
      <w:lvlText w:val="(%1)"/>
      <w:numFmt w:val="lowerLetter"/>
      <w:start w:val="2"/>
    </w:lvl>
  </w:abstractNum>
  <w:abstractNum w:abstractNumId="207">
    <w:nsid w:val="13916F2D"/>
    <w:multiLevelType w:val="hybridMultilevel"/>
    <w:lvl w:ilvl="0">
      <w:lvlJc w:val="left"/>
      <w:lvlText w:val="(%1)"/>
      <w:numFmt w:val="lowerLetter"/>
      <w:start w:val="4"/>
    </w:lvl>
  </w:abstractNum>
  <w:abstractNum w:abstractNumId="208">
    <w:nsid w:val="435D38D"/>
    <w:multiLevelType w:val="hybridMultilevel"/>
    <w:lvl w:ilvl="0">
      <w:lvlJc w:val="left"/>
      <w:lvlText w:val="(%1)"/>
      <w:numFmt w:val="lowerLetter"/>
      <w:start w:val="7"/>
    </w:lvl>
  </w:abstractNum>
  <w:abstractNum w:abstractNumId="209">
    <w:nsid w:val="822C0EF"/>
    <w:multiLevelType w:val="hybridMultilevel"/>
    <w:lvl w:ilvl="0">
      <w:lvlJc w:val="left"/>
      <w:lvlText w:val="(%1)"/>
      <w:numFmt w:val="lowerRoman"/>
      <w:start w:val="4"/>
    </w:lvl>
  </w:abstractNum>
  <w:abstractNum w:abstractNumId="210">
    <w:nsid w:val="57C5BB4F"/>
    <w:multiLevelType w:val="hybridMultilevel"/>
    <w:lvl w:ilvl="0">
      <w:lvlJc w:val="left"/>
      <w:lvlText w:val="(%1)"/>
      <w:numFmt w:val="lowerLetter"/>
      <w:start w:val="2"/>
    </w:lvl>
  </w:abstractNum>
  <w:abstractNum w:abstractNumId="211">
    <w:nsid w:val="1803D089"/>
    <w:multiLevelType w:val="hybridMultilevel"/>
    <w:lvl w:ilvl="0">
      <w:lvlJc w:val="left"/>
      <w:lvlText w:val="(%1)"/>
      <w:numFmt w:val="lowerLetter"/>
      <w:start w:val="3"/>
    </w:lvl>
  </w:abstractNum>
  <w:abstractNum w:abstractNumId="212">
    <w:nsid w:val="4F3A06D4"/>
    <w:multiLevelType w:val="hybridMultilevel"/>
    <w:lvl w:ilvl="0">
      <w:lvlJc w:val="left"/>
      <w:lvlText w:val="(%1)"/>
      <w:numFmt w:val="lowerLetter"/>
      <w:start w:val="2"/>
    </w:lvl>
  </w:abstractNum>
  <w:abstractNum w:abstractNumId="213">
    <w:nsid w:val="59A377B6"/>
    <w:multiLevelType w:val="hybridMultilevel"/>
    <w:lvl w:ilvl="0">
      <w:lvlJc w:val="left"/>
      <w:lvlText w:val="(%1)"/>
      <w:numFmt w:val="lowerRoman"/>
      <w:start w:val="1"/>
    </w:lvl>
  </w:abstractNum>
  <w:abstractNum w:abstractNumId="214">
    <w:nsid w:val="48AEB063"/>
    <w:multiLevelType w:val="hybridMultilevel"/>
    <w:lvl w:ilvl="0">
      <w:lvlJc w:val="left"/>
      <w:lvlText w:val="(%1)"/>
      <w:numFmt w:val="lowerLetter"/>
      <w:start w:val="3"/>
    </w:lvl>
  </w:abstractNum>
  <w:abstractNum w:abstractNumId="215">
    <w:nsid w:val="24E135"/>
    <w:multiLevelType w:val="hybridMultilevel"/>
    <w:lvl w:ilvl="0">
      <w:lvlJc w:val="left"/>
      <w:lvlText w:val="(%1)"/>
      <w:numFmt w:val="lowerLetter"/>
      <w:start w:val="5"/>
    </w:lvl>
  </w:abstractNum>
  <w:abstractNum w:abstractNumId="216">
    <w:nsid w:val="BB13C1"/>
    <w:multiLevelType w:val="hybridMultilevel"/>
    <w:lvl w:ilvl="0">
      <w:lvlJc w:val="left"/>
      <w:lvlText w:val="(%1)"/>
      <w:numFmt w:val="lowerLetter"/>
      <w:start w:val="2"/>
    </w:lvl>
  </w:abstractNum>
  <w:abstractNum w:abstractNumId="217">
    <w:nsid w:val="271210C7"/>
    <w:multiLevelType w:val="hybridMultilevel"/>
    <w:lvl w:ilvl="0">
      <w:lvlJc w:val="left"/>
      <w:lvlText w:val="(%1)"/>
      <w:numFmt w:val="lowerLetter"/>
      <w:start w:val="2"/>
    </w:lvl>
  </w:abstractNum>
  <w:abstractNum w:abstractNumId="218">
    <w:nsid w:val="217B22E4"/>
    <w:multiLevelType w:val="hybridMultilevel"/>
    <w:lvl w:ilvl="0">
      <w:lvlJc w:val="left"/>
      <w:lvlText w:val="(%1)"/>
      <w:numFmt w:val="lowerLetter"/>
      <w:start w:val="2"/>
    </w:lvl>
  </w:abstractNum>
  <w:abstractNum w:abstractNumId="219">
    <w:nsid w:val="53E31A24"/>
    <w:multiLevelType w:val="hybridMultilevel"/>
    <w:lvl w:ilvl="0">
      <w:lvlJc w:val="left"/>
      <w:lvlText w:val="(%1)"/>
      <w:numFmt w:val="lowerLetter"/>
      <w:start w:val="1"/>
    </w:lvl>
  </w:abstractNum>
  <w:abstractNum w:abstractNumId="220">
    <w:nsid w:val="6DC45E83"/>
    <w:multiLevelType w:val="hybridMultilevel"/>
    <w:lvl w:ilvl="0">
      <w:lvlJc w:val="left"/>
      <w:lvlText w:val="(%1)"/>
      <w:numFmt w:val="lowerLetter"/>
      <w:start w:val="5"/>
    </w:lvl>
  </w:abstractNum>
  <w:abstractNum w:abstractNumId="221">
    <w:nsid w:val="17304A67"/>
    <w:multiLevelType w:val="hybridMultilevel"/>
    <w:lvl w:ilvl="0">
      <w:lvlJc w:val="left"/>
      <w:lvlText w:val="(%1)"/>
      <w:numFmt w:val="lowerLetter"/>
      <w:start w:val="1"/>
    </w:lvl>
  </w:abstractNum>
  <w:abstractNum w:abstractNumId="222">
    <w:nsid w:val="2BB180D8"/>
    <w:multiLevelType w:val="hybridMultilevel"/>
    <w:lvl w:ilvl="0">
      <w:lvlJc w:val="left"/>
      <w:lvlText w:val="(%1)"/>
      <w:numFmt w:val="lowerLetter"/>
      <w:start w:val="1"/>
    </w:lvl>
    <w:lvl w:ilvl="1">
      <w:lvlJc w:val="left"/>
      <w:lvlText w:val="(%2)"/>
      <w:numFmt w:val="lowerLetter"/>
      <w:start w:val="9"/>
    </w:lvl>
  </w:abstractNum>
  <w:abstractNum w:abstractNumId="223">
    <w:nsid w:val="556B69ED"/>
    <w:multiLevelType w:val="hybridMultilevel"/>
    <w:lvl w:ilvl="0">
      <w:lvlJc w:val="left"/>
      <w:lvlText w:val="(%1)"/>
      <w:numFmt w:val="lowerRoman"/>
      <w:start w:val="2"/>
    </w:lvl>
  </w:abstractNum>
  <w:abstractNum w:abstractNumId="224">
    <w:nsid w:val="70836196"/>
    <w:multiLevelType w:val="hybridMultilevel"/>
    <w:lvl w:ilvl="0">
      <w:lvlJc w:val="left"/>
      <w:lvlText w:val="(%1)"/>
      <w:numFmt w:val="lowerRoman"/>
      <w:start w:val="5"/>
    </w:lvl>
  </w:abstractNum>
  <w:abstractNum w:abstractNumId="225">
    <w:nsid w:val="539F7F12"/>
    <w:multiLevelType w:val="hybridMultilevel"/>
    <w:lvl w:ilvl="0">
      <w:lvlJc w:val="left"/>
      <w:lvlText w:val="(%1)"/>
      <w:numFmt w:val="lowerLetter"/>
      <w:start w:val="2"/>
    </w:lvl>
  </w:abstractNum>
  <w:abstractNum w:abstractNumId="226">
    <w:nsid w:val="2817E7EC"/>
    <w:multiLevelType w:val="hybridMultilevel"/>
    <w:lvl w:ilvl="0">
      <w:lvlJc w:val="left"/>
      <w:lvlText w:val="(%1)"/>
      <w:numFmt w:val="lowerLetter"/>
      <w:start w:val="5"/>
    </w:lvl>
  </w:abstractNum>
  <w:abstractNum w:abstractNumId="227">
    <w:nsid w:val="71482545"/>
    <w:multiLevelType w:val="hybridMultilevel"/>
    <w:lvl w:ilvl="0">
      <w:lvlJc w:val="left"/>
      <w:lvlText w:val="(%1)"/>
      <w:numFmt w:val="lowerLetter"/>
      <w:start w:val="1"/>
    </w:lvl>
  </w:abstractNum>
  <w:abstractNum w:abstractNumId="228">
    <w:nsid w:val="17D78639"/>
    <w:multiLevelType w:val="hybridMultilevel"/>
    <w:lvl w:ilvl="0">
      <w:lvlJc w:val="left"/>
      <w:lvlText w:val="(%1)"/>
      <w:numFmt w:val="lowerLetter"/>
      <w:start w:val="2"/>
    </w:lvl>
  </w:abstractNum>
  <w:abstractNum w:abstractNumId="229">
    <w:nsid w:val="141D2302"/>
    <w:multiLevelType w:val="hybridMultilevel"/>
    <w:lvl w:ilvl="0">
      <w:lvlJc w:val="left"/>
      <w:lvlText w:val="(%1)"/>
      <w:numFmt w:val="lowerLetter"/>
      <w:start w:val="1"/>
    </w:lvl>
  </w:abstractNum>
  <w:abstractNum w:abstractNumId="230">
    <w:nsid w:val="407168D8"/>
    <w:multiLevelType w:val="hybridMultilevel"/>
    <w:lvl w:ilvl="0">
      <w:lvlJc w:val="left"/>
      <w:lvlText w:val="(%1)"/>
      <w:numFmt w:val="lowerLetter"/>
      <w:start w:val="4"/>
    </w:lvl>
  </w:abstractNum>
  <w:abstractNum w:abstractNumId="231">
    <w:nsid w:val="6A1B45E5"/>
    <w:multiLevelType w:val="hybridMultilevel"/>
    <w:lvl w:ilvl="0">
      <w:lvlJc w:val="left"/>
      <w:lvlText w:val="(%1)"/>
      <w:numFmt w:val="lowerLetter"/>
      <w:start w:val="1"/>
    </w:lvl>
    <w:lvl w:ilvl="1">
      <w:lvlJc w:val="left"/>
      <w:lvlText w:val="(%2)"/>
      <w:numFmt w:val="lowerRoman"/>
      <w:start w:val="1"/>
    </w:lvl>
  </w:abstractNum>
  <w:abstractNum w:abstractNumId="232">
    <w:nsid w:val="567BD50A"/>
    <w:multiLevelType w:val="hybridMultilevel"/>
    <w:lvl w:ilvl="0">
      <w:lvlJc w:val="left"/>
      <w:lvlText w:val="(%1)"/>
      <w:numFmt w:val="lowerRoman"/>
      <w:start w:val="2"/>
    </w:lvl>
  </w:abstractNum>
  <w:abstractNum w:abstractNumId="233">
    <w:nsid w:val="73BBD7F8"/>
    <w:multiLevelType w:val="hybridMultilevel"/>
    <w:lvl w:ilvl="0">
      <w:lvlJc w:val="left"/>
      <w:lvlText w:val="(%1)"/>
      <w:numFmt w:val="lowerLetter"/>
      <w:start w:val="2"/>
    </w:lvl>
    <w:lvl w:ilvl="1">
      <w:lvlJc w:val="left"/>
      <w:lvlText w:val="(%2)"/>
      <w:numFmt w:val="lowerRoman"/>
      <w:start w:val="1"/>
    </w:lvl>
  </w:abstractNum>
  <w:abstractNum w:abstractNumId="234">
    <w:nsid w:val="1876589D"/>
    <w:multiLevelType w:val="hybridMultilevel"/>
    <w:lvl w:ilvl="0">
      <w:lvlJc w:val="left"/>
      <w:lvlText w:val="(%1)"/>
      <w:numFmt w:val="lowerLetter"/>
      <w:start w:val="2"/>
    </w:lvl>
  </w:abstractNum>
  <w:abstractNum w:abstractNumId="235">
    <w:nsid w:val="327FAC77"/>
    <w:multiLevelType w:val="hybridMultilevel"/>
    <w:lvl w:ilvl="0">
      <w:lvlJc w:val="left"/>
      <w:lvlText w:val="(%1)"/>
      <w:numFmt w:val="lowerLetter"/>
      <w:start w:val="4"/>
    </w:lvl>
  </w:abstractNum>
  <w:abstractNum w:abstractNumId="236">
    <w:nsid w:val="5A606509"/>
    <w:multiLevelType w:val="hybridMultilevel"/>
    <w:lvl w:ilvl="0">
      <w:lvlJc w:val="left"/>
      <w:lvlText w:val="(%1)"/>
      <w:numFmt w:val="lowerLetter"/>
      <w:start w:val="8"/>
    </w:lvl>
  </w:abstractNum>
  <w:abstractNum w:abstractNumId="237">
    <w:nsid w:val="6F38E6D1"/>
    <w:multiLevelType w:val="hybridMultilevel"/>
    <w:lvl w:ilvl="0">
      <w:lvlJc w:val="left"/>
      <w:lvlText w:val="(%1)"/>
      <w:numFmt w:val="lowerLetter"/>
      <w:start w:val="2"/>
    </w:lvl>
  </w:abstractNum>
  <w:abstractNum w:abstractNumId="238">
    <w:nsid w:val="46111BA5"/>
    <w:multiLevelType w:val="hybridMultilevel"/>
    <w:lvl w:ilvl="0">
      <w:lvlJc w:val="left"/>
      <w:lvlText w:val="(%1)"/>
      <w:numFmt w:val="lowerLetter"/>
      <w:start w:val="3"/>
    </w:lvl>
  </w:abstractNum>
  <w:abstractNum w:abstractNumId="239">
    <w:nsid w:val="5E963896"/>
    <w:multiLevelType w:val="hybridMultilevel"/>
    <w:lvl w:ilvl="0">
      <w:lvlJc w:val="left"/>
      <w:lvlText w:val="(%1)"/>
      <w:numFmt w:val="lowerRoman"/>
      <w:start w:val="1"/>
    </w:lvl>
  </w:abstractNum>
  <w:abstractNum w:abstractNumId="240">
    <w:nsid w:val="775BA7C1"/>
    <w:multiLevelType w:val="hybridMultilevel"/>
    <w:lvl w:ilvl="0">
      <w:lvlJc w:val="left"/>
      <w:lvlText w:val="%1"/>
      <w:numFmt w:val="upperLetter"/>
      <w:start w:val="1"/>
    </w:lvl>
    <w:lvl w:ilvl="1">
      <w:lvlJc w:val="left"/>
      <w:lvlText w:val="(%2)"/>
      <w:numFmt w:val="lowerLetter"/>
      <w:start w:val="2"/>
    </w:lvl>
  </w:abstractNum>
  <w:abstractNum w:abstractNumId="241">
    <w:nsid w:val="1DD6D6F4"/>
    <w:multiLevelType w:val="hybridMultilevel"/>
    <w:lvl w:ilvl="0">
      <w:lvlJc w:val="left"/>
      <w:lvlText w:val="(%1)"/>
      <w:numFmt w:val="upperLetter"/>
      <w:start w:val="4"/>
    </w:lvl>
    <w:lvl w:ilvl="1">
      <w:lvlJc w:val="left"/>
      <w:lvlText w:val="%2"/>
      <w:numFmt w:val="lowerLetter"/>
      <w:start w:val="1"/>
    </w:lvl>
  </w:abstractNum>
  <w:abstractNum w:abstractNumId="242">
    <w:nsid w:val="769A091F"/>
    <w:multiLevelType w:val="hybridMultilevel"/>
    <w:lvl w:ilvl="0">
      <w:lvlJc w:val="left"/>
      <w:lvlText w:val="(%1)"/>
      <w:numFmt w:val="lowerRoman"/>
      <w:start w:val="2"/>
    </w:lvl>
  </w:abstractNum>
  <w:abstractNum w:abstractNumId="243">
    <w:nsid w:val="4695AE95"/>
    <w:multiLevelType w:val="hybridMultilevel"/>
    <w:lvl w:ilvl="0">
      <w:lvlJc w:val="left"/>
      <w:lvlText w:val="(%1)"/>
      <w:numFmt w:val="lowerLetter"/>
      <w:start w:val="4"/>
    </w:lvl>
  </w:abstractNum>
  <w:abstractNum w:abstractNumId="244">
    <w:nsid w:val="777A4EAA"/>
    <w:multiLevelType w:val="hybridMultilevel"/>
    <w:lvl w:ilvl="0">
      <w:lvlJc w:val="left"/>
      <w:lvlText w:val="(%1)"/>
      <w:numFmt w:val="lowerLetter"/>
      <w:start w:val="2"/>
    </w:lvl>
  </w:abstractNum>
  <w:abstractNum w:abstractNumId="245">
    <w:nsid w:val="3F48B982"/>
    <w:multiLevelType w:val="hybridMultilevel"/>
    <w:lvl w:ilvl="0">
      <w:lvlJc w:val="left"/>
      <w:lvlText w:val="(%1)"/>
      <w:numFmt w:val="lowerLetter"/>
      <w:start w:val="1"/>
    </w:lvl>
  </w:abstractNum>
  <w:abstractNum w:abstractNumId="246">
    <w:nsid w:val="46BA8FCA"/>
    <w:multiLevelType w:val="hybridMultilevel"/>
    <w:lvl w:ilvl="0">
      <w:lvlJc w:val="left"/>
      <w:lvlText w:val="(%1)"/>
      <w:numFmt w:val="lowerLetter"/>
      <w:start w:val="2"/>
    </w:lvl>
  </w:abstractNum>
  <w:abstractNum w:abstractNumId="247">
    <w:nsid w:val="7835626C"/>
    <w:multiLevelType w:val="hybridMultilevel"/>
    <w:lvl w:ilvl="0">
      <w:lvlJc w:val="left"/>
      <w:lvlText w:val="(%1)"/>
      <w:numFmt w:val="lowerLetter"/>
      <w:start w:val="3"/>
    </w:lvl>
  </w:abstractNum>
  <w:abstractNum w:abstractNumId="248">
    <w:nsid w:val="665ACA49"/>
    <w:multiLevelType w:val="hybridMultilevel"/>
    <w:lvl w:ilvl="0">
      <w:lvlJc w:val="left"/>
      <w:lvlText w:val="(%1)"/>
      <w:numFmt w:val="lowerLetter"/>
      <w:start w:val="1"/>
    </w:lvl>
  </w:abstractNum>
  <w:abstractNum w:abstractNumId="249">
    <w:nsid w:val="6835B2AE"/>
    <w:multiLevelType w:val="hybridMultilevel"/>
    <w:lvl w:ilvl="0">
      <w:lvlJc w:val="left"/>
      <w:lvlText w:val="(%1)"/>
      <w:numFmt w:val="lowerLetter"/>
      <w:start w:val="1"/>
    </w:lvl>
    <w:lvl w:ilvl="1">
      <w:lvlJc w:val="left"/>
      <w:lvlText w:val="(%2)"/>
      <w:numFmt w:val="lowerRoman"/>
      <w:start w:val="1"/>
    </w:lvl>
  </w:abstractNum>
  <w:abstractNum w:abstractNumId="250">
    <w:nsid w:val="4C187C90"/>
    <w:multiLevelType w:val="hybridMultilevel"/>
    <w:lvl w:ilvl="0">
      <w:lvlJc w:val="left"/>
      <w:lvlText w:val="(%1)"/>
      <w:numFmt w:val="lowerRoman"/>
      <w:start w:val="3"/>
    </w:lvl>
  </w:abstractNum>
  <w:abstractNum w:abstractNumId="251">
    <w:nsid w:val="541F28CD"/>
    <w:multiLevelType w:val="hybridMultilevel"/>
    <w:lvl w:ilvl="0">
      <w:lvlJc w:val="left"/>
      <w:lvlText w:val="%1."/>
      <w:numFmt w:val="decimal"/>
      <w:start w:val="1"/>
    </w:lvl>
  </w:abstractNum>
  <w:abstractNum w:abstractNumId="252">
    <w:nsid w:val="7F65FD16"/>
    <w:multiLevelType w:val="hybridMultilevel"/>
    <w:lvl w:ilvl="0">
      <w:lvlJc w:val="left"/>
      <w:lvlText w:val="%1."/>
      <w:numFmt w:val="decimal"/>
      <w:start w:val="3"/>
    </w:lvl>
    <w:lvl w:ilvl="1">
      <w:lvlJc w:val="left"/>
      <w:lvlText w:val="(%2)"/>
      <w:numFmt w:val="decimal"/>
      <w:start w:val="1"/>
    </w:lvl>
  </w:abstractNum>
  <w:abstractNum w:abstractNumId="253">
    <w:nsid w:val="77C9FD68"/>
    <w:multiLevelType w:val="hybridMultilevel"/>
    <w:lvl w:ilvl="0">
      <w:lvlJc w:val="left"/>
      <w:lvlText w:val="%1"/>
      <w:numFmt w:val="decimal"/>
      <w:start w:val="1"/>
    </w:lvl>
    <w:lvl w:ilvl="1">
      <w:lvlJc w:val="left"/>
      <w:lvlText w:val="%2."/>
      <w:numFmt w:val="decimal"/>
      <w:start w:val="1"/>
    </w:lvl>
  </w:abstractNum>
  <w:abstractNum w:abstractNumId="254">
    <w:nsid w:val="298A92BA"/>
    <w:multiLevelType w:val="hybridMultilevel"/>
    <w:lvl w:ilvl="0">
      <w:lvlJc w:val="left"/>
      <w:lvlText w:val="%1."/>
      <w:numFmt w:val="decimal"/>
      <w:start w:val="3"/>
    </w:lvl>
  </w:abstractNum>
  <w:abstractNum w:abstractNumId="255">
    <w:nsid w:val="6FE95EAC"/>
    <w:multiLevelType w:val="hybridMultilevel"/>
    <w:lvl w:ilvl="0">
      <w:lvlJc w:val="left"/>
      <w:lvlText w:val="%1."/>
      <w:numFmt w:val="decimal"/>
      <w:start w:val="4"/>
    </w:lvl>
    <w:lvl w:ilvl="1">
      <w:lvlJc w:val="left"/>
      <w:lvlText w:val="(%2)"/>
      <w:numFmt w:val="decimal"/>
      <w:start w:val="1"/>
    </w:lvl>
  </w:abstractNum>
  <w:abstractNum w:abstractNumId="256">
    <w:nsid w:val="4B697C7A"/>
    <w:multiLevelType w:val="hybridMultilevel"/>
    <w:lvl w:ilvl="0">
      <w:lvlJc w:val="left"/>
      <w:lvlText w:val="%1."/>
      <w:numFmt w:val="decimal"/>
      <w:start w:val="1"/>
    </w:lvl>
  </w:abstractNum>
  <w:abstractNum w:abstractNumId="257">
    <w:nsid w:val="51A27AA6"/>
    <w:multiLevelType w:val="hybridMultilevel"/>
    <w:lvl w:ilvl="0">
      <w:lvlJc w:val="left"/>
      <w:lvlText w:val="%1."/>
      <w:numFmt w:val="decimal"/>
      <w:start w:val="1"/>
    </w:lvl>
  </w:abstractNum>
  <w:abstractNum w:abstractNumId="258">
    <w:nsid w:val="613183F2"/>
    <w:multiLevelType w:val="hybridMultilevel"/>
    <w:lvl w:ilvl="0">
      <w:lvlJc w:val="left"/>
      <w:lvlText w:val="%1."/>
      <w:numFmt w:val="decimal"/>
      <w:start w:val="3"/>
    </w:lvl>
  </w:abstractNum>
  <w:abstractNum w:abstractNumId="259">
    <w:nsid w:val="634102B4"/>
    <w:multiLevelType w:val="hybridMultilevel"/>
    <w:lvl w:ilvl="0">
      <w:lvlJc w:val="left"/>
      <w:lvlText w:val="%1."/>
      <w:numFmt w:val="decimal"/>
      <w:start w:val="5"/>
    </w:lvl>
  </w:abstractNum>
  <w:abstractNum w:abstractNumId="260">
    <w:nsid w:val="65BF9DA8"/>
    <w:multiLevelType w:val="hybridMultilevel"/>
    <w:lvl w:ilvl="0">
      <w:lvlJc w:val="left"/>
      <w:lvlText w:val="%1."/>
      <w:numFmt w:val="decimal"/>
      <w:start w:val="7"/>
    </w:lvl>
  </w:abstractNum>
  <w:abstractNum w:abstractNumId="261">
    <w:nsid w:val="21A2ECCA"/>
    <w:multiLevelType w:val="hybridMultilevel"/>
    <w:lvl w:ilvl="0">
      <w:lvlJc w:val="left"/>
      <w:lvlText w:val="%1."/>
      <w:numFmt w:val="decimal"/>
      <w:start w:val="1"/>
    </w:lvl>
  </w:abstractNum>
  <w:abstractNum w:abstractNumId="262">
    <w:nsid w:val="4D5C4899"/>
    <w:multiLevelType w:val="hybridMultilevel"/>
    <w:lvl w:ilvl="0">
      <w:lvlJc w:val="left"/>
      <w:lvlText w:val="%1."/>
      <w:numFmt w:val="decimal"/>
      <w:start w:val="1"/>
    </w:lvl>
  </w:abstractNum>
  <w:abstractNum w:abstractNumId="263">
    <w:nsid w:val="3C3B72B2"/>
    <w:multiLevelType w:val="hybridMultilevel"/>
    <w:lvl w:ilvl="0">
      <w:lvlJc w:val="left"/>
      <w:lvlText w:val="%1."/>
      <w:numFmt w:val="decimal"/>
      <w:start w:val="1"/>
    </w:lvl>
    <w:lvl w:ilvl="1">
      <w:lvlJc w:val="left"/>
      <w:lvlText w:val="%2)"/>
      <w:numFmt w:val="lowerLetter"/>
      <w:start w:val="1"/>
    </w:lvl>
  </w:abstractNum>
  <w:abstractNum w:abstractNumId="264">
    <w:nsid w:val="155EC4C2"/>
    <w:multiLevelType w:val="hybridMultilevel"/>
    <w:lvl w:ilvl="0">
      <w:lvlJc w:val="left"/>
      <w:lvlText w:val="%1"/>
      <w:numFmt w:val="decimal"/>
      <w:start w:val="1"/>
    </w:lvl>
    <w:lvl w:ilvl="1">
      <w:lvlJc w:val="left"/>
      <w:lvlText w:val="%2)"/>
      <w:numFmt w:val="lowerLetter"/>
      <w:start w:val="3"/>
    </w:lvl>
  </w:abstractNum>
  <w:abstractNum w:abstractNumId="265">
    <w:nsid w:val="65D2A137"/>
    <w:multiLevelType w:val="hybridMultilevel"/>
    <w:lvl w:ilvl="0">
      <w:lvlJc w:val="left"/>
      <w:lvlText w:val="%1."/>
      <w:numFmt w:val="decimal"/>
      <w:start w:val="5"/>
    </w:lvl>
    <w:lvl w:ilvl="1">
      <w:lvlJc w:val="left"/>
      <w:lvlText w:val="%2)"/>
      <w:numFmt w:val="lowerLetter"/>
      <w:start w:val="1"/>
    </w:lvl>
  </w:abstractNum>
  <w:abstractNum w:abstractNumId="266">
    <w:nsid w:val="6EBB1F2A"/>
    <w:multiLevelType w:val="hybridMultilevel"/>
    <w:lvl w:ilvl="0">
      <w:lvlJc w:val="left"/>
      <w:lvlText w:val="%1."/>
      <w:numFmt w:val="decimal"/>
      <w:start w:val="1"/>
    </w:lvl>
    <w:lvl w:ilvl="1">
      <w:lvlJc w:val="left"/>
      <w:lvlText w:val="%2)"/>
      <w:numFmt w:val="lowerLetter"/>
      <w:start w:val="1"/>
    </w:lvl>
  </w:abstractNum>
  <w:abstractNum w:abstractNumId="267">
    <w:nsid w:val="6FBF29CB"/>
    <w:multiLevelType w:val="hybridMultilevel"/>
    <w:lvl w:ilvl="0">
      <w:lvlJc w:val="left"/>
      <w:lvlText w:val="(%1)"/>
      <w:numFmt w:val="decimal"/>
      <w:start w:val="1"/>
    </w:lvl>
  </w:abstractNum>
  <w:abstractNum w:abstractNumId="268">
    <w:nsid w:val="550B880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jpe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64" Type="http://schemas.openxmlformats.org/officeDocument/2006/relationships/image" Target="media/image249.png"/><Relationship Id="rId265" Type="http://schemas.openxmlformats.org/officeDocument/2006/relationships/image" Target="media/image250.png"/><Relationship Id="rId266" Type="http://schemas.openxmlformats.org/officeDocument/2006/relationships/image" Target="media/image251.pn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png"/><Relationship Id="rId273" Type="http://schemas.openxmlformats.org/officeDocument/2006/relationships/image" Target="media/image258.pn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png"/><Relationship Id="rId279" Type="http://schemas.openxmlformats.org/officeDocument/2006/relationships/image" Target="media/image264.png"/><Relationship Id="rId280" Type="http://schemas.openxmlformats.org/officeDocument/2006/relationships/image" Target="media/image265.png"/><Relationship Id="rId281" Type="http://schemas.openxmlformats.org/officeDocument/2006/relationships/image" Target="media/image266.png"/><Relationship Id="rId282" Type="http://schemas.openxmlformats.org/officeDocument/2006/relationships/image" Target="media/image267.png"/><Relationship Id="rId283" Type="http://schemas.openxmlformats.org/officeDocument/2006/relationships/image" Target="media/image268.png"/><Relationship Id="rId284" Type="http://schemas.openxmlformats.org/officeDocument/2006/relationships/image" Target="media/image269.png"/><Relationship Id="rId285" Type="http://schemas.openxmlformats.org/officeDocument/2006/relationships/image" Target="media/image270.png"/><Relationship Id="rId286" Type="http://schemas.openxmlformats.org/officeDocument/2006/relationships/image" Target="media/image271.png"/><Relationship Id="rId287" Type="http://schemas.openxmlformats.org/officeDocument/2006/relationships/image" Target="media/image272.png"/><Relationship Id="rId288" Type="http://schemas.openxmlformats.org/officeDocument/2006/relationships/image" Target="media/image273.png"/><Relationship Id="rId289" Type="http://schemas.openxmlformats.org/officeDocument/2006/relationships/image" Target="media/image274.png"/><Relationship Id="rId290" Type="http://schemas.openxmlformats.org/officeDocument/2006/relationships/image" Target="media/image275.png"/><Relationship Id="rId291" Type="http://schemas.openxmlformats.org/officeDocument/2006/relationships/image" Target="media/image276.png"/><Relationship Id="rId292" Type="http://schemas.openxmlformats.org/officeDocument/2006/relationships/image" Target="media/image277.png"/><Relationship Id="rId293" Type="http://schemas.openxmlformats.org/officeDocument/2006/relationships/image" Target="media/image278.png"/><Relationship Id="rId294" Type="http://schemas.openxmlformats.org/officeDocument/2006/relationships/image" Target="media/image279.png"/><Relationship Id="rId295" Type="http://schemas.openxmlformats.org/officeDocument/2006/relationships/image" Target="media/image280.png"/><Relationship Id="rId296" Type="http://schemas.openxmlformats.org/officeDocument/2006/relationships/image" Target="media/image281.png"/><Relationship Id="rId297" Type="http://schemas.openxmlformats.org/officeDocument/2006/relationships/image" Target="media/image282.png"/><Relationship Id="rId298" Type="http://schemas.openxmlformats.org/officeDocument/2006/relationships/image" Target="media/image283.png"/><Relationship Id="rId299" Type="http://schemas.openxmlformats.org/officeDocument/2006/relationships/image" Target="media/image284.png"/><Relationship Id="rId300" Type="http://schemas.openxmlformats.org/officeDocument/2006/relationships/image" Target="media/image285.png"/><Relationship Id="rId301" Type="http://schemas.openxmlformats.org/officeDocument/2006/relationships/image" Target="media/image286.png"/><Relationship Id="rId302" Type="http://schemas.openxmlformats.org/officeDocument/2006/relationships/image" Target="media/image287.png"/><Relationship Id="rId303" Type="http://schemas.openxmlformats.org/officeDocument/2006/relationships/image" Target="media/image288.png"/><Relationship Id="rId304" Type="http://schemas.openxmlformats.org/officeDocument/2006/relationships/image" Target="media/image289.png"/><Relationship Id="rId305" Type="http://schemas.openxmlformats.org/officeDocument/2006/relationships/image" Target="media/image290.png"/><Relationship Id="rId306" Type="http://schemas.openxmlformats.org/officeDocument/2006/relationships/image" Target="media/image291.png"/><Relationship Id="rId307" Type="http://schemas.openxmlformats.org/officeDocument/2006/relationships/image" Target="media/image292.png"/><Relationship Id="rId308" Type="http://schemas.openxmlformats.org/officeDocument/2006/relationships/image" Target="media/image293.png"/><Relationship Id="rId309" Type="http://schemas.openxmlformats.org/officeDocument/2006/relationships/image" Target="media/image294.png"/><Relationship Id="rId310" Type="http://schemas.openxmlformats.org/officeDocument/2006/relationships/image" Target="media/image295.png"/><Relationship Id="rId311" Type="http://schemas.openxmlformats.org/officeDocument/2006/relationships/image" Target="media/image296.png"/><Relationship Id="rId312" Type="http://schemas.openxmlformats.org/officeDocument/2006/relationships/image" Target="media/image297.png"/><Relationship Id="rId313" Type="http://schemas.openxmlformats.org/officeDocument/2006/relationships/image" Target="media/image298.png"/><Relationship Id="rId314" Type="http://schemas.openxmlformats.org/officeDocument/2006/relationships/image" Target="media/image299.png"/><Relationship Id="rId315" Type="http://schemas.openxmlformats.org/officeDocument/2006/relationships/image" Target="media/image300.png"/><Relationship Id="rId316" Type="http://schemas.openxmlformats.org/officeDocument/2006/relationships/image" Target="media/image301.png"/><Relationship Id="rId317" Type="http://schemas.openxmlformats.org/officeDocument/2006/relationships/image" Target="media/image302.png"/><Relationship Id="rId318" Type="http://schemas.openxmlformats.org/officeDocument/2006/relationships/image" Target="media/image303.png"/><Relationship Id="rId319" Type="http://schemas.openxmlformats.org/officeDocument/2006/relationships/image" Target="media/image304.png"/><Relationship Id="rId320" Type="http://schemas.openxmlformats.org/officeDocument/2006/relationships/image" Target="media/image305.png"/><Relationship Id="rId321" Type="http://schemas.openxmlformats.org/officeDocument/2006/relationships/image" Target="media/image306.png"/><Relationship Id="rId322" Type="http://schemas.openxmlformats.org/officeDocument/2006/relationships/image" Target="media/image307.png"/><Relationship Id="rId323" Type="http://schemas.openxmlformats.org/officeDocument/2006/relationships/image" Target="media/image308.png"/><Relationship Id="rId324" Type="http://schemas.openxmlformats.org/officeDocument/2006/relationships/image" Target="media/image309.png"/><Relationship Id="rId325" Type="http://schemas.openxmlformats.org/officeDocument/2006/relationships/image" Target="media/image310.png"/><Relationship Id="rId326" Type="http://schemas.openxmlformats.org/officeDocument/2006/relationships/image" Target="media/image311.png"/><Relationship Id="rId327" Type="http://schemas.openxmlformats.org/officeDocument/2006/relationships/image" Target="media/image312.png"/><Relationship Id="rId328" Type="http://schemas.openxmlformats.org/officeDocument/2006/relationships/image" Target="media/image313.png"/><Relationship Id="rId329" Type="http://schemas.openxmlformats.org/officeDocument/2006/relationships/image" Target="media/image314.png"/><Relationship Id="rId330" Type="http://schemas.openxmlformats.org/officeDocument/2006/relationships/image" Target="media/image315.png"/><Relationship Id="rId331" Type="http://schemas.openxmlformats.org/officeDocument/2006/relationships/image" Target="media/image316.png"/><Relationship Id="rId332" Type="http://schemas.openxmlformats.org/officeDocument/2006/relationships/image" Target="media/image317.png"/><Relationship Id="rId333" Type="http://schemas.openxmlformats.org/officeDocument/2006/relationships/image" Target="media/image318.png"/><Relationship Id="rId334" Type="http://schemas.openxmlformats.org/officeDocument/2006/relationships/image" Target="media/image319.png"/><Relationship Id="rId335" Type="http://schemas.openxmlformats.org/officeDocument/2006/relationships/image" Target="media/image320.png"/><Relationship Id="rId336" Type="http://schemas.openxmlformats.org/officeDocument/2006/relationships/image" Target="media/image321.png"/><Relationship Id="rId337" Type="http://schemas.openxmlformats.org/officeDocument/2006/relationships/image" Target="media/image322.png"/><Relationship Id="rId338" Type="http://schemas.openxmlformats.org/officeDocument/2006/relationships/image" Target="media/image323.png"/><Relationship Id="rId339" Type="http://schemas.openxmlformats.org/officeDocument/2006/relationships/image" Target="media/image324.png"/><Relationship Id="rId340" Type="http://schemas.openxmlformats.org/officeDocument/2006/relationships/image" Target="media/image325.png"/><Relationship Id="rId341" Type="http://schemas.openxmlformats.org/officeDocument/2006/relationships/image" Target="media/image326.png"/><Relationship Id="rId342" Type="http://schemas.openxmlformats.org/officeDocument/2006/relationships/image" Target="media/image327.png"/><Relationship Id="rId343" Type="http://schemas.openxmlformats.org/officeDocument/2006/relationships/image" Target="media/image328.png"/><Relationship Id="rId344" Type="http://schemas.openxmlformats.org/officeDocument/2006/relationships/image" Target="media/image329.png"/><Relationship Id="rId345" Type="http://schemas.openxmlformats.org/officeDocument/2006/relationships/image" Target="media/image330.png"/><Relationship Id="rId346" Type="http://schemas.openxmlformats.org/officeDocument/2006/relationships/image" Target="media/image331.png"/><Relationship Id="rId347" Type="http://schemas.openxmlformats.org/officeDocument/2006/relationships/image" Target="media/image332.png"/><Relationship Id="rId348" Type="http://schemas.openxmlformats.org/officeDocument/2006/relationships/image" Target="media/image333.png"/><Relationship Id="rId349" Type="http://schemas.openxmlformats.org/officeDocument/2006/relationships/image" Target="media/image334.png"/><Relationship Id="rId350" Type="http://schemas.openxmlformats.org/officeDocument/2006/relationships/image" Target="media/image335.png"/><Relationship Id="rId351" Type="http://schemas.openxmlformats.org/officeDocument/2006/relationships/image" Target="media/image336.png"/><Relationship Id="rId352" Type="http://schemas.openxmlformats.org/officeDocument/2006/relationships/image" Target="media/image337.png"/><Relationship Id="rId353" Type="http://schemas.openxmlformats.org/officeDocument/2006/relationships/image" Target="media/image338.png"/><Relationship Id="rId354" Type="http://schemas.openxmlformats.org/officeDocument/2006/relationships/image" Target="media/image339.png"/><Relationship Id="rId355" Type="http://schemas.openxmlformats.org/officeDocument/2006/relationships/image" Target="media/image340.png"/><Relationship Id="rId356" Type="http://schemas.openxmlformats.org/officeDocument/2006/relationships/image" Target="media/image341.png"/><Relationship Id="rId357" Type="http://schemas.openxmlformats.org/officeDocument/2006/relationships/image" Target="media/image342.png"/><Relationship Id="rId358" Type="http://schemas.openxmlformats.org/officeDocument/2006/relationships/image" Target="media/image343.png"/><Relationship Id="rId359" Type="http://schemas.openxmlformats.org/officeDocument/2006/relationships/image" Target="media/image344.png"/><Relationship Id="rId360" Type="http://schemas.openxmlformats.org/officeDocument/2006/relationships/image" Target="media/image345.png"/><Relationship Id="rId361" Type="http://schemas.openxmlformats.org/officeDocument/2006/relationships/image" Target="media/image346.png"/><Relationship Id="rId362" Type="http://schemas.openxmlformats.org/officeDocument/2006/relationships/image" Target="media/image347.png"/><Relationship Id="rId363" Type="http://schemas.openxmlformats.org/officeDocument/2006/relationships/image" Target="media/image348.png"/><Relationship Id="rId364" Type="http://schemas.openxmlformats.org/officeDocument/2006/relationships/image" Target="media/image349.png"/><Relationship Id="rId365" Type="http://schemas.openxmlformats.org/officeDocument/2006/relationships/image" Target="media/image350.png"/><Relationship Id="rId91" Type="http://schemas.openxmlformats.org/officeDocument/2006/relationships/hyperlink" Target="https://www.sec.gov/Archives/edgar/data/1504619/000119312511080862/dex99a.htm" TargetMode="External"/><Relationship Id="rId92" Type="http://schemas.openxmlformats.org/officeDocument/2006/relationships/hyperlink" Target="https://www.sec.gov/Archives/edgar/data/1504619/000095017024092750/pflt-ex3_2.htm" TargetMode="External"/><Relationship Id="rId93" Type="http://schemas.openxmlformats.org/officeDocument/2006/relationships/hyperlink" Target="https://www.sec.gov/Archives/edgar/data/1504619/000156459020024167/pflt-ex32_144.htm" TargetMode="External"/><Relationship Id="rId94" Type="http://schemas.openxmlformats.org/officeDocument/2006/relationships/hyperlink" Target="https://www.sec.gov/Archives/edgar/data/1504619/000119312511088977/dex99d.htm" TargetMode="External"/><Relationship Id="rId95" Type="http://schemas.openxmlformats.org/officeDocument/2006/relationships/hyperlink" Target="https://www.sec.gov/Archives/edgar/data/1504619/000119312525089204/d944639d8k.htm" TargetMode="External"/><Relationship Id="rId96" Type="http://schemas.openxmlformats.org/officeDocument/2006/relationships/hyperlink" Target="https://www.sec.gov/Archives/edgar/data/1504619/000119312525293672/pflt-ex10_30.htm" TargetMode="External"/><Relationship Id="rId97" Type="http://schemas.openxmlformats.org/officeDocument/2006/relationships/hyperlink" Target="https://www.sec.gov/Archives/edgar/data/1504619/000119312525300797/d24379dex101.htm" TargetMode="External"/><Relationship Id="rId98" Type="http://schemas.openxmlformats.org/officeDocument/2006/relationships/hyperlink" Target="https://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2026-02-09T15:35:05Z</dcterms:created>
  <dcterms:modified xsi:type="dcterms:W3CDTF">2026-02-09T15:35:05Z</dcterms:modified>
</cp:coreProperties>
</file>