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4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 10-K</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7" w:lineRule="exact"/>
        <w:rPr>
          <w:sz w:val="24"/>
          <w:szCs w:val="24"/>
          <w:color w:val="auto"/>
        </w:rPr>
      </w:pPr>
    </w:p>
    <w:p>
      <w:pPr>
        <w:ind w:left="600" w:hanging="376"/>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55"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FOR THE FISCAL YEAR ENDED SEPTEMBER 30, 2011</w:t>
      </w:r>
    </w:p>
    <w:p>
      <w:pPr>
        <w:spacing w:after="0" w:line="4"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OR</w:t>
      </w:r>
    </w:p>
    <w:p>
      <w:pPr>
        <w:spacing w:after="0" w:line="147" w:lineRule="exact"/>
        <w:rPr>
          <w:sz w:val="24"/>
          <w:szCs w:val="24"/>
          <w:color w:val="auto"/>
        </w:rPr>
      </w:pPr>
    </w:p>
    <w:p>
      <w:pPr>
        <w:ind w:left="600" w:hanging="376"/>
        <w:spacing w:after="0"/>
        <w:tabs>
          <w:tab w:leader="none" w:pos="6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440" w:type="dxa"/>
        <w:tblCellMar>
          <w:top w:w="0" w:type="dxa"/>
          <w:left w:w="0" w:type="dxa"/>
          <w:bottom w:w="0" w:type="dxa"/>
          <w:right w:w="0" w:type="dxa"/>
        </w:tblCellMar>
      </w:tblPr>
      <w:tr>
        <w:trPr>
          <w:trHeight w:val="186"/>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FOR THE TRANSITION PERIOD FROM</w:t>
            </w: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rPr>
              <w:t>TO</w:t>
            </w:r>
          </w:p>
        </w:tc>
        <w:tc>
          <w:tcPr>
            <w:tcW w:w="5900" w:type="dxa"/>
            <w:vAlign w:val="bottom"/>
            <w:gridSpan w:val="2"/>
            <w:vMerge w:val="restart"/>
          </w:tcPr>
          <w:p>
            <w:pPr>
              <w:jc w:val="center"/>
              <w:ind w:right="2548"/>
              <w:spacing w:after="0"/>
              <w:rPr>
                <w:sz w:val="20"/>
                <w:szCs w:val="20"/>
                <w:color w:val="auto"/>
              </w:rPr>
            </w:pPr>
            <w:r>
              <w:rPr>
                <w:rFonts w:ascii="Arial" w:cs="Arial" w:eastAsia="Arial" w:hAnsi="Arial"/>
                <w:sz w:val="14"/>
                <w:szCs w:val="14"/>
                <w:b w:val="1"/>
                <w:bCs w:val="1"/>
                <w:color w:val="auto"/>
              </w:rPr>
              <w:t>COMMISSION FILE NUMBER: 814-00891</w:t>
            </w:r>
          </w:p>
        </w:tc>
        <w:tc>
          <w:tcPr>
            <w:tcW w:w="0" w:type="dxa"/>
            <w:vAlign w:val="bottom"/>
          </w:tcPr>
          <w:p>
            <w:pPr>
              <w:spacing w:after="0"/>
              <w:rPr>
                <w:sz w:val="1"/>
                <w:szCs w:val="1"/>
                <w:color w:val="auto"/>
              </w:rPr>
            </w:pPr>
          </w:p>
        </w:tc>
      </w:tr>
      <w:tr>
        <w:trPr>
          <w:trHeight w:val="139"/>
        </w:trPr>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80" w:type="dxa"/>
            <w:vAlign w:val="bottom"/>
          </w:tcPr>
          <w:p>
            <w:pPr>
              <w:jc w:val="center"/>
              <w:ind w:left="142"/>
              <w:spacing w:after="0" w:line="250" w:lineRule="exact"/>
              <w:rPr>
                <w:sz w:val="20"/>
                <w:szCs w:val="20"/>
                <w:color w:val="auto"/>
              </w:rPr>
            </w:pPr>
            <w:r>
              <w:rPr>
                <w:rFonts w:ascii="Arial" w:cs="Arial" w:eastAsia="Arial" w:hAnsi="Arial"/>
                <w:sz w:val="22"/>
                <w:szCs w:val="22"/>
                <w:color w:val="auto"/>
                <w:w w:val="87"/>
              </w:rPr>
              <w:t>_____________________</w:t>
            </w: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0" w:type="dxa"/>
            <w:vAlign w:val="bottom"/>
          </w:tcPr>
          <w:p>
            <w:pPr>
              <w:spacing w:after="0"/>
              <w:rPr>
                <w:sz w:val="21"/>
                <w:szCs w:val="21"/>
                <w:color w:val="auto"/>
              </w:rPr>
            </w:pPr>
          </w:p>
        </w:tc>
        <w:tc>
          <w:tcPr>
            <w:tcW w:w="7840" w:type="dxa"/>
            <w:vAlign w:val="bottom"/>
            <w:gridSpan w:val="5"/>
          </w:tcPr>
          <w:p>
            <w:pPr>
              <w:jc w:val="center"/>
              <w:ind w:right="608"/>
              <w:spacing w:after="0" w:line="248" w:lineRule="exact"/>
              <w:rPr>
                <w:sz w:val="20"/>
                <w:szCs w:val="20"/>
                <w:color w:val="auto"/>
              </w:rPr>
            </w:pPr>
            <w:r>
              <w:rPr>
                <w:rFonts w:ascii="Arial" w:cs="Arial" w:eastAsia="Arial" w:hAnsi="Arial"/>
                <w:sz w:val="22"/>
                <w:szCs w:val="22"/>
                <w:b w:val="1"/>
                <w:bCs w:val="1"/>
                <w:color w:val="auto"/>
                <w:w w:val="98"/>
              </w:rPr>
              <w:t>PENNANTPARK FLOATING RATE CAPITAL LTD.</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900" w:type="dxa"/>
            <w:vAlign w:val="bottom"/>
            <w:gridSpan w:val="2"/>
          </w:tcPr>
          <w:p>
            <w:pPr>
              <w:jc w:val="center"/>
              <w:ind w:right="25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MARYLAND</w:t>
            </w:r>
          </w:p>
        </w:tc>
        <w:tc>
          <w:tcPr>
            <w:tcW w:w="440" w:type="dxa"/>
            <w:vAlign w:val="bottom"/>
          </w:tcPr>
          <w:p>
            <w:pPr>
              <w:spacing w:after="0"/>
              <w:rPr>
                <w:sz w:val="24"/>
                <w:szCs w:val="24"/>
                <w:color w:val="auto"/>
              </w:rPr>
            </w:pPr>
          </w:p>
        </w:tc>
        <w:tc>
          <w:tcPr>
            <w:tcW w:w="5900" w:type="dxa"/>
            <w:vAlign w:val="bottom"/>
            <w:gridSpan w:val="2"/>
          </w:tcPr>
          <w:p>
            <w:pPr>
              <w:jc w:val="right"/>
              <w:ind w:right="1148"/>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65"/>
        </w:trPr>
        <w:tc>
          <w:tcPr>
            <w:tcW w:w="3540" w:type="dxa"/>
            <w:vAlign w:val="bottom"/>
            <w:gridSpan w:val="4"/>
          </w:tcPr>
          <w:p>
            <w:pPr>
              <w:jc w:val="center"/>
              <w:ind w:left="948"/>
              <w:spacing w:after="0"/>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spacing w:after="0"/>
              <w:rPr>
                <w:sz w:val="14"/>
                <w:szCs w:val="14"/>
                <w:color w:val="auto"/>
              </w:rPr>
            </w:pPr>
          </w:p>
        </w:tc>
        <w:tc>
          <w:tcPr>
            <w:tcW w:w="2820" w:type="dxa"/>
            <w:vAlign w:val="bottom"/>
          </w:tcPr>
          <w:p>
            <w:pPr>
              <w:jc w:val="center"/>
              <w:ind w:right="26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40" w:type="dxa"/>
            <w:vAlign w:val="bottom"/>
            <w:gridSpan w:val="4"/>
          </w:tcPr>
          <w:p>
            <w:pPr>
              <w:jc w:val="center"/>
              <w:ind w:left="948"/>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spacing w:after="0"/>
              <w:rPr>
                <w:sz w:val="16"/>
                <w:szCs w:val="16"/>
                <w:color w:val="auto"/>
              </w:rPr>
            </w:pPr>
          </w:p>
        </w:tc>
        <w:tc>
          <w:tcPr>
            <w:tcW w:w="2820" w:type="dxa"/>
            <w:vAlign w:val="bottom"/>
          </w:tcPr>
          <w:p>
            <w:pPr>
              <w:jc w:val="center"/>
              <w:ind w:right="26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78"/>
        </w:trPr>
        <w:tc>
          <w:tcPr>
            <w:tcW w:w="1600" w:type="dxa"/>
            <w:vAlign w:val="bottom"/>
          </w:tcPr>
          <w:p>
            <w:pPr>
              <w:spacing w:after="0"/>
              <w:rPr>
                <w:sz w:val="15"/>
                <w:szCs w:val="15"/>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590 Madison Avenue,</w:t>
            </w:r>
          </w:p>
        </w:tc>
        <w:tc>
          <w:tcPr>
            <w:tcW w:w="4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100" w:type="dxa"/>
            <w:vAlign w:val="bottom"/>
            <w:gridSpan w:val="3"/>
          </w:tcPr>
          <w:p>
            <w:pPr>
              <w:jc w:val="center"/>
              <w:ind w:left="1388"/>
              <w:spacing w:after="0"/>
              <w:rPr>
                <w:sz w:val="20"/>
                <w:szCs w:val="20"/>
                <w:color w:val="auto"/>
              </w:rPr>
            </w:pPr>
            <w:r>
              <w:rPr>
                <w:rFonts w:ascii="Arial" w:cs="Arial" w:eastAsia="Arial" w:hAnsi="Arial"/>
                <w:sz w:val="14"/>
                <w:szCs w:val="14"/>
                <w:b w:val="1"/>
                <w:bCs w:val="1"/>
                <w:color w:val="auto"/>
                <w:w w:val="96"/>
              </w:rPr>
              <w:t>15</w:t>
            </w:r>
            <w:r>
              <w:rPr>
                <w:rFonts w:ascii="Arial" w:cs="Arial" w:eastAsia="Arial" w:hAnsi="Arial"/>
                <w:sz w:val="8"/>
                <w:szCs w:val="8"/>
                <w:b w:val="1"/>
                <w:bCs w:val="1"/>
                <w:color w:val="auto"/>
                <w:w w:val="96"/>
              </w:rPr>
              <w:t>th</w:t>
            </w:r>
            <w:r>
              <w:rPr>
                <w:rFonts w:ascii="Arial" w:cs="Arial" w:eastAsia="Arial" w:hAnsi="Arial"/>
                <w:sz w:val="14"/>
                <w:szCs w:val="14"/>
                <w:b w:val="1"/>
                <w:bCs w:val="1"/>
                <w:color w:val="auto"/>
                <w:w w:val="96"/>
              </w:rPr>
              <w:t>Floor New York, N.Y.</w:t>
            </w:r>
          </w:p>
        </w:tc>
        <w:tc>
          <w:tcPr>
            <w:tcW w:w="440" w:type="dxa"/>
            <w:vAlign w:val="bottom"/>
          </w:tcPr>
          <w:p>
            <w:pPr>
              <w:spacing w:after="0"/>
              <w:rPr>
                <w:sz w:val="17"/>
                <w:szCs w:val="17"/>
                <w:color w:val="auto"/>
              </w:rPr>
            </w:pPr>
          </w:p>
        </w:tc>
        <w:tc>
          <w:tcPr>
            <w:tcW w:w="5900" w:type="dxa"/>
            <w:vAlign w:val="bottom"/>
            <w:gridSpan w:val="2"/>
          </w:tcPr>
          <w:p>
            <w:pPr>
              <w:jc w:val="right"/>
              <w:ind w:right="1328"/>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203"/>
        </w:trPr>
        <w:tc>
          <w:tcPr>
            <w:tcW w:w="3540" w:type="dxa"/>
            <w:vAlign w:val="bottom"/>
            <w:gridSpan w:val="4"/>
          </w:tcPr>
          <w:p>
            <w:pPr>
              <w:jc w:val="center"/>
              <w:ind w:left="9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80" w:type="dxa"/>
            <w:vAlign w:val="bottom"/>
          </w:tcPr>
          <w:p>
            <w:pPr>
              <w:spacing w:after="0"/>
              <w:rPr>
                <w:sz w:val="17"/>
                <w:szCs w:val="17"/>
                <w:color w:val="auto"/>
              </w:rPr>
            </w:pPr>
          </w:p>
        </w:tc>
        <w:tc>
          <w:tcPr>
            <w:tcW w:w="2820" w:type="dxa"/>
            <w:vAlign w:val="bottom"/>
          </w:tcPr>
          <w:p>
            <w:pPr>
              <w:jc w:val="center"/>
              <w:ind w:right="2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5"/>
        </w:trPr>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340" w:type="dxa"/>
            <w:vAlign w:val="bottom"/>
            <w:gridSpan w:val="3"/>
          </w:tcPr>
          <w:p>
            <w:pPr>
              <w:jc w:val="center"/>
              <w:ind w:right="2088"/>
              <w:spacing w:after="0"/>
              <w:rPr>
                <w:sz w:val="20"/>
                <w:szCs w:val="20"/>
                <w:color w:val="auto"/>
              </w:rPr>
            </w:pPr>
            <w:r>
              <w:rPr>
                <w:rFonts w:ascii="Arial" w:cs="Arial" w:eastAsia="Arial" w:hAnsi="Arial"/>
                <w:sz w:val="14"/>
                <w:szCs w:val="14"/>
                <w:b w:val="1"/>
                <w:bCs w:val="1"/>
                <w:color w:val="auto"/>
                <w:w w:val="91"/>
              </w:rPr>
              <w:t>Registrant’s telephone number, including area code (212)-905-1000</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340" w:type="dxa"/>
            <w:vAlign w:val="bottom"/>
            <w:gridSpan w:val="3"/>
          </w:tcPr>
          <w:p>
            <w:pPr>
              <w:jc w:val="center"/>
              <w:ind w:right="210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296"/>
        </w:trPr>
        <w:tc>
          <w:tcPr>
            <w:tcW w:w="160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Title of Each Class</w:t>
            </w:r>
          </w:p>
        </w:tc>
        <w:tc>
          <w:tcPr>
            <w:tcW w:w="440" w:type="dxa"/>
            <w:vAlign w:val="bottom"/>
          </w:tcPr>
          <w:p>
            <w:pPr>
              <w:spacing w:after="0"/>
              <w:rPr>
                <w:sz w:val="24"/>
                <w:szCs w:val="24"/>
                <w:color w:val="auto"/>
              </w:rPr>
            </w:pPr>
          </w:p>
        </w:tc>
        <w:tc>
          <w:tcPr>
            <w:tcW w:w="5900" w:type="dxa"/>
            <w:vAlign w:val="bottom"/>
            <w:gridSpan w:val="2"/>
          </w:tcPr>
          <w:p>
            <w:pPr>
              <w:jc w:val="center"/>
              <w:ind w:left="3002"/>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gridSpan w:val="4"/>
          </w:tcPr>
          <w:p>
            <w:pPr>
              <w:jc w:val="center"/>
              <w:ind w:left="728"/>
              <w:spacing w:after="0"/>
              <w:rPr>
                <w:sz w:val="20"/>
                <w:szCs w:val="20"/>
                <w:color w:val="auto"/>
              </w:rPr>
            </w:pPr>
            <w:r>
              <w:rPr>
                <w:rFonts w:ascii="Arial" w:cs="Arial" w:eastAsia="Arial" w:hAnsi="Arial"/>
                <w:sz w:val="14"/>
                <w:szCs w:val="14"/>
                <w:color w:val="auto"/>
                <w:w w:val="92"/>
              </w:rPr>
              <w:t>Common Stock, par value $0.001 per share</w:t>
            </w:r>
          </w:p>
        </w:tc>
        <w:tc>
          <w:tcPr>
            <w:tcW w:w="308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w w:val="96"/>
              </w:rPr>
              <w:t>The NASDAQ Global Select Market</w:t>
            </w:r>
          </w:p>
        </w:tc>
        <w:tc>
          <w:tcPr>
            <w:tcW w:w="0" w:type="dxa"/>
            <w:vAlign w:val="bottom"/>
          </w:tcPr>
          <w:p>
            <w:pPr>
              <w:spacing w:after="0"/>
              <w:rPr>
                <w:sz w:val="1"/>
                <w:szCs w:val="1"/>
                <w:color w:val="auto"/>
              </w:rPr>
            </w:pPr>
          </w:p>
        </w:tc>
      </w:tr>
    </w:tbl>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None</w:t>
      </w:r>
    </w:p>
    <w:p>
      <w:pPr>
        <w:spacing w:after="0" w:line="17"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____________________________________________________</w:t>
      </w:r>
    </w:p>
    <w:p>
      <w:pPr>
        <w:sectPr>
          <w:pgSz w:w="11900" w:h="16838" w:orient="portrait"/>
          <w:cols w:equalWidth="0" w:num="1">
            <w:col w:w="11180"/>
          </w:cols>
          <w:pgMar w:left="320" w:top="229" w:right="399" w:bottom="1440" w:gutter="0" w:footer="0" w:header="0"/>
        </w:sectPr>
      </w:pPr>
    </w:p>
    <w:p>
      <w:pPr>
        <w:spacing w:after="0" w:line="15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87" w:lineRule="exact"/>
        <w:rPr>
          <w:sz w:val="24"/>
          <w:szCs w:val="24"/>
          <w:color w:val="auto"/>
        </w:rPr>
      </w:pPr>
    </w:p>
    <w:p>
      <w:pPr>
        <w:sectPr>
          <w:pgSz w:w="11900" w:h="16838" w:orient="portrait"/>
          <w:cols w:equalWidth="0" w:num="5">
            <w:col w:w="7080" w:space="140"/>
            <w:col w:w="220" w:space="60"/>
            <w:col w:w="140" w:space="140"/>
            <w:col w:w="180" w:space="80"/>
            <w:col w:w="3140"/>
          </w:cols>
          <w:pgMar w:left="320" w:top="229" w:right="399" w:bottom="1440" w:gutter="0" w:footer="0" w:header="0"/>
          <w:type w:val="continuous"/>
        </w:sectPr>
      </w:pPr>
    </w:p>
    <w:p>
      <w:pPr>
        <w:spacing w:after="0" w:line="1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73" w:lineRule="exact"/>
        <w:rPr>
          <w:sz w:val="24"/>
          <w:szCs w:val="24"/>
          <w:color w:val="auto"/>
        </w:rPr>
      </w:pPr>
    </w:p>
    <w:p>
      <w:pPr>
        <w:sectPr>
          <w:pgSz w:w="11900" w:h="16838" w:orient="portrait"/>
          <w:cols w:equalWidth="0" w:num="5">
            <w:col w:w="7220" w:space="140"/>
            <w:col w:w="200" w:space="80"/>
            <w:col w:w="120" w:space="160"/>
            <w:col w:w="160" w:space="80"/>
            <w:col w:w="3020"/>
          </w:cols>
          <w:pgMar w:left="320" w:top="229" w:right="399" w:bottom="1440" w:gutter="0" w:footer="0" w:header="0"/>
          <w:type w:val="continuous"/>
        </w:sectPr>
      </w:pPr>
    </w:p>
    <w:p>
      <w:pPr>
        <w:ind w:right="4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8" w:lineRule="exact"/>
        <w:rPr>
          <w:sz w:val="24"/>
          <w:szCs w:val="24"/>
          <w:color w:val="auto"/>
        </w:rPr>
      </w:pPr>
    </w:p>
    <w:p>
      <w:pPr>
        <w:ind w:right="40" w:firstLine="32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8" w:lineRule="exact"/>
        <w:rPr>
          <w:sz w:val="24"/>
          <w:szCs w:val="24"/>
          <w:color w:val="auto"/>
        </w:rPr>
      </w:pPr>
    </w:p>
    <w:p>
      <w:pPr>
        <w:ind w:firstLine="324"/>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“accelerated filer” and large accelerated filer” in Rule 12b-2 of the Exchange Act. (Check one):</w:t>
      </w:r>
    </w:p>
    <w:p>
      <w:pPr>
        <w:spacing w:after="0" w:line="1" w:lineRule="exact"/>
        <w:rPr>
          <w:sz w:val="24"/>
          <w:szCs w:val="24"/>
          <w:color w:val="auto"/>
        </w:rPr>
      </w:pPr>
    </w:p>
    <w:p>
      <w:pPr>
        <w:ind w:left="2440"/>
        <w:spacing w:after="0" w:line="161" w:lineRule="exact"/>
        <w:tabs>
          <w:tab w:leader="none" w:pos="4120" w:val="left"/>
          <w:tab w:leader="none" w:pos="54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w:t>
        <w:tab/>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65" w:lineRule="exact"/>
        <w:rPr>
          <w:sz w:val="24"/>
          <w:szCs w:val="24"/>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73" w:lineRule="exact"/>
        <w:rPr>
          <w:sz w:val="24"/>
          <w:szCs w:val="24"/>
          <w:color w:val="auto"/>
        </w:rPr>
      </w:pPr>
    </w:p>
    <w:p>
      <w:pPr>
        <w:ind w:right="340" w:firstLine="324"/>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180" w:firstLine="324"/>
        <w:spacing w:after="0" w:line="257" w:lineRule="auto"/>
        <w:rPr>
          <w:sz w:val="20"/>
          <w:szCs w:val="20"/>
          <w:color w:val="auto"/>
        </w:rPr>
      </w:pPr>
      <w:r>
        <w:rPr>
          <w:rFonts w:ascii="Arial" w:cs="Arial" w:eastAsia="Arial" w:hAnsi="Arial"/>
          <w:sz w:val="14"/>
          <w:szCs w:val="14"/>
          <w:color w:val="auto"/>
        </w:rPr>
        <w:t>The aggregate market value of common stock held by non-affiliates of the Registrant on September 30, 2011 based on the closing price on that date of $10.55 on the NASDAQ Global Select Market was approximately $72 million. For the purposes of calculating this amount only, all directors and executive officers of the Registrant have been treated as affiliates. There were 6,850,667 shares of the Registrant’s common stock outstanding as of November 17, 2011.</w:t>
      </w:r>
    </w:p>
    <w:p>
      <w:pPr>
        <w:spacing w:after="0" w:line="23" w:lineRule="exact"/>
        <w:rPr>
          <w:sz w:val="24"/>
          <w:szCs w:val="24"/>
          <w:color w:val="auto"/>
        </w:rPr>
      </w:pPr>
    </w:p>
    <w:p>
      <w:pPr>
        <w:ind w:right="220" w:firstLine="324"/>
        <w:spacing w:after="0" w:line="27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2012 Annual Meeting of Stockholders to be filed not later than 120 days after the end of the fiscal year covered by this Annual Report on Form 10-K are incorporated by reference into Part III of this Report.</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20" w:type="dxa"/>
            <w:vAlign w:val="bottom"/>
          </w:tcPr>
          <w:p>
            <w:pPr>
              <w:jc w:val="center"/>
              <w:ind w:right="568"/>
              <w:spacing w:after="0"/>
              <w:rPr>
                <w:sz w:val="20"/>
                <w:szCs w:val="20"/>
                <w:color w:val="auto"/>
              </w:rPr>
            </w:pPr>
            <w:r>
              <w:rPr>
                <w:rFonts w:ascii="Arial" w:cs="Arial" w:eastAsia="Arial" w:hAnsi="Arial"/>
                <w:sz w:val="14"/>
                <w:szCs w:val="14"/>
                <w:b w:val="1"/>
                <w:bCs w:val="1"/>
                <w:color w:val="auto"/>
              </w:rPr>
              <w:t>PENNANTPARK FLOATING RATE CAPITAL LTD.</w:t>
            </w:r>
          </w:p>
        </w:tc>
        <w:tc>
          <w:tcPr>
            <w:tcW w:w="1860" w:type="dxa"/>
            <w:vAlign w:val="bottom"/>
          </w:tcPr>
          <w:p>
            <w:pPr>
              <w:spacing w:after="0"/>
              <w:rPr>
                <w:sz w:val="16"/>
                <w:szCs w:val="16"/>
                <w:color w:val="auto"/>
              </w:rPr>
            </w:pPr>
          </w:p>
        </w:tc>
      </w:tr>
      <w:tr>
        <w:trPr>
          <w:trHeight w:val="219"/>
        </w:trPr>
        <w:tc>
          <w:tcPr>
            <w:tcW w:w="1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20" w:type="dxa"/>
            <w:vAlign w:val="bottom"/>
          </w:tcPr>
          <w:p>
            <w:pPr>
              <w:jc w:val="center"/>
              <w:ind w:right="568"/>
              <w:spacing w:after="0"/>
              <w:rPr>
                <w:sz w:val="20"/>
                <w:szCs w:val="20"/>
                <w:color w:val="auto"/>
              </w:rPr>
            </w:pPr>
            <w:r>
              <w:rPr>
                <w:rFonts w:ascii="Arial" w:cs="Arial" w:eastAsia="Arial" w:hAnsi="Arial"/>
                <w:sz w:val="14"/>
                <w:szCs w:val="14"/>
                <w:b w:val="1"/>
                <w:bCs w:val="1"/>
                <w:color w:val="auto"/>
              </w:rPr>
              <w:t>FORM 10-K</w:t>
            </w:r>
          </w:p>
        </w:tc>
        <w:tc>
          <w:tcPr>
            <w:tcW w:w="1860" w:type="dxa"/>
            <w:vAlign w:val="bottom"/>
          </w:tcPr>
          <w:p>
            <w:pPr>
              <w:spacing w:after="0"/>
              <w:rPr>
                <w:sz w:val="19"/>
                <w:szCs w:val="19"/>
                <w:color w:val="auto"/>
              </w:rPr>
            </w:pPr>
          </w:p>
        </w:tc>
      </w:tr>
      <w:tr>
        <w:trPr>
          <w:trHeight w:val="186"/>
        </w:trPr>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20" w:type="dxa"/>
            <w:vAlign w:val="bottom"/>
          </w:tcPr>
          <w:p>
            <w:pPr>
              <w:jc w:val="center"/>
              <w:ind w:right="588"/>
              <w:spacing w:after="0"/>
              <w:rPr>
                <w:sz w:val="20"/>
                <w:szCs w:val="20"/>
                <w:color w:val="auto"/>
              </w:rPr>
            </w:pPr>
            <w:r>
              <w:rPr>
                <w:rFonts w:ascii="Arial" w:cs="Arial" w:eastAsia="Arial" w:hAnsi="Arial"/>
                <w:sz w:val="14"/>
                <w:szCs w:val="14"/>
                <w:b w:val="1"/>
                <w:bCs w:val="1"/>
                <w:color w:val="auto"/>
              </w:rPr>
              <w:t>FOR THE FISCAL YEAR ENDED SEPTEMBER 30, 2011</w:t>
            </w:r>
          </w:p>
        </w:tc>
        <w:tc>
          <w:tcPr>
            <w:tcW w:w="1860" w:type="dxa"/>
            <w:vAlign w:val="bottom"/>
          </w:tcPr>
          <w:p>
            <w:pPr>
              <w:spacing w:after="0"/>
              <w:rPr>
                <w:sz w:val="16"/>
                <w:szCs w:val="16"/>
                <w:color w:val="auto"/>
              </w:rPr>
            </w:pPr>
          </w:p>
        </w:tc>
      </w:tr>
      <w:tr>
        <w:trPr>
          <w:trHeight w:val="324"/>
        </w:trPr>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20" w:type="dxa"/>
            <w:vAlign w:val="bottom"/>
          </w:tcPr>
          <w:p>
            <w:pPr>
              <w:jc w:val="center"/>
              <w:ind w:right="568"/>
              <w:spacing w:after="0"/>
              <w:rPr>
                <w:sz w:val="20"/>
                <w:szCs w:val="20"/>
                <w:color w:val="auto"/>
              </w:rPr>
            </w:pPr>
            <w:r>
              <w:rPr>
                <w:rFonts w:ascii="Arial" w:cs="Arial" w:eastAsia="Arial" w:hAnsi="Arial"/>
                <w:sz w:val="14"/>
                <w:szCs w:val="14"/>
                <w:b w:val="1"/>
                <w:bCs w:val="1"/>
                <w:color w:val="auto"/>
              </w:rPr>
              <w:t>TABLE OF CONTENTS</w:t>
            </w:r>
          </w:p>
        </w:tc>
        <w:tc>
          <w:tcPr>
            <w:tcW w:w="1860" w:type="dxa"/>
            <w:vAlign w:val="bottom"/>
          </w:tcPr>
          <w:p>
            <w:pPr>
              <w:spacing w:after="0"/>
              <w:rPr>
                <w:sz w:val="24"/>
                <w:szCs w:val="24"/>
                <w:color w:val="auto"/>
              </w:rPr>
            </w:pPr>
          </w:p>
        </w:tc>
      </w:tr>
      <w:tr>
        <w:trPr>
          <w:trHeight w:val="553"/>
        </w:trPr>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20" w:type="dxa"/>
            <w:vAlign w:val="bottom"/>
          </w:tcPr>
          <w:p>
            <w:pPr>
              <w:jc w:val="center"/>
              <w:ind w:right="448"/>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PART I</w:t>
              </w:r>
            </w:hyperlink>
          </w:p>
        </w:tc>
        <w:tc>
          <w:tcPr>
            <w:tcW w:w="1860" w:type="dxa"/>
            <w:vAlign w:val="bottom"/>
          </w:tcPr>
          <w:p>
            <w:pPr>
              <w:spacing w:after="0"/>
              <w:rPr>
                <w:sz w:val="24"/>
                <w:szCs w:val="24"/>
                <w:color w:val="auto"/>
              </w:rPr>
            </w:pPr>
          </w:p>
        </w:tc>
      </w:tr>
      <w:tr>
        <w:trPr>
          <w:trHeight w:val="203"/>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200" w:type="dxa"/>
            <w:vAlign w:val="bottom"/>
            <w:gridSpan w:val="2"/>
          </w:tcPr>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Business</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3</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8200" w:type="dxa"/>
            <w:vAlign w:val="bottom"/>
            <w:gridSpan w:val="2"/>
          </w:tcPr>
          <w:p>
            <w:pPr>
              <w:spacing w:after="0"/>
              <w:rPr>
                <w:rFonts w:ascii="Arial" w:cs="Arial" w:eastAsia="Arial" w:hAnsi="Arial"/>
                <w:sz w:val="14"/>
                <w:szCs w:val="14"/>
                <w:u w:val="single" w:color="auto"/>
                <w:color w:val="0000FF"/>
              </w:rPr>
            </w:pPr>
            <w:hyperlink w:anchor="page23">
              <w:r>
                <w:rPr>
                  <w:rFonts w:ascii="Arial" w:cs="Arial" w:eastAsia="Arial" w:hAnsi="Arial"/>
                  <w:sz w:val="14"/>
                  <w:szCs w:val="14"/>
                  <w:u w:val="single" w:color="auto"/>
                  <w:color w:val="0000FF"/>
                </w:rPr>
                <w:t>Risk Factors</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23">
              <w:r>
                <w:rPr>
                  <w:rFonts w:ascii="Arial" w:cs="Arial" w:eastAsia="Arial" w:hAnsi="Arial"/>
                  <w:sz w:val="14"/>
                  <w:szCs w:val="14"/>
                  <w:b w:val="1"/>
                  <w:bCs w:val="1"/>
                  <w:u w:val="single" w:color="auto"/>
                  <w:color w:val="0000FF"/>
                </w:rPr>
                <w:t>24</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8200" w:type="dxa"/>
            <w:vAlign w:val="bottom"/>
            <w:gridSpan w:val="2"/>
          </w:tcPr>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Unresolved Staff Comments</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43">
              <w:r>
                <w:rPr>
                  <w:rFonts w:ascii="Arial" w:cs="Arial" w:eastAsia="Arial" w:hAnsi="Arial"/>
                  <w:sz w:val="14"/>
                  <w:szCs w:val="14"/>
                  <w:b w:val="1"/>
                  <w:bCs w:val="1"/>
                  <w:u w:val="single" w:color="auto"/>
                  <w:color w:val="0000FF"/>
                </w:rPr>
                <w:t>44</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8200" w:type="dxa"/>
            <w:vAlign w:val="bottom"/>
            <w:gridSpan w:val="2"/>
          </w:tcPr>
          <w:p>
            <w:pPr>
              <w:spacing w:after="0"/>
              <w:rPr>
                <w:rFonts w:ascii="Arial" w:cs="Arial" w:eastAsia="Arial" w:hAnsi="Arial"/>
                <w:sz w:val="14"/>
                <w:szCs w:val="14"/>
                <w:u w:val="single" w:color="auto"/>
                <w:color w:val="0000FF"/>
              </w:rPr>
            </w:pPr>
            <w:hyperlink w:anchor="page44">
              <w:r>
                <w:rPr>
                  <w:rFonts w:ascii="Arial" w:cs="Arial" w:eastAsia="Arial" w:hAnsi="Arial"/>
                  <w:sz w:val="14"/>
                  <w:szCs w:val="14"/>
                  <w:u w:val="single" w:color="auto"/>
                  <w:color w:val="0000FF"/>
                </w:rPr>
                <w:t>Properties</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44">
              <w:r>
                <w:rPr>
                  <w:rFonts w:ascii="Arial" w:cs="Arial" w:eastAsia="Arial" w:hAnsi="Arial"/>
                  <w:sz w:val="14"/>
                  <w:szCs w:val="14"/>
                  <w:b w:val="1"/>
                  <w:bCs w:val="1"/>
                  <w:u w:val="single" w:color="auto"/>
                  <w:color w:val="0000FF"/>
                </w:rPr>
                <w:t>44</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8200" w:type="dxa"/>
            <w:vAlign w:val="bottom"/>
            <w:gridSpan w:val="2"/>
          </w:tcPr>
          <w:p>
            <w:pPr>
              <w:spacing w:after="0"/>
              <w:rPr>
                <w:rFonts w:ascii="Arial" w:cs="Arial" w:eastAsia="Arial" w:hAnsi="Arial"/>
                <w:sz w:val="14"/>
                <w:szCs w:val="14"/>
                <w:u w:val="single" w:color="auto"/>
                <w:color w:val="0033FF"/>
              </w:rPr>
            </w:pPr>
            <w:hyperlink w:anchor="page44">
              <w:r>
                <w:rPr>
                  <w:rFonts w:ascii="Arial" w:cs="Arial" w:eastAsia="Arial" w:hAnsi="Arial"/>
                  <w:sz w:val="14"/>
                  <w:szCs w:val="14"/>
                  <w:u w:val="single" w:color="auto"/>
                  <w:color w:val="0033FF"/>
                </w:rPr>
                <w:t>Legal Proceedings</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44">
              <w:r>
                <w:rPr>
                  <w:rFonts w:ascii="Arial" w:cs="Arial" w:eastAsia="Arial" w:hAnsi="Arial"/>
                  <w:sz w:val="14"/>
                  <w:szCs w:val="14"/>
                  <w:b w:val="1"/>
                  <w:bCs w:val="1"/>
                  <w:u w:val="single" w:color="auto"/>
                  <w:color w:val="0000FF"/>
                </w:rPr>
                <w:t>44</w:t>
              </w:r>
            </w:hyperlink>
          </w:p>
        </w:tc>
      </w:tr>
      <w:tr>
        <w:trPr>
          <w:trHeight w:val="296"/>
        </w:trPr>
        <w:tc>
          <w:tcPr>
            <w:tcW w:w="1120" w:type="dxa"/>
            <w:vAlign w:val="bottom"/>
          </w:tcPr>
          <w:p>
            <w:pPr>
              <w:spacing w:after="0"/>
              <w:rPr>
                <w:sz w:val="20"/>
                <w:szCs w:val="20"/>
                <w:color w:val="auto"/>
              </w:rPr>
            </w:pPr>
            <w:r>
              <w:rPr>
                <w:rFonts w:ascii="Arial" w:cs="Arial" w:eastAsia="Arial" w:hAnsi="Arial"/>
                <w:sz w:val="14"/>
                <w:szCs w:val="14"/>
                <w:b w:val="1"/>
                <w:bCs w:val="1"/>
                <w:color w:val="auto"/>
              </w:rPr>
              <w:t>Item 4.</w:t>
            </w:r>
          </w:p>
        </w:tc>
        <w:tc>
          <w:tcPr>
            <w:tcW w:w="8200" w:type="dxa"/>
            <w:vAlign w:val="bottom"/>
            <w:gridSpan w:val="2"/>
          </w:tcPr>
          <w:p>
            <w:pPr>
              <w:spacing w:after="0"/>
              <w:rPr>
                <w:sz w:val="20"/>
                <w:szCs w:val="20"/>
                <w:color w:val="auto"/>
              </w:rPr>
            </w:pPr>
            <w:r>
              <w:rPr>
                <w:rFonts w:ascii="Arial" w:cs="Arial" w:eastAsia="Arial" w:hAnsi="Arial"/>
                <w:sz w:val="14"/>
                <w:szCs w:val="14"/>
                <w:color w:val="0000CC"/>
              </w:rPr>
              <w:t>Removed and Reserved</w:t>
            </w:r>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44">
              <w:r>
                <w:rPr>
                  <w:rFonts w:ascii="Arial" w:cs="Arial" w:eastAsia="Arial" w:hAnsi="Arial"/>
                  <w:sz w:val="14"/>
                  <w:szCs w:val="14"/>
                  <w:b w:val="1"/>
                  <w:bCs w:val="1"/>
                  <w:u w:val="single" w:color="auto"/>
                  <w:color w:val="0000FF"/>
                </w:rPr>
                <w:t>44</w:t>
              </w:r>
            </w:hyperlink>
          </w:p>
        </w:tc>
      </w:tr>
      <w:tr>
        <w:trPr>
          <w:trHeight w:val="400"/>
        </w:trPr>
        <w:tc>
          <w:tcPr>
            <w:tcW w:w="1120" w:type="dxa"/>
            <w:vAlign w:val="bottom"/>
          </w:tcPr>
          <w:p>
            <w:pPr>
              <w:spacing w:after="0"/>
              <w:rPr>
                <w:sz w:val="24"/>
                <w:szCs w:val="24"/>
                <w:color w:val="auto"/>
              </w:rPr>
            </w:pPr>
          </w:p>
        </w:tc>
        <w:tc>
          <w:tcPr>
            <w:tcW w:w="1380" w:type="dxa"/>
            <w:vAlign w:val="bottom"/>
            <w:tcBorders>
              <w:top w:val="single" w:sz="8" w:color="0000CC"/>
            </w:tcBorders>
          </w:tcPr>
          <w:p>
            <w:pPr>
              <w:spacing w:after="0"/>
              <w:rPr>
                <w:sz w:val="24"/>
                <w:szCs w:val="24"/>
                <w:color w:val="auto"/>
              </w:rPr>
            </w:pPr>
          </w:p>
        </w:tc>
        <w:tc>
          <w:tcPr>
            <w:tcW w:w="6820" w:type="dxa"/>
            <w:vAlign w:val="bottom"/>
          </w:tcPr>
          <w:p>
            <w:pPr>
              <w:jc w:val="center"/>
              <w:ind w:right="448"/>
              <w:spacing w:after="0"/>
              <w:rPr>
                <w:rFonts w:ascii="Arial" w:cs="Arial" w:eastAsia="Arial" w:hAnsi="Arial"/>
                <w:sz w:val="14"/>
                <w:szCs w:val="14"/>
                <w:b w:val="1"/>
                <w:bCs w:val="1"/>
                <w:u w:val="single" w:color="auto"/>
                <w:color w:val="0000FF"/>
              </w:rPr>
            </w:pPr>
            <w:hyperlink w:anchor="page44">
              <w:r>
                <w:rPr>
                  <w:rFonts w:ascii="Arial" w:cs="Arial" w:eastAsia="Arial" w:hAnsi="Arial"/>
                  <w:sz w:val="14"/>
                  <w:szCs w:val="14"/>
                  <w:b w:val="1"/>
                  <w:bCs w:val="1"/>
                  <w:u w:val="single" w:color="auto"/>
                  <w:color w:val="0000FF"/>
                </w:rPr>
                <w:t>PART II</w:t>
              </w:r>
            </w:hyperlink>
          </w:p>
        </w:tc>
        <w:tc>
          <w:tcPr>
            <w:tcW w:w="186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8200" w:type="dxa"/>
            <w:vAlign w:val="bottom"/>
            <w:gridSpan w:val="2"/>
          </w:tcPr>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Market For Registrant’s Common Equity, Related Stockholder Matters and Issuer Purchases of Equity Securities</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45">
              <w:r>
                <w:rPr>
                  <w:rFonts w:ascii="Arial" w:cs="Arial" w:eastAsia="Arial" w:hAnsi="Arial"/>
                  <w:sz w:val="14"/>
                  <w:szCs w:val="14"/>
                  <w:b w:val="1"/>
                  <w:bCs w:val="1"/>
                  <w:u w:val="single" w:color="auto"/>
                  <w:color w:val="0000FF"/>
                </w:rPr>
                <w:t>45</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8200" w:type="dxa"/>
            <w:vAlign w:val="bottom"/>
            <w:gridSpan w:val="2"/>
          </w:tcPr>
          <w:p>
            <w:pPr>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Selected Financial Data</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46">
              <w:r>
                <w:rPr>
                  <w:rFonts w:ascii="Arial" w:cs="Arial" w:eastAsia="Arial" w:hAnsi="Arial"/>
                  <w:sz w:val="14"/>
                  <w:szCs w:val="14"/>
                  <w:b w:val="1"/>
                  <w:bCs w:val="1"/>
                  <w:u w:val="single" w:color="auto"/>
                  <w:color w:val="0000FF"/>
                </w:rPr>
                <w:t>47</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8200" w:type="dxa"/>
            <w:vAlign w:val="bottom"/>
            <w:gridSpan w:val="2"/>
          </w:tcPr>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Management’s Discussion and Analysis of Financial Condition and Results of Operations</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47">
              <w:r>
                <w:rPr>
                  <w:rFonts w:ascii="Arial" w:cs="Arial" w:eastAsia="Arial" w:hAnsi="Arial"/>
                  <w:sz w:val="14"/>
                  <w:szCs w:val="14"/>
                  <w:b w:val="1"/>
                  <w:bCs w:val="1"/>
                  <w:u w:val="single" w:color="auto"/>
                  <w:color w:val="0000FF"/>
                </w:rPr>
                <w:t>48</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8200" w:type="dxa"/>
            <w:vAlign w:val="bottom"/>
            <w:gridSpan w:val="2"/>
          </w:tcPr>
          <w:p>
            <w:pPr>
              <w:spacing w:after="0"/>
              <w:rPr>
                <w:rFonts w:ascii="Arial" w:cs="Arial" w:eastAsia="Arial" w:hAnsi="Arial"/>
                <w:sz w:val="14"/>
                <w:szCs w:val="14"/>
                <w:u w:val="single" w:color="auto"/>
                <w:color w:val="0000FF"/>
              </w:rPr>
            </w:pPr>
            <w:hyperlink w:anchor="page57">
              <w:r>
                <w:rPr>
                  <w:rFonts w:ascii="Arial" w:cs="Arial" w:eastAsia="Arial" w:hAnsi="Arial"/>
                  <w:sz w:val="14"/>
                  <w:szCs w:val="14"/>
                  <w:u w:val="single" w:color="auto"/>
                  <w:color w:val="0000FF"/>
                </w:rPr>
                <w:t>Quantitative And Qualitative Disclosures About Market Risk</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57">
              <w:r>
                <w:rPr>
                  <w:rFonts w:ascii="Arial" w:cs="Arial" w:eastAsia="Arial" w:hAnsi="Arial"/>
                  <w:sz w:val="14"/>
                  <w:szCs w:val="14"/>
                  <w:b w:val="1"/>
                  <w:bCs w:val="1"/>
                  <w:u w:val="single" w:color="auto"/>
                  <w:color w:val="0000FF"/>
                </w:rPr>
                <w:t>58</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8200" w:type="dxa"/>
            <w:vAlign w:val="bottom"/>
            <w:gridSpan w:val="2"/>
          </w:tcPr>
          <w:p>
            <w:pPr>
              <w:spacing w:after="0"/>
              <w:rPr>
                <w:rFonts w:ascii="Arial" w:cs="Arial" w:eastAsia="Arial" w:hAnsi="Arial"/>
                <w:sz w:val="14"/>
                <w:szCs w:val="14"/>
                <w:u w:val="single" w:color="auto"/>
                <w:color w:val="0000FF"/>
              </w:rPr>
            </w:pPr>
            <w:hyperlink w:anchor="page58">
              <w:r>
                <w:rPr>
                  <w:rFonts w:ascii="Arial" w:cs="Arial" w:eastAsia="Arial" w:hAnsi="Arial"/>
                  <w:sz w:val="14"/>
                  <w:szCs w:val="14"/>
                  <w:u w:val="single" w:color="auto"/>
                  <w:color w:val="0000FF"/>
                </w:rPr>
                <w:t>Consolidated Financial Statements and Supplementary Data</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58">
              <w:r>
                <w:rPr>
                  <w:rFonts w:ascii="Arial" w:cs="Arial" w:eastAsia="Arial" w:hAnsi="Arial"/>
                  <w:sz w:val="14"/>
                  <w:szCs w:val="14"/>
                  <w:b w:val="1"/>
                  <w:bCs w:val="1"/>
                  <w:u w:val="single" w:color="auto"/>
                  <w:color w:val="0000FF"/>
                </w:rPr>
                <w:t>59</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9.</w:t>
            </w:r>
          </w:p>
        </w:tc>
        <w:tc>
          <w:tcPr>
            <w:tcW w:w="8200" w:type="dxa"/>
            <w:vAlign w:val="bottom"/>
            <w:gridSpan w:val="2"/>
          </w:tcPr>
          <w:p>
            <w:pPr>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Changes in and Disagreements with Accountants on Accounting and Financial Disclosure</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82">
              <w:r>
                <w:rPr>
                  <w:rFonts w:ascii="Arial" w:cs="Arial" w:eastAsia="Arial" w:hAnsi="Arial"/>
                  <w:sz w:val="14"/>
                  <w:szCs w:val="14"/>
                  <w:b w:val="1"/>
                  <w:bCs w:val="1"/>
                  <w:u w:val="single" w:color="auto"/>
                  <w:color w:val="0000FF"/>
                </w:rPr>
                <w:t>83</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9A.</w:t>
            </w:r>
          </w:p>
        </w:tc>
        <w:tc>
          <w:tcPr>
            <w:tcW w:w="8200" w:type="dxa"/>
            <w:vAlign w:val="bottom"/>
            <w:gridSpan w:val="2"/>
          </w:tcPr>
          <w:p>
            <w:pPr>
              <w:spacing w:after="0"/>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Controls and Procedures</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83">
              <w:r>
                <w:rPr>
                  <w:rFonts w:ascii="Arial" w:cs="Arial" w:eastAsia="Arial" w:hAnsi="Arial"/>
                  <w:sz w:val="14"/>
                  <w:szCs w:val="14"/>
                  <w:b w:val="1"/>
                  <w:bCs w:val="1"/>
                  <w:u w:val="single" w:color="auto"/>
                  <w:color w:val="0000FF"/>
                </w:rPr>
                <w:t>83</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9B.</w:t>
            </w:r>
          </w:p>
        </w:tc>
        <w:tc>
          <w:tcPr>
            <w:tcW w:w="8200" w:type="dxa"/>
            <w:vAlign w:val="bottom"/>
            <w:gridSpan w:val="2"/>
          </w:tcPr>
          <w:p>
            <w:pPr>
              <w:spacing w:after="0"/>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Other Information</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83">
              <w:r>
                <w:rPr>
                  <w:rFonts w:ascii="Arial" w:cs="Arial" w:eastAsia="Arial" w:hAnsi="Arial"/>
                  <w:sz w:val="14"/>
                  <w:szCs w:val="14"/>
                  <w:b w:val="1"/>
                  <w:bCs w:val="1"/>
                  <w:u w:val="single" w:color="auto"/>
                  <w:color w:val="0000FF"/>
                </w:rPr>
                <w:t>83</w:t>
              </w:r>
            </w:hyperlink>
          </w:p>
        </w:tc>
      </w:tr>
      <w:tr>
        <w:trPr>
          <w:trHeight w:val="391"/>
        </w:trPr>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20" w:type="dxa"/>
            <w:vAlign w:val="bottom"/>
          </w:tcPr>
          <w:p>
            <w:pPr>
              <w:jc w:val="center"/>
              <w:ind w:right="448"/>
              <w:spacing w:after="0"/>
              <w:rPr>
                <w:rFonts w:ascii="Arial" w:cs="Arial" w:eastAsia="Arial" w:hAnsi="Arial"/>
                <w:sz w:val="14"/>
                <w:szCs w:val="14"/>
                <w:b w:val="1"/>
                <w:bCs w:val="1"/>
                <w:u w:val="single" w:color="auto"/>
                <w:color w:val="0000FF"/>
              </w:rPr>
            </w:pPr>
            <w:hyperlink w:anchor="page83">
              <w:r>
                <w:rPr>
                  <w:rFonts w:ascii="Arial" w:cs="Arial" w:eastAsia="Arial" w:hAnsi="Arial"/>
                  <w:sz w:val="14"/>
                  <w:szCs w:val="14"/>
                  <w:b w:val="1"/>
                  <w:bCs w:val="1"/>
                  <w:u w:val="single" w:color="auto"/>
                  <w:color w:val="0000FF"/>
                </w:rPr>
                <w:t>PART III</w:t>
              </w:r>
            </w:hyperlink>
          </w:p>
        </w:tc>
        <w:tc>
          <w:tcPr>
            <w:tcW w:w="186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8200" w:type="dxa"/>
            <w:vAlign w:val="bottom"/>
            <w:gridSpan w:val="2"/>
          </w:tcPr>
          <w:p>
            <w:pPr>
              <w:spacing w:after="0"/>
              <w:rPr>
                <w:rFonts w:ascii="Arial" w:cs="Arial" w:eastAsia="Arial" w:hAnsi="Arial"/>
                <w:sz w:val="14"/>
                <w:szCs w:val="14"/>
                <w:u w:val="single" w:color="auto"/>
                <w:color w:val="0000FF"/>
              </w:rPr>
            </w:pPr>
            <w:hyperlink w:anchor="page84">
              <w:r>
                <w:rPr>
                  <w:rFonts w:ascii="Arial" w:cs="Arial" w:eastAsia="Arial" w:hAnsi="Arial"/>
                  <w:sz w:val="14"/>
                  <w:szCs w:val="14"/>
                  <w:u w:val="single" w:color="auto"/>
                  <w:color w:val="0000FF"/>
                </w:rPr>
                <w:t>Directors, Executive Officers and Corporate Governance</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84">
              <w:r>
                <w:rPr>
                  <w:rFonts w:ascii="Arial" w:cs="Arial" w:eastAsia="Arial" w:hAnsi="Arial"/>
                  <w:sz w:val="14"/>
                  <w:szCs w:val="14"/>
                  <w:b w:val="1"/>
                  <w:bCs w:val="1"/>
                  <w:u w:val="single" w:color="auto"/>
                  <w:color w:val="0000FF"/>
                </w:rPr>
                <w:t>84</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11.</w:t>
            </w:r>
          </w:p>
        </w:tc>
        <w:tc>
          <w:tcPr>
            <w:tcW w:w="8200" w:type="dxa"/>
            <w:vAlign w:val="bottom"/>
            <w:gridSpan w:val="2"/>
          </w:tcPr>
          <w:p>
            <w:pPr>
              <w:spacing w:after="0"/>
              <w:rPr>
                <w:rFonts w:ascii="Arial" w:cs="Arial" w:eastAsia="Arial" w:hAnsi="Arial"/>
                <w:sz w:val="14"/>
                <w:szCs w:val="14"/>
                <w:u w:val="single" w:color="auto"/>
                <w:color w:val="0000FF"/>
              </w:rPr>
            </w:pPr>
            <w:hyperlink w:anchor="page84">
              <w:r>
                <w:rPr>
                  <w:rFonts w:ascii="Arial" w:cs="Arial" w:eastAsia="Arial" w:hAnsi="Arial"/>
                  <w:sz w:val="14"/>
                  <w:szCs w:val="14"/>
                  <w:u w:val="single" w:color="auto"/>
                  <w:color w:val="0000FF"/>
                </w:rPr>
                <w:t>Executive Compensation</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84">
              <w:r>
                <w:rPr>
                  <w:rFonts w:ascii="Arial" w:cs="Arial" w:eastAsia="Arial" w:hAnsi="Arial"/>
                  <w:sz w:val="14"/>
                  <w:szCs w:val="14"/>
                  <w:b w:val="1"/>
                  <w:bCs w:val="1"/>
                  <w:u w:val="single" w:color="auto"/>
                  <w:color w:val="0000FF"/>
                </w:rPr>
                <w:t>84</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12.</w:t>
            </w:r>
          </w:p>
        </w:tc>
        <w:tc>
          <w:tcPr>
            <w:tcW w:w="8200" w:type="dxa"/>
            <w:vAlign w:val="bottom"/>
            <w:gridSpan w:val="2"/>
          </w:tcPr>
          <w:p>
            <w:pPr>
              <w:spacing w:after="0"/>
              <w:rPr>
                <w:rFonts w:ascii="Arial" w:cs="Arial" w:eastAsia="Arial" w:hAnsi="Arial"/>
                <w:sz w:val="14"/>
                <w:szCs w:val="14"/>
                <w:u w:val="single" w:color="auto"/>
                <w:color w:val="0000FF"/>
              </w:rPr>
            </w:pPr>
            <w:hyperlink w:anchor="page84">
              <w:r>
                <w:rPr>
                  <w:rFonts w:ascii="Arial" w:cs="Arial" w:eastAsia="Arial" w:hAnsi="Arial"/>
                  <w:sz w:val="14"/>
                  <w:szCs w:val="14"/>
                  <w:u w:val="single" w:color="auto"/>
                  <w:color w:val="0000FF"/>
                </w:rPr>
                <w:t>Security Ownership of Certain Beneficial Owners and Management and Related Stockholder Matters</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84">
              <w:r>
                <w:rPr>
                  <w:rFonts w:ascii="Arial" w:cs="Arial" w:eastAsia="Arial" w:hAnsi="Arial"/>
                  <w:sz w:val="14"/>
                  <w:szCs w:val="14"/>
                  <w:b w:val="1"/>
                  <w:bCs w:val="1"/>
                  <w:u w:val="single" w:color="auto"/>
                  <w:color w:val="0000FF"/>
                </w:rPr>
                <w:t>84</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8200" w:type="dxa"/>
            <w:vAlign w:val="bottom"/>
            <w:gridSpan w:val="2"/>
          </w:tcPr>
          <w:p>
            <w:pPr>
              <w:spacing w:after="0"/>
              <w:rPr>
                <w:rFonts w:ascii="Arial" w:cs="Arial" w:eastAsia="Arial" w:hAnsi="Arial"/>
                <w:sz w:val="14"/>
                <w:szCs w:val="14"/>
                <w:u w:val="single" w:color="auto"/>
                <w:color w:val="0000FF"/>
              </w:rPr>
            </w:pPr>
            <w:hyperlink w:anchor="page84">
              <w:r>
                <w:rPr>
                  <w:rFonts w:ascii="Arial" w:cs="Arial" w:eastAsia="Arial" w:hAnsi="Arial"/>
                  <w:sz w:val="14"/>
                  <w:szCs w:val="14"/>
                  <w:u w:val="single" w:color="auto"/>
                  <w:color w:val="0000FF"/>
                </w:rPr>
                <w:t>Certain Relationships and Related Transactions, and Director Independence</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84">
              <w:r>
                <w:rPr>
                  <w:rFonts w:ascii="Arial" w:cs="Arial" w:eastAsia="Arial" w:hAnsi="Arial"/>
                  <w:sz w:val="14"/>
                  <w:szCs w:val="14"/>
                  <w:b w:val="1"/>
                  <w:bCs w:val="1"/>
                  <w:u w:val="single" w:color="auto"/>
                  <w:color w:val="0000FF"/>
                </w:rPr>
                <w:t>84</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8200" w:type="dxa"/>
            <w:vAlign w:val="bottom"/>
            <w:gridSpan w:val="2"/>
          </w:tcPr>
          <w:p>
            <w:pPr>
              <w:spacing w:after="0"/>
              <w:rPr>
                <w:rFonts w:ascii="Arial" w:cs="Arial" w:eastAsia="Arial" w:hAnsi="Arial"/>
                <w:sz w:val="14"/>
                <w:szCs w:val="14"/>
                <w:u w:val="single" w:color="auto"/>
                <w:color w:val="0000FF"/>
              </w:rPr>
            </w:pPr>
            <w:hyperlink w:anchor="page84">
              <w:r>
                <w:rPr>
                  <w:rFonts w:ascii="Arial" w:cs="Arial" w:eastAsia="Arial" w:hAnsi="Arial"/>
                  <w:sz w:val="14"/>
                  <w:szCs w:val="14"/>
                  <w:u w:val="single" w:color="auto"/>
                  <w:color w:val="0000FF"/>
                </w:rPr>
                <w:t>Principal Accountant Fees and Services</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84">
              <w:r>
                <w:rPr>
                  <w:rFonts w:ascii="Arial" w:cs="Arial" w:eastAsia="Arial" w:hAnsi="Arial"/>
                  <w:sz w:val="14"/>
                  <w:szCs w:val="14"/>
                  <w:b w:val="1"/>
                  <w:bCs w:val="1"/>
                  <w:u w:val="single" w:color="auto"/>
                  <w:color w:val="0000FF"/>
                </w:rPr>
                <w:t>84</w:t>
              </w:r>
            </w:hyperlink>
          </w:p>
        </w:tc>
      </w:tr>
      <w:tr>
        <w:trPr>
          <w:trHeight w:val="391"/>
        </w:trPr>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20" w:type="dxa"/>
            <w:vAlign w:val="bottom"/>
          </w:tcPr>
          <w:p>
            <w:pPr>
              <w:jc w:val="center"/>
              <w:ind w:right="448"/>
              <w:spacing w:after="0"/>
              <w:rPr>
                <w:rFonts w:ascii="Arial" w:cs="Arial" w:eastAsia="Arial" w:hAnsi="Arial"/>
                <w:sz w:val="14"/>
                <w:szCs w:val="14"/>
                <w:b w:val="1"/>
                <w:bCs w:val="1"/>
                <w:u w:val="single" w:color="auto"/>
                <w:color w:val="0000FF"/>
              </w:rPr>
            </w:pPr>
            <w:hyperlink w:anchor="page84">
              <w:r>
                <w:rPr>
                  <w:rFonts w:ascii="Arial" w:cs="Arial" w:eastAsia="Arial" w:hAnsi="Arial"/>
                  <w:sz w:val="14"/>
                  <w:szCs w:val="14"/>
                  <w:b w:val="1"/>
                  <w:bCs w:val="1"/>
                  <w:u w:val="single" w:color="auto"/>
                  <w:color w:val="0000FF"/>
                </w:rPr>
                <w:t>PART IV</w:t>
              </w:r>
            </w:hyperlink>
          </w:p>
        </w:tc>
        <w:tc>
          <w:tcPr>
            <w:tcW w:w="186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8200" w:type="dxa"/>
            <w:vAlign w:val="bottom"/>
            <w:gridSpan w:val="2"/>
          </w:tcPr>
          <w:p>
            <w:pPr>
              <w:spacing w:after="0"/>
              <w:rPr>
                <w:rFonts w:ascii="Arial" w:cs="Arial" w:eastAsia="Arial" w:hAnsi="Arial"/>
                <w:sz w:val="14"/>
                <w:szCs w:val="14"/>
                <w:u w:val="single" w:color="auto"/>
                <w:color w:val="0000FF"/>
              </w:rPr>
            </w:pPr>
            <w:hyperlink w:anchor="page85">
              <w:r>
                <w:rPr>
                  <w:rFonts w:ascii="Arial" w:cs="Arial" w:eastAsia="Arial" w:hAnsi="Arial"/>
                  <w:sz w:val="14"/>
                  <w:szCs w:val="14"/>
                  <w:u w:val="single" w:color="auto"/>
                  <w:color w:val="0000FF"/>
                </w:rPr>
                <w:t>Exhibits and Financial Statement Schedules</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85">
              <w:r>
                <w:rPr>
                  <w:rFonts w:ascii="Arial" w:cs="Arial" w:eastAsia="Arial" w:hAnsi="Arial"/>
                  <w:sz w:val="14"/>
                  <w:szCs w:val="14"/>
                  <w:b w:val="1"/>
                  <w:bCs w:val="1"/>
                  <w:u w:val="single" w:color="auto"/>
                  <w:color w:val="0000FF"/>
                </w:rPr>
                <w:t>85</w:t>
              </w:r>
            </w:hyperlink>
          </w:p>
        </w:tc>
      </w:tr>
      <w:tr>
        <w:trPr>
          <w:trHeight w:val="391"/>
        </w:trPr>
        <w:tc>
          <w:tcPr>
            <w:tcW w:w="1120" w:type="dxa"/>
            <w:vAlign w:val="bottom"/>
          </w:tcPr>
          <w:p>
            <w:pPr>
              <w:spacing w:after="0"/>
              <w:rPr>
                <w:sz w:val="24"/>
                <w:szCs w:val="24"/>
                <w:color w:val="auto"/>
              </w:rPr>
            </w:pPr>
          </w:p>
        </w:tc>
        <w:tc>
          <w:tcPr>
            <w:tcW w:w="8200" w:type="dxa"/>
            <w:vAlign w:val="bottom"/>
            <w:gridSpan w:val="2"/>
          </w:tcPr>
          <w:p>
            <w:pPr>
              <w:spacing w:after="0"/>
              <w:rPr>
                <w:rFonts w:ascii="Arial" w:cs="Arial" w:eastAsia="Arial" w:hAnsi="Arial"/>
                <w:sz w:val="14"/>
                <w:szCs w:val="14"/>
                <w:u w:val="single" w:color="auto"/>
                <w:color w:val="0000FF"/>
              </w:rPr>
            </w:pPr>
            <w:hyperlink w:anchor="page85">
              <w:r>
                <w:rPr>
                  <w:rFonts w:ascii="Arial" w:cs="Arial" w:eastAsia="Arial" w:hAnsi="Arial"/>
                  <w:sz w:val="14"/>
                  <w:szCs w:val="14"/>
                  <w:u w:val="single" w:color="auto"/>
                  <w:color w:val="0000FF"/>
                </w:rPr>
                <w:t>Signatures</w:t>
              </w:r>
            </w:hyperlink>
          </w:p>
        </w:tc>
        <w:tc>
          <w:tcPr>
            <w:tcW w:w="1860" w:type="dxa"/>
            <w:vAlign w:val="bottom"/>
          </w:tcPr>
          <w:p>
            <w:pPr>
              <w:jc w:val="right"/>
              <w:spacing w:after="0"/>
              <w:rPr>
                <w:rFonts w:ascii="Arial" w:cs="Arial" w:eastAsia="Arial" w:hAnsi="Arial"/>
                <w:sz w:val="14"/>
                <w:szCs w:val="14"/>
                <w:b w:val="1"/>
                <w:bCs w:val="1"/>
                <w:u w:val="single" w:color="auto"/>
                <w:color w:val="0000FF"/>
              </w:rPr>
            </w:pPr>
            <w:hyperlink w:anchor="page85">
              <w:r>
                <w:rPr>
                  <w:rFonts w:ascii="Arial" w:cs="Arial" w:eastAsia="Arial" w:hAnsi="Arial"/>
                  <w:sz w:val="14"/>
                  <w:szCs w:val="14"/>
                  <w:b w:val="1"/>
                  <w:bCs w:val="1"/>
                  <w:u w:val="single" w:color="auto"/>
                  <w:color w:val="0000FF"/>
                </w:rPr>
                <w:t>86</w:t>
              </w:r>
            </w:hyperlink>
          </w:p>
        </w:tc>
      </w:tr>
      <w:tr>
        <w:trPr>
          <w:trHeight w:val="580"/>
        </w:trPr>
        <w:tc>
          <w:tcPr>
            <w:tcW w:w="1120" w:type="dxa"/>
            <w:vAlign w:val="bottom"/>
          </w:tcPr>
          <w:p>
            <w:pPr>
              <w:spacing w:after="0"/>
              <w:rPr>
                <w:sz w:val="24"/>
                <w:szCs w:val="24"/>
                <w:color w:val="auto"/>
              </w:rPr>
            </w:pPr>
          </w:p>
        </w:tc>
        <w:tc>
          <w:tcPr>
            <w:tcW w:w="8200" w:type="dxa"/>
            <w:vAlign w:val="bottom"/>
            <w:gridSpan w:val="2"/>
          </w:tcPr>
          <w:p>
            <w:pPr>
              <w:jc w:val="center"/>
              <w:ind w:left="648"/>
              <w:spacing w:after="0"/>
              <w:rPr>
                <w:sz w:val="20"/>
                <w:szCs w:val="20"/>
                <w:color w:val="auto"/>
              </w:rPr>
            </w:pPr>
            <w:r>
              <w:rPr>
                <w:rFonts w:ascii="Arial" w:cs="Arial" w:eastAsia="Arial" w:hAnsi="Arial"/>
                <w:sz w:val="14"/>
                <w:szCs w:val="14"/>
                <w:color w:val="auto"/>
              </w:rPr>
              <w:t>2</w:t>
            </w:r>
          </w:p>
        </w:tc>
        <w:tc>
          <w:tcPr>
            <w:tcW w:w="186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167" w:lineRule="exact"/>
        <w:rPr>
          <w:sz w:val="20"/>
          <w:szCs w:val="20"/>
          <w:color w:val="auto"/>
        </w:rPr>
      </w:pPr>
    </w:p>
    <w:p>
      <w:pPr>
        <w:ind w:firstLine="432"/>
        <w:spacing w:after="0" w:line="246" w:lineRule="auto"/>
        <w:rPr>
          <w:sz w:val="20"/>
          <w:szCs w:val="20"/>
          <w:color w:val="auto"/>
        </w:rPr>
      </w:pPr>
      <w:r>
        <w:rPr>
          <w:rFonts w:ascii="Arial" w:cs="Arial" w:eastAsia="Arial" w:hAnsi="Arial"/>
          <w:sz w:val="14"/>
          <w:szCs w:val="14"/>
          <w:b w:val="1"/>
          <w:bCs w:val="1"/>
          <w:i w:val="1"/>
          <w:iCs w:val="1"/>
          <w:color w:val="auto"/>
        </w:rPr>
        <w:t>In this annual report on Form 10-K, except where the context suggests otherwise, the terms “Company,” “we,” “our” or “us” refer to PennantPark Floating Rate Capital Ltd.; “PennantPark Investment Advisers” or the “Investment Adviser” refers to PennantPark Investment Advisers, LLC; “PennantPark Investment Administration” or the “Administrator” refers to PennantPark Investment Administration, LLC. References to our portfolio, our investments and our business include investments we make through our subsidiary PennantPark Floating Rate Funding I, LLC ("Funding I"). Some of the statements in this annual report constitute forward-looking statements, which apply to both us and our consolidated subsidiary and relate to future events, future performance or financial condition. The forward-looking statements involve risks and uncertainties for both us and our consolidated subsidiary and actual results could differ materially from those projected in the forward-looking statements for any reason, including those factors discussed in “Risk Factors” and elsewhere in this report (the “Report”).</w:t>
      </w:r>
    </w:p>
    <w:p>
      <w:pPr>
        <w:spacing w:after="0" w:line="272" w:lineRule="exact"/>
        <w:rPr>
          <w:sz w:val="20"/>
          <w:szCs w:val="20"/>
          <w:color w:val="auto"/>
        </w:rPr>
      </w:pPr>
    </w:p>
    <w:p>
      <w:pPr>
        <w:ind w:left="220"/>
        <w:spacing w:after="0"/>
        <w:tabs>
          <w:tab w:leader="none" w:pos="11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General Business of PennantPark Floating Rate Capital Ltd.</w:t>
      </w:r>
    </w:p>
    <w:p>
      <w:pPr>
        <w:spacing w:after="0" w:line="82" w:lineRule="exact"/>
        <w:rPr>
          <w:sz w:val="20"/>
          <w:szCs w:val="20"/>
          <w:color w:val="auto"/>
        </w:rPr>
      </w:pPr>
    </w:p>
    <w:p>
      <w:pPr>
        <w:ind w:firstLine="405"/>
        <w:spacing w:after="0" w:line="257" w:lineRule="auto"/>
        <w:rPr>
          <w:sz w:val="20"/>
          <w:szCs w:val="20"/>
          <w:color w:val="auto"/>
        </w:rPr>
      </w:pPr>
      <w:r>
        <w:rPr>
          <w:rFonts w:ascii="Arial" w:cs="Arial" w:eastAsia="Arial" w:hAnsi="Arial"/>
          <w:sz w:val="14"/>
          <w:szCs w:val="14"/>
          <w:color w:val="auto"/>
        </w:rPr>
        <w:t>PennantPark Floating Rate Capital Ltd. is a BDC whose objective is to generate high current income by investing primarily in Floating Rate Loans and other investments made to private middle-market companies. Floating Rate Loans or variable rate investments pay interest at variable rates, which are determined periodically, on the basis of a floating base lending rate such as the London Interbank Offered Rate, or LIBOR, plus a fixed spread.</w:t>
      </w:r>
    </w:p>
    <w:p>
      <w:pPr>
        <w:spacing w:after="0" w:line="77" w:lineRule="exact"/>
        <w:rPr>
          <w:sz w:val="20"/>
          <w:szCs w:val="20"/>
          <w:color w:val="auto"/>
        </w:rPr>
      </w:pPr>
    </w:p>
    <w:p>
      <w:pPr>
        <w:ind w:right="500" w:firstLine="405"/>
        <w:spacing w:after="0" w:line="267" w:lineRule="auto"/>
        <w:rPr>
          <w:sz w:val="20"/>
          <w:szCs w:val="20"/>
          <w:color w:val="auto"/>
        </w:rPr>
      </w:pPr>
      <w:r>
        <w:rPr>
          <w:rFonts w:ascii="Arial" w:cs="Arial" w:eastAsia="Arial" w:hAnsi="Arial"/>
          <w:sz w:val="13"/>
          <w:szCs w:val="13"/>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74" w:lineRule="exact"/>
        <w:rPr>
          <w:sz w:val="20"/>
          <w:szCs w:val="20"/>
          <w:color w:val="auto"/>
        </w:rPr>
      </w:pPr>
    </w:p>
    <w:p>
      <w:pPr>
        <w:ind w:right="500" w:firstLine="405"/>
        <w:spacing w:after="0" w:line="249"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investments with similar economic characteristics, including cash equivalents invested in money market funds.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$2 million and $20 million, on average, although we expect that this investment size will vary proportionately with the size of our capital base.</w:t>
      </w:r>
    </w:p>
    <w:p>
      <w:pPr>
        <w:spacing w:after="0" w:line="137" w:lineRule="exact"/>
        <w:rPr>
          <w:sz w:val="20"/>
          <w:szCs w:val="20"/>
          <w:color w:val="auto"/>
        </w:rPr>
      </w:pPr>
    </w:p>
    <w:p>
      <w:pPr>
        <w:ind w:right="480" w:firstLine="405"/>
        <w:spacing w:after="0" w:line="273" w:lineRule="auto"/>
        <w:rPr>
          <w:sz w:val="20"/>
          <w:szCs w:val="20"/>
          <w:color w:val="auto"/>
        </w:rPr>
      </w:pPr>
      <w:r>
        <w:rPr>
          <w:rFonts w:ascii="Arial" w:cs="Arial" w:eastAsia="Arial" w:hAnsi="Arial"/>
          <w:sz w:val="14"/>
          <w:szCs w:val="14"/>
          <w:color w:val="auto"/>
        </w:rPr>
        <w:t>For the period March 4, 2011 (commencement of operations) to September 30, 2011, we purchased $147.5 million of investments issued by 50 portfolio companies with an overall weighted average yield of 7.6% on debt investments. For the same period, sales and repayments generated proceeds of $33.2 million.</w:t>
      </w:r>
    </w:p>
    <w:p>
      <w:pPr>
        <w:spacing w:after="0" w:line="12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4"/>
          <w:szCs w:val="14"/>
          <w:color w:val="auto"/>
        </w:rPr>
        <w:t>As of September 30, 2011, our portfolio totaled $110.7 million and consisted of $94.3 million of senior secured loans, $9.3 million of second lien secured debt, $7.0 million of subordinated debt and $0.1 million of preferred and common equity investments. Our portfolio consisted of 84% variable-rate (including 78% with a LIBOR or prime floor) and 16% fixed-rate investments.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 as of September 30, 2011.</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69" w:lineRule="exact"/>
        <w:rPr>
          <w:sz w:val="20"/>
          <w:szCs w:val="20"/>
          <w:color w:val="auto"/>
        </w:rPr>
      </w:pPr>
    </w:p>
    <w:p>
      <w:pPr>
        <w:ind w:left="20" w:right="20" w:firstLine="405"/>
        <w:spacing w:after="0" w:line="252"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a business development company, or BDC, under the Investment Company Act of 1940, as amended, or the 1940 Act. In addition, for tax purposes we intend to be treated, and intend to qualify annually, as a regulated investment company, or RIC, under the Internal Revenue Code of 1986, as amended, or the Code, commencing with our first fiscal year ending September 30, 2011.</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69" w:lineRule="exact"/>
        <w:rPr>
          <w:sz w:val="20"/>
          <w:szCs w:val="20"/>
          <w:color w:val="auto"/>
        </w:rPr>
      </w:pPr>
    </w:p>
    <w:p>
      <w:pPr>
        <w:ind w:left="20" w:right="180" w:firstLine="392"/>
        <w:spacing w:after="0" w:line="247" w:lineRule="auto"/>
        <w:rPr>
          <w:sz w:val="20"/>
          <w:szCs w:val="20"/>
          <w:color w:val="auto"/>
        </w:rPr>
      </w:pPr>
      <w:r>
        <w:rPr>
          <w:rFonts w:ascii="Arial" w:cs="Arial" w:eastAsia="Arial" w:hAnsi="Arial"/>
          <w:sz w:val="14"/>
          <w:szCs w:val="14"/>
          <w:color w:val="auto"/>
        </w:rPr>
        <w:t>We utilize the investing experience and contacts of the Investment Adviser in developing an attractive portfolio. The senior investment professionals of the Investment Adviser have worked together for many years, and average over 20 years of experience in mezzanine lending, leveraged finance, distressed debt and private equity businesses. In addition, the Investment Adviser's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The Investment Adviser has a rigorous investment approach, which is based upon intensive financial analysis with a focus on capital preservation, diversification and active management.</w:t>
      </w:r>
    </w:p>
    <w:p>
      <w:pPr>
        <w:spacing w:after="0" w:line="153" w:lineRule="exact"/>
        <w:rPr>
          <w:sz w:val="20"/>
          <w:szCs w:val="20"/>
          <w:color w:val="auto"/>
        </w:rPr>
      </w:pPr>
    </w:p>
    <w:p>
      <w:pPr>
        <w:ind w:left="20" w:firstLine="392"/>
        <w:spacing w:after="0" w:line="270" w:lineRule="auto"/>
        <w:rPr>
          <w:sz w:val="20"/>
          <w:szCs w:val="20"/>
          <w:color w:val="auto"/>
        </w:rPr>
      </w:pPr>
      <w:r>
        <w:rPr>
          <w:rFonts w:ascii="Arial" w:cs="Arial" w:eastAsia="Arial" w:hAnsi="Arial"/>
          <w:sz w:val="13"/>
          <w:szCs w:val="13"/>
          <w:color w:val="auto"/>
        </w:rPr>
        <w:t>The Administrator has experienced professionals with substantial backgrounds in finance and administration of registered investment companies. In addition to furnishing us with bookkeeping and record keeping services, the Administrator also oversees our financial records as well as the preparation of our reports to stockholders and reports filed with the U.S. Securities and Exchange Commission, or the SEC. The Administrator oversees the determination and publication of our net asset value, oversees the preparation and filing of our tax returns, and monitors the payment of our expenses as well as the performance of administrative and professional services rendered to us by others. Furthermore, the Administrator may provide, on our behalf, managerial assistance to those portfolio companies to which we are required to offer such assistance. See “Risk Factors—Risks Relating to our Business and Structure” and "Risk Factors—Risks Relating to our Business and Structure—There are significant potential conflicts of interest which could impact our investment returns."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69" w:lineRule="exact"/>
        <w:rPr>
          <w:sz w:val="20"/>
          <w:szCs w:val="20"/>
          <w:color w:val="auto"/>
        </w:rPr>
      </w:pPr>
    </w:p>
    <w:p>
      <w:pPr>
        <w:ind w:left="20" w:right="260" w:firstLine="392"/>
        <w:spacing w:after="0" w:line="273" w:lineRule="auto"/>
        <w:rPr>
          <w:sz w:val="20"/>
          <w:szCs w:val="20"/>
          <w:color w:val="auto"/>
        </w:rPr>
      </w:pPr>
      <w:r>
        <w:rPr>
          <w:rFonts w:ascii="Arial" w:cs="Arial" w:eastAsia="Arial" w:hAnsi="Arial"/>
          <w:sz w:val="14"/>
          <w:szCs w:val="14"/>
          <w:color w:val="auto"/>
        </w:rPr>
        <w:t>We believe that the limited amount of capital available to the middle-market companies, coupled with the desire of these companies for flexible sources of capital, creates an attractive investment environment for us.</w:t>
      </w:r>
    </w:p>
    <w:p>
      <w:pPr>
        <w:spacing w:after="0" w:line="201" w:lineRule="exact"/>
        <w:rPr>
          <w:sz w:val="20"/>
          <w:szCs w:val="20"/>
          <w:color w:val="auto"/>
        </w:rPr>
      </w:pPr>
    </w:p>
    <w:p>
      <w:pPr>
        <w:ind w:left="1660" w:right="1620"/>
        <w:spacing w:after="0" w:line="233" w:lineRule="auto"/>
        <w:rPr>
          <w:sz w:val="20"/>
          <w:szCs w:val="20"/>
          <w:color w:val="auto"/>
        </w:rPr>
      </w:pPr>
      <w:r>
        <w:rPr>
          <w:rFonts w:ascii="Arial" w:cs="Arial" w:eastAsia="Arial" w:hAnsi="Arial"/>
          <w:sz w:val="14"/>
          <w:szCs w:val="14"/>
          <w:b w:val="1"/>
          <w:bCs w:val="1"/>
          <w:i w:val="1"/>
          <w:iCs w:val="1"/>
          <w:color w:val="auto"/>
        </w:rPr>
        <w:t xml:space="preserve">We believe middle-market companies have faced increasing difficulty in raising debt through the capital markets. </w:t>
      </w:r>
      <w:r>
        <w:rPr>
          <w:rFonts w:ascii="Arial" w:cs="Arial" w:eastAsia="Arial" w:hAnsi="Arial"/>
          <w:sz w:val="14"/>
          <w:szCs w:val="14"/>
          <w:color w:val="auto"/>
        </w:rPr>
        <w:t>While many middle-market 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306" w:lineRule="exact"/>
        <w:rPr>
          <w:sz w:val="20"/>
          <w:szCs w:val="20"/>
          <w:color w:val="auto"/>
        </w:rPr>
      </w:pPr>
    </w:p>
    <w:p>
      <w:pPr>
        <w:ind w:left="1660" w:right="1680"/>
        <w:spacing w:after="0" w:line="238" w:lineRule="auto"/>
        <w:rPr>
          <w:sz w:val="20"/>
          <w:szCs w:val="20"/>
          <w:color w:val="auto"/>
        </w:rPr>
      </w:pPr>
      <w:r>
        <w:rPr>
          <w:rFonts w:ascii="Arial" w:cs="Arial" w:eastAsia="Arial" w:hAnsi="Arial"/>
          <w:sz w:val="14"/>
          <w:szCs w:val="14"/>
          <w:b w:val="1"/>
          <w:bCs w:val="1"/>
          <w:i w:val="1"/>
          <w:iCs w:val="1"/>
          <w:color w:val="auto"/>
        </w:rPr>
        <w:t xml:space="preserve">We believe middle-market companies have faced difficulty raising debt in private markets. </w:t>
      </w:r>
      <w:r>
        <w:rPr>
          <w:rFonts w:ascii="Arial" w:cs="Arial" w:eastAsia="Arial" w:hAnsi="Arial"/>
          <w:sz w:val="14"/>
          <w:szCs w:val="14"/>
          <w:color w:val="auto"/>
        </w:rPr>
        <w:t>Banks, finance companies, hedge funds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collateralized loan obligation, or CLO, funds have withdrawn capital from the middle-market resulting in opportunities for alternative funding sources.</w:t>
      </w:r>
    </w:p>
    <w:p>
      <w:pPr>
        <w:spacing w:after="0" w:line="304" w:lineRule="exact"/>
        <w:rPr>
          <w:sz w:val="20"/>
          <w:szCs w:val="20"/>
          <w:color w:val="auto"/>
        </w:rPr>
      </w:pPr>
    </w:p>
    <w:p>
      <w:pPr>
        <w:ind w:left="1660" w:right="1620"/>
        <w:spacing w:after="0" w:line="233" w:lineRule="auto"/>
        <w:rPr>
          <w:sz w:val="20"/>
          <w:szCs w:val="20"/>
          <w:color w:val="auto"/>
        </w:rPr>
      </w:pPr>
      <w:r>
        <w:rPr>
          <w:rFonts w:ascii="Arial" w:cs="Arial" w:eastAsia="Arial" w:hAnsi="Arial"/>
          <w:sz w:val="14"/>
          <w:szCs w:val="14"/>
          <w:b w:val="1"/>
          <w:bCs w:val="1"/>
          <w:i w:val="1"/>
          <w:iCs w:val="1"/>
          <w:color w:val="auto"/>
        </w:rPr>
        <w:t xml:space="preserve">We believe that the current credit market dislocation for middle-market companies improves the risk-adjusted returns of our investments. </w:t>
      </w:r>
      <w:r>
        <w:rPr>
          <w:rFonts w:ascii="Arial" w:cs="Arial" w:eastAsia="Arial" w:hAnsi="Arial"/>
          <w:sz w:val="14"/>
          <w:szCs w:val="14"/>
          <w:color w:val="auto"/>
        </w:rPr>
        <w:t>In the current credit environment, market participants have reduced lending to middle-market and non-investment grade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borrowers. As a result, we believe there is less competition in our market, more conservative capital structures, higher yields and stronger covenants.</w:t>
      </w:r>
    </w:p>
    <w:p>
      <w:pPr>
        <w:spacing w:after="0" w:line="306" w:lineRule="exact"/>
        <w:rPr>
          <w:sz w:val="20"/>
          <w:szCs w:val="20"/>
          <w:color w:val="auto"/>
        </w:rPr>
      </w:pPr>
    </w:p>
    <w:p>
      <w:pPr>
        <w:ind w:left="1660" w:right="1580"/>
        <w:spacing w:after="0" w:line="251" w:lineRule="auto"/>
        <w:rPr>
          <w:sz w:val="20"/>
          <w:szCs w:val="20"/>
          <w:color w:val="auto"/>
        </w:rPr>
      </w:pPr>
      <w:r>
        <w:rPr>
          <w:rFonts w:ascii="Arial" w:cs="Arial" w:eastAsia="Arial" w:hAnsi="Arial"/>
          <w:sz w:val="13"/>
          <w:szCs w:val="13"/>
          <w:b w:val="1"/>
          <w:bCs w:val="1"/>
          <w:i w:val="1"/>
          <w:i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 private equity firms will continue to be active investors in middle-market companies. These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98" w:lineRule="exact"/>
        <w:rPr>
          <w:sz w:val="20"/>
          <w:szCs w:val="20"/>
          <w:color w:val="auto"/>
        </w:rPr>
      </w:pPr>
    </w:p>
    <w:p>
      <w:pPr>
        <w:jc w:val="both"/>
        <w:ind w:left="1660" w:right="1500"/>
        <w:spacing w:after="0" w:line="238" w:lineRule="auto"/>
        <w:rPr>
          <w:sz w:val="20"/>
          <w:szCs w:val="20"/>
          <w:color w:val="auto"/>
        </w:rPr>
      </w:pPr>
      <w:r>
        <w:rPr>
          <w:rFonts w:ascii="Arial" w:cs="Arial" w:eastAsia="Arial" w:hAnsi="Arial"/>
          <w:sz w:val="14"/>
          <w:szCs w:val="14"/>
          <w:b w:val="1"/>
          <w:bCs w:val="1"/>
          <w:i w:val="1"/>
          <w:iCs w:val="1"/>
          <w:color w:val="auto"/>
        </w:rPr>
        <w:t xml:space="preserve">We believe there is substantial supply of opportunities resulting from refinancing. </w:t>
      </w:r>
      <w:r>
        <w:rPr>
          <w:rFonts w:ascii="Arial" w:cs="Arial" w:eastAsia="Arial" w:hAnsi="Arial"/>
          <w:sz w:val="14"/>
          <w:szCs w:val="14"/>
          <w:color w:val="auto"/>
        </w:rPr>
        <w:t>A high volume of financings were completed between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years 2004 and 2007, which will come due in the next few years. We believe this supply of opportunities coupled with a lack of demand offers attractive risk-adjusted returns to investors.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believe that we have the following competitive advantages over other capital providers in middle-market companies:</w:t>
      </w:r>
    </w:p>
    <w:p>
      <w:pPr>
        <w:spacing w:after="0" w:line="2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Experienced Management Team</w:t>
      </w:r>
    </w:p>
    <w:p>
      <w:pPr>
        <w:spacing w:after="0" w:line="82" w:lineRule="exact"/>
        <w:rPr>
          <w:sz w:val="20"/>
          <w:szCs w:val="20"/>
          <w:color w:val="auto"/>
        </w:rPr>
      </w:pPr>
    </w:p>
    <w:p>
      <w:pPr>
        <w:ind w:right="80" w:firstLine="432"/>
        <w:spacing w:after="0" w:line="286" w:lineRule="auto"/>
        <w:rPr>
          <w:sz w:val="20"/>
          <w:szCs w:val="20"/>
          <w:color w:val="auto"/>
        </w:rPr>
      </w:pPr>
      <w:r>
        <w:rPr>
          <w:rFonts w:ascii="Arial" w:cs="Arial" w:eastAsia="Arial" w:hAnsi="Arial"/>
          <w:sz w:val="13"/>
          <w:szCs w:val="13"/>
          <w:color w:val="auto"/>
        </w:rPr>
        <w:t>The senior investment professionals of the Investment Adviser have worked together for many years and average over 20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3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Disciplined Investment Approach with Strong Value Orientation</w:t>
      </w:r>
    </w:p>
    <w:p>
      <w:pPr>
        <w:spacing w:after="0" w:line="82" w:lineRule="exact"/>
        <w:rPr>
          <w:sz w:val="20"/>
          <w:szCs w:val="20"/>
          <w:color w:val="auto"/>
        </w:rPr>
      </w:pPr>
    </w:p>
    <w:p>
      <w:pPr>
        <w:ind w:right="40" w:firstLine="432"/>
        <w:spacing w:after="0" w:line="252"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continues to enable us to build an attractive investment portfolio that meets our return and value criteria over the long-term.</w:t>
      </w:r>
    </w:p>
    <w:p>
      <w:pPr>
        <w:spacing w:after="0" w:line="134" w:lineRule="exact"/>
        <w:rPr>
          <w:sz w:val="20"/>
          <w:szCs w:val="20"/>
          <w:color w:val="auto"/>
        </w:rPr>
      </w:pPr>
    </w:p>
    <w:p>
      <w:pPr>
        <w:ind w:right="260" w:firstLine="432"/>
        <w:spacing w:after="0" w:line="257"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109" w:lineRule="exact"/>
        <w:rPr>
          <w:sz w:val="20"/>
          <w:szCs w:val="20"/>
          <w:color w:val="auto"/>
        </w:rPr>
      </w:pPr>
    </w:p>
    <w:p>
      <w:pPr>
        <w:ind w:left="820" w:hanging="326"/>
        <w:spacing w:after="0"/>
        <w:tabs>
          <w:tab w:leader="none" w:pos="820" w:val="left"/>
        </w:tabs>
        <w:numPr>
          <w:ilvl w:val="1"/>
          <w:numId w:val="5"/>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1"/>
          <w:numId w:val="5"/>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1"/>
          <w:numId w:val="5"/>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244"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b w:val="1"/>
          <w:bCs w:val="1"/>
          <w:i w:val="1"/>
          <w:iCs w:val="1"/>
          <w:color w:val="auto"/>
        </w:rPr>
        <w:t>c.   Ability to Source and Evaluate Transactions through our Investment Adviser’s Research Capability and Established Network</w:t>
      </w:r>
    </w:p>
    <w:p>
      <w:pPr>
        <w:spacing w:after="0" w:line="82" w:lineRule="exact"/>
        <w:rPr>
          <w:sz w:val="20"/>
          <w:szCs w:val="20"/>
          <w:color w:val="auto"/>
        </w:rPr>
      </w:pPr>
    </w:p>
    <w:p>
      <w:pPr>
        <w:ind w:right="80" w:firstLine="432"/>
        <w:spacing w:after="0" w:line="252" w:lineRule="auto"/>
        <w:rPr>
          <w:sz w:val="20"/>
          <w:szCs w:val="20"/>
          <w:color w:val="auto"/>
        </w:rPr>
      </w:pPr>
      <w:r>
        <w:rPr>
          <w:rFonts w:ascii="Arial" w:cs="Arial" w:eastAsia="Arial" w:hAnsi="Arial"/>
          <w:sz w:val="14"/>
          <w:szCs w:val="14"/>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1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Flexible Transaction Structuring</w:t>
      </w:r>
    </w:p>
    <w:p>
      <w:pPr>
        <w:spacing w:after="0" w:line="82" w:lineRule="exact"/>
        <w:rPr>
          <w:sz w:val="20"/>
          <w:szCs w:val="20"/>
          <w:color w:val="auto"/>
        </w:rPr>
      </w:pPr>
    </w:p>
    <w:p>
      <w:pPr>
        <w:ind w:right="360" w:firstLine="432"/>
        <w:spacing w:after="0" w:line="312" w:lineRule="auto"/>
        <w:rPr>
          <w:sz w:val="20"/>
          <w:szCs w:val="20"/>
          <w:color w:val="auto"/>
        </w:rPr>
      </w:pPr>
      <w:r>
        <w:rPr>
          <w:rFonts w:ascii="Arial" w:cs="Arial" w:eastAsia="Arial" w:hAnsi="Arial"/>
          <w:sz w:val="13"/>
          <w:szCs w:val="13"/>
          <w:color w:val="auto"/>
        </w:rPr>
        <w:t>We are flexible in structuring investments and tailor investments to meet the needs of a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97"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2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4"/>
          <w:szCs w:val="14"/>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0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Longer Investment Horizon with Attractive Publicly Traded Model</w:t>
      </w:r>
    </w:p>
    <w:p>
      <w:pPr>
        <w:spacing w:after="0" w:line="82" w:lineRule="exact"/>
        <w:rPr>
          <w:sz w:val="20"/>
          <w:szCs w:val="20"/>
          <w:color w:val="auto"/>
        </w:rPr>
      </w:pPr>
    </w:p>
    <w:p>
      <w:pPr>
        <w:ind w:right="80" w:firstLine="432"/>
        <w:spacing w:after="0" w:line="252" w:lineRule="auto"/>
        <w:rPr>
          <w:sz w:val="20"/>
          <w:szCs w:val="20"/>
          <w:color w:val="auto"/>
        </w:rPr>
      </w:pPr>
      <w:r>
        <w:rPr>
          <w:rFonts w:ascii="Arial" w:cs="Arial" w:eastAsia="Arial" w:hAnsi="Arial"/>
          <w:sz w:val="14"/>
          <w:szCs w:val="14"/>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00"/>
          </w:cols>
          <w:pgMar w:left="320" w:top="122" w:right="37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82" w:lineRule="exact"/>
        <w:rPr>
          <w:sz w:val="20"/>
          <w:szCs w:val="20"/>
          <w:color w:val="auto"/>
        </w:rPr>
      </w:pPr>
    </w:p>
    <w:p>
      <w:pPr>
        <w:ind w:right="260" w:firstLine="432"/>
        <w:spacing w:after="0" w:line="273" w:lineRule="auto"/>
        <w:rPr>
          <w:sz w:val="20"/>
          <w:szCs w:val="20"/>
          <w:color w:val="auto"/>
        </w:rPr>
      </w:pPr>
      <w:r>
        <w:rPr>
          <w:rFonts w:ascii="Arial" w:cs="Arial" w:eastAsia="Arial" w:hAnsi="Arial"/>
          <w:sz w:val="14"/>
          <w:szCs w:val="14"/>
          <w:color w:val="auto"/>
        </w:rPr>
        <w:t>We are committed to a value oriented philosophy used by the senior investment professionals who manage our portfolio and seek to minimize the risk of capital loss without foregoing potential for capital appreciation.</w:t>
      </w:r>
    </w:p>
    <w:p>
      <w:pPr>
        <w:spacing w:after="0" w:line="12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Leading and defensible competitive market positions</w:t>
      </w:r>
    </w:p>
    <w:p>
      <w:pPr>
        <w:spacing w:after="0" w:line="69" w:lineRule="exact"/>
        <w:rPr>
          <w:sz w:val="20"/>
          <w:szCs w:val="20"/>
          <w:color w:val="auto"/>
        </w:rPr>
      </w:pPr>
    </w:p>
    <w:p>
      <w:pPr>
        <w:jc w:val="both"/>
        <w:ind w:right="120" w:firstLine="405"/>
        <w:spacing w:after="0" w:line="257"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Investing in stable borrowers with positive cash flow</w:t>
      </w:r>
    </w:p>
    <w:p>
      <w:pPr>
        <w:spacing w:after="0" w:line="69" w:lineRule="exact"/>
        <w:rPr>
          <w:sz w:val="20"/>
          <w:szCs w:val="20"/>
          <w:color w:val="auto"/>
        </w:rPr>
      </w:pPr>
    </w:p>
    <w:p>
      <w:pPr>
        <w:ind w:right="180" w:firstLine="405"/>
        <w:spacing w:after="0" w:line="252" w:lineRule="auto"/>
        <w:rPr>
          <w:sz w:val="20"/>
          <w:szCs w:val="20"/>
          <w:color w:val="auto"/>
        </w:rPr>
      </w:pPr>
      <w:r>
        <w:rPr>
          <w:rFonts w:ascii="Arial" w:cs="Arial" w:eastAsia="Arial" w:hAnsi="Arial"/>
          <w:sz w:val="14"/>
          <w:szCs w:val="14"/>
          <w:color w:val="auto"/>
        </w:rPr>
        <w:t>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Proven management teams</w:t>
      </w:r>
    </w:p>
    <w:p>
      <w:pPr>
        <w:spacing w:after="0" w:line="69" w:lineRule="exact"/>
        <w:rPr>
          <w:sz w:val="20"/>
          <w:szCs w:val="20"/>
          <w:color w:val="auto"/>
        </w:rPr>
      </w:pPr>
    </w:p>
    <w:p>
      <w:pPr>
        <w:ind w:right="40" w:firstLine="405"/>
        <w:spacing w:after="0" w:line="273"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will require that portfolio companies have in place proper incentives to align management's goals with our goals.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Private equity sponsorship</w:t>
      </w:r>
    </w:p>
    <w:p>
      <w:pPr>
        <w:spacing w:after="0" w:line="69" w:lineRule="exact"/>
        <w:rPr>
          <w:sz w:val="20"/>
          <w:szCs w:val="20"/>
          <w:color w:val="auto"/>
        </w:rPr>
      </w:pPr>
    </w:p>
    <w:p>
      <w:pPr>
        <w:ind w:firstLine="405"/>
        <w:spacing w:after="0" w:line="252" w:lineRule="auto"/>
        <w:rPr>
          <w:sz w:val="20"/>
          <w:szCs w:val="20"/>
          <w:color w:val="auto"/>
        </w:rPr>
      </w:pPr>
      <w:r>
        <w:rPr>
          <w:rFonts w:ascii="Arial" w:cs="Arial" w:eastAsia="Arial" w:hAnsi="Arial"/>
          <w:sz w:val="14"/>
          <w:szCs w:val="14"/>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Investments in different borrowers and industries</w:t>
      </w:r>
    </w:p>
    <w:p>
      <w:pPr>
        <w:spacing w:after="0" w:line="69" w:lineRule="exact"/>
        <w:rPr>
          <w:sz w:val="20"/>
          <w:szCs w:val="20"/>
          <w:color w:val="auto"/>
        </w:rPr>
      </w:pPr>
    </w:p>
    <w:p>
      <w:pPr>
        <w:ind w:right="40" w:firstLine="405"/>
        <w:spacing w:after="0" w:line="273" w:lineRule="auto"/>
        <w:rPr>
          <w:sz w:val="20"/>
          <w:szCs w:val="20"/>
          <w:color w:val="auto"/>
        </w:rPr>
      </w:pPr>
      <w:r>
        <w:rPr>
          <w:rFonts w:ascii="Arial" w:cs="Arial" w:eastAsia="Arial" w:hAnsi="Arial"/>
          <w:sz w:val="14"/>
          <w:szCs w:val="14"/>
          <w:color w:val="auto"/>
        </w:rPr>
        <w:t>The Investment Adviser seeks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Viable exit strategy</w:t>
      </w:r>
    </w:p>
    <w:p>
      <w:pPr>
        <w:spacing w:after="0" w:line="69" w:lineRule="exact"/>
        <w:rPr>
          <w:sz w:val="20"/>
          <w:szCs w:val="20"/>
          <w:color w:val="auto"/>
        </w:rPr>
      </w:pPr>
    </w:p>
    <w:p>
      <w:pPr>
        <w:ind w:right="60" w:firstLine="405"/>
        <w:spacing w:after="0" w:line="249" w:lineRule="auto"/>
        <w:rPr>
          <w:sz w:val="20"/>
          <w:szCs w:val="20"/>
          <w:color w:val="auto"/>
        </w:rPr>
      </w:pPr>
      <w:r>
        <w:rPr>
          <w:rFonts w:ascii="Arial" w:cs="Arial" w:eastAsia="Arial" w:hAnsi="Arial"/>
          <w:sz w:val="14"/>
          <w:szCs w:val="14"/>
          <w:color w:val="auto"/>
        </w:rPr>
        <w:t>We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Competition</w:t>
      </w:r>
    </w:p>
    <w:p>
      <w:pPr>
        <w:spacing w:after="0" w:line="8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3"/>
          <w:szCs w:val="13"/>
          <w:color w:val="auto"/>
        </w:rPr>
        <w:t>Our primary competitors provide financing to middle-market companies and include other BDC's,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right="60" w:firstLine="432"/>
        <w:spacing w:after="0" w:line="252" w:lineRule="auto"/>
        <w:rPr>
          <w:sz w:val="20"/>
          <w:szCs w:val="20"/>
          <w:color w:val="auto"/>
        </w:rPr>
      </w:pPr>
      <w:r>
        <w:rPr>
          <w:rFonts w:ascii="Arial" w:cs="Arial" w:eastAsia="Arial" w:hAnsi="Arial"/>
          <w:sz w:val="14"/>
          <w:szCs w:val="14"/>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w:t>
      </w:r>
    </w:p>
    <w:p>
      <w:pPr>
        <w:spacing w:after="0" w:line="134" w:lineRule="exact"/>
        <w:rPr>
          <w:sz w:val="20"/>
          <w:szCs w:val="20"/>
          <w:color w:val="auto"/>
        </w:rPr>
      </w:pPr>
    </w:p>
    <w:p>
      <w:pPr>
        <w:ind w:right="80" w:firstLine="432"/>
        <w:spacing w:after="0" w:line="273" w:lineRule="auto"/>
        <w:rPr>
          <w:sz w:val="20"/>
          <w:szCs w:val="20"/>
          <w:color w:val="auto"/>
        </w:rPr>
      </w:pPr>
      <w:r>
        <w:rPr>
          <w:rFonts w:ascii="Arial" w:cs="Arial" w:eastAsia="Arial" w:hAnsi="Arial"/>
          <w:sz w:val="14"/>
          <w:szCs w:val="14"/>
          <w:color w:val="auto"/>
        </w:rPr>
        <w:t>For additional information concerning the competitive risks we face, please see “Risk Factors—Risks Relating to our Business and Structure—We operate in a highly competitive market for investment opportunities.”</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Leverage</w:t>
      </w:r>
    </w:p>
    <w:p>
      <w:pPr>
        <w:spacing w:after="0" w:line="55" w:lineRule="exact"/>
        <w:rPr>
          <w:sz w:val="20"/>
          <w:szCs w:val="20"/>
          <w:color w:val="auto"/>
        </w:rPr>
      </w:pPr>
    </w:p>
    <w:p>
      <w:pPr>
        <w:ind w:right="620" w:firstLine="405"/>
        <w:spacing w:after="0" w:line="273" w:lineRule="auto"/>
        <w:rPr>
          <w:sz w:val="20"/>
          <w:szCs w:val="20"/>
          <w:color w:val="auto"/>
        </w:rPr>
      </w:pPr>
      <w:r>
        <w:rPr>
          <w:rFonts w:ascii="Arial" w:cs="Arial" w:eastAsia="Arial" w:hAnsi="Arial"/>
          <w:sz w:val="13"/>
          <w:szCs w:val="13"/>
          <w:color w:val="auto"/>
        </w:rPr>
        <w:t>We maintain a five-year, $100.0 million Credit Facility, which matures on June 23, 2016. During the Credit Facility's first three years, or the revolving period, it bears interest at LIBOR plus 225 basis points, and after the revolving period, the rate sets to LIBOR plus 425 basis points for the remaining two years. The Credit Facility is secured by all of the assets held by Funding I, with SunTrust Robinson Humphrey, Inc., or STRH, as administrative agent, under which we had drawn $24.7 million outstanding at September 30, 2011. The Credit Facility permits borrowing up to $100.0 million and, subject to satisfaction of certain conditions, contains an accordian feature whereby the Credit Facility can be expanded to $600.0 million. We believe that our capital resources provide us with the flexibility to take advantage of market opportunities when they arise.</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55" w:lineRule="exact"/>
        <w:rPr>
          <w:sz w:val="20"/>
          <w:szCs w:val="20"/>
          <w:color w:val="auto"/>
        </w:rPr>
      </w:pPr>
    </w:p>
    <w:p>
      <w:pPr>
        <w:ind w:right="40" w:firstLine="432"/>
        <w:spacing w:after="0" w:line="252" w:lineRule="auto"/>
        <w:rPr>
          <w:sz w:val="20"/>
          <w:szCs w:val="20"/>
          <w:color w:val="auto"/>
        </w:rPr>
      </w:pPr>
      <w:r>
        <w:rPr>
          <w:rFonts w:ascii="Arial" w:cs="Arial" w:eastAsia="Arial" w:hAnsi="Arial"/>
          <w:sz w:val="14"/>
          <w:szCs w:val="14"/>
          <w:color w:val="auto"/>
        </w:rPr>
        <w:t>We seek to create a diversified portfolio primarily of Floating Rate Loans by generally targeting an investment size of $2 to $20 million, on average, in Floating Rate Loans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26" w:lineRule="exact"/>
        <w:rPr>
          <w:sz w:val="20"/>
          <w:szCs w:val="20"/>
          <w:color w:val="auto"/>
        </w:rPr>
      </w:pPr>
    </w:p>
    <w:p>
      <w:pPr>
        <w:ind w:right="80" w:firstLine="432"/>
        <w:spacing w:after="0" w:line="249" w:lineRule="auto"/>
        <w:rPr>
          <w:sz w:val="20"/>
          <w:szCs w:val="20"/>
          <w:color w:val="auto"/>
        </w:rPr>
      </w:pPr>
      <w:r>
        <w:rPr>
          <w:rFonts w:ascii="Arial" w:cs="Arial" w:eastAsia="Arial" w:hAnsi="Arial"/>
          <w:sz w:val="14"/>
          <w:szCs w:val="14"/>
          <w:color w:val="auto"/>
        </w:rPr>
        <w:t>Over time, we expect that our portfolio will continue to consist primarily of Floating Rate Loans in qualifying assets such as private or thinly traded or small market-capitalization, public U.S.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more than $250 million, securities of middle-market companies located outside of the United States and investment companies as defined in the 1940 Act. Moreover, we may acquire investments in the secondary market. See “Investment Policy Overview— Investment selection criteria” for more information.</w:t>
      </w:r>
    </w:p>
    <w:p>
      <w:pPr>
        <w:spacing w:after="0" w:line="29"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Operating and Regulatory Structure</w:t>
      </w:r>
    </w:p>
    <w:p>
      <w:pPr>
        <w:spacing w:after="0" w:line="55" w:lineRule="exact"/>
        <w:rPr>
          <w:sz w:val="20"/>
          <w:szCs w:val="20"/>
          <w:color w:val="auto"/>
        </w:rPr>
      </w:pPr>
    </w:p>
    <w:p>
      <w:pPr>
        <w:ind w:right="20" w:firstLine="432"/>
        <w:spacing w:after="0" w:line="257" w:lineRule="auto"/>
        <w:rPr>
          <w:sz w:val="20"/>
          <w:szCs w:val="20"/>
          <w:color w:val="auto"/>
        </w:rPr>
      </w:pPr>
      <w:r>
        <w:rPr>
          <w:rFonts w:ascii="Arial" w:cs="Arial" w:eastAsia="Arial" w:hAnsi="Arial"/>
          <w:sz w:val="14"/>
          <w:szCs w:val="14"/>
          <w:color w:val="auto"/>
        </w:rPr>
        <w:t>Our investment activities are managed by PennantPark Investment Advisers. Under our investment management agreement, or the Investment Management Agreement, we have agreed to pay our Investment Adviser an annual base management fee based on our average adjusted gross total assets as well as an incentive fee based on our investment performance. See “Investment Management Agreement” for more information.</w:t>
      </w:r>
    </w:p>
    <w:p>
      <w:pPr>
        <w:spacing w:after="0" w:line="23" w:lineRule="exact"/>
        <w:rPr>
          <w:sz w:val="20"/>
          <w:szCs w:val="20"/>
          <w:color w:val="auto"/>
        </w:rPr>
      </w:pPr>
    </w:p>
    <w:p>
      <w:pPr>
        <w:ind w:right="80" w:firstLine="432"/>
        <w:spacing w:after="0" w:line="252"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“Administration Agreement” for more information.</w:t>
      </w:r>
    </w:p>
    <w:p>
      <w:pPr>
        <w:spacing w:after="0" w:line="26" w:lineRule="exact"/>
        <w:rPr>
          <w:sz w:val="20"/>
          <w:szCs w:val="20"/>
          <w:color w:val="auto"/>
        </w:rPr>
      </w:pPr>
    </w:p>
    <w:p>
      <w:pPr>
        <w:ind w:right="140" w:firstLine="432"/>
        <w:spacing w:after="0" w:line="252"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 Our activities are supervised by our board of directors, a majority of whom are independent of us and our Investment Adviser.</w:t>
      </w:r>
    </w:p>
    <w:p>
      <w:pPr>
        <w:spacing w:after="0" w:line="26" w:lineRule="exact"/>
        <w:rPr>
          <w:sz w:val="20"/>
          <w:szCs w:val="20"/>
          <w:color w:val="auto"/>
        </w:rPr>
      </w:pPr>
    </w:p>
    <w:p>
      <w:pPr>
        <w:jc w:val="both"/>
        <w:ind w:right="300" w:firstLine="432"/>
        <w:spacing w:after="0" w:line="257" w:lineRule="auto"/>
        <w:rPr>
          <w:sz w:val="20"/>
          <w:szCs w:val="20"/>
          <w:color w:val="auto"/>
        </w:rPr>
      </w:pPr>
      <w:r>
        <w:rPr>
          <w:rFonts w:ascii="Arial" w:cs="Arial" w:eastAsia="Arial" w:hAnsi="Arial"/>
          <w:sz w:val="14"/>
          <w:szCs w:val="14"/>
          <w:color w:val="auto"/>
        </w:rPr>
        <w:t>As a BDC, we are required to comply with certain regulatory requirements. Also, while we are permitted to finance investments using debt, our ability to use debt is limited in certain significant respects. We intend to be treated, and intend to qualify annually, as a RIC under the Code, commencing with our first fiscal year ending September 30, 2011. See “Regulation” for more information.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Information Available</w:t>
      </w:r>
    </w:p>
    <w:p>
      <w:pPr>
        <w:spacing w:after="0" w:line="82" w:lineRule="exact"/>
        <w:rPr>
          <w:sz w:val="20"/>
          <w:szCs w:val="20"/>
          <w:color w:val="auto"/>
        </w:rPr>
      </w:pPr>
    </w:p>
    <w:p>
      <w:pPr>
        <w:ind w:right="40" w:firstLine="432"/>
        <w:spacing w:after="0" w:line="268" w:lineRule="auto"/>
        <w:rPr>
          <w:sz w:val="20"/>
          <w:szCs w:val="20"/>
          <w:color w:val="auto"/>
        </w:rPr>
      </w:pPr>
      <w:r>
        <w:rPr>
          <w:rFonts w:ascii="Arial" w:cs="Arial" w:eastAsia="Arial" w:hAnsi="Arial"/>
          <w:sz w:val="13"/>
          <w:szCs w:val="13"/>
          <w:color w:val="auto"/>
        </w:rPr>
        <w:t xml:space="preserve">Our address is 590 Madison Avenue, 15th Floor, New York, NY 10022. Our phone number is (212) 905-1000, and our internet address is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We make available, free of charge, on our website our annual report on Form 10-K, quarterly reports on Form 10-Q, current reports on Form 8-K and amendments to those reports as well as proxy statements as soon as reasonably practicable after we electronically file such material with, or furnish it to, the SEC. Information contained on our website is not incorporated by reference into this Report, and you should not consider information contained on our website to be part of this Report or any other report we file with the SEC. The SEC also maintains a website that contains reports, proxy and information statements and other information we file with the SEC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 Information on the operation of the Public Reference Room may be obtained by calling the SEC at 1-800-SEC-0330.</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Consolidated Portfolio</w:t>
      </w:r>
    </w:p>
    <w:p>
      <w:pPr>
        <w:spacing w:after="0" w:line="109" w:lineRule="exact"/>
        <w:rPr>
          <w:sz w:val="20"/>
          <w:szCs w:val="20"/>
          <w:color w:val="auto"/>
        </w:rPr>
      </w:pPr>
    </w:p>
    <w:p>
      <w:pPr>
        <w:ind w:firstLine="432"/>
        <w:spacing w:after="0" w:line="337" w:lineRule="auto"/>
        <w:rPr>
          <w:sz w:val="20"/>
          <w:szCs w:val="20"/>
          <w:color w:val="auto"/>
        </w:rPr>
      </w:pPr>
      <w:r>
        <w:rPr>
          <w:rFonts w:ascii="Arial" w:cs="Arial" w:eastAsia="Arial" w:hAnsi="Arial"/>
          <w:sz w:val="14"/>
          <w:szCs w:val="14"/>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investment experience:</w:t>
      </w:r>
    </w:p>
    <w:p>
      <w:pPr>
        <w:spacing w:after="0" w:line="105" w:lineRule="exact"/>
        <w:rPr>
          <w:sz w:val="20"/>
          <w:szCs w:val="20"/>
          <w:color w:val="auto"/>
        </w:rPr>
      </w:pPr>
    </w:p>
    <w:tbl>
      <w:tblPr>
        <w:tblLayout w:type="fixed"/>
        <w:tblInd w:w="360" w:type="dxa"/>
        <w:tblCellMar>
          <w:top w:w="0" w:type="dxa"/>
          <w:left w:w="0" w:type="dxa"/>
          <w:bottom w:w="0" w:type="dxa"/>
          <w:right w:w="0" w:type="dxa"/>
        </w:tblCellMar>
      </w:tblPr>
      <w:tr>
        <w:trPr>
          <w:trHeight w:val="182"/>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Aerospace and Defense</w:t>
            </w:r>
          </w:p>
        </w:tc>
        <w:tc>
          <w:tcPr>
            <w:tcW w:w="5400" w:type="dxa"/>
            <w:vAlign w:val="bottom"/>
          </w:tcPr>
          <w:p>
            <w:pPr>
              <w:ind w:left="1040"/>
              <w:spacing w:after="0"/>
              <w:rPr>
                <w:sz w:val="20"/>
                <w:szCs w:val="20"/>
                <w:color w:val="auto"/>
              </w:rPr>
            </w:pPr>
            <w:r>
              <w:rPr>
                <w:rFonts w:ascii="Arial" w:cs="Arial" w:eastAsia="Arial" w:hAnsi="Arial"/>
                <w:sz w:val="14"/>
                <w:szCs w:val="14"/>
                <w:color w:val="auto"/>
              </w:rPr>
              <w:t>Ÿ Financial Services</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Auto Sector</w:t>
            </w:r>
          </w:p>
        </w:tc>
        <w:tc>
          <w:tcPr>
            <w:tcW w:w="5400" w:type="dxa"/>
            <w:vAlign w:val="bottom"/>
          </w:tcPr>
          <w:p>
            <w:pPr>
              <w:ind w:left="1040"/>
              <w:spacing w:after="0"/>
              <w:rPr>
                <w:sz w:val="20"/>
                <w:szCs w:val="20"/>
                <w:color w:val="auto"/>
              </w:rPr>
            </w:pPr>
            <w:r>
              <w:rPr>
                <w:rFonts w:ascii="Arial" w:cs="Arial" w:eastAsia="Arial" w:hAnsi="Arial"/>
                <w:sz w:val="14"/>
                <w:szCs w:val="14"/>
                <w:color w:val="auto"/>
              </w:rPr>
              <w:t>Ÿ Grocery</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Broadcasting and Entertainment</w:t>
            </w:r>
          </w:p>
        </w:tc>
        <w:tc>
          <w:tcPr>
            <w:tcW w:w="5400" w:type="dxa"/>
            <w:vAlign w:val="bottom"/>
          </w:tcPr>
          <w:p>
            <w:pPr>
              <w:ind w:left="1040"/>
              <w:spacing w:after="0"/>
              <w:rPr>
                <w:sz w:val="20"/>
                <w:szCs w:val="20"/>
                <w:color w:val="auto"/>
              </w:rPr>
            </w:pPr>
            <w:r>
              <w:rPr>
                <w:rFonts w:ascii="Arial" w:cs="Arial" w:eastAsia="Arial" w:hAnsi="Arial"/>
                <w:sz w:val="14"/>
                <w:szCs w:val="14"/>
                <w:color w:val="auto"/>
              </w:rPr>
              <w:t>Ÿ Healthcare, Education and Childcare</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Buildings and Real Estate</w:t>
            </w:r>
          </w:p>
        </w:tc>
        <w:tc>
          <w:tcPr>
            <w:tcW w:w="5400" w:type="dxa"/>
            <w:vAlign w:val="bottom"/>
          </w:tcPr>
          <w:p>
            <w:pPr>
              <w:ind w:left="1040"/>
              <w:spacing w:after="0"/>
              <w:rPr>
                <w:sz w:val="20"/>
                <w:szCs w:val="20"/>
                <w:color w:val="auto"/>
              </w:rPr>
            </w:pPr>
            <w:r>
              <w:rPr>
                <w:rFonts w:ascii="Arial" w:cs="Arial" w:eastAsia="Arial" w:hAnsi="Arial"/>
                <w:sz w:val="14"/>
                <w:szCs w:val="14"/>
                <w:color w:val="auto"/>
              </w:rPr>
              <w:t>Ÿ High Tech Industries</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Business Services</w:t>
            </w:r>
          </w:p>
        </w:tc>
        <w:tc>
          <w:tcPr>
            <w:tcW w:w="5400" w:type="dxa"/>
            <w:vAlign w:val="bottom"/>
          </w:tcPr>
          <w:p>
            <w:pPr>
              <w:ind w:left="1040"/>
              <w:spacing w:after="0"/>
              <w:rPr>
                <w:sz w:val="20"/>
                <w:szCs w:val="20"/>
                <w:color w:val="auto"/>
              </w:rPr>
            </w:pPr>
            <w:r>
              <w:rPr>
                <w:rFonts w:ascii="Arial" w:cs="Arial" w:eastAsia="Arial" w:hAnsi="Arial"/>
                <w:sz w:val="14"/>
                <w:szCs w:val="14"/>
                <w:color w:val="auto"/>
                <w:w w:val="94"/>
              </w:rPr>
              <w:t>Ÿ Home &amp; Office Furnishings, Housewares &amp; Durable Consumer Products</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Cable Television</w:t>
            </w:r>
          </w:p>
        </w:tc>
        <w:tc>
          <w:tcPr>
            <w:tcW w:w="5400" w:type="dxa"/>
            <w:vAlign w:val="bottom"/>
          </w:tcPr>
          <w:p>
            <w:pPr>
              <w:ind w:left="1040"/>
              <w:spacing w:after="0"/>
              <w:rPr>
                <w:sz w:val="20"/>
                <w:szCs w:val="20"/>
                <w:color w:val="auto"/>
              </w:rPr>
            </w:pPr>
            <w:r>
              <w:rPr>
                <w:rFonts w:ascii="Arial" w:cs="Arial" w:eastAsia="Arial" w:hAnsi="Arial"/>
                <w:sz w:val="14"/>
                <w:szCs w:val="14"/>
                <w:color w:val="auto"/>
              </w:rPr>
              <w:t>Ÿ Hotels, Motels, Inns and Gaming</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Cargo Transportation</w:t>
            </w:r>
          </w:p>
        </w:tc>
        <w:tc>
          <w:tcPr>
            <w:tcW w:w="5400" w:type="dxa"/>
            <w:vAlign w:val="bottom"/>
          </w:tcPr>
          <w:p>
            <w:pPr>
              <w:ind w:left="1040"/>
              <w:spacing w:after="0"/>
              <w:rPr>
                <w:sz w:val="20"/>
                <w:szCs w:val="20"/>
                <w:color w:val="auto"/>
              </w:rPr>
            </w:pPr>
            <w:r>
              <w:rPr>
                <w:rFonts w:ascii="Arial" w:cs="Arial" w:eastAsia="Arial" w:hAnsi="Arial"/>
                <w:sz w:val="14"/>
                <w:szCs w:val="14"/>
                <w:color w:val="auto"/>
              </w:rPr>
              <w:t>Ÿ Insurance</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Chemicals, Plastics and Rubber</w:t>
            </w:r>
          </w:p>
        </w:tc>
        <w:tc>
          <w:tcPr>
            <w:tcW w:w="5400" w:type="dxa"/>
            <w:vAlign w:val="bottom"/>
          </w:tcPr>
          <w:p>
            <w:pPr>
              <w:ind w:left="1040"/>
              <w:spacing w:after="0"/>
              <w:rPr>
                <w:sz w:val="20"/>
                <w:szCs w:val="20"/>
                <w:color w:val="auto"/>
              </w:rPr>
            </w:pPr>
            <w:r>
              <w:rPr>
                <w:rFonts w:ascii="Arial" w:cs="Arial" w:eastAsia="Arial" w:hAnsi="Arial"/>
                <w:sz w:val="14"/>
                <w:szCs w:val="14"/>
                <w:color w:val="auto"/>
              </w:rPr>
              <w:t>Ÿ Leisure, Amusement, Motion Picture, Entertainment</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Communications</w:t>
            </w:r>
          </w:p>
        </w:tc>
        <w:tc>
          <w:tcPr>
            <w:tcW w:w="5400" w:type="dxa"/>
            <w:vAlign w:val="bottom"/>
          </w:tcPr>
          <w:p>
            <w:pPr>
              <w:ind w:left="1040"/>
              <w:spacing w:after="0"/>
              <w:rPr>
                <w:sz w:val="20"/>
                <w:szCs w:val="20"/>
                <w:color w:val="auto"/>
              </w:rPr>
            </w:pPr>
            <w:r>
              <w:rPr>
                <w:rFonts w:ascii="Arial" w:cs="Arial" w:eastAsia="Arial" w:hAnsi="Arial"/>
                <w:sz w:val="14"/>
                <w:szCs w:val="14"/>
                <w:color w:val="auto"/>
              </w:rPr>
              <w:t>Ÿ Logistics</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Consumer Products</w:t>
            </w:r>
          </w:p>
        </w:tc>
        <w:tc>
          <w:tcPr>
            <w:tcW w:w="5400" w:type="dxa"/>
            <w:vAlign w:val="bottom"/>
          </w:tcPr>
          <w:p>
            <w:pPr>
              <w:ind w:left="1040"/>
              <w:spacing w:after="0"/>
              <w:rPr>
                <w:sz w:val="20"/>
                <w:szCs w:val="20"/>
                <w:color w:val="auto"/>
              </w:rPr>
            </w:pPr>
            <w:r>
              <w:rPr>
                <w:rFonts w:ascii="Arial" w:cs="Arial" w:eastAsia="Arial" w:hAnsi="Arial"/>
                <w:sz w:val="14"/>
                <w:szCs w:val="14"/>
                <w:color w:val="auto"/>
              </w:rPr>
              <w:t>Ÿ Manufacturing / Basic Industries</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Containers Packaging &amp; Glass</w:t>
            </w:r>
          </w:p>
        </w:tc>
        <w:tc>
          <w:tcPr>
            <w:tcW w:w="5400" w:type="dxa"/>
            <w:vAlign w:val="bottom"/>
          </w:tcPr>
          <w:p>
            <w:pPr>
              <w:ind w:left="1040"/>
              <w:spacing w:after="0"/>
              <w:rPr>
                <w:sz w:val="20"/>
                <w:szCs w:val="20"/>
                <w:color w:val="auto"/>
              </w:rPr>
            </w:pPr>
            <w:r>
              <w:rPr>
                <w:rFonts w:ascii="Arial" w:cs="Arial" w:eastAsia="Arial" w:hAnsi="Arial"/>
                <w:sz w:val="14"/>
                <w:szCs w:val="14"/>
                <w:color w:val="auto"/>
              </w:rPr>
              <w:t>Ÿ Media</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Distribution</w:t>
            </w:r>
          </w:p>
        </w:tc>
        <w:tc>
          <w:tcPr>
            <w:tcW w:w="5400" w:type="dxa"/>
            <w:vAlign w:val="bottom"/>
          </w:tcPr>
          <w:p>
            <w:pPr>
              <w:ind w:left="1040"/>
              <w:spacing w:after="0"/>
              <w:rPr>
                <w:sz w:val="20"/>
                <w:szCs w:val="20"/>
                <w:color w:val="auto"/>
              </w:rPr>
            </w:pPr>
            <w:r>
              <w:rPr>
                <w:rFonts w:ascii="Arial" w:cs="Arial" w:eastAsia="Arial" w:hAnsi="Arial"/>
                <w:sz w:val="14"/>
                <w:szCs w:val="14"/>
                <w:color w:val="auto"/>
              </w:rPr>
              <w:t>Ÿ Oil and Gas</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Diversified/Conglomerate Manufacturing</w:t>
            </w:r>
          </w:p>
        </w:tc>
        <w:tc>
          <w:tcPr>
            <w:tcW w:w="5400" w:type="dxa"/>
            <w:vAlign w:val="bottom"/>
          </w:tcPr>
          <w:p>
            <w:pPr>
              <w:ind w:left="1040"/>
              <w:spacing w:after="0"/>
              <w:rPr>
                <w:sz w:val="20"/>
                <w:szCs w:val="20"/>
                <w:color w:val="auto"/>
              </w:rPr>
            </w:pPr>
            <w:r>
              <w:rPr>
                <w:rFonts w:ascii="Arial" w:cs="Arial" w:eastAsia="Arial" w:hAnsi="Arial"/>
                <w:sz w:val="14"/>
                <w:szCs w:val="14"/>
                <w:color w:val="auto"/>
              </w:rPr>
              <w:t>Ÿ Personal, Food and Miscellaneous Services</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Diversified/Conglomerate Services</w:t>
            </w:r>
          </w:p>
        </w:tc>
        <w:tc>
          <w:tcPr>
            <w:tcW w:w="5400" w:type="dxa"/>
            <w:vAlign w:val="bottom"/>
          </w:tcPr>
          <w:p>
            <w:pPr>
              <w:ind w:left="1040"/>
              <w:spacing w:after="0"/>
              <w:rPr>
                <w:sz w:val="20"/>
                <w:szCs w:val="20"/>
                <w:color w:val="auto"/>
              </w:rPr>
            </w:pPr>
            <w:r>
              <w:rPr>
                <w:rFonts w:ascii="Arial" w:cs="Arial" w:eastAsia="Arial" w:hAnsi="Arial"/>
                <w:sz w:val="14"/>
                <w:szCs w:val="14"/>
                <w:color w:val="auto"/>
              </w:rPr>
              <w:t>Ÿ Printing and Publishing</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Education</w:t>
            </w:r>
          </w:p>
        </w:tc>
        <w:tc>
          <w:tcPr>
            <w:tcW w:w="5400" w:type="dxa"/>
            <w:vAlign w:val="bottom"/>
          </w:tcPr>
          <w:p>
            <w:pPr>
              <w:ind w:left="1040"/>
              <w:spacing w:after="0"/>
              <w:rPr>
                <w:sz w:val="20"/>
                <w:szCs w:val="20"/>
                <w:color w:val="auto"/>
              </w:rPr>
            </w:pPr>
            <w:r>
              <w:rPr>
                <w:rFonts w:ascii="Arial" w:cs="Arial" w:eastAsia="Arial" w:hAnsi="Arial"/>
                <w:sz w:val="14"/>
                <w:szCs w:val="14"/>
                <w:color w:val="auto"/>
              </w:rPr>
              <w:t>Ÿ Retail Stores</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rPr>
              <w:t>Ÿ</w:t>
            </w:r>
          </w:p>
        </w:tc>
        <w:tc>
          <w:tcPr>
            <w:tcW w:w="3580" w:type="dxa"/>
            <w:vAlign w:val="bottom"/>
          </w:tcPr>
          <w:p>
            <w:pPr>
              <w:ind w:left="140"/>
              <w:spacing w:after="0"/>
              <w:rPr>
                <w:sz w:val="20"/>
                <w:szCs w:val="20"/>
                <w:color w:val="auto"/>
              </w:rPr>
            </w:pPr>
            <w:r>
              <w:rPr>
                <w:rFonts w:ascii="Arial" w:cs="Arial" w:eastAsia="Arial" w:hAnsi="Arial"/>
                <w:sz w:val="14"/>
                <w:szCs w:val="14"/>
                <w:color w:val="auto"/>
              </w:rPr>
              <w:t>Energy / Utilities</w:t>
            </w:r>
          </w:p>
        </w:tc>
        <w:tc>
          <w:tcPr>
            <w:tcW w:w="5400" w:type="dxa"/>
            <w:vAlign w:val="bottom"/>
          </w:tcPr>
          <w:p>
            <w:pPr>
              <w:ind w:left="1040"/>
              <w:spacing w:after="0"/>
              <w:rPr>
                <w:sz w:val="20"/>
                <w:szCs w:val="20"/>
                <w:color w:val="auto"/>
              </w:rPr>
            </w:pPr>
            <w:r>
              <w:rPr>
                <w:rFonts w:ascii="Arial" w:cs="Arial" w:eastAsia="Arial" w:hAnsi="Arial"/>
                <w:sz w:val="14"/>
                <w:szCs w:val="14"/>
                <w:color w:val="auto"/>
              </w:rPr>
              <w:t>Ÿ Telecommunications</w:t>
            </w:r>
          </w:p>
        </w:tc>
      </w:tr>
    </w:tbl>
    <w:p>
      <w:pPr>
        <w:spacing w:after="0" w:line="88" w:lineRule="exact"/>
        <w:rPr>
          <w:sz w:val="20"/>
          <w:szCs w:val="20"/>
          <w:color w:val="auto"/>
        </w:rPr>
      </w:pPr>
    </w:p>
    <w:p>
      <w:pPr>
        <w:ind w:left="740" w:hanging="381"/>
        <w:spacing w:after="0"/>
        <w:tabs>
          <w:tab w:leader="none" w:pos="7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Environmental Services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00"/>
          </w:cols>
          <w:pgMar w:left="320" w:top="121" w:right="37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9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Listed below are our top ten portfolio companies and industries represented as a percentage of our consolidated portfolio assets (excluding cash equivalents)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1540" w:type="dxa"/>
            <w:vAlign w:val="bottom"/>
          </w:tcPr>
          <w:p>
            <w:pPr>
              <w:ind w:left="180"/>
              <w:spacing w:after="0"/>
              <w:rPr>
                <w:sz w:val="20"/>
                <w:szCs w:val="20"/>
                <w:color w:val="auto"/>
              </w:rPr>
            </w:pPr>
            <w:r>
              <w:rPr>
                <w:rFonts w:ascii="Arial" w:cs="Arial" w:eastAsia="Arial" w:hAnsi="Arial"/>
                <w:sz w:val="14"/>
                <w:szCs w:val="14"/>
                <w:b w:val="1"/>
                <w:bCs w:val="1"/>
                <w:color w:val="auto"/>
              </w:rPr>
              <w:t>September 30, 2011</w:t>
            </w:r>
          </w:p>
        </w:tc>
        <w:tc>
          <w:tcPr>
            <w:tcW w:w="3580" w:type="dxa"/>
            <w:vAlign w:val="bottom"/>
            <w:gridSpan w:val="3"/>
          </w:tcPr>
          <w:p>
            <w:pPr>
              <w:ind w:left="40"/>
              <w:spacing w:after="0"/>
              <w:rPr>
                <w:sz w:val="20"/>
                <w:szCs w:val="20"/>
                <w:color w:val="auto"/>
              </w:rPr>
            </w:pPr>
            <w:r>
              <w:rPr>
                <w:rFonts w:ascii="Arial" w:cs="Arial" w:eastAsia="Arial" w:hAnsi="Arial"/>
                <w:sz w:val="14"/>
                <w:szCs w:val="14"/>
                <w:b w:val="1"/>
                <w:bCs w:val="1"/>
                <w:color w:val="auto"/>
              </w:rPr>
              <w:t>Industry</w:t>
            </w:r>
          </w:p>
        </w:tc>
        <w:tc>
          <w:tcPr>
            <w:tcW w:w="1520" w:type="dxa"/>
            <w:vAlign w:val="bottom"/>
          </w:tcPr>
          <w:p>
            <w:pPr>
              <w:ind w:left="160"/>
              <w:spacing w:after="0"/>
              <w:rPr>
                <w:sz w:val="20"/>
                <w:szCs w:val="20"/>
                <w:color w:val="auto"/>
              </w:rPr>
            </w:pPr>
            <w:r>
              <w:rPr>
                <w:rFonts w:ascii="Arial" w:cs="Arial" w:eastAsia="Arial" w:hAnsi="Arial"/>
                <w:sz w:val="14"/>
                <w:szCs w:val="14"/>
                <w:b w:val="1"/>
                <w:bCs w:val="1"/>
                <w:color w:val="auto"/>
              </w:rPr>
              <w:t>September 30, 2011</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Ernest Health, Inc.</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6%</w:t>
            </w:r>
          </w:p>
        </w:tc>
        <w:tc>
          <w:tcPr>
            <w:tcW w:w="35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Business Services</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r>
      <w:tr>
        <w:trPr>
          <w:trHeight w:val="197"/>
        </w:trPr>
        <w:tc>
          <w:tcPr>
            <w:tcW w:w="4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1540" w:type="dxa"/>
            <w:vAlign w:val="bottom"/>
          </w:tcPr>
          <w:p>
            <w:pPr>
              <w:jc w:val="center"/>
              <w:spacing w:after="0"/>
              <w:rPr>
                <w:sz w:val="20"/>
                <w:szCs w:val="20"/>
                <w:color w:val="auto"/>
              </w:rPr>
            </w:pPr>
            <w:r>
              <w:rPr>
                <w:rFonts w:ascii="Arial" w:cs="Arial" w:eastAsia="Arial" w:hAnsi="Arial"/>
                <w:sz w:val="14"/>
                <w:szCs w:val="14"/>
                <w:color w:val="auto"/>
              </w:rPr>
              <w:t>6</w:t>
            </w:r>
          </w:p>
        </w:tc>
        <w:tc>
          <w:tcPr>
            <w:tcW w:w="3580" w:type="dxa"/>
            <w:vAlign w:val="bottom"/>
            <w:gridSpan w:val="3"/>
          </w:tcPr>
          <w:p>
            <w:pPr>
              <w:ind w:left="40"/>
              <w:spacing w:after="0"/>
              <w:rPr>
                <w:sz w:val="20"/>
                <w:szCs w:val="20"/>
                <w:color w:val="auto"/>
              </w:rPr>
            </w:pPr>
            <w:r>
              <w:rPr>
                <w:rFonts w:ascii="Arial" w:cs="Arial" w:eastAsia="Arial" w:hAnsi="Arial"/>
                <w:sz w:val="14"/>
                <w:szCs w:val="14"/>
                <w:color w:val="auto"/>
              </w:rPr>
              <w:t>Healthcare and Pharmaceuticals</w:t>
            </w: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10</w:t>
            </w:r>
          </w:p>
        </w:tc>
      </w:tr>
      <w:tr>
        <w:trPr>
          <w:trHeight w:val="208"/>
        </w:trPr>
        <w:tc>
          <w:tcPr>
            <w:tcW w:w="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K2 Pure Solutions NoCal, L.P.</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35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Media: Advertising, Printing and Publishing</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w:t>
            </w:r>
          </w:p>
        </w:tc>
      </w:tr>
      <w:tr>
        <w:trPr>
          <w:trHeight w:val="197"/>
        </w:trPr>
        <w:tc>
          <w:tcPr>
            <w:tcW w:w="4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Mood Media Corporation</w:t>
            </w:r>
          </w:p>
        </w:tc>
        <w:tc>
          <w:tcPr>
            <w:tcW w:w="1540" w:type="dxa"/>
            <w:vAlign w:val="bottom"/>
          </w:tcPr>
          <w:p>
            <w:pPr>
              <w:jc w:val="center"/>
              <w:spacing w:after="0"/>
              <w:rPr>
                <w:sz w:val="20"/>
                <w:szCs w:val="20"/>
                <w:color w:val="auto"/>
              </w:rPr>
            </w:pPr>
            <w:r>
              <w:rPr>
                <w:rFonts w:ascii="Arial" w:cs="Arial" w:eastAsia="Arial" w:hAnsi="Arial"/>
                <w:sz w:val="14"/>
                <w:szCs w:val="14"/>
                <w:color w:val="auto"/>
              </w:rPr>
              <w:t>5</w:t>
            </w:r>
          </w:p>
        </w:tc>
        <w:tc>
          <w:tcPr>
            <w:tcW w:w="3580" w:type="dxa"/>
            <w:vAlign w:val="bottom"/>
            <w:gridSpan w:val="3"/>
          </w:tcPr>
          <w:p>
            <w:pPr>
              <w:ind w:left="40"/>
              <w:spacing w:after="0"/>
              <w:rPr>
                <w:sz w:val="20"/>
                <w:szCs w:val="20"/>
                <w:color w:val="auto"/>
              </w:rPr>
            </w:pPr>
            <w:r>
              <w:rPr>
                <w:rFonts w:ascii="Arial" w:cs="Arial" w:eastAsia="Arial" w:hAnsi="Arial"/>
                <w:sz w:val="14"/>
                <w:szCs w:val="14"/>
                <w:color w:val="auto"/>
              </w:rPr>
              <w:t>Hotel, Gaming and Leisure</w:t>
            </w:r>
          </w:p>
        </w:tc>
        <w:tc>
          <w:tcPr>
            <w:tcW w:w="1520" w:type="dxa"/>
            <w:vAlign w:val="bottom"/>
          </w:tcPr>
          <w:p>
            <w:pPr>
              <w:jc w:val="center"/>
              <w:spacing w:after="0"/>
              <w:rPr>
                <w:sz w:val="20"/>
                <w:szCs w:val="20"/>
                <w:color w:val="auto"/>
              </w:rPr>
            </w:pPr>
            <w:r>
              <w:rPr>
                <w:rFonts w:ascii="Arial" w:cs="Arial" w:eastAsia="Arial" w:hAnsi="Arial"/>
                <w:sz w:val="14"/>
                <w:szCs w:val="14"/>
                <w:color w:val="auto"/>
              </w:rPr>
              <w:t>9</w:t>
            </w:r>
          </w:p>
        </w:tc>
      </w:tr>
      <w:tr>
        <w:trPr>
          <w:trHeight w:val="208"/>
        </w:trPr>
        <w:tc>
          <w:tcPr>
            <w:tcW w:w="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Trusthouse Services Group, Inc.</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35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Consumer Goods: Durable</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r>
      <w:tr>
        <w:trPr>
          <w:trHeight w:val="197"/>
        </w:trPr>
        <w:tc>
          <w:tcPr>
            <w:tcW w:w="4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C.H.I. Overhead Doors, Inc.</w:t>
            </w:r>
          </w:p>
        </w:tc>
        <w:tc>
          <w:tcPr>
            <w:tcW w:w="1540" w:type="dxa"/>
            <w:vAlign w:val="bottom"/>
          </w:tcPr>
          <w:p>
            <w:pPr>
              <w:jc w:val="center"/>
              <w:spacing w:after="0"/>
              <w:rPr>
                <w:sz w:val="20"/>
                <w:szCs w:val="20"/>
                <w:color w:val="auto"/>
              </w:rPr>
            </w:pPr>
            <w:r>
              <w:rPr>
                <w:rFonts w:ascii="Arial" w:cs="Arial" w:eastAsia="Arial" w:hAnsi="Arial"/>
                <w:sz w:val="14"/>
                <w:szCs w:val="14"/>
                <w:color w:val="auto"/>
              </w:rPr>
              <w:t>4</w:t>
            </w:r>
          </w:p>
        </w:tc>
        <w:tc>
          <w:tcPr>
            <w:tcW w:w="3580" w:type="dxa"/>
            <w:vAlign w:val="bottom"/>
            <w:gridSpan w:val="3"/>
          </w:tcPr>
          <w:p>
            <w:pPr>
              <w:ind w:left="40"/>
              <w:spacing w:after="0"/>
              <w:rPr>
                <w:sz w:val="20"/>
                <w:szCs w:val="20"/>
                <w:color w:val="auto"/>
              </w:rPr>
            </w:pPr>
            <w:r>
              <w:rPr>
                <w:rFonts w:ascii="Arial" w:cs="Arial" w:eastAsia="Arial" w:hAnsi="Arial"/>
                <w:sz w:val="14"/>
                <w:szCs w:val="14"/>
                <w:color w:val="auto"/>
              </w:rPr>
              <w:t>Media: Diversified and Production</w:t>
            </w:r>
          </w:p>
        </w:tc>
        <w:tc>
          <w:tcPr>
            <w:tcW w:w="1520" w:type="dxa"/>
            <w:vAlign w:val="bottom"/>
          </w:tcPr>
          <w:p>
            <w:pPr>
              <w:jc w:val="center"/>
              <w:spacing w:after="0"/>
              <w:rPr>
                <w:sz w:val="20"/>
                <w:szCs w:val="20"/>
                <w:color w:val="auto"/>
              </w:rPr>
            </w:pPr>
            <w:r>
              <w:rPr>
                <w:rFonts w:ascii="Arial" w:cs="Arial" w:eastAsia="Arial" w:hAnsi="Arial"/>
                <w:sz w:val="14"/>
                <w:szCs w:val="14"/>
                <w:color w:val="auto"/>
              </w:rPr>
              <w:t>8</w:t>
            </w:r>
          </w:p>
        </w:tc>
      </w:tr>
      <w:tr>
        <w:trPr>
          <w:trHeight w:val="208"/>
        </w:trPr>
        <w:tc>
          <w:tcPr>
            <w:tcW w:w="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KIK Custom Products Inc.</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35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Beverage, Food and Tobacco</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r>
      <w:tr>
        <w:trPr>
          <w:trHeight w:val="197"/>
        </w:trPr>
        <w:tc>
          <w:tcPr>
            <w:tcW w:w="4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Triple Point Technology, Inc.</w:t>
            </w:r>
          </w:p>
        </w:tc>
        <w:tc>
          <w:tcPr>
            <w:tcW w:w="1540" w:type="dxa"/>
            <w:vAlign w:val="bottom"/>
          </w:tcPr>
          <w:p>
            <w:pPr>
              <w:jc w:val="center"/>
              <w:spacing w:after="0"/>
              <w:rPr>
                <w:sz w:val="20"/>
                <w:szCs w:val="20"/>
                <w:color w:val="auto"/>
              </w:rPr>
            </w:pPr>
            <w:r>
              <w:rPr>
                <w:rFonts w:ascii="Arial" w:cs="Arial" w:eastAsia="Arial" w:hAnsi="Arial"/>
                <w:sz w:val="14"/>
                <w:szCs w:val="14"/>
                <w:color w:val="auto"/>
              </w:rPr>
              <w:t>4</w:t>
            </w:r>
          </w:p>
        </w:tc>
        <w:tc>
          <w:tcPr>
            <w:tcW w:w="3580" w:type="dxa"/>
            <w:vAlign w:val="bottom"/>
            <w:gridSpan w:val="3"/>
          </w:tcPr>
          <w:p>
            <w:pPr>
              <w:ind w:left="40"/>
              <w:spacing w:after="0"/>
              <w:rPr>
                <w:sz w:val="20"/>
                <w:szCs w:val="20"/>
                <w:color w:val="auto"/>
              </w:rPr>
            </w:pPr>
            <w:r>
              <w:rPr>
                <w:rFonts w:ascii="Arial" w:cs="Arial" w:eastAsia="Arial" w:hAnsi="Arial"/>
                <w:sz w:val="14"/>
                <w:szCs w:val="14"/>
                <w:color w:val="auto"/>
              </w:rPr>
              <w:t>Chemicals, Plastics and Rubber</w:t>
            </w:r>
          </w:p>
        </w:tc>
        <w:tc>
          <w:tcPr>
            <w:tcW w:w="1520" w:type="dxa"/>
            <w:vAlign w:val="bottom"/>
          </w:tcPr>
          <w:p>
            <w:pPr>
              <w:jc w:val="center"/>
              <w:spacing w:after="0"/>
              <w:rPr>
                <w:sz w:val="20"/>
                <w:szCs w:val="20"/>
                <w:color w:val="auto"/>
              </w:rPr>
            </w:pPr>
            <w:r>
              <w:rPr>
                <w:rFonts w:ascii="Arial" w:cs="Arial" w:eastAsia="Arial" w:hAnsi="Arial"/>
                <w:sz w:val="14"/>
                <w:szCs w:val="14"/>
                <w:color w:val="auto"/>
              </w:rPr>
              <w:t>5</w:t>
            </w:r>
          </w:p>
        </w:tc>
      </w:tr>
      <w:tr>
        <w:trPr>
          <w:trHeight w:val="208"/>
        </w:trPr>
        <w:tc>
          <w:tcPr>
            <w:tcW w:w="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Viamedia Services Corp.</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35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Telecommunications</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190"/>
        </w:trPr>
        <w:tc>
          <w:tcPr>
            <w:tcW w:w="4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Yonkers Racing Corporation</w:t>
            </w:r>
          </w:p>
        </w:tc>
        <w:tc>
          <w:tcPr>
            <w:tcW w:w="1540" w:type="dxa"/>
            <w:vAlign w:val="bottom"/>
          </w:tcPr>
          <w:p>
            <w:pPr>
              <w:jc w:val="center"/>
              <w:spacing w:after="0"/>
              <w:rPr>
                <w:sz w:val="20"/>
                <w:szCs w:val="20"/>
                <w:color w:val="auto"/>
              </w:rPr>
            </w:pPr>
            <w:r>
              <w:rPr>
                <w:rFonts w:ascii="Arial" w:cs="Arial" w:eastAsia="Arial" w:hAnsi="Arial"/>
                <w:sz w:val="14"/>
                <w:szCs w:val="14"/>
                <w:color w:val="auto"/>
              </w:rPr>
              <w:t>4</w:t>
            </w:r>
          </w:p>
        </w:tc>
        <w:tc>
          <w:tcPr>
            <w:tcW w:w="3580" w:type="dxa"/>
            <w:vAlign w:val="bottom"/>
            <w:gridSpan w:val="3"/>
          </w:tcPr>
          <w:p>
            <w:pPr>
              <w:ind w:left="40"/>
              <w:spacing w:after="0"/>
              <w:rPr>
                <w:sz w:val="20"/>
                <w:szCs w:val="20"/>
                <w:color w:val="auto"/>
              </w:rPr>
            </w:pPr>
            <w:r>
              <w:rPr>
                <w:rFonts w:ascii="Arial" w:cs="Arial" w:eastAsia="Arial" w:hAnsi="Arial"/>
                <w:sz w:val="14"/>
                <w:szCs w:val="14"/>
                <w:color w:val="auto"/>
              </w:rPr>
              <w:t>Automotive</w:t>
            </w:r>
          </w:p>
        </w:tc>
        <w:tc>
          <w:tcPr>
            <w:tcW w:w="1520" w:type="dxa"/>
            <w:vAlign w:val="bottom"/>
          </w:tcPr>
          <w:p>
            <w:pPr>
              <w:jc w:val="center"/>
              <w:spacing w:after="0"/>
              <w:rPr>
                <w:sz w:val="20"/>
                <w:szCs w:val="20"/>
                <w:color w:val="auto"/>
              </w:rPr>
            </w:pPr>
            <w:r>
              <w:rPr>
                <w:rFonts w:ascii="Arial" w:cs="Arial" w:eastAsia="Arial" w:hAnsi="Arial"/>
                <w:sz w:val="14"/>
                <w:szCs w:val="14"/>
                <w:color w:val="auto"/>
              </w:rPr>
              <w:t>4</w:t>
            </w:r>
          </w:p>
        </w:tc>
      </w:tr>
    </w:tbl>
    <w:p>
      <w:pPr>
        <w:spacing w:after="0" w:line="317" w:lineRule="exact"/>
        <w:rPr>
          <w:sz w:val="20"/>
          <w:szCs w:val="20"/>
          <w:color w:val="auto"/>
        </w:rPr>
      </w:pPr>
    </w:p>
    <w:p>
      <w:pPr>
        <w:ind w:right="60" w:firstLine="432"/>
        <w:spacing w:after="0" w:line="245" w:lineRule="auto"/>
        <w:rPr>
          <w:sz w:val="20"/>
          <w:szCs w:val="20"/>
          <w:color w:val="auto"/>
        </w:rPr>
      </w:pPr>
      <w:r>
        <w:rPr>
          <w:rFonts w:ascii="Arial" w:cs="Arial" w:eastAsia="Arial" w:hAnsi="Arial"/>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another affiliated fund, a publicly-traded BDC. Accordingly, they may have obligations to investors in that entity,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39" w:lineRule="exact"/>
        <w:rPr>
          <w:sz w:val="20"/>
          <w:szCs w:val="20"/>
          <w:color w:val="auto"/>
        </w:rPr>
      </w:pPr>
    </w:p>
    <w:p>
      <w:pPr>
        <w:ind w:right="80" w:firstLine="432"/>
        <w:spacing w:after="0" w:line="252"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Floating Rate Capital Ltd.,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34"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On September 30, 2011, our portfolio consisted of 38 companies and was invested 85% in senior secured loans, 9% in second lien secured debt and 6% in subordinated debt, preferred and common equity investments.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Due diligence</w:t>
      </w:r>
    </w:p>
    <w:p>
      <w:pPr>
        <w:spacing w:after="0" w:line="82"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due diligence typically includes:</w:t>
      </w:r>
    </w:p>
    <w:p>
      <w:pPr>
        <w:spacing w:after="0" w:line="55"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review of loan documents;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background checks; and</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research relating to the company’s management, industry, markets, products and services and competitors.</w:t>
      </w:r>
    </w:p>
    <w:p>
      <w:pPr>
        <w:spacing w:after="0" w:line="163" w:lineRule="exact"/>
        <w:rPr>
          <w:sz w:val="20"/>
          <w:szCs w:val="20"/>
          <w:color w:val="auto"/>
        </w:rPr>
      </w:pPr>
    </w:p>
    <w:p>
      <w:pPr>
        <w:ind w:right="120" w:firstLine="432"/>
        <w:spacing w:after="0" w:line="252" w:lineRule="auto"/>
        <w:rPr>
          <w:sz w:val="20"/>
          <w:szCs w:val="20"/>
          <w:color w:val="auto"/>
        </w:rPr>
      </w:pPr>
      <w:r>
        <w:rPr>
          <w:rFonts w:ascii="Arial" w:cs="Arial" w:eastAsia="Arial" w:hAnsi="Arial"/>
          <w:sz w:val="14"/>
          <w:szCs w:val="14"/>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34" w:lineRule="exact"/>
        <w:rPr>
          <w:sz w:val="20"/>
          <w:szCs w:val="20"/>
          <w:color w:val="auto"/>
        </w:rPr>
      </w:pPr>
    </w:p>
    <w:p>
      <w:pPr>
        <w:ind w:right="320" w:firstLine="432"/>
        <w:spacing w:after="0" w:line="27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133" w:lineRule="exact"/>
        <w:rPr>
          <w:sz w:val="20"/>
          <w:szCs w:val="20"/>
          <w:color w:val="auto"/>
        </w:rPr>
      </w:pPr>
    </w:p>
    <w:p>
      <w:pPr>
        <w:ind w:left="20" w:right="280" w:firstLine="392"/>
        <w:spacing w:after="0" w:line="269" w:lineRule="auto"/>
        <w:rPr>
          <w:sz w:val="20"/>
          <w:szCs w:val="20"/>
          <w:color w:val="auto"/>
        </w:rPr>
      </w:pPr>
      <w:r>
        <w:rPr>
          <w:rFonts w:ascii="Arial" w:cs="Arial" w:eastAsia="Arial" w:hAnsi="Arial"/>
          <w:sz w:val="13"/>
          <w:szCs w:val="13"/>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w:t>
      </w:r>
    </w:p>
    <w:p>
      <w:pPr>
        <w:spacing w:after="0" w:line="1" w:lineRule="exact"/>
        <w:rPr>
          <w:sz w:val="20"/>
          <w:szCs w:val="20"/>
          <w:color w:val="auto"/>
        </w:rPr>
      </w:pPr>
    </w:p>
    <w:p>
      <w:pPr>
        <w:ind w:left="20" w:right="180" w:firstLine="1"/>
        <w:spacing w:after="0" w:line="248" w:lineRule="auto"/>
        <w:tabs>
          <w:tab w:leader="none" w:pos="224"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50" w:lineRule="exact"/>
        <w:rPr>
          <w:sz w:val="20"/>
          <w:szCs w:val="20"/>
          <w:color w:val="auto"/>
        </w:rPr>
      </w:pPr>
    </w:p>
    <w:p>
      <w:pPr>
        <w:ind w:left="20" w:right="200" w:firstLine="392"/>
        <w:spacing w:after="0" w:line="257" w:lineRule="auto"/>
        <w:rPr>
          <w:sz w:val="20"/>
          <w:szCs w:val="20"/>
          <w:color w:val="auto"/>
        </w:rPr>
      </w:pPr>
      <w:r>
        <w:rPr>
          <w:rFonts w:ascii="Arial" w:cs="Arial" w:eastAsia="Arial" w:hAnsi="Arial"/>
          <w:sz w:val="14"/>
          <w:szCs w:val="14"/>
          <w:color w:val="auto"/>
        </w:rPr>
        <w:t>Under normal market conditions, we expect that at least 80% of our Managed Assets will be invested in Floating Rate Loans and investments with similar economic characteristics, including cash equivalents invested in money market funds. This policy is not fundamental and may be changed by our board of directors with at least 60 days' prior written notice provided to stockholders.</w:t>
      </w:r>
    </w:p>
    <w:p>
      <w:pPr>
        <w:spacing w:after="0" w:line="77" w:lineRule="exact"/>
        <w:rPr>
          <w:sz w:val="20"/>
          <w:szCs w:val="20"/>
          <w:color w:val="auto"/>
        </w:rPr>
      </w:pPr>
    </w:p>
    <w:p>
      <w:pPr>
        <w:ind w:right="80" w:firstLine="405"/>
        <w:spacing w:after="0" w:line="268" w:lineRule="auto"/>
        <w:rPr>
          <w:sz w:val="20"/>
          <w:szCs w:val="20"/>
          <w:color w:val="auto"/>
        </w:rPr>
      </w:pPr>
      <w:r>
        <w:rPr>
          <w:rFonts w:ascii="Arial" w:cs="Arial" w:eastAsia="Arial" w:hAnsi="Arial"/>
          <w:sz w:val="13"/>
          <w:szCs w:val="13"/>
          <w:color w:val="auto"/>
        </w:rPr>
        <w:t>The Investment Adviser seeks to achieve our investment objective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73" w:lineRule="exact"/>
        <w:rPr>
          <w:sz w:val="20"/>
          <w:szCs w:val="20"/>
          <w:color w:val="auto"/>
        </w:rPr>
      </w:pPr>
    </w:p>
    <w:p>
      <w:pPr>
        <w:jc w:val="both"/>
        <w:ind w:right="160" w:firstLine="405"/>
        <w:spacing w:after="0" w:line="257" w:lineRule="auto"/>
        <w:rPr>
          <w:sz w:val="20"/>
          <w:szCs w:val="20"/>
          <w:color w:val="auto"/>
        </w:rPr>
      </w:pPr>
      <w:r>
        <w:rPr>
          <w:rFonts w:ascii="Arial" w:cs="Arial" w:eastAsia="Arial" w:hAnsi="Arial"/>
          <w:sz w:val="14"/>
          <w:szCs w:val="14"/>
          <w:color w:val="auto"/>
        </w:rPr>
        <w:t>While our investment objective is to seek high current income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Investment structure</w:t>
      </w:r>
    </w:p>
    <w:p>
      <w:pPr>
        <w:spacing w:after="0" w:line="82" w:lineRule="exact"/>
        <w:rPr>
          <w:sz w:val="20"/>
          <w:szCs w:val="20"/>
          <w:color w:val="auto"/>
        </w:rPr>
      </w:pPr>
    </w:p>
    <w:p>
      <w:pPr>
        <w:ind w:right="40" w:firstLine="432"/>
        <w:spacing w:after="0" w:line="257"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31" w:lineRule="exact"/>
        <w:rPr>
          <w:sz w:val="20"/>
          <w:szCs w:val="20"/>
          <w:color w:val="auto"/>
        </w:rPr>
      </w:pPr>
    </w:p>
    <w:p>
      <w:pPr>
        <w:ind w:right="160" w:firstLine="432"/>
        <w:spacing w:after="0" w:line="273" w:lineRule="auto"/>
        <w:rPr>
          <w:sz w:val="20"/>
          <w:szCs w:val="20"/>
          <w:color w:val="auto"/>
        </w:rPr>
      </w:pPr>
      <w:r>
        <w:rPr>
          <w:rFonts w:ascii="Arial" w:cs="Arial" w:eastAsia="Arial" w:hAnsi="Arial"/>
          <w:sz w:val="14"/>
          <w:szCs w:val="14"/>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20" w:lineRule="exact"/>
        <w:rPr>
          <w:sz w:val="20"/>
          <w:szCs w:val="20"/>
          <w:color w:val="auto"/>
        </w:rPr>
      </w:pPr>
    </w:p>
    <w:p>
      <w:pPr>
        <w:ind w:right="100" w:firstLine="432"/>
        <w:spacing w:after="0" w:line="286" w:lineRule="auto"/>
        <w:rPr>
          <w:sz w:val="20"/>
          <w:szCs w:val="20"/>
          <w:color w:val="auto"/>
        </w:rPr>
      </w:pPr>
      <w:r>
        <w:rPr>
          <w:rFonts w:ascii="Arial" w:cs="Arial" w:eastAsia="Arial" w:hAnsi="Arial"/>
          <w:sz w:val="13"/>
          <w:szCs w:val="13"/>
          <w:color w:val="auto"/>
        </w:rPr>
        <w:t>Certain Floating Rate Loans may have interest-only payments in the early years, cash or payment-in-kind, or PIK, payments with amortization of principal deferred to the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4"/>
          <w:szCs w:val="14"/>
          <w:color w:val="auto"/>
        </w:rPr>
        <w:t>In the case of our Floating Rate Loans,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25"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4"/>
          <w:szCs w:val="14"/>
          <w:color w:val="auto"/>
        </w:rPr>
        <w:t>requiring a total return on our investments (including both interest and potential equity appreciation) that compensates us for credit risk;</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4"/>
          <w:szCs w:val="14"/>
          <w:color w:val="auto"/>
        </w:rPr>
        <w:t>incorporating “put” rights and call protection into the investment structure; and</w:t>
      </w:r>
    </w:p>
    <w:p>
      <w:pPr>
        <w:spacing w:after="0" w:line="87" w:lineRule="exact"/>
        <w:rPr>
          <w:rFonts w:ascii="Arial" w:cs="Arial" w:eastAsia="Arial" w:hAnsi="Arial"/>
          <w:sz w:val="18"/>
          <w:szCs w:val="18"/>
          <w:color w:val="auto"/>
        </w:rPr>
      </w:pPr>
    </w:p>
    <w:p>
      <w:pPr>
        <w:ind w:left="820" w:right="420" w:hanging="326"/>
        <w:spacing w:after="0" w:line="295"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33" w:lineRule="exact"/>
        <w:rPr>
          <w:sz w:val="20"/>
          <w:szCs w:val="20"/>
          <w:color w:val="auto"/>
        </w:rPr>
      </w:pPr>
    </w:p>
    <w:p>
      <w:pPr>
        <w:ind w:firstLine="432"/>
        <w:spacing w:after="0" w:line="249"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37" w:lineRule="exact"/>
        <w:rPr>
          <w:sz w:val="20"/>
          <w:szCs w:val="20"/>
          <w:color w:val="auto"/>
        </w:rPr>
      </w:pPr>
    </w:p>
    <w:p>
      <w:pPr>
        <w:ind w:right="140" w:firstLine="432"/>
        <w:spacing w:after="0" w:line="273" w:lineRule="auto"/>
        <w:rPr>
          <w:sz w:val="20"/>
          <w:szCs w:val="20"/>
          <w:color w:val="auto"/>
        </w:rPr>
      </w:pPr>
      <w:r>
        <w:rPr>
          <w:rFonts w:ascii="Arial" w:cs="Arial" w:eastAsia="Arial" w:hAnsi="Arial"/>
          <w:sz w:val="14"/>
          <w:szCs w:val="14"/>
          <w:color w:val="auto"/>
        </w:rPr>
        <w:t>We expect to hold most of our investments to maturity, but may sell certain investments earlier if a liquidity event takes place, such as the sale or refinancing of a portfolio company. We also may turn over investments to better position the portfolio in light of market conditions.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Monitoring</w:t>
      </w:r>
    </w:p>
    <w:p>
      <w:pPr>
        <w:spacing w:after="0" w:line="82" w:lineRule="exact"/>
        <w:rPr>
          <w:sz w:val="20"/>
          <w:szCs w:val="20"/>
          <w:color w:val="auto"/>
        </w:rPr>
      </w:pPr>
    </w:p>
    <w:p>
      <w:pPr>
        <w:ind w:right="100" w:firstLine="432"/>
        <w:spacing w:after="0" w:line="27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they are meeting their respective business plans and to assess the appropriate course of action for each company.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57"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4"/>
          <w:szCs w:val="14"/>
          <w:color w:val="auto"/>
        </w:rPr>
        <w:t>Assessment of success in adhering to portfolio company’s business plan and compliance with covenants;</w:t>
      </w:r>
    </w:p>
    <w:p>
      <w:pPr>
        <w:spacing w:after="0" w:line="87" w:lineRule="exact"/>
        <w:rPr>
          <w:rFonts w:ascii="Arial" w:cs="Arial" w:eastAsia="Arial" w:hAnsi="Arial"/>
          <w:sz w:val="18"/>
          <w:szCs w:val="18"/>
          <w:color w:val="auto"/>
        </w:rPr>
      </w:pPr>
    </w:p>
    <w:p>
      <w:pPr>
        <w:ind w:left="820" w:right="840" w:hanging="326"/>
        <w:spacing w:after="0" w:line="285"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4"/>
          <w:szCs w:val="14"/>
          <w:color w:val="auto"/>
        </w:rPr>
        <w:t>Periodic and regular contact with portfolio company management and, if appropriate, the financial or strategic sponsor, to discuss financial position, requirements and accomplishments;</w:t>
      </w:r>
    </w:p>
    <w:p>
      <w:pPr>
        <w:spacing w:after="0" w:line="24"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4"/>
          <w:szCs w:val="14"/>
          <w:color w:val="auto"/>
        </w:rPr>
        <w:t>Comparisons to other portfolio companies in the industry, if 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4"/>
          <w:szCs w:val="14"/>
          <w:color w:val="auto"/>
        </w:rPr>
        <w:t>Attendance at and participation in board meetings or presentations by portfolio companies;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4"/>
          <w:szCs w:val="14"/>
          <w:color w:val="auto"/>
        </w:rPr>
        <w:t>Review of monthly and quarterly financial statements and financial projections for portfolio companies.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82"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We offer managerial assistance to our portfolio companies. As a BDC, we are required to make available such managerial assistance within the meaning of Section 55 of the 1940 Act. See “Regulation” for more information.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Staffing</w:t>
      </w:r>
    </w:p>
    <w:p>
      <w:pPr>
        <w:spacing w:after="0" w:line="82" w:lineRule="exact"/>
        <w:rPr>
          <w:sz w:val="20"/>
          <w:szCs w:val="20"/>
          <w:color w:val="auto"/>
        </w:rPr>
      </w:pPr>
    </w:p>
    <w:p>
      <w:pPr>
        <w:ind w:right="240" w:firstLine="432"/>
        <w:spacing w:after="0" w:line="27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have entered into the Investment Management Agreement with the Investment Adviser under which the Investment Adviser, subject to the overall supervision of our board of</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directors, manages the day-to-day operations of and provides investment advisory services to us. Under the terms of our Investment Management Agreement, PennantPark Investment Advisers:</w:t>
      </w:r>
    </w:p>
    <w:p>
      <w:pPr>
        <w:spacing w:after="0" w:line="57"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4"/>
          <w:szCs w:val="14"/>
          <w:color w:val="auto"/>
        </w:rPr>
        <w:t>closes and monitors the investments we make.</w:t>
      </w:r>
    </w:p>
    <w:p>
      <w:pPr>
        <w:spacing w:after="0" w:line="169" w:lineRule="exact"/>
        <w:rPr>
          <w:sz w:val="20"/>
          <w:szCs w:val="20"/>
          <w:color w:val="auto"/>
        </w:rPr>
      </w:pPr>
    </w:p>
    <w:p>
      <w:pPr>
        <w:ind w:right="220" w:firstLine="432"/>
        <w:spacing w:after="0" w:line="252"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Floating Rate Capital Ltd., consisting of two components—a base management fee and an incentive fee (collectively, “Management Fees”).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82" w:lineRule="exact"/>
        <w:rPr>
          <w:sz w:val="20"/>
          <w:szCs w:val="20"/>
          <w:color w:val="auto"/>
        </w:rPr>
      </w:pPr>
    </w:p>
    <w:p>
      <w:pPr>
        <w:ind w:firstLine="432"/>
        <w:spacing w:after="0" w:line="246" w:lineRule="auto"/>
        <w:rPr>
          <w:sz w:val="20"/>
          <w:szCs w:val="20"/>
          <w:color w:val="auto"/>
        </w:rPr>
      </w:pPr>
      <w:r>
        <w:rPr>
          <w:rFonts w:ascii="Arial" w:cs="Arial" w:eastAsia="Arial" w:hAnsi="Arial"/>
          <w:sz w:val="14"/>
          <w:szCs w:val="14"/>
          <w:color w:val="auto"/>
        </w:rPr>
        <w:t>The base management fee is calculated at an annual rate of 1.00% of our gross assets (net of U.S. Treasury Bills and/or temporary draws on the Credit Facility or “average adjusted gross assets,” if any).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 and payable in arrears. PennantPark Investment Advisers, however, has agreed to waive the portion of the base management fee payable on any net proceeds of the initial offering that have not yet been invested in portfolio investments, inclusive of any temporary investments in cash, cash equivalents, U.S. government securities and other high-quality investment grade debt investments that mature in 12 months or less from the date of investment. For the period from March 4, 2011 (commencement of operations) to September 30, 2011, the Investment Adviser earned base management fees of $0.4 million.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63" w:lineRule="exact"/>
        <w:rPr>
          <w:sz w:val="20"/>
          <w:szCs w:val="20"/>
          <w:color w:val="auto"/>
        </w:rPr>
      </w:pPr>
    </w:p>
    <w:p>
      <w:pPr>
        <w:ind w:right="40" w:firstLine="432"/>
        <w:spacing w:after="0" w:line="263"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 1.75% per quarter (7.00% annualized). We have agreed to pay PennantPark Investment Advisers an incentive fee with respect to our Pre-Incentive Fee Net Investment Income in each calendar quarter as follows: (1) no incentive fee in any calendar quarter in which PennantPark Floating Rate Capital Ltd.'s Pre-Incentive Fee Net Income does not exceed the hurdle rate of 1.75%, (2) 50% of our Pre-Incentive Fee Net Investment Income with respect to that portion of such Pre-Incentive Fee Net Investment Income, if any, that exceeds the Hurdle but is less than 2.9167% in any calendar quarter (11.67% annualized). We refer to this portion of our Pre-Incentive Fee Net Investment Income (which exceeds the Hurdle but is less than 2.9167%) as the “catch-up.” The “catch-up”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(11.67% annualized) is payable to our Investment Adviser (once the Hurdle is reached and the catch-up is achieved, 20% of all Pre-Incentive Fee Investment Income thereafter is allocated to our Investment Adviser).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following is a graphical representation of calculation of quarterly incentive fee based on Net Investment Income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210820</wp:posOffset>
            </wp:positionV>
            <wp:extent cx="236601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0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Percentage of pre-incentive fee net investment income</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allocated to income-related portion of incentive fee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1"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These calculations will be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the Investment Adviser with respect to Pre-Incentive Fee Net Investment Income.</w:t>
      </w:r>
    </w:p>
    <w:p>
      <w:pPr>
        <w:spacing w:after="0" w:line="134" w:lineRule="exact"/>
        <w:rPr>
          <w:sz w:val="20"/>
          <w:szCs w:val="20"/>
          <w:color w:val="auto"/>
        </w:rPr>
      </w:pPr>
    </w:p>
    <w:p>
      <w:pPr>
        <w:ind w:right="20" w:firstLine="432"/>
        <w:spacing w:after="0" w:line="270"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2011 will be calculated for a period of shorter than twelve calendar months to take into account any realized capital gains computed net of all realized capital losses and unrealized capital depreciation from the inception of PennantPark Floating Rate Capital Ltd. The performance based incentive fee on capital gains due to our investment adviser as calculated under the investment management agreement for the period from March 1, 2011 (commencement of operations) to September 30, 2011, resulted in no accrual.</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Assumptions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Investment income (including interest, distributions, fees, etc.) = 1.25%</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Hurdle</w:t>
      </w:r>
      <w:r>
        <w:rPr>
          <w:rFonts w:ascii="Arial" w:cs="Arial" w:eastAsia="Arial" w:hAnsi="Arial"/>
          <w:sz w:val="8"/>
          <w:szCs w:val="8"/>
          <w:color w:val="auto"/>
        </w:rPr>
        <w:t>(1)</w:t>
      </w:r>
      <w:r>
        <w:rPr>
          <w:rFonts w:ascii="Arial" w:cs="Arial" w:eastAsia="Arial" w:hAnsi="Arial"/>
          <w:sz w:val="14"/>
          <w:szCs w:val="14"/>
          <w:color w:val="auto"/>
        </w:rPr>
        <w:t xml:space="preserve"> = 1.75%</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8"/>
          <w:szCs w:val="8"/>
          <w:color w:val="auto"/>
        </w:rPr>
        <w:t>(2)</w:t>
      </w:r>
      <w:r>
        <w:rPr>
          <w:rFonts w:ascii="Arial" w:cs="Arial" w:eastAsia="Arial" w:hAnsi="Arial"/>
          <w:sz w:val="14"/>
          <w:szCs w:val="14"/>
          <w:color w:val="auto"/>
        </w:rPr>
        <w:t xml:space="preserve"> = 0.25%</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8"/>
          <w:szCs w:val="8"/>
          <w:color w:val="auto"/>
        </w:rPr>
        <w:t>(3)</w:t>
      </w:r>
      <w:r>
        <w:rPr>
          <w:rFonts w:ascii="Arial" w:cs="Arial" w:eastAsia="Arial" w:hAnsi="Arial"/>
          <w:sz w:val="14"/>
          <w:szCs w:val="14"/>
          <w:color w:val="auto"/>
        </w:rPr>
        <w:t xml:space="preserve"> = 0.20%</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Pre-Incentive Fee Net Investment Income</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Pre-incentive net investment income does not exceed Hurdle; therefore there is no incentive fee.</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Assumptions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income (including interest, distributions, fees, etc.) = 2.70%</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Hurdle</w:t>
      </w:r>
      <w:r>
        <w:rPr>
          <w:rFonts w:ascii="Arial" w:cs="Arial" w:eastAsia="Arial" w:hAnsi="Arial"/>
          <w:sz w:val="8"/>
          <w:szCs w:val="8"/>
          <w:color w:val="auto"/>
        </w:rPr>
        <w:t>(1)</w:t>
      </w:r>
      <w:r>
        <w:rPr>
          <w:rFonts w:ascii="Arial" w:cs="Arial" w:eastAsia="Arial" w:hAnsi="Arial"/>
          <w:sz w:val="14"/>
          <w:szCs w:val="14"/>
          <w:color w:val="auto"/>
        </w:rPr>
        <w:t xml:space="preserve"> = 1.75%</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8"/>
          <w:szCs w:val="8"/>
          <w:color w:val="auto"/>
        </w:rPr>
        <w:t>(2)</w:t>
      </w:r>
      <w:r>
        <w:rPr>
          <w:rFonts w:ascii="Arial" w:cs="Arial" w:eastAsia="Arial" w:hAnsi="Arial"/>
          <w:sz w:val="14"/>
          <w:szCs w:val="14"/>
          <w:color w:val="auto"/>
        </w:rPr>
        <w:t xml:space="preserve"> = 0.25%</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8"/>
          <w:szCs w:val="8"/>
          <w:color w:val="auto"/>
        </w:rPr>
        <w:t>(3)</w:t>
      </w:r>
      <w:r>
        <w:rPr>
          <w:rFonts w:ascii="Arial" w:cs="Arial" w:eastAsia="Arial" w:hAnsi="Arial"/>
          <w:sz w:val="14"/>
          <w:szCs w:val="14"/>
          <w:color w:val="auto"/>
        </w:rPr>
        <w:t xml:space="preserve"> = 0.20%</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Pre-Incentive Fee Net Investment Income</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244" w:lineRule="exact"/>
        <w:rPr>
          <w:sz w:val="20"/>
          <w:szCs w:val="20"/>
          <w:color w:val="auto"/>
        </w:rPr>
      </w:pPr>
    </w:p>
    <w:p>
      <w:pPr>
        <w:ind w:left="500"/>
        <w:spacing w:after="0"/>
        <w:tabs>
          <w:tab w:leader="none" w:pos="168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50% x Pre-Incentive Fee Net Investment Income, subject to “catch-up”</w:t>
      </w:r>
      <w:r>
        <w:rPr>
          <w:rFonts w:ascii="Arial" w:cs="Arial" w:eastAsia="Arial" w:hAnsi="Arial"/>
          <w:sz w:val="8"/>
          <w:szCs w:val="8"/>
          <w:color w:val="auto"/>
        </w:rPr>
        <w:t>(4)</w:t>
      </w:r>
    </w:p>
    <w:p>
      <w:pPr>
        <w:spacing w:after="0" w:line="109" w:lineRule="exact"/>
        <w:rPr>
          <w:sz w:val="20"/>
          <w:szCs w:val="20"/>
          <w:color w:val="auto"/>
        </w:rPr>
      </w:pPr>
    </w:p>
    <w:p>
      <w:pPr>
        <w:ind w:left="1820" w:hanging="125"/>
        <w:spacing w:after="0"/>
        <w:tabs>
          <w:tab w:leader="none" w:pos="18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50% x (2.25% - 1.75%)</w:t>
      </w:r>
    </w:p>
    <w:p>
      <w:pPr>
        <w:spacing w:after="0" w:line="109" w:lineRule="exact"/>
        <w:rPr>
          <w:rFonts w:ascii="Arial" w:cs="Arial" w:eastAsia="Arial" w:hAnsi="Arial"/>
          <w:sz w:val="14"/>
          <w:szCs w:val="14"/>
          <w:color w:val="auto"/>
        </w:rPr>
      </w:pPr>
    </w:p>
    <w:p>
      <w:pPr>
        <w:ind w:left="1820" w:hanging="125"/>
        <w:spacing w:after="0"/>
        <w:tabs>
          <w:tab w:leader="none" w:pos="18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0.25%</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Assumptions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Investment income (including interest, distributions, fees, etc.) = 4.00%</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Hurdle</w:t>
      </w:r>
      <w:r>
        <w:rPr>
          <w:rFonts w:ascii="Arial" w:cs="Arial" w:eastAsia="Arial" w:hAnsi="Arial"/>
          <w:sz w:val="8"/>
          <w:szCs w:val="8"/>
          <w:color w:val="auto"/>
        </w:rPr>
        <w:t>(1)</w:t>
      </w:r>
      <w:r>
        <w:rPr>
          <w:rFonts w:ascii="Arial" w:cs="Arial" w:eastAsia="Arial" w:hAnsi="Arial"/>
          <w:sz w:val="14"/>
          <w:szCs w:val="14"/>
          <w:color w:val="auto"/>
        </w:rPr>
        <w:t xml:space="preserve"> = 1.75%</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8"/>
          <w:szCs w:val="8"/>
          <w:color w:val="auto"/>
        </w:rPr>
        <w:t>(2)</w:t>
      </w:r>
      <w:r>
        <w:rPr>
          <w:rFonts w:ascii="Arial" w:cs="Arial" w:eastAsia="Arial" w:hAnsi="Arial"/>
          <w:sz w:val="14"/>
          <w:szCs w:val="14"/>
          <w:color w:val="auto"/>
        </w:rPr>
        <w:t xml:space="preserve"> = 0.25%</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Other expenses (legal, accounting, custodian, transfer agent, etc.)</w:t>
      </w:r>
      <w:r>
        <w:rPr>
          <w:rFonts w:ascii="Arial" w:cs="Arial" w:eastAsia="Arial" w:hAnsi="Arial"/>
          <w:sz w:val="7"/>
          <w:szCs w:val="7"/>
          <w:color w:val="auto"/>
        </w:rPr>
        <w:t>(3)</w:t>
      </w:r>
      <w:r>
        <w:rPr>
          <w:rFonts w:ascii="Arial" w:cs="Arial" w:eastAsia="Arial" w:hAnsi="Arial"/>
          <w:sz w:val="12"/>
          <w:szCs w:val="12"/>
          <w:color w:val="auto"/>
        </w:rPr>
        <w:t xml:space="preserve"> = 0.20%</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Pre-Incentive Fee Net Investment Income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(investment income-(base management fee + other expenses)) = 3.55%</w:t>
      </w:r>
    </w:p>
    <w:p>
      <w:pPr>
        <w:sectPr>
          <w:pgSz w:w="11900" w:h="16838" w:orient="portrait"/>
          <w:cols w:equalWidth="0" w:num="1">
            <w:col w:w="11220"/>
          </w:cols>
          <w:pgMar w:left="320" w:top="122" w:right="359" w:bottom="1440" w:gutter="0" w:footer="0" w:header="0"/>
        </w:sectPr>
      </w:pPr>
    </w:p>
    <w:p>
      <w:pPr>
        <w:spacing w:after="0" w:line="325"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Incentive fee</w:t>
      </w:r>
    </w:p>
    <w:p>
      <w:pPr>
        <w:spacing w:after="0" w:line="53"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Incentive fee</w:t>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121" w:hanging="121"/>
        <w:spacing w:after="0"/>
        <w:tabs>
          <w:tab w:leader="none" w:pos="121" w:val="left"/>
        </w:tabs>
        <w:numPr>
          <w:ilvl w:val="0"/>
          <w:numId w:val="15"/>
        </w:numPr>
        <w:rPr>
          <w:rFonts w:ascii="Arial" w:cs="Arial" w:eastAsia="Arial" w:hAnsi="Arial"/>
          <w:sz w:val="14"/>
          <w:szCs w:val="14"/>
          <w:color w:val="auto"/>
        </w:rPr>
      </w:pPr>
      <w:r>
        <w:rPr>
          <w:rFonts w:ascii="Arial" w:cs="Arial" w:eastAsia="Arial" w:hAnsi="Arial"/>
          <w:sz w:val="14"/>
          <w:szCs w:val="14"/>
          <w:color w:val="auto"/>
        </w:rPr>
        <w:t>20% x Pre-Incentive Fee Net Investment Income, subject to “catch-up”</w:t>
      </w:r>
      <w:r>
        <w:rPr>
          <w:rFonts w:ascii="Arial" w:cs="Arial" w:eastAsia="Arial" w:hAnsi="Arial"/>
          <w:sz w:val="8"/>
          <w:szCs w:val="8"/>
          <w:color w:val="auto"/>
        </w:rPr>
        <w:t>(4)</w:t>
      </w:r>
    </w:p>
    <w:p>
      <w:pPr>
        <w:spacing w:after="0" w:line="109" w:lineRule="exact"/>
        <w:rPr>
          <w:rFonts w:ascii="Arial" w:cs="Arial" w:eastAsia="Arial" w:hAnsi="Arial"/>
          <w:sz w:val="14"/>
          <w:szCs w:val="14"/>
          <w:color w:val="auto"/>
        </w:rPr>
      </w:pPr>
    </w:p>
    <w:p>
      <w:pPr>
        <w:ind w:left="121" w:hanging="121"/>
        <w:spacing w:after="0"/>
        <w:tabs>
          <w:tab w:leader="none" w:pos="121" w:val="left"/>
        </w:tabs>
        <w:numPr>
          <w:ilvl w:val="0"/>
          <w:numId w:val="15"/>
        </w:numPr>
        <w:rPr>
          <w:rFonts w:ascii="Arial" w:cs="Arial" w:eastAsia="Arial" w:hAnsi="Arial"/>
          <w:sz w:val="13"/>
          <w:szCs w:val="13"/>
          <w:color w:val="auto"/>
        </w:rPr>
      </w:pPr>
      <w:r>
        <w:rPr>
          <w:rFonts w:ascii="Arial" w:cs="Arial" w:eastAsia="Arial" w:hAnsi="Arial"/>
          <w:sz w:val="13"/>
          <w:szCs w:val="13"/>
          <w:color w:val="auto"/>
        </w:rPr>
        <w:t>50% x "catch-up" + (20% x (Pre-Incentive Fee Net Investment Income - 2.9167%))</w:t>
      </w:r>
    </w:p>
    <w:p>
      <w:pPr>
        <w:spacing w:after="0" w:line="53" w:lineRule="exact"/>
        <w:rPr>
          <w:rFonts w:ascii="Arial" w:cs="Arial" w:eastAsia="Arial" w:hAnsi="Arial"/>
          <w:sz w:val="13"/>
          <w:szCs w:val="13"/>
          <w:color w:val="auto"/>
        </w:rPr>
      </w:pPr>
    </w:p>
    <w:p>
      <w:pPr>
        <w:ind w:left="1"/>
        <w:spacing w:after="0"/>
        <w:rPr>
          <w:rFonts w:ascii="Arial" w:cs="Arial" w:eastAsia="Arial" w:hAnsi="Arial"/>
          <w:sz w:val="13"/>
          <w:szCs w:val="13"/>
          <w:color w:val="auto"/>
        </w:rPr>
      </w:pPr>
      <w:r>
        <w:rPr>
          <w:rFonts w:ascii="Arial" w:cs="Arial" w:eastAsia="Arial" w:hAnsi="Arial"/>
          <w:sz w:val="14"/>
          <w:szCs w:val="14"/>
          <w:color w:val="auto"/>
        </w:rPr>
        <w:t>2.9167%-1.75%</w:t>
      </w:r>
    </w:p>
    <w:p>
      <w:pPr>
        <w:spacing w:after="0" w:line="109" w:lineRule="exact"/>
        <w:rPr>
          <w:sz w:val="20"/>
          <w:szCs w:val="20"/>
          <w:color w:val="auto"/>
        </w:rPr>
      </w:pPr>
    </w:p>
    <w:p>
      <w:pPr>
        <w:ind w:left="1"/>
        <w:spacing w:after="0"/>
        <w:rPr>
          <w:sz w:val="20"/>
          <w:szCs w:val="20"/>
          <w:color w:val="auto"/>
        </w:rPr>
      </w:pPr>
      <w:r>
        <w:rPr>
          <w:rFonts w:ascii="Arial" w:cs="Arial" w:eastAsia="Arial" w:hAnsi="Arial"/>
          <w:sz w:val="14"/>
          <w:szCs w:val="14"/>
          <w:color w:val="auto"/>
        </w:rPr>
        <w:t>=1.1667%</w:t>
      </w:r>
    </w:p>
    <w:p>
      <w:pPr>
        <w:spacing w:after="0" w:line="109" w:lineRule="exact"/>
        <w:rPr>
          <w:sz w:val="20"/>
          <w:szCs w:val="20"/>
          <w:color w:val="auto"/>
        </w:rPr>
      </w:pPr>
    </w:p>
    <w:p>
      <w:pPr>
        <w:ind w:left="1"/>
        <w:spacing w:after="0"/>
        <w:rPr>
          <w:sz w:val="20"/>
          <w:szCs w:val="20"/>
          <w:color w:val="auto"/>
        </w:rPr>
      </w:pPr>
      <w:r>
        <w:rPr>
          <w:rFonts w:ascii="Arial" w:cs="Arial" w:eastAsia="Arial" w:hAnsi="Arial"/>
          <w:sz w:val="14"/>
          <w:szCs w:val="14"/>
          <w:color w:val="auto"/>
        </w:rPr>
        <w:t>=(50% x 1.1667%) + (20% x (3.55% -2.9167%))</w:t>
      </w:r>
    </w:p>
    <w:p>
      <w:pPr>
        <w:spacing w:after="0" w:line="109" w:lineRule="exact"/>
        <w:rPr>
          <w:sz w:val="20"/>
          <w:szCs w:val="20"/>
          <w:color w:val="auto"/>
        </w:rPr>
      </w:pPr>
    </w:p>
    <w:p>
      <w:pPr>
        <w:ind w:left="1"/>
        <w:spacing w:after="0"/>
        <w:rPr>
          <w:sz w:val="20"/>
          <w:szCs w:val="20"/>
          <w:color w:val="auto"/>
        </w:rPr>
      </w:pPr>
      <w:r>
        <w:rPr>
          <w:rFonts w:ascii="Arial" w:cs="Arial" w:eastAsia="Arial" w:hAnsi="Arial"/>
          <w:sz w:val="14"/>
          <w:szCs w:val="14"/>
          <w:color w:val="auto"/>
        </w:rPr>
        <w:t>=0.5833% + (20% x 0.6333%)</w:t>
      </w:r>
    </w:p>
    <w:p>
      <w:pPr>
        <w:spacing w:after="0" w:line="109" w:lineRule="exact"/>
        <w:rPr>
          <w:sz w:val="20"/>
          <w:szCs w:val="20"/>
          <w:color w:val="auto"/>
        </w:rPr>
      </w:pPr>
    </w:p>
    <w:p>
      <w:pPr>
        <w:ind w:left="1"/>
        <w:spacing w:after="0"/>
        <w:rPr>
          <w:sz w:val="20"/>
          <w:szCs w:val="20"/>
          <w:color w:val="auto"/>
        </w:rPr>
      </w:pPr>
      <w:r>
        <w:rPr>
          <w:rFonts w:ascii="Arial" w:cs="Arial" w:eastAsia="Arial" w:hAnsi="Arial"/>
          <w:sz w:val="14"/>
          <w:szCs w:val="14"/>
          <w:color w:val="auto"/>
        </w:rPr>
        <w:t>=0.5833% + 0.1267%</w:t>
      </w:r>
    </w:p>
    <w:p>
      <w:pPr>
        <w:spacing w:after="0" w:line="109" w:lineRule="exact"/>
        <w:rPr>
          <w:sz w:val="20"/>
          <w:szCs w:val="20"/>
          <w:color w:val="auto"/>
        </w:rPr>
      </w:pPr>
    </w:p>
    <w:p>
      <w:pPr>
        <w:ind w:left="1"/>
        <w:spacing w:after="0"/>
        <w:rPr>
          <w:sz w:val="20"/>
          <w:szCs w:val="20"/>
          <w:color w:val="auto"/>
        </w:rPr>
      </w:pPr>
      <w:r>
        <w:rPr>
          <w:rFonts w:ascii="Arial" w:cs="Arial" w:eastAsia="Arial" w:hAnsi="Arial"/>
          <w:sz w:val="14"/>
          <w:szCs w:val="14"/>
          <w:color w:val="auto"/>
        </w:rPr>
        <w:t>=0.71%</w:t>
      </w:r>
    </w:p>
    <w:p>
      <w:pPr>
        <w:spacing w:after="0" w:line="21" w:lineRule="exact"/>
        <w:rPr>
          <w:sz w:val="20"/>
          <w:szCs w:val="20"/>
          <w:color w:val="auto"/>
        </w:rPr>
      </w:pPr>
    </w:p>
    <w:p>
      <w:pPr>
        <w:sectPr>
          <w:pgSz w:w="11900" w:h="16838" w:orient="portrait"/>
          <w:cols w:equalWidth="0" w:num="2">
            <w:col w:w="1880" w:space="639"/>
            <w:col w:w="8701"/>
          </w:cols>
          <w:pgMar w:left="320" w:top="122" w:right="35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w:t>
      </w:r>
    </w:p>
    <w:p>
      <w:pPr>
        <w:spacing w:after="0" w:line="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1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7.0% annualized Hurdle.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 end.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Assumptions</w:t>
      </w:r>
    </w:p>
    <w:p>
      <w:pPr>
        <w:spacing w:after="0" w:line="23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Year 3: FMV of Investment B determined to be $25 million</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Year 4: Investment B sold for $31 million</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Year 1: None</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Year 2: $6 million capital gains incentive fee</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Year 3: None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20"/>
          </w:cols>
          <w:pgMar w:left="320" w:top="122" w:right="35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11" w:lineRule="exact"/>
        <w:rPr>
          <w:sz w:val="20"/>
          <w:szCs w:val="20"/>
          <w:color w:val="auto"/>
        </w:rPr>
      </w:pPr>
    </w:p>
    <w:p>
      <w:pPr>
        <w:ind w:left="260" w:right="2180"/>
        <w:spacing w:after="0" w:line="373"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Year 4: $200,000 capital gains incentive fee</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Assumptions</w:t>
      </w:r>
    </w:p>
    <w:p>
      <w:pPr>
        <w:spacing w:after="0" w:line="231" w:lineRule="exact"/>
        <w:rPr>
          <w:sz w:val="20"/>
          <w:szCs w:val="20"/>
          <w:color w:val="auto"/>
        </w:rPr>
      </w:pPr>
    </w:p>
    <w:p>
      <w:pPr>
        <w:ind w:left="260" w:right="2280"/>
        <w:spacing w:after="0" w:line="273" w:lineRule="auto"/>
        <w:rPr>
          <w:sz w:val="20"/>
          <w:szCs w:val="20"/>
          <w:color w:val="auto"/>
        </w:rPr>
      </w:pPr>
      <w:r>
        <w:rPr>
          <w:rFonts w:ascii="Arial" w:cs="Arial" w:eastAsia="Arial" w:hAnsi="Arial"/>
          <w:sz w:val="14"/>
          <w:szCs w:val="14"/>
          <w:color w:val="auto"/>
        </w:rPr>
        <w:t>Year 1: $20 million investment made in Company A (“Investment A”), $30 million investment made in Company B (“Investment B”) and $25 million investment made in Company C (“Investment C”)</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Year 4: FMV of Investment B determined to be $35 million</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Year 5: Investment B sold for $20 million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Year 1: None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Year 2: $5 million capital gains incentive fee</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Year 3: $1.4 million capital gains incentive fee</w:t>
      </w:r>
      <w:r>
        <w:rPr>
          <w:rFonts w:ascii="Arial" w:cs="Arial" w:eastAsia="Arial" w:hAnsi="Arial"/>
          <w:sz w:val="8"/>
          <w:szCs w:val="8"/>
          <w:color w:val="auto"/>
        </w:rPr>
        <w:t>( 1)</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less $5 million (previous capital gains fee paid in Year 2)</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Year 4: None</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Year 5: None</w:t>
      </w:r>
    </w:p>
    <w:p>
      <w:pPr>
        <w:spacing w:after="0" w:line="231" w:lineRule="exact"/>
        <w:rPr>
          <w:sz w:val="20"/>
          <w:szCs w:val="20"/>
          <w:color w:val="auto"/>
        </w:rPr>
      </w:pPr>
    </w:p>
    <w:p>
      <w:pPr>
        <w:ind w:left="260" w:right="2060"/>
        <w:spacing w:after="0" w:line="306" w:lineRule="auto"/>
        <w:rPr>
          <w:sz w:val="20"/>
          <w:szCs w:val="20"/>
          <w:color w:val="auto"/>
        </w:rPr>
      </w:pPr>
      <w:r>
        <w:rPr>
          <w:rFonts w:ascii="Arial" w:cs="Arial" w:eastAsia="Arial" w:hAnsi="Arial"/>
          <w:sz w:val="14"/>
          <w:szCs w:val="14"/>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6" w:lineRule="exact"/>
        <w:rPr>
          <w:sz w:val="20"/>
          <w:szCs w:val="20"/>
          <w:color w:val="auto"/>
        </w:rPr>
      </w:pPr>
    </w:p>
    <w:p>
      <w:pPr>
        <w:ind w:left="340" w:hanging="332"/>
        <w:spacing w:after="0" w:line="242"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4"/>
          <w:szCs w:val="14"/>
          <w:color w:val="auto"/>
        </w:rPr>
        <w:t>As illustrated in Year 3 of Alternative 1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00"/>
          </w:cols>
          <w:pgMar w:left="320" w:top="122" w:right="37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Duration and Termination of Advisory Agreement</w:t>
      </w:r>
    </w:p>
    <w:p>
      <w:pPr>
        <w:spacing w:after="0" w:line="82" w:lineRule="exact"/>
        <w:rPr>
          <w:sz w:val="20"/>
          <w:szCs w:val="20"/>
          <w:color w:val="auto"/>
        </w:rPr>
      </w:pPr>
    </w:p>
    <w:p>
      <w:pPr>
        <w:ind w:firstLine="432"/>
        <w:spacing w:after="0" w:line="268" w:lineRule="auto"/>
        <w:rPr>
          <w:sz w:val="20"/>
          <w:szCs w:val="20"/>
          <w:color w:val="auto"/>
        </w:rPr>
      </w:pPr>
      <w:r>
        <w:rPr>
          <w:rFonts w:ascii="Arial" w:cs="Arial" w:eastAsia="Arial" w:hAnsi="Arial"/>
          <w:sz w:val="13"/>
          <w:szCs w:val="13"/>
          <w:color w:val="auto"/>
        </w:rPr>
        <w:t>The Investment Management Agreement was approved by our board of directors, including a majority of our independent directors who are not interested persons of PennantPark Floating Rate Capital Ltd., in March 2011. Unless terminated earlier as described below, our Investment Management Agreement will continue in effect for a period of two years through April 8,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82" w:lineRule="exact"/>
        <w:rPr>
          <w:sz w:val="20"/>
          <w:szCs w:val="20"/>
          <w:color w:val="auto"/>
        </w:rPr>
      </w:pPr>
    </w:p>
    <w:p>
      <w:pPr>
        <w:ind w:right="460" w:firstLine="432"/>
        <w:spacing w:after="0" w:line="27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82" w:lineRule="exact"/>
        <w:rPr>
          <w:sz w:val="20"/>
          <w:szCs w:val="20"/>
          <w:color w:val="auto"/>
        </w:rPr>
      </w:pPr>
    </w:p>
    <w:p>
      <w:pPr>
        <w:ind w:right="40" w:firstLine="432"/>
        <w:spacing w:after="0" w:line="265" w:lineRule="auto"/>
        <w:rPr>
          <w:sz w:val="20"/>
          <w:szCs w:val="20"/>
          <w:color w:val="auto"/>
        </w:rPr>
      </w:pPr>
      <w:r>
        <w:rPr>
          <w:rFonts w:ascii="Arial" w:cs="Arial" w:eastAsia="Arial" w:hAnsi="Arial"/>
          <w:sz w:val="13"/>
          <w:szCs w:val="13"/>
          <w:color w:val="auto"/>
        </w:rPr>
        <w:t>Pursuant to the Administration Agreement the Administrator furnishes us with office facilities, equipment and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period from March 4, 2011 (commencement of operations) to September 30, 2011 the Investment Adviser and Administrator were reimbursed $0.1 million from PennantPark Floating Rate Capital Ltd., including expenses it incurred on behalf of the Administrator for the services described above.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82" w:lineRule="exact"/>
        <w:rPr>
          <w:sz w:val="20"/>
          <w:szCs w:val="20"/>
          <w:color w:val="auto"/>
        </w:rPr>
      </w:pPr>
    </w:p>
    <w:p>
      <w:pPr>
        <w:ind w:firstLine="432"/>
        <w:spacing w:after="0" w:line="249" w:lineRule="auto"/>
        <w:rPr>
          <w:sz w:val="20"/>
          <w:szCs w:val="20"/>
          <w:color w:val="auto"/>
        </w:rPr>
      </w:pPr>
      <w:r>
        <w:rPr>
          <w:rFonts w:ascii="Arial" w:cs="Arial" w:eastAsia="Arial" w:hAnsi="Arial"/>
          <w:sz w:val="14"/>
          <w:szCs w:val="14"/>
          <w:color w:val="auto"/>
        </w:rPr>
        <w:t>The Administration Agreement was approved by our board of directors, including a majority of our directors who are not interested persons of PennantPark Floating Rate Capital Ltd., in March 2011. Unless terminated earlier as described below, our Administration Agreement will continue in effect for a period of two years through April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Administration Agreement will automatically terminate in the event of its assignment. The Administration Agreement may be terminated by either party without penalty upon not more than 60 days’ written notice to the other.</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Indemnification</w:t>
      </w:r>
    </w:p>
    <w:p>
      <w:pPr>
        <w:spacing w:after="0" w:line="82" w:lineRule="exact"/>
        <w:rPr>
          <w:sz w:val="20"/>
          <w:szCs w:val="20"/>
          <w:color w:val="auto"/>
        </w:rPr>
      </w:pPr>
    </w:p>
    <w:p>
      <w:pPr>
        <w:ind w:right="260" w:firstLine="432"/>
        <w:spacing w:after="0" w:line="273"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82" w:lineRule="exact"/>
        <w:rPr>
          <w:sz w:val="20"/>
          <w:szCs w:val="20"/>
          <w:color w:val="auto"/>
        </w:rPr>
      </w:pPr>
    </w:p>
    <w:p>
      <w:pPr>
        <w:ind w:right="60" w:firstLine="432"/>
        <w:spacing w:after="0" w:line="257" w:lineRule="auto"/>
        <w:rPr>
          <w:sz w:val="20"/>
          <w:szCs w:val="20"/>
          <w:color w:val="auto"/>
        </w:rPr>
      </w:pPr>
      <w:r>
        <w:rPr>
          <w:rFonts w:ascii="Arial" w:cs="Arial" w:eastAsia="Arial" w:hAnsi="Arial"/>
          <w:sz w:val="14"/>
          <w:szCs w:val="14"/>
          <w:color w:val="auto"/>
        </w:rPr>
        <w:t>We have entered into the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Sales load advance</w:t>
      </w:r>
    </w:p>
    <w:p>
      <w:pPr>
        <w:spacing w:after="0" w:line="69" w:lineRule="exact"/>
        <w:rPr>
          <w:sz w:val="20"/>
          <w:szCs w:val="20"/>
          <w:color w:val="auto"/>
        </w:rPr>
      </w:pPr>
    </w:p>
    <w:p>
      <w:pPr>
        <w:ind w:right="140" w:firstLine="405"/>
        <w:spacing w:after="0" w:line="273" w:lineRule="auto"/>
        <w:rPr>
          <w:sz w:val="20"/>
          <w:szCs w:val="20"/>
          <w:color w:val="auto"/>
        </w:rPr>
      </w:pPr>
      <w:r>
        <w:rPr>
          <w:rFonts w:ascii="Arial" w:cs="Arial" w:eastAsia="Arial" w:hAnsi="Arial"/>
          <w:sz w:val="13"/>
          <w:szCs w:val="13"/>
          <w:color w:val="auto"/>
        </w:rPr>
        <w:t>In connection with our initial public offering, the Investment Adviser has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Regulated Investment Company and Business Development Company Regulations</w:t>
      </w:r>
    </w:p>
    <w:p>
      <w:pPr>
        <w:spacing w:after="0" w:line="82" w:lineRule="exact"/>
        <w:rPr>
          <w:sz w:val="20"/>
          <w:szCs w:val="20"/>
          <w:color w:val="auto"/>
        </w:rPr>
      </w:pPr>
    </w:p>
    <w:p>
      <w:pPr>
        <w:ind w:right="120" w:firstLine="432"/>
        <w:spacing w:after="0" w:line="252" w:lineRule="auto"/>
        <w:rPr>
          <w:sz w:val="20"/>
          <w:szCs w:val="20"/>
          <w:color w:val="auto"/>
        </w:rPr>
      </w:pPr>
      <w:r>
        <w:rPr>
          <w:rFonts w:ascii="Arial" w:cs="Arial" w:eastAsia="Arial" w:hAnsi="Arial"/>
          <w:sz w:val="14"/>
          <w:szCs w:val="14"/>
          <w:color w:val="auto"/>
        </w:rPr>
        <w:t>We are a BDC under the 1940 Act, which intends to qualify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34" w:lineRule="exact"/>
        <w:rPr>
          <w:sz w:val="20"/>
          <w:szCs w:val="20"/>
          <w:color w:val="auto"/>
        </w:rPr>
      </w:pPr>
    </w:p>
    <w:p>
      <w:pPr>
        <w:ind w:firstLine="432"/>
        <w:spacing w:after="0" w:line="267" w:lineRule="auto"/>
        <w:rPr>
          <w:sz w:val="20"/>
          <w:szCs w:val="20"/>
          <w:color w:val="auto"/>
        </w:rPr>
      </w:pPr>
      <w:r>
        <w:rPr>
          <w:rFonts w:ascii="Arial" w:cs="Arial" w:eastAsia="Arial" w:hAnsi="Arial"/>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is fundamental and may be changed without stockholder approval.</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82" w:lineRule="exact"/>
        <w:rPr>
          <w:sz w:val="20"/>
          <w:szCs w:val="20"/>
          <w:color w:val="auto"/>
        </w:rPr>
      </w:pPr>
    </w:p>
    <w:p>
      <w:pPr>
        <w:ind w:right="20" w:firstLine="432"/>
        <w:spacing w:after="0" w:line="303"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 w:lineRule="exact"/>
        <w:rPr>
          <w:sz w:val="20"/>
          <w:szCs w:val="20"/>
          <w:color w:val="auto"/>
        </w:rPr>
      </w:pPr>
    </w:p>
    <w:p>
      <w:pPr>
        <w:ind w:left="660" w:right="60" w:hanging="328"/>
        <w:spacing w:after="0" w:line="257"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22" w:lineRule="exact"/>
        <w:rPr>
          <w:rFonts w:ascii="Arial" w:cs="Arial" w:eastAsia="Arial" w:hAnsi="Arial"/>
          <w:sz w:val="14"/>
          <w:szCs w:val="14"/>
          <w:color w:val="auto"/>
        </w:rPr>
      </w:pPr>
    </w:p>
    <w:p>
      <w:pPr>
        <w:ind w:left="980" w:hanging="324"/>
        <w:spacing w:after="0"/>
        <w:tabs>
          <w:tab w:leader="none" w:pos="980" w:val="left"/>
        </w:tabs>
        <w:numPr>
          <w:ilvl w:val="1"/>
          <w:numId w:val="19"/>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55" w:lineRule="exact"/>
        <w:rPr>
          <w:rFonts w:ascii="Arial" w:cs="Arial" w:eastAsia="Arial" w:hAnsi="Arial"/>
          <w:sz w:val="14"/>
          <w:szCs w:val="14"/>
          <w:color w:val="auto"/>
        </w:rPr>
      </w:pPr>
    </w:p>
    <w:p>
      <w:pPr>
        <w:ind w:left="980" w:right="80" w:hanging="324"/>
        <w:spacing w:after="0" w:line="273" w:lineRule="auto"/>
        <w:tabs>
          <w:tab w:leader="none" w:pos="980" w:val="left"/>
        </w:tabs>
        <w:numPr>
          <w:ilvl w:val="1"/>
          <w:numId w:val="19"/>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 owned by the BDC) or a company that would be an investment company but is excluded from the definition of an investment company by Section 3(c) of the 1940 Act; and</w:t>
      </w:r>
    </w:p>
    <w:p>
      <w:pPr>
        <w:spacing w:after="0" w:line="11" w:lineRule="exact"/>
        <w:rPr>
          <w:rFonts w:ascii="Arial" w:cs="Arial" w:eastAsia="Arial" w:hAnsi="Arial"/>
          <w:sz w:val="14"/>
          <w:szCs w:val="14"/>
          <w:color w:val="auto"/>
        </w:rPr>
      </w:pPr>
    </w:p>
    <w:p>
      <w:pPr>
        <w:ind w:left="980" w:right="80" w:hanging="324"/>
        <w:spacing w:after="0" w:line="273" w:lineRule="auto"/>
        <w:tabs>
          <w:tab w:leader="none" w:pos="980" w:val="left"/>
        </w:tabs>
        <w:numPr>
          <w:ilvl w:val="1"/>
          <w:numId w:val="19"/>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11" w:lineRule="exact"/>
        <w:rPr>
          <w:rFonts w:ascii="Arial" w:cs="Arial" w:eastAsia="Arial" w:hAnsi="Arial"/>
          <w:sz w:val="14"/>
          <w:szCs w:val="14"/>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55" w:lineRule="exact"/>
        <w:rPr>
          <w:rFonts w:ascii="Arial" w:cs="Arial" w:eastAsia="Arial" w:hAnsi="Arial"/>
          <w:sz w:val="14"/>
          <w:szCs w:val="14"/>
          <w:color w:val="auto"/>
        </w:rPr>
      </w:pPr>
    </w:p>
    <w:p>
      <w:pPr>
        <w:ind w:left="660" w:right="440" w:hanging="328"/>
        <w:spacing w:after="0" w:line="257"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22" w:lineRule="exact"/>
        <w:rPr>
          <w:rFonts w:ascii="Arial" w:cs="Arial" w:eastAsia="Arial" w:hAnsi="Arial"/>
          <w:sz w:val="14"/>
          <w:szCs w:val="14"/>
          <w:color w:val="auto"/>
        </w:rPr>
      </w:pPr>
    </w:p>
    <w:p>
      <w:pPr>
        <w:ind w:left="660" w:right="660" w:hanging="328"/>
        <w:spacing w:after="0" w:line="27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1" w:lineRule="exact"/>
        <w:rPr>
          <w:rFonts w:ascii="Arial" w:cs="Arial" w:eastAsia="Arial" w:hAnsi="Arial"/>
          <w:sz w:val="14"/>
          <w:szCs w:val="14"/>
          <w:color w:val="auto"/>
        </w:rPr>
      </w:pPr>
    </w:p>
    <w:p>
      <w:pPr>
        <w:ind w:left="660" w:right="220" w:hanging="328"/>
        <w:spacing w:after="0" w:line="27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11" w:lineRule="exact"/>
        <w:rPr>
          <w:rFonts w:ascii="Arial" w:cs="Arial" w:eastAsia="Arial" w:hAnsi="Arial"/>
          <w:sz w:val="14"/>
          <w:szCs w:val="14"/>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63" w:lineRule="exact"/>
        <w:rPr>
          <w:sz w:val="20"/>
          <w:szCs w:val="20"/>
          <w:color w:val="auto"/>
        </w:rPr>
      </w:pPr>
    </w:p>
    <w:p>
      <w:pPr>
        <w:ind w:right="320" w:firstLine="432"/>
        <w:spacing w:after="0" w:line="27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82" w:lineRule="exact"/>
        <w:rPr>
          <w:sz w:val="20"/>
          <w:szCs w:val="20"/>
          <w:color w:val="auto"/>
        </w:rPr>
      </w:pPr>
    </w:p>
    <w:p>
      <w:pPr>
        <w:ind w:right="360" w:firstLine="432"/>
        <w:spacing w:after="0" w:line="249" w:lineRule="auto"/>
        <w:rPr>
          <w:sz w:val="20"/>
          <w:szCs w:val="20"/>
          <w:color w:val="auto"/>
        </w:rPr>
      </w:pPr>
      <w:r>
        <w:rPr>
          <w:rFonts w:ascii="Arial" w:cs="Arial" w:eastAsia="Arial" w:hAnsi="Arial"/>
          <w:sz w:val="14"/>
          <w:szCs w:val="14"/>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82" w:lineRule="exact"/>
        <w:rPr>
          <w:sz w:val="20"/>
          <w:szCs w:val="20"/>
          <w:color w:val="auto"/>
        </w:rPr>
      </w:pPr>
    </w:p>
    <w:p>
      <w:pPr>
        <w:ind w:firstLine="432"/>
        <w:spacing w:after="0" w:line="267"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report,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163" w:lineRule="exact"/>
        <w:rPr>
          <w:sz w:val="20"/>
          <w:szCs w:val="20"/>
          <w:color w:val="auto"/>
        </w:rPr>
      </w:pPr>
    </w:p>
    <w:p>
      <w:pPr>
        <w:ind w:right="40" w:firstLine="432"/>
        <w:spacing w:after="0" w:line="273" w:lineRule="auto"/>
        <w:rPr>
          <w:sz w:val="20"/>
          <w:szCs w:val="20"/>
          <w:color w:val="auto"/>
        </w:rPr>
      </w:pPr>
      <w:r>
        <w:rPr>
          <w:rFonts w:ascii="Arial" w:cs="Arial" w:eastAsia="Arial" w:hAnsi="Arial"/>
          <w:sz w:val="13"/>
          <w:szCs w:val="13"/>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will affect our ability to, and the way in which we, raise additional capital.”</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109" w:lineRule="exact"/>
        <w:rPr>
          <w:sz w:val="20"/>
          <w:szCs w:val="20"/>
          <w:color w:val="auto"/>
        </w:rPr>
      </w:pPr>
    </w:p>
    <w:p>
      <w:pPr>
        <w:ind w:left="60" w:right="180" w:firstLine="486"/>
        <w:spacing w:after="0" w:line="257"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Introduction</w:t>
      </w:r>
    </w:p>
    <w:p>
      <w:pPr>
        <w:spacing w:after="0" w:line="109" w:lineRule="exact"/>
        <w:rPr>
          <w:sz w:val="20"/>
          <w:szCs w:val="20"/>
          <w:color w:val="auto"/>
        </w:rPr>
      </w:pPr>
    </w:p>
    <w:p>
      <w:pPr>
        <w:ind w:left="60" w:right="280" w:firstLine="486"/>
        <w:spacing w:after="0" w:line="27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66" w:lineRule="exact"/>
        <w:rPr>
          <w:sz w:val="20"/>
          <w:szCs w:val="20"/>
          <w:color w:val="auto"/>
        </w:rPr>
      </w:pPr>
    </w:p>
    <w:p>
      <w:pPr>
        <w:ind w:left="180" w:right="760" w:firstLine="378"/>
        <w:spacing w:after="0" w:line="402" w:lineRule="auto"/>
        <w:rPr>
          <w:sz w:val="20"/>
          <w:szCs w:val="20"/>
          <w:color w:val="auto"/>
        </w:rPr>
      </w:pPr>
      <w:r>
        <w:rPr>
          <w:rFonts w:ascii="Arial" w:cs="Arial" w:eastAsia="Arial" w:hAnsi="Arial"/>
          <w:sz w:val="14"/>
          <w:szCs w:val="14"/>
          <w:color w:val="auto"/>
        </w:rPr>
        <w:t xml:space="preserve">These policies and procedures for voting proxies for our investment advisory clients are intended to comply with Section 206 of, and Rule 206(4)-6 under, the Advisers Act. </w:t>
      </w:r>
      <w:r>
        <w:rPr>
          <w:rFonts w:ascii="Arial" w:cs="Arial" w:eastAsia="Arial" w:hAnsi="Arial"/>
          <w:sz w:val="14"/>
          <w:szCs w:val="14"/>
          <w:i w:val="1"/>
          <w:iCs w:val="1"/>
          <w:color w:val="auto"/>
        </w:rPr>
        <w:t>Proxy Policies</w:t>
      </w:r>
    </w:p>
    <w:p>
      <w:pPr>
        <w:spacing w:after="0" w:line="1" w:lineRule="exact"/>
        <w:rPr>
          <w:sz w:val="20"/>
          <w:szCs w:val="20"/>
          <w:color w:val="auto"/>
        </w:rPr>
      </w:pPr>
    </w:p>
    <w:p>
      <w:pPr>
        <w:jc w:val="both"/>
        <w:ind w:left="60" w:firstLine="486"/>
        <w:spacing w:after="0" w:line="257" w:lineRule="auto"/>
        <w:rPr>
          <w:sz w:val="20"/>
          <w:szCs w:val="20"/>
          <w:color w:val="auto"/>
        </w:rPr>
      </w:pPr>
      <w:r>
        <w:rPr>
          <w:rFonts w:ascii="Arial" w:cs="Arial" w:eastAsia="Arial" w:hAnsi="Arial"/>
          <w:sz w:val="14"/>
          <w:szCs w:val="14"/>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77" w:lineRule="exact"/>
        <w:rPr>
          <w:sz w:val="20"/>
          <w:szCs w:val="20"/>
          <w:color w:val="auto"/>
        </w:rPr>
      </w:pPr>
    </w:p>
    <w:p>
      <w:pPr>
        <w:ind w:left="60" w:right="160" w:firstLine="486"/>
        <w:spacing w:after="0" w:line="252" w:lineRule="auto"/>
        <w:rPr>
          <w:sz w:val="20"/>
          <w:szCs w:val="20"/>
          <w:color w:val="auto"/>
        </w:rPr>
      </w:pPr>
      <w:r>
        <w:rPr>
          <w:rFonts w:ascii="Arial" w:cs="Arial" w:eastAsia="Arial" w:hAnsi="Arial"/>
          <w:sz w:val="14"/>
          <w:szCs w:val="14"/>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Proxy Voting Records</w:t>
      </w:r>
    </w:p>
    <w:p>
      <w:pPr>
        <w:spacing w:after="0" w:line="163" w:lineRule="exact"/>
        <w:rPr>
          <w:sz w:val="20"/>
          <w:szCs w:val="20"/>
          <w:color w:val="auto"/>
        </w:rPr>
      </w:pPr>
    </w:p>
    <w:p>
      <w:pPr>
        <w:ind w:left="80" w:right="180" w:firstLine="486"/>
        <w:spacing w:after="0" w:line="273" w:lineRule="auto"/>
        <w:rPr>
          <w:sz w:val="20"/>
          <w:szCs w:val="20"/>
          <w:color w:val="auto"/>
        </w:rPr>
      </w:pPr>
      <w:r>
        <w:rPr>
          <w:rFonts w:ascii="Arial" w:cs="Arial" w:eastAsia="Arial" w:hAnsi="Arial"/>
          <w:sz w:val="14"/>
          <w:szCs w:val="14"/>
          <w:color w:val="auto"/>
        </w:rPr>
        <w:t xml:space="preserve">You may obtain information about how we voted proxies by making a written request for proxy voting information to: Aviv Efrat, Chief Financial Officer and Treasurer, 590 Madison Avenue, 15 </w:t>
      </w:r>
      <w:r>
        <w:rPr>
          <w:rFonts w:ascii="Arial" w:cs="Arial" w:eastAsia="Arial" w:hAnsi="Arial"/>
          <w:sz w:val="8"/>
          <w:szCs w:val="8"/>
          <w:color w:val="auto"/>
        </w:rPr>
        <w:t>th</w:t>
      </w:r>
      <w:r>
        <w:rPr>
          <w:rFonts w:ascii="Arial" w:cs="Arial" w:eastAsia="Arial" w:hAnsi="Arial"/>
          <w:sz w:val="14"/>
          <w:szCs w:val="14"/>
          <w:color w:val="auto"/>
        </w:rPr>
        <w:t xml:space="preserve"> Floor, New York, New York 10022.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163" w:lineRule="exact"/>
        <w:rPr>
          <w:sz w:val="20"/>
          <w:szCs w:val="20"/>
          <w:color w:val="auto"/>
        </w:rPr>
      </w:pPr>
    </w:p>
    <w:p>
      <w:pPr>
        <w:ind w:firstLine="432"/>
        <w:spacing w:after="0" w:line="246" w:lineRule="auto"/>
        <w:rPr>
          <w:sz w:val="20"/>
          <w:szCs w:val="20"/>
          <w:color w:val="auto"/>
        </w:rPr>
      </w:pPr>
      <w:r>
        <w:rPr>
          <w:rFonts w:ascii="Arial" w:cs="Arial" w:eastAsia="Arial" w:hAnsi="Arial"/>
          <w:sz w:val="14"/>
          <w:szCs w:val="14"/>
          <w:color w:val="auto"/>
        </w:rPr>
        <w:t xml:space="preserve">We and PennantPark Investment Advisers have adopted a joint code of ethics pursuant to Rule 17j-1 under the 1940 Act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You may also obtain copies of our joint code of ethics, after paying a duplicating fee, by electronic request at the following email address:</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publicinfo@sec.gov</w:t>
      </w:r>
      <w:r>
        <w:rPr>
          <w:rFonts w:ascii="Arial" w:cs="Arial" w:eastAsia="Arial" w:hAnsi="Arial"/>
          <w:sz w:val="14"/>
          <w:szCs w:val="14"/>
          <w:color w:val="auto"/>
        </w:rPr>
        <w:t>, or by writing the</w:t>
      </w:r>
      <w:r>
        <w:rPr>
          <w:rFonts w:ascii="Arial" w:cs="Arial" w:eastAsia="Arial" w:hAnsi="Arial"/>
          <w:sz w:val="14"/>
          <w:szCs w:val="14"/>
          <w:i w:val="1"/>
          <w:iCs w:val="1"/>
          <w:color w:val="auto"/>
        </w:rPr>
        <w:t xml:space="preserve"> </w:t>
      </w:r>
      <w:r>
        <w:rPr>
          <w:rFonts w:ascii="Arial" w:cs="Arial" w:eastAsia="Arial" w:hAnsi="Arial"/>
          <w:sz w:val="14"/>
          <w:szCs w:val="14"/>
          <w:color w:val="auto"/>
        </w:rPr>
        <w:t>SEC's Public Reference Section, 100 F Street, N.E., Washington, D.C. 20549.</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163" w:lineRule="exact"/>
        <w:rPr>
          <w:sz w:val="20"/>
          <w:szCs w:val="20"/>
          <w:color w:val="auto"/>
        </w:rPr>
      </w:pPr>
    </w:p>
    <w:p>
      <w:pPr>
        <w:ind w:left="180" w:right="640" w:firstLine="324"/>
        <w:spacing w:after="0" w:line="312" w:lineRule="auto"/>
        <w:rPr>
          <w:sz w:val="20"/>
          <w:szCs w:val="20"/>
          <w:color w:val="auto"/>
        </w:rPr>
      </w:pPr>
      <w:r>
        <w:rPr>
          <w:rFonts w:ascii="Arial" w:cs="Arial" w:eastAsia="Arial" w:hAnsi="Arial"/>
          <w:sz w:val="13"/>
          <w:szCs w:val="13"/>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97" w:lineRule="exact"/>
        <w:rPr>
          <w:sz w:val="20"/>
          <w:szCs w:val="20"/>
          <w:color w:val="auto"/>
        </w:rPr>
      </w:pPr>
    </w:p>
    <w:p>
      <w:pPr>
        <w:ind w:left="180" w:right="40" w:firstLine="243"/>
        <w:spacing w:after="0" w:line="257"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 maintain physical, electronic and procedural safeguards designed to protect the non-public personal information of our stockholders.</w:t>
      </w:r>
    </w:p>
    <w:p>
      <w:pPr>
        <w:spacing w:after="0" w:line="151" w:lineRule="exact"/>
        <w:rPr>
          <w:sz w:val="20"/>
          <w:szCs w:val="20"/>
          <w:color w:val="auto"/>
        </w:rPr>
      </w:pPr>
    </w:p>
    <w:p>
      <w:pPr>
        <w:ind w:left="180" w:right="220" w:firstLine="243"/>
        <w:spacing w:after="0" w:line="286" w:lineRule="auto"/>
        <w:rPr>
          <w:sz w:val="20"/>
          <w:szCs w:val="20"/>
          <w:color w:val="auto"/>
        </w:rPr>
      </w:pPr>
      <w:r>
        <w:rPr>
          <w:rFonts w:ascii="Arial" w:cs="Arial" w:eastAsia="Arial" w:hAnsi="Arial"/>
          <w:sz w:val="13"/>
          <w:szCs w:val="13"/>
          <w:color w:val="auto"/>
        </w:rPr>
        <w:t xml:space="preserve">Our privacy protection policies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privacy policy is available on the EDGAR Database on the SEC's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filed as an exhibit to our Report on Form 10-K (File No. 814-00891) on November 17, 2011. You may also obtain copies of our privacy policy, after paying a duplicating fee, by electronic request at the following email address: publicinfo@sec.gov, or by writing the SEC's Public Reference Section, 100 F Street, N.E., Washington, D.C. 20549.</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Other</w:t>
      </w:r>
    </w:p>
    <w:p>
      <w:pPr>
        <w:spacing w:after="0" w:line="163" w:lineRule="exact"/>
        <w:rPr>
          <w:sz w:val="20"/>
          <w:szCs w:val="20"/>
          <w:color w:val="auto"/>
        </w:rPr>
      </w:pPr>
    </w:p>
    <w:p>
      <w:pPr>
        <w:ind w:left="60" w:right="180" w:firstLine="486"/>
        <w:spacing w:after="0" w:line="27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63" w:lineRule="exact"/>
        <w:rPr>
          <w:sz w:val="20"/>
          <w:szCs w:val="20"/>
          <w:color w:val="auto"/>
        </w:rPr>
      </w:pPr>
    </w:p>
    <w:p>
      <w:pPr>
        <w:ind w:left="180" w:firstLine="405"/>
        <w:spacing w:after="0" w:line="257"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31" w:lineRule="exact"/>
        <w:rPr>
          <w:sz w:val="20"/>
          <w:szCs w:val="20"/>
          <w:color w:val="auto"/>
        </w:rPr>
      </w:pPr>
    </w:p>
    <w:p>
      <w:pPr>
        <w:ind w:left="180" w:right="80" w:firstLine="405"/>
        <w:spacing w:after="0" w:line="257"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Our chief compliance officer is responsible for administering such policies and procedures.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420"/>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Sarbanes-Oxley Act of 2002 imposes several regulatory requirements on publicly held companies and their insiders. Many of these requirements will affect us. For example:</w:t>
      </w:r>
    </w:p>
    <w:p>
      <w:pPr>
        <w:spacing w:after="0" w:line="175" w:lineRule="exact"/>
        <w:rPr>
          <w:sz w:val="20"/>
          <w:szCs w:val="20"/>
          <w:color w:val="auto"/>
        </w:rPr>
      </w:pPr>
    </w:p>
    <w:p>
      <w:pPr>
        <w:ind w:left="840" w:right="100" w:hanging="499"/>
        <w:spacing w:after="0" w:line="181" w:lineRule="auto"/>
        <w:tabs>
          <w:tab w:leader="none" w:pos="840" w:val="left"/>
        </w:tabs>
        <w:numPr>
          <w:ilvl w:val="0"/>
          <w:numId w:val="20"/>
        </w:numPr>
        <w:rPr>
          <w:rFonts w:ascii="Arial" w:cs="Arial" w:eastAsia="Arial" w:hAnsi="Arial"/>
          <w:sz w:val="26"/>
          <w:szCs w:val="26"/>
          <w:color w:val="auto"/>
          <w:vertAlign w:val="subscript"/>
        </w:rPr>
      </w:pPr>
      <w:r>
        <w:rPr>
          <w:rFonts w:ascii="Arial" w:cs="Arial" w:eastAsia="Arial" w:hAnsi="Arial"/>
          <w:sz w:val="12"/>
          <w:szCs w:val="12"/>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266" w:lineRule="exact"/>
        <w:rPr>
          <w:rFonts w:ascii="Arial" w:cs="Arial" w:eastAsia="Arial" w:hAnsi="Arial"/>
          <w:sz w:val="26"/>
          <w:szCs w:val="26"/>
          <w:color w:val="auto"/>
          <w:vertAlign w:val="subscript"/>
        </w:rPr>
      </w:pPr>
    </w:p>
    <w:p>
      <w:pPr>
        <w:ind w:left="840" w:hanging="499"/>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222" w:lineRule="exact"/>
        <w:rPr>
          <w:rFonts w:ascii="Arial" w:cs="Arial" w:eastAsia="Arial" w:hAnsi="Arial"/>
          <w:sz w:val="18"/>
          <w:szCs w:val="18"/>
          <w:color w:val="auto"/>
        </w:rPr>
      </w:pPr>
    </w:p>
    <w:p>
      <w:pPr>
        <w:ind w:left="840" w:right="80" w:hanging="499"/>
        <w:spacing w:after="0" w:line="181" w:lineRule="auto"/>
        <w:tabs>
          <w:tab w:leader="none" w:pos="840" w:val="left"/>
        </w:tabs>
        <w:numPr>
          <w:ilvl w:val="0"/>
          <w:numId w:val="20"/>
        </w:numPr>
        <w:rPr>
          <w:rFonts w:ascii="Arial" w:cs="Arial" w:eastAsia="Arial" w:hAnsi="Arial"/>
          <w:sz w:val="26"/>
          <w:szCs w:val="26"/>
          <w:color w:val="auto"/>
          <w:vertAlign w:val="subscript"/>
        </w:rPr>
      </w:pPr>
      <w:r>
        <w:rPr>
          <w:rFonts w:ascii="Arial" w:cs="Arial" w:eastAsia="Arial" w:hAnsi="Arial"/>
          <w:sz w:val="12"/>
          <w:szCs w:val="12"/>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223" w:lineRule="exact"/>
        <w:rPr>
          <w:rFonts w:ascii="Arial" w:cs="Arial" w:eastAsia="Arial" w:hAnsi="Arial"/>
          <w:sz w:val="26"/>
          <w:szCs w:val="26"/>
          <w:color w:val="auto"/>
          <w:vertAlign w:val="subscript"/>
        </w:rPr>
      </w:pPr>
    </w:p>
    <w:p>
      <w:pPr>
        <w:ind w:left="840" w:right="240" w:hanging="499"/>
        <w:spacing w:after="0" w:line="185" w:lineRule="auto"/>
        <w:tabs>
          <w:tab w:leader="none" w:pos="840" w:val="left"/>
        </w:tabs>
        <w:numPr>
          <w:ilvl w:val="0"/>
          <w:numId w:val="20"/>
        </w:numPr>
        <w:rPr>
          <w:rFonts w:ascii="Arial" w:cs="Arial" w:eastAsia="Arial" w:hAnsi="Arial"/>
          <w:sz w:val="28"/>
          <w:szCs w:val="28"/>
          <w:color w:val="auto"/>
          <w:vertAlign w:val="subscript"/>
        </w:rPr>
      </w:pPr>
      <w:r>
        <w:rPr>
          <w:rFonts w:ascii="Arial" w:cs="Arial" w:eastAsia="Arial" w:hAnsi="Arial"/>
          <w:sz w:val="13"/>
          <w:szCs w:val="13"/>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 w:lineRule="exact"/>
        <w:rPr>
          <w:sz w:val="20"/>
          <w:szCs w:val="20"/>
          <w:color w:val="auto"/>
        </w:rPr>
      </w:pPr>
    </w:p>
    <w:p>
      <w:pPr>
        <w:ind w:left="180" w:right="340" w:firstLine="459"/>
        <w:spacing w:after="0" w:line="252"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Election to be Taxed as a RIC</w:t>
      </w:r>
    </w:p>
    <w:p>
      <w:pPr>
        <w:spacing w:after="0" w:line="109" w:lineRule="exact"/>
        <w:rPr>
          <w:sz w:val="20"/>
          <w:szCs w:val="20"/>
          <w:color w:val="auto"/>
        </w:rPr>
      </w:pPr>
    </w:p>
    <w:p>
      <w:pPr>
        <w:ind w:firstLine="405"/>
        <w:spacing w:after="0" w:line="264" w:lineRule="auto"/>
        <w:rPr>
          <w:sz w:val="20"/>
          <w:szCs w:val="20"/>
          <w:color w:val="auto"/>
        </w:rPr>
      </w:pPr>
      <w:r>
        <w:rPr>
          <w:rFonts w:ascii="Arial" w:cs="Arial" w:eastAsia="Arial" w:hAnsi="Arial"/>
          <w:sz w:val="13"/>
          <w:szCs w:val="13"/>
          <w:color w:val="auto"/>
        </w:rPr>
        <w:t>We intend to qualify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or the Annual Distribution Requirement.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w:t>
      </w:r>
    </w:p>
    <w:p>
      <w:pPr>
        <w:spacing w:after="0" w:line="2" w:lineRule="exact"/>
        <w:rPr>
          <w:sz w:val="20"/>
          <w:szCs w:val="20"/>
          <w:color w:val="auto"/>
        </w:rPr>
      </w:pPr>
    </w:p>
    <w:p>
      <w:pPr>
        <w:ind w:right="20" w:firstLine="8"/>
        <w:spacing w:after="0" w:line="246" w:lineRule="auto"/>
        <w:tabs>
          <w:tab w:leader="none" w:pos="204" w:val="left"/>
        </w:tabs>
        <w:numPr>
          <w:ilvl w:val="0"/>
          <w:numId w:val="21"/>
        </w:numPr>
        <w:rPr>
          <w:rFonts w:ascii="Arial" w:cs="Arial" w:eastAsia="Arial" w:hAnsi="Arial"/>
          <w:sz w:val="14"/>
          <w:szCs w:val="14"/>
          <w:color w:val="auto"/>
        </w:rPr>
      </w:pPr>
      <w:r>
        <w:rPr>
          <w:rFonts w:ascii="Arial" w:cs="Arial" w:eastAsia="Arial" w:hAnsi="Arial"/>
          <w:sz w:val="14"/>
          <w:szCs w:val="14"/>
          <w:color w:val="auto"/>
        </w:rPr>
        <w:t>98.2% of our realized net capital gains for the one-year period ending on October 31 of the calendar year and (3) any ordinary income and net capital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206" w:lineRule="exact"/>
        <w:rPr>
          <w:sz w:val="20"/>
          <w:szCs w:val="20"/>
          <w:color w:val="auto"/>
        </w:rPr>
      </w:pPr>
    </w:p>
    <w:p>
      <w:pPr>
        <w:ind w:left="720" w:hanging="194"/>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4"/>
          <w:szCs w:val="14"/>
          <w:color w:val="auto"/>
        </w:rPr>
        <w:t>maintain an election to be treated as a BDC under the 1940 Act at all times during each taxable year;</w:t>
      </w:r>
    </w:p>
    <w:p>
      <w:pPr>
        <w:spacing w:after="0" w:line="222" w:lineRule="exact"/>
        <w:rPr>
          <w:rFonts w:ascii="Arial" w:cs="Arial" w:eastAsia="Arial" w:hAnsi="Arial"/>
          <w:sz w:val="18"/>
          <w:szCs w:val="18"/>
          <w:color w:val="auto"/>
        </w:rPr>
      </w:pPr>
    </w:p>
    <w:p>
      <w:pPr>
        <w:ind w:left="720" w:right="20" w:hanging="194"/>
        <w:spacing w:after="0" w:line="185" w:lineRule="auto"/>
        <w:tabs>
          <w:tab w:leader="none" w:pos="720" w:val="left"/>
        </w:tabs>
        <w:numPr>
          <w:ilvl w:val="0"/>
          <w:numId w:val="22"/>
        </w:numPr>
        <w:rPr>
          <w:rFonts w:ascii="Arial" w:cs="Arial" w:eastAsia="Arial" w:hAnsi="Arial"/>
          <w:sz w:val="28"/>
          <w:szCs w:val="28"/>
          <w:color w:val="auto"/>
          <w:vertAlign w:val="subscript"/>
        </w:rPr>
      </w:pPr>
      <w:r>
        <w:rPr>
          <w:rFonts w:ascii="Arial" w:cs="Arial" w:eastAsia="Arial" w:hAnsi="Arial"/>
          <w:sz w:val="13"/>
          <w:szCs w:val="13"/>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333" w:lineRule="exact"/>
        <w:rPr>
          <w:rFonts w:ascii="Arial" w:cs="Arial" w:eastAsia="Arial" w:hAnsi="Arial"/>
          <w:sz w:val="28"/>
          <w:szCs w:val="28"/>
          <w:color w:val="auto"/>
          <w:vertAlign w:val="subscript"/>
        </w:rPr>
      </w:pPr>
    </w:p>
    <w:p>
      <w:pPr>
        <w:ind w:left="720" w:hanging="194"/>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4"/>
          <w:szCs w:val="14"/>
          <w:color w:val="auto"/>
        </w:rPr>
        <w:t>diversify our holdings so that at the end of each quarter of the taxable year:</w:t>
      </w:r>
    </w:p>
    <w:p>
      <w:pPr>
        <w:spacing w:after="0" w:line="222" w:lineRule="exact"/>
        <w:rPr>
          <w:rFonts w:ascii="Arial" w:cs="Arial" w:eastAsia="Arial" w:hAnsi="Arial"/>
          <w:sz w:val="18"/>
          <w:szCs w:val="18"/>
          <w:color w:val="auto"/>
        </w:rPr>
      </w:pPr>
    </w:p>
    <w:p>
      <w:pPr>
        <w:jc w:val="both"/>
        <w:ind w:left="1500" w:right="540" w:hanging="167"/>
        <w:spacing w:after="0" w:line="335" w:lineRule="auto"/>
        <w:tabs>
          <w:tab w:leader="none" w:pos="1500" w:val="left"/>
        </w:tabs>
        <w:numPr>
          <w:ilvl w:val="1"/>
          <w:numId w:val="22"/>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168" w:lineRule="exact"/>
        <w:rPr>
          <w:rFonts w:ascii="Arial" w:cs="Arial" w:eastAsia="Arial" w:hAnsi="Arial"/>
          <w:sz w:val="12"/>
          <w:szCs w:val="12"/>
          <w:color w:val="auto"/>
        </w:rPr>
      </w:pPr>
    </w:p>
    <w:p>
      <w:pPr>
        <w:ind w:left="1500" w:right="140" w:hanging="167"/>
        <w:spacing w:after="0" w:line="238" w:lineRule="auto"/>
        <w:tabs>
          <w:tab w:leader="none" w:pos="1500" w:val="left"/>
        </w:tabs>
        <w:numPr>
          <w:ilvl w:val="1"/>
          <w:numId w:val="22"/>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or the Diversification Tests.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109" w:lineRule="exact"/>
        <w:rPr>
          <w:sz w:val="20"/>
          <w:szCs w:val="20"/>
          <w:color w:val="auto"/>
        </w:rPr>
      </w:pPr>
    </w:p>
    <w:p>
      <w:pPr>
        <w:ind w:left="80" w:right="180" w:firstLine="324"/>
        <w:spacing w:after="0" w:line="257"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77" w:lineRule="exact"/>
        <w:rPr>
          <w:sz w:val="20"/>
          <w:szCs w:val="20"/>
          <w:color w:val="auto"/>
        </w:rPr>
      </w:pPr>
    </w:p>
    <w:p>
      <w:pPr>
        <w:ind w:left="80" w:right="140" w:firstLine="324"/>
        <w:spacing w:after="0" w:line="273" w:lineRule="auto"/>
        <w:rPr>
          <w:sz w:val="20"/>
          <w:szCs w:val="20"/>
          <w:color w:val="auto"/>
        </w:rPr>
      </w:pPr>
      <w:r>
        <w:rPr>
          <w:rFonts w:ascii="Arial" w:cs="Arial" w:eastAsia="Arial" w:hAnsi="Arial"/>
          <w:sz w:val="13"/>
          <w:szCs w:val="13"/>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68" w:lineRule="exact"/>
        <w:rPr>
          <w:sz w:val="20"/>
          <w:szCs w:val="20"/>
          <w:color w:val="auto"/>
        </w:rPr>
      </w:pPr>
    </w:p>
    <w:p>
      <w:pPr>
        <w:ind w:left="80" w:right="240" w:firstLine="405"/>
        <w:spacing w:after="0" w:line="273" w:lineRule="auto"/>
        <w:rPr>
          <w:sz w:val="20"/>
          <w:szCs w:val="20"/>
          <w:color w:val="auto"/>
        </w:rPr>
      </w:pPr>
      <w:r>
        <w:rPr>
          <w:rFonts w:ascii="Arial" w:cs="Arial" w:eastAsia="Arial" w:hAnsi="Arial"/>
          <w:sz w:val="14"/>
          <w:szCs w:val="14"/>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66" w:lineRule="exact"/>
        <w:rPr>
          <w:sz w:val="20"/>
          <w:szCs w:val="20"/>
          <w:color w:val="auto"/>
        </w:rPr>
      </w:pPr>
    </w:p>
    <w:p>
      <w:pPr>
        <w:ind w:left="80" w:firstLine="324"/>
        <w:spacing w:after="0" w:line="249" w:lineRule="auto"/>
        <w:rPr>
          <w:sz w:val="20"/>
          <w:szCs w:val="20"/>
          <w:color w:val="auto"/>
        </w:rPr>
      </w:pPr>
      <w:r>
        <w:rPr>
          <w:rFonts w:ascii="Arial" w:cs="Arial" w:eastAsia="Arial" w:hAnsi="Arial"/>
          <w:sz w:val="14"/>
          <w:szCs w:val="14"/>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83" w:lineRule="exact"/>
        <w:rPr>
          <w:sz w:val="20"/>
          <w:szCs w:val="20"/>
          <w:color w:val="auto"/>
        </w:rPr>
      </w:pPr>
    </w:p>
    <w:p>
      <w:pPr>
        <w:ind w:left="80" w:right="80" w:firstLine="324"/>
        <w:spacing w:after="0" w:line="269" w:lineRule="auto"/>
        <w:rPr>
          <w:sz w:val="20"/>
          <w:szCs w:val="20"/>
          <w:color w:val="auto"/>
        </w:rPr>
      </w:pPr>
      <w:r>
        <w:rPr>
          <w:rFonts w:ascii="Arial" w:cs="Arial" w:eastAsia="Arial" w:hAnsi="Arial"/>
          <w:sz w:val="13"/>
          <w:szCs w:val="13"/>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w:t>
      </w:r>
    </w:p>
    <w:p>
      <w:pPr>
        <w:spacing w:after="0" w:line="1" w:lineRule="exact"/>
        <w:rPr>
          <w:sz w:val="20"/>
          <w:szCs w:val="20"/>
          <w:color w:val="auto"/>
        </w:rPr>
      </w:pPr>
    </w:p>
    <w:p>
      <w:pPr>
        <w:ind w:left="80" w:right="100" w:firstLine="9"/>
        <w:spacing w:after="0" w:line="271" w:lineRule="auto"/>
        <w:tabs>
          <w:tab w:leader="none" w:pos="284"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109" w:lineRule="exact"/>
        <w:rPr>
          <w:sz w:val="20"/>
          <w:szCs w:val="20"/>
          <w:color w:val="auto"/>
        </w:rPr>
      </w:pPr>
    </w:p>
    <w:p>
      <w:pPr>
        <w:ind w:left="80" w:right="120" w:firstLine="324"/>
        <w:spacing w:after="0" w:line="252"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80" w:lineRule="exact"/>
        <w:rPr>
          <w:sz w:val="20"/>
          <w:szCs w:val="20"/>
          <w:color w:val="auto"/>
        </w:rPr>
      </w:pPr>
    </w:p>
    <w:p>
      <w:pPr>
        <w:ind w:left="80" w:firstLine="324"/>
        <w:spacing w:after="0" w:line="249" w:lineRule="auto"/>
        <w:rPr>
          <w:sz w:val="20"/>
          <w:szCs w:val="20"/>
          <w:color w:val="auto"/>
        </w:rPr>
      </w:pPr>
      <w:r>
        <w:rPr>
          <w:rFonts w:ascii="Arial" w:cs="Arial" w:eastAsia="Arial" w:hAnsi="Arial"/>
          <w:sz w:val="14"/>
          <w:szCs w:val="14"/>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1A. </w:t>
      </w:r>
      <w:r>
        <w:rPr>
          <w:rFonts w:ascii="Arial" w:cs="Arial" w:eastAsia="Arial" w:hAnsi="Arial"/>
          <w:sz w:val="14"/>
          <w:szCs w:val="14"/>
          <w:b w:val="1"/>
          <w:bCs w:val="1"/>
          <w:i w:val="1"/>
          <w:iCs w:val="1"/>
          <w:color w:val="auto"/>
        </w:rPr>
        <w:t>Risk Factors</w:t>
      </w:r>
    </w:p>
    <w:p>
      <w:pPr>
        <w:spacing w:after="0" w:line="86" w:lineRule="exact"/>
        <w:rPr>
          <w:sz w:val="20"/>
          <w:szCs w:val="20"/>
          <w:color w:val="auto"/>
        </w:rPr>
      </w:pPr>
    </w:p>
    <w:p>
      <w:pPr>
        <w:ind w:right="40" w:firstLine="432"/>
        <w:spacing w:after="0" w:line="249"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results of operations. If any of the following events occur, our business, financial condition and results of operations could be materially adversely affected. In such case, our net asset value and the trading price of our common stock could decline and you may lose all or part of your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are a new company with a limited operating history.</w:t>
      </w:r>
    </w:p>
    <w:p>
      <w:pPr>
        <w:spacing w:after="0" w:line="69" w:lineRule="exact"/>
        <w:rPr>
          <w:sz w:val="20"/>
          <w:szCs w:val="20"/>
          <w:color w:val="auto"/>
        </w:rPr>
      </w:pPr>
    </w:p>
    <w:p>
      <w:pPr>
        <w:ind w:right="20" w:firstLine="405"/>
        <w:spacing w:after="0" w:line="273" w:lineRule="auto"/>
        <w:rPr>
          <w:sz w:val="20"/>
          <w:szCs w:val="20"/>
          <w:color w:val="auto"/>
        </w:rPr>
      </w:pPr>
      <w:r>
        <w:rPr>
          <w:rFonts w:ascii="Arial" w:cs="Arial" w:eastAsia="Arial" w:hAnsi="Arial"/>
          <w:sz w:val="14"/>
          <w:szCs w:val="14"/>
          <w:color w:val="auto"/>
        </w:rPr>
        <w:t>We were incorporated in October 2010 and commenced operations in March 2011. We are subject to all of the business risks and uncertainties associated with any new business, including the risk that we will not achieve our investment objective and that the value of your investment could decline substantially.</w:t>
      </w:r>
    </w:p>
    <w:p>
      <w:pPr>
        <w:spacing w:after="0" w:line="39" w:lineRule="exact"/>
        <w:rPr>
          <w:sz w:val="20"/>
          <w:szCs w:val="20"/>
          <w:color w:val="auto"/>
        </w:rPr>
      </w:pPr>
    </w:p>
    <w:p>
      <w:pPr>
        <w:ind w:firstLine="216"/>
        <w:spacing w:after="0" w:line="273" w:lineRule="auto"/>
        <w:rPr>
          <w:sz w:val="20"/>
          <w:szCs w:val="20"/>
          <w:color w:val="auto"/>
        </w:rPr>
      </w:pPr>
      <w:r>
        <w:rPr>
          <w:rFonts w:ascii="Arial" w:cs="Arial" w:eastAsia="Arial" w:hAnsi="Arial"/>
          <w:sz w:val="14"/>
          <w:szCs w:val="14"/>
          <w:b w:val="1"/>
          <w:bCs w:val="1"/>
          <w:i w:val="1"/>
          <w:iCs w:val="1"/>
          <w:color w:val="auto"/>
        </w:rPr>
        <w:t>Global capital markets could enter a period of severe disruption and instability. These market conditions have historically and could again materially and adversely affect debt and equity capital markets in the United States, which could have a materially negative impact on our business, financial condition and results of operations.</w:t>
      </w:r>
    </w:p>
    <w:p>
      <w:pPr>
        <w:spacing w:after="0" w:line="25" w:lineRule="exact"/>
        <w:rPr>
          <w:sz w:val="20"/>
          <w:szCs w:val="20"/>
          <w:color w:val="auto"/>
        </w:rPr>
      </w:pPr>
    </w:p>
    <w:p>
      <w:pPr>
        <w:ind w:right="20" w:firstLine="405"/>
        <w:spacing w:after="0" w:line="247" w:lineRule="auto"/>
        <w:rPr>
          <w:sz w:val="20"/>
          <w:szCs w:val="20"/>
          <w:color w:val="auto"/>
        </w:rPr>
      </w:pPr>
      <w:r>
        <w:rPr>
          <w:rFonts w:ascii="Arial" w:cs="Arial" w:eastAsia="Arial" w:hAnsi="Arial"/>
          <w:sz w:val="14"/>
          <w:szCs w:val="14"/>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again or materially worsen in the future. We may in the future have difficulty accessing debt and equity capital, and a severe disruption and instability in the global financial markets or deterioration in credit and financing conditions could have a material adverse effect on our business, financial condition and results of operations.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69" w:lineRule="exact"/>
        <w:rPr>
          <w:sz w:val="20"/>
          <w:szCs w:val="20"/>
          <w:color w:val="auto"/>
        </w:rPr>
      </w:pPr>
    </w:p>
    <w:p>
      <w:pPr>
        <w:ind w:right="40" w:firstLine="405"/>
        <w:spacing w:after="0" w:line="267" w:lineRule="auto"/>
        <w:rPr>
          <w:sz w:val="20"/>
          <w:szCs w:val="20"/>
          <w:color w:val="auto"/>
        </w:rPr>
      </w:pPr>
      <w:r>
        <w:rPr>
          <w:rFonts w:ascii="Arial" w:cs="Arial" w:eastAsia="Arial" w:hAnsi="Arial"/>
          <w:sz w:val="13"/>
          <w:szCs w:val="13"/>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without first obtaining approval for such issuance from our stockholders and our independent directors. Additionally, our ability to incur indebtedness is limited by applicable regulations, such that our asset coverage, as defined under the 1940 Act, must equal at least 200% of our total indebtedness immediately after each time we incur indebtedness. Shrinking portfolio values negatively impact our ability to borrow additional funds under the Credit Facility because our net asset value is reduced for purposes of the 200% asset coverage test. If the fair value of our assets declines substantially, we may fail to maintain the asset coverage ratios stipulated by the 1940 Act, which could, in turn, cause us to lose our status as a BDC and materially impair our business operations. A protracted disruption in the credit markets could also materially decrease demand for our investments.</w:t>
      </w:r>
    </w:p>
    <w:p>
      <w:pPr>
        <w:spacing w:after="0" w:line="141" w:lineRule="exact"/>
        <w:rPr>
          <w:sz w:val="20"/>
          <w:szCs w:val="20"/>
          <w:color w:val="auto"/>
        </w:rPr>
      </w:pPr>
    </w:p>
    <w:p>
      <w:pPr>
        <w:ind w:right="280" w:firstLine="405"/>
        <w:spacing w:after="0" w:line="247" w:lineRule="auto"/>
        <w:rPr>
          <w:sz w:val="20"/>
          <w:szCs w:val="20"/>
          <w:color w:val="auto"/>
        </w:rPr>
      </w:pPr>
      <w:r>
        <w:rPr>
          <w:rFonts w:ascii="Arial" w:cs="Arial" w:eastAsia="Arial" w:hAnsi="Arial"/>
          <w:sz w:val="14"/>
          <w:szCs w:val="14"/>
          <w:color w:val="auto"/>
        </w:rPr>
        <w:t>The significant disruption in the capital markets experienced in the past may in the future have a negative effect on the valuations of our investments and on the potential for liquidity events involving our investments. The debt capital that will be available to us may be at a higher cost and/or on less favorable terms and conditions than those currently used. A prolonged inability to raise capital may require us to reduce the volume of Floating Rate Loans we invest in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00"/>
          </w:cols>
          <w:pgMar w:left="320" w:top="121" w:right="37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1"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21" w:lineRule="exact"/>
        <w:rPr>
          <w:sz w:val="20"/>
          <w:szCs w:val="20"/>
          <w:color w:val="auto"/>
        </w:rPr>
      </w:pPr>
    </w:p>
    <w:p>
      <w:pPr>
        <w:ind w:firstLine="405"/>
        <w:spacing w:after="0" w:line="273" w:lineRule="auto"/>
        <w:rPr>
          <w:sz w:val="20"/>
          <w:szCs w:val="20"/>
          <w:color w:val="auto"/>
        </w:rPr>
      </w:pPr>
      <w:r>
        <w:rPr>
          <w:rFonts w:ascii="Arial" w:cs="Arial" w:eastAsia="Arial" w:hAnsi="Arial"/>
          <w:sz w:val="13"/>
          <w:szCs w:val="13"/>
          <w:color w:val="auto"/>
        </w:rPr>
        <w:t>As a BDC, we are required to carry our investments at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incur credit risk when we loan money or commit to loan money to a portfolio company.</w:t>
      </w:r>
    </w:p>
    <w:p>
      <w:pPr>
        <w:spacing w:after="0" w:line="109" w:lineRule="exact"/>
        <w:rPr>
          <w:sz w:val="20"/>
          <w:szCs w:val="20"/>
          <w:color w:val="auto"/>
        </w:rPr>
      </w:pPr>
    </w:p>
    <w:p>
      <w:pPr>
        <w:ind w:right="60" w:firstLine="405"/>
        <w:spacing w:after="0" w:line="27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part of our fair valuation of our Floating Rate Loans and other investments we may purchase. Negative credit events will lead to a decrease in the fair value of our Floating Rate Loans and other investments.</w:t>
      </w:r>
    </w:p>
    <w:p>
      <w:pPr>
        <w:spacing w:after="0" w:line="66" w:lineRule="exact"/>
        <w:rPr>
          <w:sz w:val="20"/>
          <w:szCs w:val="20"/>
          <w:color w:val="auto"/>
        </w:rPr>
      </w:pPr>
    </w:p>
    <w:p>
      <w:pPr>
        <w:ind w:right="20" w:firstLine="405"/>
        <w:spacing w:after="0" w:line="312" w:lineRule="auto"/>
        <w:rPr>
          <w:sz w:val="20"/>
          <w:szCs w:val="20"/>
          <w:color w:val="auto"/>
        </w:rPr>
      </w:pPr>
      <w:r>
        <w:rPr>
          <w:rFonts w:ascii="Arial" w:cs="Arial" w:eastAsia="Arial" w:hAnsi="Arial"/>
          <w:sz w:val="13"/>
          <w:szCs w:val="13"/>
          <w:color w:val="auto"/>
        </w:rPr>
        <w:t>In addition, current market conditions have affected consumer confidence levels, which may result in adverse changes in payment patterns. Increased delinquencies and default rates would impact our results of operations. Deterioration in the credit quality of our portfolio could have a material adverse effect on our capital, financial condition and results of operations.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Following periods of volatility in the market price of a company’s securities, securities class action litigation has often been brought against that company.</w:t>
      </w:r>
    </w:p>
    <w:p>
      <w:pPr>
        <w:spacing w:after="0" w:line="109" w:lineRule="exact"/>
        <w:rPr>
          <w:sz w:val="20"/>
          <w:szCs w:val="20"/>
          <w:color w:val="auto"/>
        </w:rPr>
      </w:pPr>
    </w:p>
    <w:p>
      <w:pPr>
        <w:ind w:right="160" w:firstLine="405"/>
        <w:spacing w:after="0" w:line="273" w:lineRule="auto"/>
        <w:rPr>
          <w:sz w:val="20"/>
          <w:szCs w:val="20"/>
          <w:color w:val="auto"/>
        </w:rPr>
      </w:pPr>
      <w:r>
        <w:rPr>
          <w:rFonts w:ascii="Arial" w:cs="Arial" w:eastAsia="Arial" w:hAnsi="Arial"/>
          <w:sz w:val="14"/>
          <w:szCs w:val="14"/>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109" w:lineRule="exact"/>
        <w:rPr>
          <w:sz w:val="20"/>
          <w:szCs w:val="20"/>
          <w:color w:val="auto"/>
        </w:rPr>
      </w:pPr>
    </w:p>
    <w:p>
      <w:pPr>
        <w:ind w:right="20" w:firstLine="405"/>
        <w:spacing w:after="0" w:line="267" w:lineRule="auto"/>
        <w:rPr>
          <w:sz w:val="20"/>
          <w:szCs w:val="20"/>
          <w:color w:val="auto"/>
        </w:rPr>
      </w:pPr>
      <w:r>
        <w:rPr>
          <w:rFonts w:ascii="Arial" w:cs="Arial" w:eastAsia="Arial" w:hAnsi="Arial"/>
          <w:sz w:val="13"/>
          <w:szCs w:val="13"/>
          <w:color w:val="auto"/>
        </w:rPr>
        <w:t>We invest in Floating Rate Loans,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negatively impact the ability of our borrowers to repay their loans, which could materially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adverse effect on our financial condition and results of operations.</w:t>
      </w:r>
    </w:p>
    <w:p>
      <w:pPr>
        <w:spacing w:after="0" w:line="74" w:lineRule="exact"/>
        <w:rPr>
          <w:sz w:val="20"/>
          <w:szCs w:val="20"/>
          <w:color w:val="auto"/>
        </w:rPr>
      </w:pPr>
    </w:p>
    <w:p>
      <w:pPr>
        <w:ind w:right="140" w:firstLine="216"/>
        <w:spacing w:after="0" w:line="27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spacing w:after="0" w:line="66" w:lineRule="exact"/>
        <w:rPr>
          <w:sz w:val="20"/>
          <w:szCs w:val="20"/>
          <w:color w:val="auto"/>
        </w:rPr>
      </w:pPr>
    </w:p>
    <w:p>
      <w:pPr>
        <w:ind w:right="20" w:firstLine="405"/>
        <w:spacing w:after="0" w:line="247" w:lineRule="auto"/>
        <w:rPr>
          <w:sz w:val="20"/>
          <w:szCs w:val="20"/>
          <w:color w:val="auto"/>
        </w:rPr>
      </w:pPr>
      <w:r>
        <w:rPr>
          <w:rFonts w:ascii="Arial" w:cs="Arial" w:eastAsia="Arial" w:hAnsi="Arial"/>
          <w:sz w:val="14"/>
          <w:szCs w:val="14"/>
          <w:color w:val="auto"/>
        </w:rPr>
        <w:t>We depend on the diligence, skill and network of business contacts of the investment professionals of the Investment Adviser. We also depend, to a significant extent, on PennantPark Investment Advisers' access to the investment information and deal flow generated by these investment professionals and any others that may be hired by the Investment Adviser. Managers of the Investment Adviser evaluate, negotiate, structure, close and monitor our investments. Our future success depends on the continued service of management personnel of the Investment Adviser. The departure of managers of the Investment Adviser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financial condition and results of operation depends on our ability to manage future growth effectively.</w:t>
      </w:r>
    </w:p>
    <w:p>
      <w:pPr>
        <w:spacing w:after="0" w:line="109" w:lineRule="exact"/>
        <w:rPr>
          <w:sz w:val="20"/>
          <w:szCs w:val="20"/>
          <w:color w:val="auto"/>
        </w:rPr>
      </w:pPr>
    </w:p>
    <w:p>
      <w:pPr>
        <w:ind w:right="20" w:firstLine="405"/>
        <w:spacing w:after="0" w:line="246" w:lineRule="auto"/>
        <w:rPr>
          <w:sz w:val="20"/>
          <w:szCs w:val="20"/>
          <w:color w:val="auto"/>
        </w:rPr>
      </w:pPr>
      <w:r>
        <w:rPr>
          <w:rFonts w:ascii="Arial" w:cs="Arial" w:eastAsia="Arial" w:hAnsi="Arial"/>
          <w:sz w:val="14"/>
          <w:szCs w:val="14"/>
          <w:color w:val="auto"/>
        </w:rPr>
        <w:t>Our ability to achieve our investment objectives depend on our ability to grow, which depends, in turn, on the Investment Adviser's ability to identify, invest in and monitor companies that meet our investment criteria. Accomplishing this result on a cost-effective basis is largely a function of the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the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109" w:lineRule="exact"/>
        <w:rPr>
          <w:sz w:val="20"/>
          <w:szCs w:val="20"/>
          <w:color w:val="auto"/>
        </w:rPr>
      </w:pPr>
    </w:p>
    <w:p>
      <w:pPr>
        <w:ind w:right="20" w:firstLine="405"/>
        <w:spacing w:after="0" w:line="266" w:lineRule="auto"/>
        <w:rPr>
          <w:sz w:val="20"/>
          <w:szCs w:val="20"/>
          <w:color w:val="auto"/>
        </w:rPr>
      </w:pPr>
      <w:r>
        <w:rPr>
          <w:rFonts w:ascii="Arial" w:cs="Arial" w:eastAsia="Arial" w:hAnsi="Arial"/>
          <w:sz w:val="13"/>
          <w:szCs w:val="13"/>
          <w:color w:val="auto"/>
        </w:rPr>
        <w:t>A number of entities compete with us to make the types of investments that we make in middle-market companies. We compete with public and private funds, including other BDC's and closed-end funds,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BDC.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75" w:lineRule="exact"/>
        <w:rPr>
          <w:sz w:val="20"/>
          <w:szCs w:val="20"/>
          <w:color w:val="auto"/>
        </w:rPr>
      </w:pPr>
    </w:p>
    <w:p>
      <w:pPr>
        <w:ind w:firstLine="405"/>
        <w:spacing w:after="0" w:line="252"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80" w:lineRule="exact"/>
        <w:rPr>
          <w:sz w:val="20"/>
          <w:szCs w:val="20"/>
          <w:color w:val="auto"/>
        </w:rPr>
      </w:pPr>
    </w:p>
    <w:p>
      <w:pPr>
        <w:ind w:firstLine="405"/>
        <w:spacing w:after="0" w:line="257" w:lineRule="auto"/>
        <w:rPr>
          <w:sz w:val="20"/>
          <w:szCs w:val="20"/>
          <w:color w:val="auto"/>
        </w:rPr>
      </w:pPr>
      <w:r>
        <w:rPr>
          <w:rFonts w:ascii="Arial" w:cs="Arial" w:eastAsia="Arial" w:hAnsi="Arial"/>
          <w:sz w:val="14"/>
          <w:szCs w:val="14"/>
          <w:color w:val="auto"/>
        </w:rPr>
        <w:t>Also, the Investment Adviser evaluates investments consistent with its selection process. As a result, we will invest our funds in temporary investments such as cash, cash equivalents, U.S. government securities and other high-quality investment grade securities that mature in one year or less from the date of investment pending such selection. The income earned on such investments will be significantly less than what we would earn on investments in Floating Rate Loans and other investments.</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may not replicate the historical performance of other investment companies with which our investment professionals have been affiliated.</w:t>
      </w:r>
    </w:p>
    <w:p>
      <w:pPr>
        <w:spacing w:after="0" w:line="109" w:lineRule="exact"/>
        <w:rPr>
          <w:sz w:val="20"/>
          <w:szCs w:val="20"/>
          <w:color w:val="auto"/>
        </w:rPr>
      </w:pPr>
    </w:p>
    <w:p>
      <w:pPr>
        <w:ind w:right="20" w:firstLine="405"/>
        <w:spacing w:after="0" w:line="246" w:lineRule="auto"/>
        <w:rPr>
          <w:sz w:val="20"/>
          <w:szCs w:val="20"/>
          <w:color w:val="auto"/>
        </w:rPr>
      </w:pPr>
      <w:r>
        <w:rPr>
          <w:rFonts w:ascii="Arial" w:cs="Arial" w:eastAsia="Arial" w:hAnsi="Arial"/>
          <w:sz w:val="14"/>
          <w:szCs w:val="14"/>
          <w:color w:val="auto"/>
        </w:rPr>
        <w:t>The 1940 Act imposes numerous constraints on the investment activities of BDC's. For example, BDC's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Any failure on our part to maintain our status as a business development company would reduce our operating flexibility.</w:t>
      </w:r>
    </w:p>
    <w:p>
      <w:pPr>
        <w:spacing w:after="0" w:line="109" w:lineRule="exact"/>
        <w:rPr>
          <w:sz w:val="20"/>
          <w:szCs w:val="20"/>
          <w:color w:val="auto"/>
        </w:rPr>
      </w:pPr>
    </w:p>
    <w:p>
      <w:pPr>
        <w:ind w:right="520" w:firstLine="405"/>
        <w:spacing w:after="0" w:line="257" w:lineRule="auto"/>
        <w:rPr>
          <w:sz w:val="20"/>
          <w:szCs w:val="20"/>
          <w:color w:val="auto"/>
        </w:rPr>
      </w:pPr>
      <w:r>
        <w:rPr>
          <w:rFonts w:ascii="Arial" w:cs="Arial" w:eastAsia="Arial" w:hAnsi="Arial"/>
          <w:sz w:val="14"/>
          <w:szCs w:val="14"/>
          <w:color w:val="auto"/>
        </w:rPr>
        <w:t>We have elected to be treated as a BDC. 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Loss of RIC tax status would substantially reduce net assets and income available for debt service and dividends.</w:t>
      </w:r>
    </w:p>
    <w:p>
      <w:pPr>
        <w:spacing w:after="0" w:line="109" w:lineRule="exact"/>
        <w:rPr>
          <w:sz w:val="20"/>
          <w:szCs w:val="20"/>
          <w:color w:val="auto"/>
        </w:rPr>
      </w:pPr>
    </w:p>
    <w:p>
      <w:pPr>
        <w:ind w:right="60" w:firstLine="405"/>
        <w:spacing w:after="0" w:line="267" w:lineRule="auto"/>
        <w:rPr>
          <w:sz w:val="20"/>
          <w:szCs w:val="20"/>
          <w:color w:val="auto"/>
        </w:rPr>
      </w:pPr>
      <w:r>
        <w:rPr>
          <w:rFonts w:ascii="Arial" w:cs="Arial" w:eastAsia="Arial" w:hAnsi="Arial"/>
          <w:sz w:val="13"/>
          <w:szCs w:val="13"/>
          <w:color w:val="auto"/>
        </w:rPr>
        <w:t>We have operated and intend to operate so as to qualify as a RIC under Subchapter M of the Code commencing with our first taxable year.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 month period ending on October 31), we generally will be required to pay an excise tax on amounts carried over and distributed to shareholders in the next year equal to 4% of the undistributed amount.</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may have difficulty paying our required distributions if we recognize income before or without receiving cash representing such income.</w:t>
      </w:r>
    </w:p>
    <w:p>
      <w:pPr>
        <w:spacing w:after="0" w:line="109" w:lineRule="exact"/>
        <w:rPr>
          <w:sz w:val="20"/>
          <w:szCs w:val="20"/>
          <w:color w:val="auto"/>
        </w:rPr>
      </w:pPr>
    </w:p>
    <w:p>
      <w:pPr>
        <w:ind w:right="240" w:firstLine="432"/>
        <w:spacing w:after="0" w:line="252"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original issue discount, or OID, or contracted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80" w:lineRule="exact"/>
        <w:rPr>
          <w:sz w:val="20"/>
          <w:szCs w:val="20"/>
          <w:color w:val="auto"/>
        </w:rPr>
      </w:pPr>
    </w:p>
    <w:p>
      <w:pPr>
        <w:ind w:right="20" w:firstLine="432"/>
        <w:spacing w:after="0" w:line="257"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77" w:lineRule="exact"/>
        <w:rPr>
          <w:sz w:val="20"/>
          <w:szCs w:val="20"/>
          <w:color w:val="auto"/>
        </w:rPr>
      </w:pPr>
    </w:p>
    <w:p>
      <w:pPr>
        <w:ind w:right="80" w:firstLine="432"/>
        <w:spacing w:after="0" w:line="249" w:lineRule="auto"/>
        <w:rPr>
          <w:sz w:val="20"/>
          <w:szCs w:val="20"/>
          <w:color w:val="auto"/>
        </w:rPr>
      </w:pPr>
      <w:r>
        <w:rPr>
          <w:rFonts w:ascii="Arial" w:cs="Arial" w:eastAsia="Arial" w:hAnsi="Arial"/>
          <w:sz w:val="14"/>
          <w:szCs w:val="14"/>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56" w:lineRule="exact"/>
        <w:rPr>
          <w:sz w:val="20"/>
          <w:szCs w:val="20"/>
          <w:color w:val="auto"/>
        </w:rPr>
      </w:pPr>
    </w:p>
    <w:p>
      <w:pPr>
        <w:ind w:right="40" w:firstLine="216"/>
        <w:spacing w:after="0" w:line="27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120" w:lineRule="exact"/>
        <w:rPr>
          <w:sz w:val="20"/>
          <w:szCs w:val="20"/>
          <w:color w:val="auto"/>
        </w:rPr>
      </w:pPr>
    </w:p>
    <w:p>
      <w:pPr>
        <w:ind w:left="60" w:firstLine="324"/>
        <w:spacing w:after="0" w:line="247" w:lineRule="auto"/>
        <w:rPr>
          <w:sz w:val="20"/>
          <w:szCs w:val="20"/>
          <w:color w:val="auto"/>
        </w:rPr>
      </w:pPr>
      <w:r>
        <w:rPr>
          <w:rFonts w:ascii="Arial" w:cs="Arial" w:eastAsia="Arial" w:hAnsi="Arial"/>
          <w:sz w:val="14"/>
          <w:szCs w:val="14"/>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 coverage ratio of total assets to total senior securities, which includes all of our borrowings,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0" w:lineRule="exact"/>
        <w:rPr>
          <w:sz w:val="20"/>
          <w:szCs w:val="20"/>
          <w:color w:val="auto"/>
        </w:rPr>
      </w:pPr>
    </w:p>
    <w:p>
      <w:pPr>
        <w:ind w:left="80" w:firstLine="324"/>
        <w:spacing w:after="0" w:line="252" w:lineRule="auto"/>
        <w:rPr>
          <w:sz w:val="20"/>
          <w:szCs w:val="20"/>
          <w:color w:val="auto"/>
        </w:rPr>
      </w:pPr>
      <w:r>
        <w:rPr>
          <w:rFonts w:ascii="Arial" w:cs="Arial" w:eastAsia="Arial" w:hAnsi="Arial"/>
          <w:sz w:val="14"/>
          <w:szCs w:val="14"/>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waiver and if Funding I is unable to obtain a waiver, compliance with the covenants may result in an entity-level tax on 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Regulations governing our operation as a BDC will affect our ability to, and the way in which we, raise additional capital.</w:t>
      </w:r>
    </w:p>
    <w:p>
      <w:pPr>
        <w:spacing w:after="0" w:line="82" w:lineRule="exact"/>
        <w:rPr>
          <w:sz w:val="20"/>
          <w:szCs w:val="20"/>
          <w:color w:val="auto"/>
        </w:rPr>
      </w:pPr>
    </w:p>
    <w:p>
      <w:pPr>
        <w:ind w:firstLine="405"/>
        <w:spacing w:after="0" w:line="246" w:lineRule="auto"/>
        <w:rPr>
          <w:sz w:val="20"/>
          <w:szCs w:val="20"/>
          <w:color w:val="auto"/>
        </w:rPr>
      </w:pPr>
      <w:r>
        <w:rPr>
          <w:rFonts w:ascii="Arial" w:cs="Arial" w:eastAsia="Arial" w:hAnsi="Arial"/>
          <w:sz w:val="14"/>
          <w:szCs w:val="14"/>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incur additional indebtedness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or redeem a portion of our senior securities, as applicable, at a time when such sales may be disadvantageous, which could materially damage our business.</w:t>
      </w:r>
    </w:p>
    <w:p>
      <w:pPr>
        <w:spacing w:after="0" w:line="192" w:lineRule="exact"/>
        <w:rPr>
          <w:sz w:val="20"/>
          <w:szCs w:val="20"/>
          <w:color w:val="auto"/>
        </w:rPr>
      </w:pPr>
    </w:p>
    <w:p>
      <w:pPr>
        <w:ind w:left="660" w:right="80" w:hanging="328"/>
        <w:spacing w:after="0" w:line="249"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Senior Securities. </w:t>
      </w:r>
      <w:r>
        <w:rPr>
          <w:rFonts w:ascii="Arial" w:cs="Arial" w:eastAsia="Arial" w:hAnsi="Arial"/>
          <w:sz w:val="14"/>
          <w:szCs w:val="14"/>
          <w:color w:val="auto"/>
        </w:rPr>
        <w:t>As a result of issuing senior securities, we would also be exposed to typical risks associated with leverage, including an increased risk of loss. If we issue preferred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244" w:lineRule="exact"/>
        <w:rPr>
          <w:rFonts w:ascii="Arial" w:cs="Arial" w:eastAsia="Arial" w:hAnsi="Arial"/>
          <w:sz w:val="14"/>
          <w:szCs w:val="14"/>
          <w:color w:val="auto"/>
        </w:rPr>
      </w:pPr>
    </w:p>
    <w:p>
      <w:pPr>
        <w:ind w:left="660" w:right="40" w:hanging="328"/>
        <w:spacing w:after="0" w:line="246"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Additional Common Stock. </w:t>
      </w:r>
      <w:r>
        <w:rPr>
          <w:rFonts w:ascii="Arial" w:cs="Arial" w:eastAsia="Arial" w:hAnsi="Arial"/>
          <w:sz w:val="14"/>
          <w:szCs w:val="14"/>
          <w:color w:val="auto"/>
        </w:rPr>
        <w:t>Our board of directors may decide to issue common stock to finance our operations rather than issuing debt or other senior securities. As a BDC, we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248" w:lineRule="exact"/>
        <w:rPr>
          <w:rFonts w:ascii="Arial" w:cs="Arial" w:eastAsia="Arial" w:hAnsi="Arial"/>
          <w:sz w:val="14"/>
          <w:szCs w:val="14"/>
          <w:color w:val="auto"/>
        </w:rPr>
      </w:pPr>
    </w:p>
    <w:p>
      <w:pPr>
        <w:ind w:left="660" w:right="20" w:hanging="328"/>
        <w:spacing w:after="0" w:line="264" w:lineRule="auto"/>
        <w:tabs>
          <w:tab w:leader="none" w:pos="660" w:val="left"/>
        </w:tabs>
        <w:numPr>
          <w:ilvl w:val="0"/>
          <w:numId w:val="2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In addition to issuing securities to raise capital as described above, we anticipate that in the future, as market conditions permit, we may securitize our loans to generate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109" w:lineRule="exact"/>
        <w:rPr>
          <w:sz w:val="20"/>
          <w:szCs w:val="20"/>
          <w:color w:val="auto"/>
        </w:rPr>
      </w:pPr>
    </w:p>
    <w:p>
      <w:pPr>
        <w:ind w:right="80" w:firstLine="324"/>
        <w:spacing w:after="0" w:line="286" w:lineRule="auto"/>
        <w:rPr>
          <w:sz w:val="20"/>
          <w:szCs w:val="20"/>
          <w:color w:val="auto"/>
        </w:rPr>
      </w:pPr>
      <w:r>
        <w:rPr>
          <w:rFonts w:ascii="Arial" w:cs="Arial" w:eastAsia="Arial" w:hAnsi="Arial"/>
          <w:sz w:val="13"/>
          <w:szCs w:val="13"/>
          <w:color w:val="auto"/>
        </w:rPr>
        <w:t>Because we borrow funds, through Funding I,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14" w:lineRule="exact"/>
        <w:rPr>
          <w:sz w:val="20"/>
          <w:szCs w:val="20"/>
          <w:color w:val="auto"/>
        </w:rPr>
      </w:pPr>
    </w:p>
    <w:p>
      <w:pPr>
        <w:jc w:val="both"/>
        <w:ind w:right="60" w:firstLine="243"/>
        <w:spacing w:after="0" w:line="257" w:lineRule="auto"/>
        <w:rPr>
          <w:sz w:val="20"/>
          <w:szCs w:val="20"/>
          <w:color w:val="auto"/>
        </w:rPr>
      </w:pPr>
      <w:r>
        <w:rPr>
          <w:rFonts w:ascii="Arial" w:cs="Arial" w:eastAsia="Arial" w:hAnsi="Arial"/>
          <w:sz w:val="14"/>
          <w:szCs w:val="14"/>
          <w:color w:val="auto"/>
        </w:rPr>
        <w:t>Our current debt is governed by the terms of Funding I's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82" w:lineRule="exact"/>
        <w:rPr>
          <w:sz w:val="20"/>
          <w:szCs w:val="20"/>
          <w:color w:val="auto"/>
        </w:rPr>
      </w:pPr>
    </w:p>
    <w:p>
      <w:pPr>
        <w:ind w:right="40" w:firstLine="432"/>
        <w:spacing w:after="0" w:line="268" w:lineRule="auto"/>
        <w:rPr>
          <w:sz w:val="20"/>
          <w:szCs w:val="20"/>
          <w:color w:val="auto"/>
        </w:rPr>
      </w:pPr>
      <w:r>
        <w:rPr>
          <w:rFonts w:ascii="Arial" w:cs="Arial" w:eastAsia="Arial" w:hAnsi="Arial"/>
          <w:sz w:val="13"/>
          <w:szCs w:val="13"/>
          <w:color w:val="auto"/>
        </w:rPr>
        <w:t>We have indebtedness outstanding pursuant to our Credit Facility and expect in the future to borrow additional amounts under our Credit Facility and, subject to market availability and satisfaction of certain conditions, to increase the size of our Credit Facility.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7" w:lineRule="exact"/>
        <w:rPr>
          <w:sz w:val="20"/>
          <w:szCs w:val="20"/>
          <w:color w:val="auto"/>
        </w:rPr>
      </w:pPr>
    </w:p>
    <w:p>
      <w:pPr>
        <w:ind w:right="80" w:firstLine="432"/>
        <w:spacing w:after="0" w:line="277" w:lineRule="auto"/>
        <w:rPr>
          <w:sz w:val="20"/>
          <w:szCs w:val="20"/>
          <w:color w:val="auto"/>
        </w:rPr>
      </w:pPr>
      <w:r>
        <w:rPr>
          <w:rFonts w:ascii="Arial" w:cs="Arial" w:eastAsia="Arial" w:hAnsi="Arial"/>
          <w:sz w:val="13"/>
          <w:szCs w:val="13"/>
          <w:color w:val="auto"/>
        </w:rPr>
        <w:t>As of September 30, 2011, we had outstanding borrowings of $24.7 million under our Credit Facility. Our consolidated debt had a weighted average annual interest rate on September 30, 2011 of 2.53% exclusive of the fees on the undrawn commitment of 0.50%. Accordingly, to cover the annual interest on our borrowings outstanding at September 30, 2011, at the then current rate, we would have to receive an annual yield of at least 0.53%.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20" w:lineRule="exact"/>
        <w:rPr>
          <w:sz w:val="20"/>
          <w:szCs w:val="20"/>
          <w:color w:val="auto"/>
        </w:rPr>
      </w:pPr>
    </w:p>
    <w:p>
      <w:pPr>
        <w:ind w:right="120" w:firstLine="432"/>
        <w:spacing w:after="0" w:line="249" w:lineRule="auto"/>
        <w:rPr>
          <w:sz w:val="20"/>
          <w:szCs w:val="20"/>
          <w:color w:val="auto"/>
        </w:rPr>
      </w:pPr>
      <w:r>
        <w:rPr>
          <w:rFonts w:ascii="Arial" w:cs="Arial" w:eastAsia="Arial" w:hAnsi="Arial"/>
          <w:sz w:val="14"/>
          <w:szCs w:val="14"/>
          <w:color w:val="auto"/>
        </w:rPr>
        <w:t>The following table is designed to illustrate the effect on return to a holder of our common stock of the leverage created by our use of borrowing at September 30, 2011 of 20% of total assets (including such borrowed funds), at a weighted average rate at the time of 2.53%,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7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Assumed return on portfolio (net of expenses)</w:t>
            </w:r>
            <w:r>
              <w:rPr>
                <w:rFonts w:ascii="Arial" w:cs="Arial" w:eastAsia="Arial" w:hAnsi="Arial"/>
                <w:sz w:val="8"/>
                <w:szCs w:val="8"/>
                <w:color w:val="auto"/>
              </w:rPr>
              <w:t>(1)</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24"/>
                <w:szCs w:val="2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6"/>
        </w:trPr>
        <w:tc>
          <w:tcPr>
            <w:tcW w:w="54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6700" w:type="dxa"/>
            <w:vAlign w:val="bottom"/>
            <w:gridSpan w:val="4"/>
          </w:tcPr>
          <w:p>
            <w:pPr>
              <w:ind w:left="40"/>
              <w:spacing w:after="0"/>
              <w:rPr>
                <w:sz w:val="20"/>
                <w:szCs w:val="20"/>
                <w:color w:val="auto"/>
              </w:rPr>
            </w:pPr>
            <w:r>
              <w:rPr>
                <w:rFonts w:ascii="Arial" w:cs="Arial" w:eastAsia="Arial" w:hAnsi="Arial"/>
                <w:sz w:val="14"/>
                <w:szCs w:val="14"/>
                <w:color w:val="auto"/>
              </w:rPr>
              <w:t>Corresponding return to common stockholders</w:t>
            </w:r>
            <w:r>
              <w:rPr>
                <w:rFonts w:ascii="Arial" w:cs="Arial" w:eastAsia="Arial" w:hAnsi="Arial"/>
                <w:sz w:val="8"/>
                <w:szCs w:val="8"/>
                <w:color w:val="auto"/>
              </w:rPr>
              <w:t>(2)</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2"/>
        </w:trPr>
        <w:tc>
          <w:tcPr>
            <w:tcW w:w="6600" w:type="dxa"/>
            <w:vAlign w:val="bottom"/>
            <w:gridSpan w:val="3"/>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w:t>
      </w:r>
    </w:p>
    <w:p>
      <w:pPr>
        <w:spacing w:after="0" w:line="51"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spacing w:after="0" w:line="55" w:lineRule="exact"/>
        <w:rPr>
          <w:rFonts w:ascii="Arial" w:cs="Arial" w:eastAsia="Arial" w:hAnsi="Arial"/>
          <w:sz w:val="14"/>
          <w:szCs w:val="14"/>
          <w:color w:val="auto"/>
        </w:rPr>
      </w:pPr>
    </w:p>
    <w:p>
      <w:pPr>
        <w:ind w:left="500" w:right="100" w:hanging="492"/>
        <w:spacing w:after="0" w:line="286" w:lineRule="auto"/>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82" w:lineRule="exact"/>
        <w:rPr>
          <w:sz w:val="20"/>
          <w:szCs w:val="20"/>
          <w:color w:val="auto"/>
        </w:rPr>
      </w:pPr>
    </w:p>
    <w:p>
      <w:pPr>
        <w:ind w:firstLine="405"/>
        <w:spacing w:after="0" w:line="268" w:lineRule="auto"/>
        <w:rPr>
          <w:sz w:val="20"/>
          <w:szCs w:val="20"/>
          <w:color w:val="auto"/>
        </w:rPr>
      </w:pPr>
      <w:r>
        <w:rPr>
          <w:rFonts w:ascii="Arial" w:cs="Arial" w:eastAsia="Arial" w:hAnsi="Arial"/>
          <w:sz w:val="13"/>
          <w:szCs w:val="13"/>
          <w:color w:val="auto"/>
        </w:rPr>
        <w:t>Since we borrow money, through Funding I,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“Quantitative and Qualitative Disclosures about Market Risk” for more information.</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31" w:lineRule="exact"/>
        <w:rPr>
          <w:sz w:val="20"/>
          <w:szCs w:val="20"/>
          <w:color w:val="auto"/>
        </w:rPr>
      </w:pPr>
    </w:p>
    <w:p>
      <w:pPr>
        <w:ind w:right="100" w:firstLine="432"/>
        <w:spacing w:after="0" w:line="249" w:lineRule="auto"/>
        <w:rPr>
          <w:sz w:val="20"/>
          <w:szCs w:val="20"/>
          <w:color w:val="auto"/>
        </w:rPr>
      </w:pPr>
      <w:r>
        <w:rPr>
          <w:rFonts w:ascii="Arial" w:cs="Arial" w:eastAsia="Arial" w:hAnsi="Arial"/>
          <w:sz w:val="14"/>
          <w:szCs w:val="14"/>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on any variable rate borrowings,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56" w:lineRule="exact"/>
        <w:rPr>
          <w:sz w:val="20"/>
          <w:szCs w:val="20"/>
          <w:color w:val="auto"/>
        </w:rPr>
      </w:pPr>
    </w:p>
    <w:p>
      <w:pPr>
        <w:ind w:right="120" w:firstLine="216"/>
        <w:spacing w:after="0" w:line="273"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would magnify the potential for loss and the risks of investing in us in the same way as our borrowings.</w:t>
      </w:r>
    </w:p>
    <w:p>
      <w:pPr>
        <w:spacing w:after="0" w:line="39" w:lineRule="exact"/>
        <w:rPr>
          <w:sz w:val="20"/>
          <w:szCs w:val="20"/>
          <w:color w:val="auto"/>
        </w:rPr>
      </w:pPr>
    </w:p>
    <w:p>
      <w:pPr>
        <w:ind w:right="20" w:firstLine="432"/>
        <w:spacing w:after="0" w:line="270"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44" w:lineRule="exact"/>
        <w:rPr>
          <w:sz w:val="20"/>
          <w:szCs w:val="20"/>
          <w:color w:val="auto"/>
        </w:rPr>
      </w:pPr>
    </w:p>
    <w:p>
      <w:pPr>
        <w:ind w:right="160" w:firstLine="216"/>
        <w:spacing w:after="0" w:line="273"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 in the same way as our borrowings.</w:t>
      </w:r>
    </w:p>
    <w:p>
      <w:pPr>
        <w:spacing w:after="0" w:line="39" w:lineRule="exact"/>
        <w:rPr>
          <w:sz w:val="20"/>
          <w:szCs w:val="20"/>
          <w:color w:val="auto"/>
        </w:rPr>
      </w:pPr>
    </w:p>
    <w:p>
      <w:pPr>
        <w:ind w:right="20" w:firstLine="432"/>
        <w:spacing w:after="0" w:line="273" w:lineRule="auto"/>
        <w:rPr>
          <w:sz w:val="20"/>
          <w:szCs w:val="20"/>
          <w:color w:val="auto"/>
        </w:rPr>
      </w:pPr>
      <w:r>
        <w:rPr>
          <w:rFonts w:ascii="Arial" w:cs="Arial" w:eastAsia="Arial" w:hAnsi="Arial"/>
          <w:sz w:val="13"/>
          <w:szCs w:val="13"/>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interests in Funding I are subordinated.</w:t>
      </w:r>
    </w:p>
    <w:p>
      <w:pPr>
        <w:spacing w:after="0" w:line="109" w:lineRule="exact"/>
        <w:rPr>
          <w:sz w:val="20"/>
          <w:szCs w:val="20"/>
          <w:color w:val="auto"/>
        </w:rPr>
      </w:pPr>
    </w:p>
    <w:p>
      <w:pPr>
        <w:ind w:right="500" w:firstLine="337"/>
        <w:spacing w:after="0" w:line="273" w:lineRule="auto"/>
        <w:rPr>
          <w:sz w:val="20"/>
          <w:szCs w:val="20"/>
          <w:color w:val="auto"/>
        </w:rPr>
      </w:pPr>
      <w:r>
        <w:rPr>
          <w:rFonts w:ascii="Arial" w:cs="Arial" w:eastAsia="Arial" w:hAnsi="Arial"/>
          <w:sz w:val="13"/>
          <w:szCs w:val="13"/>
          <w:color w:val="auto"/>
        </w:rPr>
        <w:t>We own 100% of the equity interests in Funding I. We consolidate Funding I in our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68" w:lineRule="exact"/>
        <w:rPr>
          <w:sz w:val="20"/>
          <w:szCs w:val="20"/>
          <w:color w:val="auto"/>
        </w:rPr>
      </w:pPr>
    </w:p>
    <w:p>
      <w:pPr>
        <w:jc w:val="both"/>
        <w:ind w:right="600" w:firstLine="337"/>
        <w:spacing w:after="0" w:line="286" w:lineRule="auto"/>
        <w:rPr>
          <w:sz w:val="20"/>
          <w:szCs w:val="20"/>
          <w:color w:val="auto"/>
        </w:rPr>
      </w:pPr>
      <w:r>
        <w:rPr>
          <w:rFonts w:ascii="Arial" w:cs="Arial" w:eastAsia="Arial" w:hAnsi="Arial"/>
          <w:sz w:val="13"/>
          <w:szCs w:val="13"/>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00"/>
          </w:cols>
          <w:pgMar w:left="320" w:top="121" w:right="37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1" w:lineRule="exact"/>
        <w:rPr>
          <w:sz w:val="20"/>
          <w:szCs w:val="20"/>
          <w:color w:val="auto"/>
        </w:rPr>
      </w:pPr>
    </w:p>
    <w:p>
      <w:pPr>
        <w:ind w:left="220"/>
        <w:spacing w:after="0"/>
        <w:rPr>
          <w:sz w:val="20"/>
          <w:szCs w:val="20"/>
          <w:color w:val="auto"/>
        </w:rPr>
      </w:pPr>
      <w:r>
        <w:rPr>
          <w:rFonts w:ascii="Arial" w:cs="Arial" w:eastAsia="Arial" w:hAnsi="Arial"/>
          <w:sz w:val="13"/>
          <w:szCs w:val="13"/>
          <w:b w:val="1"/>
          <w:bCs w:val="1"/>
          <w:i w:val="1"/>
          <w:iCs w:val="1"/>
          <w:color w:val="auto"/>
        </w:rPr>
        <w:t>Funding I may fail to meet certain asset coverage tests, which would have an adverse effect on the timing of payments to us, or otherwise fail to satisfy various covenants.</w:t>
      </w:r>
    </w:p>
    <w:p>
      <w:pPr>
        <w:spacing w:after="0" w:line="25" w:lineRule="exact"/>
        <w:rPr>
          <w:sz w:val="20"/>
          <w:szCs w:val="20"/>
          <w:color w:val="auto"/>
        </w:rPr>
      </w:pPr>
    </w:p>
    <w:p>
      <w:pPr>
        <w:ind w:right="120" w:firstLine="405"/>
        <w:spacing w:after="0" w:line="271" w:lineRule="auto"/>
        <w:rPr>
          <w:sz w:val="20"/>
          <w:szCs w:val="20"/>
          <w:color w:val="auto"/>
        </w:rPr>
      </w:pPr>
      <w:r>
        <w:rPr>
          <w:rFonts w:ascii="Arial" w:cs="Arial" w:eastAsia="Arial" w:hAnsi="Arial"/>
          <w:sz w:val="13"/>
          <w:szCs w:val="13"/>
          <w:color w:val="auto"/>
        </w:rPr>
        <w:t>Under the documents governing the Credit Facility, there are two coverage tests applicable to Funding I. For example, the income coverage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23" w:lineRule="exact"/>
        <w:rPr>
          <w:sz w:val="20"/>
          <w:szCs w:val="20"/>
          <w:color w:val="auto"/>
        </w:rPr>
      </w:pPr>
    </w:p>
    <w:p>
      <w:pPr>
        <w:ind w:right="40" w:firstLine="405"/>
        <w:spacing w:after="0" w:line="252" w:lineRule="auto"/>
        <w:rPr>
          <w:sz w:val="20"/>
          <w:szCs w:val="20"/>
          <w:color w:val="auto"/>
        </w:rPr>
      </w:pPr>
      <w:r>
        <w:rPr>
          <w:rFonts w:ascii="Arial" w:cs="Arial" w:eastAsia="Arial" w:hAnsi="Arial"/>
          <w:sz w:val="14"/>
          <w:szCs w:val="14"/>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13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requirement to retain our status as a BDC;</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requirement to maintain a minimum amount of shareholder's equity; and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values of our portfolio companies.</w:t>
      </w:r>
    </w:p>
    <w:p>
      <w:pPr>
        <w:spacing w:after="0" w:line="151" w:lineRule="exact"/>
        <w:rPr>
          <w:sz w:val="20"/>
          <w:szCs w:val="20"/>
          <w:color w:val="auto"/>
        </w:rPr>
      </w:pPr>
    </w:p>
    <w:p>
      <w:pPr>
        <w:ind w:right="100" w:firstLine="405"/>
        <w:spacing w:after="0" w:line="252" w:lineRule="auto"/>
        <w:rPr>
          <w:sz w:val="20"/>
          <w:szCs w:val="20"/>
          <w:color w:val="auto"/>
        </w:rPr>
      </w:pPr>
      <w:r>
        <w:rPr>
          <w:rFonts w:ascii="Arial" w:cs="Arial" w:eastAsia="Arial" w:hAnsi="Arial"/>
          <w:sz w:val="14"/>
          <w:szCs w:val="14"/>
          <w:color w:val="auto"/>
        </w:rPr>
        <w:t>Our continued compliance with these covenants depends on many factors, some of which are beyond our control. Material net asset devaluation resulting from under performance or defaults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may not receive cash on our equity interests from Funding I.</w:t>
      </w:r>
    </w:p>
    <w:p>
      <w:pPr>
        <w:spacing w:after="0" w:line="109" w:lineRule="exact"/>
        <w:rPr>
          <w:sz w:val="20"/>
          <w:szCs w:val="20"/>
          <w:color w:val="auto"/>
        </w:rPr>
      </w:pPr>
    </w:p>
    <w:p>
      <w:pPr>
        <w:ind w:right="20" w:firstLine="405"/>
        <w:spacing w:after="0" w:line="249" w:lineRule="auto"/>
        <w:rPr>
          <w:sz w:val="20"/>
          <w:szCs w:val="20"/>
          <w:color w:val="auto"/>
        </w:rPr>
      </w:pPr>
      <w:r>
        <w:rPr>
          <w:rFonts w:ascii="Arial" w:cs="Arial" w:eastAsia="Arial" w:hAnsi="Arial"/>
          <w:sz w:val="14"/>
          <w:szCs w:val="14"/>
          <w:color w:val="auto"/>
        </w:rPr>
        <w:t>Except for management fees that PennantPark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ability to sell investments held by Funding I is limited.</w:t>
      </w:r>
    </w:p>
    <w:p>
      <w:pPr>
        <w:spacing w:after="0" w:line="109"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The Credit Facility documents place restrictions on the collateral manager's ability to sell investments. As a result, there may be times or circumstances during which the collateral manager is unable to sell investments or take other actions that might be in our best interests.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If we issue preferred stock and/or debt securities, the net asset value and market value of our common stock may become more volatile.</w:t>
      </w:r>
    </w:p>
    <w:p>
      <w:pPr>
        <w:spacing w:after="0" w:line="82" w:lineRule="exact"/>
        <w:rPr>
          <w:sz w:val="20"/>
          <w:szCs w:val="20"/>
          <w:color w:val="auto"/>
        </w:rPr>
      </w:pPr>
    </w:p>
    <w:p>
      <w:pPr>
        <w:ind w:firstLine="432"/>
        <w:spacing w:after="0" w:line="268"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7" w:lineRule="exact"/>
        <w:rPr>
          <w:sz w:val="20"/>
          <w:szCs w:val="20"/>
          <w:color w:val="auto"/>
        </w:rPr>
      </w:pPr>
    </w:p>
    <w:p>
      <w:pPr>
        <w:ind w:right="60" w:firstLine="432"/>
        <w:spacing w:after="0" w:line="247"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which may be required by the 1940 Act and the terms of our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82" w:lineRule="exact"/>
        <w:rPr>
          <w:sz w:val="20"/>
          <w:szCs w:val="20"/>
          <w:color w:val="auto"/>
        </w:rPr>
      </w:pPr>
    </w:p>
    <w:p>
      <w:pPr>
        <w:ind w:right="220" w:firstLine="432"/>
        <w:spacing w:after="0" w:line="247" w:lineRule="auto"/>
        <w:rPr>
          <w:sz w:val="20"/>
          <w:szCs w:val="20"/>
          <w:color w:val="auto"/>
        </w:rPr>
      </w:pPr>
      <w:r>
        <w:rPr>
          <w:rFonts w:ascii="Arial" w:cs="Arial" w:eastAsia="Arial" w:hAnsi="Arial"/>
          <w:sz w:val="14"/>
          <w:szCs w:val="14"/>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82" w:lineRule="exact"/>
        <w:rPr>
          <w:sz w:val="20"/>
          <w:szCs w:val="20"/>
          <w:color w:val="auto"/>
        </w:rPr>
      </w:pPr>
    </w:p>
    <w:p>
      <w:pPr>
        <w:ind w:firstLine="432"/>
        <w:spacing w:after="0" w:line="249"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69" w:lineRule="exact"/>
        <w:rPr>
          <w:sz w:val="20"/>
          <w:szCs w:val="20"/>
          <w:color w:val="auto"/>
        </w:rPr>
      </w:pPr>
    </w:p>
    <w:p>
      <w:pPr>
        <w:ind w:firstLine="405"/>
        <w:spacing w:after="0" w:line="265" w:lineRule="auto"/>
        <w:rPr>
          <w:sz w:val="20"/>
          <w:szCs w:val="20"/>
          <w:color w:val="auto"/>
        </w:rPr>
      </w:pPr>
      <w:r>
        <w:rPr>
          <w:rFonts w:ascii="Arial" w:cs="Arial" w:eastAsia="Arial" w:hAnsi="Arial"/>
          <w:sz w:val="13"/>
          <w:szCs w:val="13"/>
          <w:color w:val="auto"/>
        </w:rPr>
        <w:t>The professionals of the Investment Adviser and Administrator serve as officers, directors or principals of entities that operate in the same or a related line of business as we do or of investment funds managed by affiliates of PennantPark Floating Rate Capital Ltd. that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new affiliated funds are formed, our board of directors, adviser and administrator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 directors of PennantPark Investment Corporation, a publicly-traded BDC. Although the Investment Adviser endeavors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PennantPark Investment Corporation, and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42" w:lineRule="exact"/>
        <w:rPr>
          <w:sz w:val="20"/>
          <w:szCs w:val="20"/>
          <w:color w:val="auto"/>
        </w:rPr>
      </w:pPr>
    </w:p>
    <w:p>
      <w:pPr>
        <w:ind w:right="20" w:firstLine="405"/>
        <w:spacing w:after="0" w:line="252" w:lineRule="auto"/>
        <w:rPr>
          <w:sz w:val="20"/>
          <w:szCs w:val="20"/>
          <w:color w:val="auto"/>
        </w:rPr>
      </w:pPr>
      <w:r>
        <w:rPr>
          <w:rFonts w:ascii="Arial" w:cs="Arial" w:eastAsia="Arial" w:hAnsi="Arial"/>
          <w:sz w:val="14"/>
          <w:szCs w:val="14"/>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47" w:lineRule="exact"/>
        <w:rPr>
          <w:sz w:val="20"/>
          <w:szCs w:val="20"/>
          <w:color w:val="auto"/>
        </w:rPr>
      </w:pPr>
    </w:p>
    <w:p>
      <w:pPr>
        <w:ind w:right="320" w:firstLine="405"/>
        <w:spacing w:after="0" w:line="252" w:lineRule="auto"/>
        <w:rPr>
          <w:sz w:val="20"/>
          <w:szCs w:val="20"/>
          <w:color w:val="auto"/>
        </w:rPr>
      </w:pPr>
      <w:r>
        <w:rPr>
          <w:rFonts w:ascii="Arial" w:cs="Arial" w:eastAsia="Arial" w:hAnsi="Arial"/>
          <w:sz w:val="14"/>
          <w:szCs w:val="14"/>
          <w:color w:val="auto"/>
        </w:rPr>
        <w:t>In connection with our initial public offering, the Investment Adviser has paid to the underwriters 2% of the sales load, or $2.1 million in the aggregate, with respect to the offering of shares of our common stock. We (and indirectly our stockholders) must reimburse this amount under certain circumstances. As a result of these arrangements, there may be times when the management team of the Investment Adviser has interests that differ from those of our stockholders, giving rise to a conflict. Furthermore, to ensure repayment, there is a risk the Investment Adviser will make more speculative investments.</w:t>
      </w:r>
    </w:p>
    <w:p>
      <w:pPr>
        <w:spacing w:after="0" w:line="147" w:lineRule="exact"/>
        <w:rPr>
          <w:sz w:val="20"/>
          <w:szCs w:val="20"/>
          <w:color w:val="auto"/>
        </w:rPr>
      </w:pPr>
    </w:p>
    <w:p>
      <w:pPr>
        <w:ind w:right="40" w:firstLine="405"/>
        <w:spacing w:after="0" w:line="268" w:lineRule="auto"/>
        <w:rPr>
          <w:sz w:val="20"/>
          <w:szCs w:val="20"/>
          <w:color w:val="auto"/>
        </w:rPr>
      </w:pPr>
      <w:r>
        <w:rPr>
          <w:rFonts w:ascii="Arial" w:cs="Arial" w:eastAsia="Arial" w:hAnsi="Arial"/>
          <w:sz w:val="13"/>
          <w:szCs w:val="13"/>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4" w:lineRule="exact"/>
        <w:rPr>
          <w:sz w:val="20"/>
          <w:szCs w:val="20"/>
          <w:color w:val="auto"/>
        </w:rPr>
      </w:pPr>
    </w:p>
    <w:p>
      <w:pPr>
        <w:ind w:right="120" w:firstLine="216"/>
        <w:spacing w:after="0" w:line="273" w:lineRule="auto"/>
        <w:rPr>
          <w:sz w:val="20"/>
          <w:szCs w:val="20"/>
          <w:color w:val="auto"/>
        </w:rPr>
      </w:pPr>
      <w:r>
        <w:rPr>
          <w:rFonts w:ascii="Arial" w:cs="Arial" w:eastAsia="Arial" w:hAnsi="Arial"/>
          <w:sz w:val="14"/>
          <w:szCs w:val="14"/>
          <w:b w:val="1"/>
          <w:bCs w:val="1"/>
          <w:i w:val="1"/>
          <w:iCs w:val="1"/>
          <w:color w:val="auto"/>
        </w:rPr>
        <w:t>If we are required to repay in cash the amount paid to the underwriters of our initial public offering by the Investment Adviser, we may have to sell assets at a loss, and the amount that we have available for investment may be reduced, in order to pay the amount due.</w:t>
      </w:r>
    </w:p>
    <w:p>
      <w:pPr>
        <w:spacing w:after="0" w:line="3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3"/>
          <w:szCs w:val="13"/>
          <w:color w:val="auto"/>
        </w:rPr>
        <w:t>In connection with our initial public offering, the Investment Adviser has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4"/>
          <w:szCs w:val="14"/>
          <w:color w:val="auto"/>
        </w:rPr>
        <w:t>If we are obligated to repay this amount to the Investment Adviser in cash while making distributions to our stockholders necessary to maintain our RIC status and/or avoid the imposition of federal income and excise taxes, we may have to dispose of a portion of our investments. Any such disposition could result in our realizing losses and reduce the amount that we have available for investment. Furthermore, to ensure repayment, there is a risk the Investment Adviser will make more speculative investments.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securities may be volatile.</w:t>
      </w:r>
    </w:p>
    <w:p>
      <w:pPr>
        <w:spacing w:after="0" w:line="55" w:lineRule="exact"/>
        <w:rPr>
          <w:sz w:val="20"/>
          <w:szCs w:val="20"/>
          <w:color w:val="auto"/>
        </w:rPr>
      </w:pPr>
    </w:p>
    <w:p>
      <w:pPr>
        <w:ind w:right="20" w:firstLine="432"/>
        <w:spacing w:after="0" w:line="257" w:lineRule="auto"/>
        <w:rPr>
          <w:sz w:val="20"/>
          <w:szCs w:val="20"/>
          <w:color w:val="auto"/>
        </w:rPr>
      </w:pPr>
      <w:r>
        <w:rPr>
          <w:rFonts w:ascii="Arial" w:cs="Arial" w:eastAsia="Arial" w:hAnsi="Arial"/>
          <w:sz w:val="14"/>
          <w:szCs w:val="14"/>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3" w:lineRule="exact"/>
        <w:rPr>
          <w:sz w:val="20"/>
          <w:szCs w:val="20"/>
          <w:color w:val="auto"/>
        </w:rPr>
      </w:pPr>
    </w:p>
    <w:p>
      <w:pPr>
        <w:ind w:left="900" w:hanging="406"/>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55" w:lineRule="exact"/>
        <w:rPr>
          <w:rFonts w:ascii="Arial" w:cs="Arial" w:eastAsia="Arial" w:hAnsi="Arial"/>
          <w:sz w:val="14"/>
          <w:szCs w:val="14"/>
          <w:color w:val="auto"/>
        </w:rPr>
      </w:pPr>
    </w:p>
    <w:p>
      <w:pPr>
        <w:ind w:left="900" w:hanging="406"/>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to these debt securities;</w:t>
      </w:r>
    </w:p>
    <w:p>
      <w:pPr>
        <w:spacing w:after="0" w:line="55" w:lineRule="exact"/>
        <w:rPr>
          <w:rFonts w:ascii="Arial" w:cs="Arial" w:eastAsia="Arial" w:hAnsi="Arial"/>
          <w:sz w:val="14"/>
          <w:szCs w:val="14"/>
          <w:color w:val="auto"/>
        </w:rPr>
      </w:pPr>
    </w:p>
    <w:p>
      <w:pPr>
        <w:ind w:left="900" w:hanging="406"/>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55" w:lineRule="exact"/>
        <w:rPr>
          <w:rFonts w:ascii="Arial" w:cs="Arial" w:eastAsia="Arial" w:hAnsi="Arial"/>
          <w:sz w:val="14"/>
          <w:szCs w:val="14"/>
          <w:color w:val="auto"/>
        </w:rPr>
      </w:pPr>
    </w:p>
    <w:p>
      <w:pPr>
        <w:ind w:left="900" w:hanging="406"/>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redemption or repayment features, if any, of these debt securities;</w:t>
      </w:r>
    </w:p>
    <w:p>
      <w:pPr>
        <w:spacing w:after="0" w:line="55" w:lineRule="exact"/>
        <w:rPr>
          <w:rFonts w:ascii="Arial" w:cs="Arial" w:eastAsia="Arial" w:hAnsi="Arial"/>
          <w:sz w:val="14"/>
          <w:szCs w:val="14"/>
          <w:color w:val="auto"/>
        </w:rPr>
      </w:pPr>
    </w:p>
    <w:p>
      <w:pPr>
        <w:ind w:left="900" w:hanging="406"/>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generally; and</w:t>
      </w:r>
    </w:p>
    <w:p>
      <w:pPr>
        <w:spacing w:after="0" w:line="55" w:lineRule="exact"/>
        <w:rPr>
          <w:rFonts w:ascii="Arial" w:cs="Arial" w:eastAsia="Arial" w:hAnsi="Arial"/>
          <w:sz w:val="14"/>
          <w:szCs w:val="14"/>
          <w:color w:val="auto"/>
        </w:rPr>
      </w:pPr>
    </w:p>
    <w:p>
      <w:pPr>
        <w:ind w:left="900" w:hanging="406"/>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09" w:lineRule="exact"/>
        <w:rPr>
          <w:sz w:val="20"/>
          <w:szCs w:val="20"/>
          <w:color w:val="auto"/>
        </w:rPr>
      </w:pPr>
    </w:p>
    <w:p>
      <w:pPr>
        <w:ind w:right="240" w:firstLine="432"/>
        <w:spacing w:after="0" w:line="273" w:lineRule="auto"/>
        <w:rPr>
          <w:sz w:val="20"/>
          <w:szCs w:val="20"/>
          <w:color w:val="auto"/>
        </w:rPr>
      </w:pPr>
      <w:r>
        <w:rPr>
          <w:rFonts w:ascii="Arial" w:cs="Arial" w:eastAsia="Arial" w:hAnsi="Arial"/>
          <w:sz w:val="14"/>
          <w:szCs w:val="14"/>
          <w:color w:val="auto"/>
        </w:rPr>
        <w:t>There also may be a limited number of buyers for our debt securities. This too may materially adversely affect the market value of the debt securities or the trading market for the debt securities.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debt securities.</w:t>
      </w:r>
    </w:p>
    <w:p>
      <w:pPr>
        <w:spacing w:after="0" w:line="55" w:lineRule="exact"/>
        <w:rPr>
          <w:sz w:val="20"/>
          <w:szCs w:val="20"/>
          <w:color w:val="auto"/>
        </w:rPr>
      </w:pPr>
    </w:p>
    <w:p>
      <w:pPr>
        <w:ind w:right="60" w:firstLine="432"/>
        <w:spacing w:after="0" w:line="257"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00"/>
          </w:cols>
          <w:pgMar w:left="320" w:top="121" w:right="37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Terms relating to redemption may materially adversely affect the return on any debt securities.</w:t>
      </w:r>
    </w:p>
    <w:p>
      <w:pPr>
        <w:spacing w:after="0" w:line="55" w:lineRule="exact"/>
        <w:rPr>
          <w:sz w:val="20"/>
          <w:szCs w:val="20"/>
          <w:color w:val="auto"/>
        </w:rPr>
      </w:pPr>
    </w:p>
    <w:p>
      <w:pPr>
        <w:ind w:right="60" w:firstLine="432"/>
        <w:spacing w:after="0" w:line="252"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82" w:lineRule="exact"/>
        <w:rPr>
          <w:sz w:val="20"/>
          <w:szCs w:val="20"/>
          <w:color w:val="auto"/>
        </w:rPr>
      </w:pPr>
    </w:p>
    <w:p>
      <w:pPr>
        <w:ind w:right="60" w:firstLine="432"/>
        <w:spacing w:after="0" w:line="257"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31" w:lineRule="exact"/>
        <w:rPr>
          <w:sz w:val="20"/>
          <w:szCs w:val="20"/>
          <w:color w:val="auto"/>
        </w:rPr>
      </w:pPr>
    </w:p>
    <w:p>
      <w:pPr>
        <w:ind w:right="160" w:firstLine="432"/>
        <w:spacing w:after="0" w:line="252" w:lineRule="auto"/>
        <w:rPr>
          <w:sz w:val="20"/>
          <w:szCs w:val="20"/>
          <w:color w:val="auto"/>
        </w:rPr>
      </w:pPr>
      <w:r>
        <w:rPr>
          <w:rFonts w:ascii="Arial" w:cs="Arial" w:eastAsia="Arial" w:hAnsi="Arial"/>
          <w:sz w:val="14"/>
          <w:szCs w:val="14"/>
          <w:color w:val="auto"/>
        </w:rPr>
        <w:t>In addition, if the subscription price or warrant price is less than our net asset value per share of common stock at the time of an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82" w:lineRule="exact"/>
        <w:rPr>
          <w:sz w:val="20"/>
          <w:szCs w:val="20"/>
          <w:color w:val="auto"/>
        </w:rPr>
      </w:pPr>
    </w:p>
    <w:p>
      <w:pPr>
        <w:ind w:right="20" w:firstLine="432"/>
        <w:spacing w:after="0" w:line="273" w:lineRule="auto"/>
        <w:rPr>
          <w:sz w:val="20"/>
          <w:szCs w:val="20"/>
          <w:color w:val="auto"/>
        </w:rPr>
      </w:pPr>
      <w:r>
        <w:rPr>
          <w:rFonts w:ascii="Arial" w:cs="Arial" w:eastAsia="Arial" w:hAnsi="Arial"/>
          <w:sz w:val="13"/>
          <w:szCs w:val="13"/>
          <w:color w:val="auto"/>
        </w:rPr>
        <w:t>We could experience fluctuations in our quarterly operating results due to a number of factors, including the interest rate payable on the Floating Rate Loans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may adversely affect our business.</w:t>
      </w:r>
    </w:p>
    <w:p>
      <w:pPr>
        <w:spacing w:after="0" w:line="82"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82" w:lineRule="exact"/>
        <w:rPr>
          <w:sz w:val="20"/>
          <w:szCs w:val="20"/>
          <w:color w:val="auto"/>
        </w:rPr>
      </w:pPr>
    </w:p>
    <w:p>
      <w:pPr>
        <w:ind w:right="160" w:firstLine="432"/>
        <w:spacing w:after="0" w:line="252" w:lineRule="auto"/>
        <w:rPr>
          <w:sz w:val="20"/>
          <w:szCs w:val="20"/>
          <w:color w:val="auto"/>
        </w:rPr>
      </w:pPr>
      <w:r>
        <w:rPr>
          <w:rFonts w:ascii="Arial" w:cs="Arial" w:eastAsia="Arial" w:hAnsi="Arial"/>
          <w:sz w:val="14"/>
          <w:szCs w:val="14"/>
          <w:color w:val="auto"/>
        </w:rPr>
        <w:t>Our board of directors have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86" w:lineRule="exact"/>
        <w:rPr>
          <w:sz w:val="20"/>
          <w:szCs w:val="20"/>
          <w:color w:val="auto"/>
        </w:rPr>
      </w:pPr>
    </w:p>
    <w:p>
      <w:pPr>
        <w:ind w:right="320" w:firstLine="216"/>
        <w:spacing w:after="0" w:line="27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25" w:lineRule="exact"/>
        <w:rPr>
          <w:sz w:val="20"/>
          <w:szCs w:val="20"/>
          <w:color w:val="auto"/>
        </w:rPr>
      </w:pPr>
    </w:p>
    <w:p>
      <w:pPr>
        <w:ind w:firstLine="405"/>
        <w:spacing w:after="0" w:line="270" w:lineRule="auto"/>
        <w:rPr>
          <w:sz w:val="20"/>
          <w:szCs w:val="20"/>
          <w:color w:val="auto"/>
        </w:rPr>
      </w:pPr>
      <w:r>
        <w:rPr>
          <w:rFonts w:ascii="Arial" w:cs="Arial" w:eastAsia="Arial" w:hAnsi="Arial"/>
          <w:sz w:val="13"/>
          <w:szCs w:val="13"/>
          <w:color w:val="auto"/>
        </w:rPr>
        <w:t>We expect most of our investments may be recorded using broker/dealers quotes or at fair value as determined in good faith by our board of directors. We expect that primarily most, if not all, of our investments (other than cash and cash equivalents) and, the fair value of the Credit Facility will be classified as Level 3 under ASC 820, Fair Value Measurements.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25" w:lineRule="exact"/>
        <w:rPr>
          <w:sz w:val="20"/>
          <w:szCs w:val="20"/>
          <w:color w:val="auto"/>
        </w:rPr>
      </w:pPr>
    </w:p>
    <w:p>
      <w:pPr>
        <w:ind w:right="80" w:firstLine="432"/>
        <w:spacing w:after="0" w:line="273"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2" w:lineRule="exact"/>
        <w:rPr>
          <w:sz w:val="20"/>
          <w:szCs w:val="20"/>
          <w:color w:val="auto"/>
        </w:rPr>
      </w:pPr>
    </w:p>
    <w:p>
      <w:pPr>
        <w:ind w:right="500" w:firstLine="432"/>
        <w:spacing w:after="0" w:line="273" w:lineRule="auto"/>
        <w:rPr>
          <w:sz w:val="20"/>
          <w:szCs w:val="20"/>
          <w:color w:val="auto"/>
        </w:rPr>
      </w:pPr>
      <w:r>
        <w:rPr>
          <w:rFonts w:ascii="Arial" w:cs="Arial" w:eastAsia="Arial" w:hAnsi="Arial"/>
          <w:sz w:val="14"/>
          <w:szCs w:val="14"/>
          <w:color w:val="auto"/>
        </w:rPr>
        <w:t>We adjust the valuation of our portfolio quarterly to reflect our board of directors’ determination of the fair value of each investment in our portfolio. Any changes in fair value are recorded on our Consolidated Statement of Operations as net change in unrealized appreciation or depreciation.</w:t>
      </w:r>
    </w:p>
    <w:p>
      <w:pPr>
        <w:spacing w:after="0" w:line="120" w:lineRule="exact"/>
        <w:rPr>
          <w:sz w:val="20"/>
          <w:szCs w:val="20"/>
          <w:color w:val="auto"/>
        </w:rPr>
      </w:pPr>
    </w:p>
    <w:p>
      <w:pPr>
        <w:ind w:right="40" w:firstLine="432"/>
        <w:spacing w:after="0" w:line="246" w:lineRule="auto"/>
        <w:rPr>
          <w:sz w:val="20"/>
          <w:szCs w:val="20"/>
          <w:color w:val="auto"/>
        </w:rPr>
      </w:pPr>
      <w:r>
        <w:rPr>
          <w:rFonts w:ascii="Arial" w:cs="Arial" w:eastAsia="Arial" w:hAnsi="Arial"/>
          <w:sz w:val="14"/>
          <w:szCs w:val="14"/>
          <w:color w:val="auto"/>
        </w:rPr>
        <w:t>If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82"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3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3"/>
          <w:szCs w:val="13"/>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2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3"/>
          <w:szCs w:val="13"/>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82" w:lineRule="exact"/>
        <w:rPr>
          <w:sz w:val="20"/>
          <w:szCs w:val="20"/>
          <w:color w:val="auto"/>
        </w:rPr>
      </w:pPr>
    </w:p>
    <w:p>
      <w:pPr>
        <w:ind w:right="80" w:firstLine="432"/>
        <w:spacing w:after="0" w:line="252"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34" w:lineRule="exact"/>
        <w:rPr>
          <w:sz w:val="20"/>
          <w:szCs w:val="20"/>
          <w:color w:val="auto"/>
        </w:rPr>
      </w:pPr>
    </w:p>
    <w:p>
      <w:pPr>
        <w:ind w:right="20" w:firstLine="432"/>
        <w:spacing w:after="0" w:line="252"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3"/>
          <w:szCs w:val="13"/>
          <w:b w:val="1"/>
          <w:bCs w:val="1"/>
          <w:i w:val="1"/>
          <w:iCs w:val="1"/>
          <w:color w:val="auto"/>
        </w:rPr>
        <w:t>We rely in part on our over-the-counter securities to provide us with adequate liquidity, but even these securities did face liquidity constraints under recent market conditions.</w:t>
      </w:r>
    </w:p>
    <w:p>
      <w:pPr>
        <w:spacing w:after="0" w:line="94" w:lineRule="exact"/>
        <w:rPr>
          <w:sz w:val="20"/>
          <w:szCs w:val="20"/>
          <w:color w:val="auto"/>
        </w:rPr>
      </w:pPr>
    </w:p>
    <w:p>
      <w:pPr>
        <w:ind w:right="40" w:firstLine="432"/>
        <w:spacing w:after="0" w:line="273" w:lineRule="auto"/>
        <w:rPr>
          <w:sz w:val="20"/>
          <w:szCs w:val="20"/>
          <w:color w:val="auto"/>
        </w:rPr>
      </w:pPr>
      <w:r>
        <w:rPr>
          <w:rFonts w:ascii="Arial" w:cs="Arial" w:eastAsia="Arial" w:hAnsi="Arial"/>
          <w:sz w:val="14"/>
          <w:szCs w:val="14"/>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180"/>
          </w:cols>
          <w:pgMar w:left="320" w:top="121" w:right="39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We intend to invest primarily in Floating Rate Loans issued by U.S. middle-market companies.</w:t>
      </w:r>
    </w:p>
    <w:p>
      <w:pPr>
        <w:spacing w:after="0" w:line="244" w:lineRule="exact"/>
        <w:rPr>
          <w:sz w:val="20"/>
          <w:szCs w:val="20"/>
          <w:color w:val="auto"/>
        </w:rPr>
      </w:pPr>
    </w:p>
    <w:p>
      <w:pPr>
        <w:ind w:left="720" w:right="80"/>
        <w:spacing w:after="0" w:line="248" w:lineRule="auto"/>
        <w:rPr>
          <w:sz w:val="20"/>
          <w:szCs w:val="20"/>
          <w:color w:val="auto"/>
        </w:rPr>
      </w:pPr>
      <w:r>
        <w:rPr>
          <w:rFonts w:ascii="Arial" w:cs="Arial" w:eastAsia="Arial" w:hAnsi="Arial"/>
          <w:sz w:val="13"/>
          <w:szCs w:val="13"/>
          <w:i w:val="1"/>
          <w:iCs w:val="1"/>
          <w:color w:val="auto"/>
        </w:rPr>
        <w:t xml:space="preserve">Floating Rate Loans. </w:t>
      </w:r>
      <w:r>
        <w:rPr>
          <w:rFonts w:ascii="Arial" w:cs="Arial" w:eastAsia="Arial" w:hAnsi="Arial"/>
          <w:sz w:val="13"/>
          <w:szCs w:val="13"/>
          <w:color w:val="auto"/>
        </w:rPr>
        <w:t>The Floating Rate Loans we invest in are usually rated below investment grade or may also be unrated. Investments in Floating Rate Loans rated below</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 grade are 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 rate securities.</w:t>
      </w:r>
    </w:p>
    <w:p>
      <w:pPr>
        <w:spacing w:after="0" w:line="59" w:lineRule="exact"/>
        <w:rPr>
          <w:sz w:val="20"/>
          <w:szCs w:val="20"/>
          <w:color w:val="auto"/>
        </w:rPr>
      </w:pPr>
    </w:p>
    <w:p>
      <w:pPr>
        <w:ind w:left="140" w:firstLine="243"/>
        <w:spacing w:after="0" w:line="268" w:lineRule="auto"/>
        <w:rPr>
          <w:sz w:val="20"/>
          <w:szCs w:val="20"/>
          <w:color w:val="auto"/>
        </w:rPr>
      </w:pPr>
      <w:r>
        <w:rPr>
          <w:rFonts w:ascii="Arial" w:cs="Arial" w:eastAsia="Arial" w:hAnsi="Arial"/>
          <w:sz w:val="13"/>
          <w:szCs w:val="13"/>
          <w:color w:val="auto"/>
        </w:rPr>
        <w:t>Floating Rate Loans are subject to the risk of non-payment of scheduled interest or principal. Such non-payment would result in a reduction of income to us, a reduction in the value of the investment and a potential decrease in our net asset value.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27" w:lineRule="exact"/>
        <w:rPr>
          <w:sz w:val="20"/>
          <w:szCs w:val="20"/>
          <w:color w:val="auto"/>
        </w:rPr>
      </w:pPr>
    </w:p>
    <w:p>
      <w:pPr>
        <w:ind w:left="180" w:right="20" w:firstLine="243"/>
        <w:spacing w:after="0" w:line="245" w:lineRule="auto"/>
        <w:rPr>
          <w:sz w:val="20"/>
          <w:szCs w:val="20"/>
          <w:color w:val="auto"/>
        </w:rPr>
      </w:pPr>
      <w:r>
        <w:rPr>
          <w:rFonts w:ascii="Arial" w:cs="Arial" w:eastAsia="Arial" w:hAnsi="Arial"/>
          <w:sz w:val="14"/>
          <w:szCs w:val="14"/>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55" w:lineRule="exact"/>
        <w:rPr>
          <w:sz w:val="20"/>
          <w:szCs w:val="20"/>
          <w:color w:val="auto"/>
        </w:rPr>
      </w:pPr>
    </w:p>
    <w:p>
      <w:pPr>
        <w:ind w:left="820" w:right="40" w:hanging="326"/>
        <w:spacing w:after="0" w:line="273" w:lineRule="auto"/>
        <w:tabs>
          <w:tab w:leader="none" w:pos="8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1" w:lineRule="exact"/>
        <w:rPr>
          <w:rFonts w:ascii="Arial" w:cs="Arial" w:eastAsia="Arial" w:hAnsi="Arial"/>
          <w:sz w:val="14"/>
          <w:szCs w:val="14"/>
          <w:color w:val="auto"/>
        </w:rPr>
      </w:pPr>
    </w:p>
    <w:p>
      <w:pPr>
        <w:ind w:left="820" w:right="60" w:hanging="326"/>
        <w:spacing w:after="0" w:line="273" w:lineRule="auto"/>
        <w:tabs>
          <w:tab w:leader="none" w:pos="8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11" w:lineRule="exact"/>
        <w:rPr>
          <w:rFonts w:ascii="Arial" w:cs="Arial" w:eastAsia="Arial" w:hAnsi="Arial"/>
          <w:sz w:val="14"/>
          <w:szCs w:val="14"/>
          <w:color w:val="auto"/>
        </w:rPr>
      </w:pPr>
    </w:p>
    <w:p>
      <w:pPr>
        <w:ind w:left="820" w:right="40" w:hanging="326"/>
        <w:spacing w:after="0" w:line="273" w:lineRule="auto"/>
        <w:tabs>
          <w:tab w:leader="none" w:pos="8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1" w:lineRule="exact"/>
        <w:rPr>
          <w:rFonts w:ascii="Arial" w:cs="Arial" w:eastAsia="Arial" w:hAnsi="Arial"/>
          <w:sz w:val="14"/>
          <w:szCs w:val="14"/>
          <w:color w:val="auto"/>
        </w:rPr>
      </w:pPr>
    </w:p>
    <w:p>
      <w:pPr>
        <w:ind w:left="820" w:right="20" w:hanging="326"/>
        <w:spacing w:after="0" w:line="252" w:lineRule="auto"/>
        <w:tabs>
          <w:tab w:leader="none" w:pos="8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25" w:lineRule="exact"/>
        <w:rPr>
          <w:rFonts w:ascii="Arial" w:cs="Arial" w:eastAsia="Arial" w:hAnsi="Arial"/>
          <w:sz w:val="14"/>
          <w:szCs w:val="14"/>
          <w:color w:val="auto"/>
        </w:rPr>
      </w:pPr>
    </w:p>
    <w:p>
      <w:pPr>
        <w:ind w:left="820" w:hanging="326"/>
        <w:spacing w:after="0"/>
        <w:tabs>
          <w:tab w:leader="none" w:pos="8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they may have difficulty accessing the capital markets to meet future capital needs, which may limit their ability to grow or to repay their outstanding indebtedness upon maturity.</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180"/>
          </w:cols>
          <w:pgMar w:left="320" w:top="121" w:right="39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4" w:lineRule="exact"/>
        <w:rPr>
          <w:sz w:val="20"/>
          <w:szCs w:val="20"/>
          <w:color w:val="auto"/>
        </w:rPr>
      </w:pPr>
    </w:p>
    <w:p>
      <w:pPr>
        <w:ind w:firstLine="216"/>
        <w:spacing w:after="0" w:line="273" w:lineRule="auto"/>
        <w:rPr>
          <w:sz w:val="20"/>
          <w:szCs w:val="20"/>
          <w:color w:val="auto"/>
        </w:rPr>
      </w:pPr>
      <w:r>
        <w:rPr>
          <w:rFonts w:ascii="Arial" w:cs="Arial" w:eastAsia="Arial" w:hAnsi="Arial"/>
          <w:sz w:val="14"/>
          <w:szCs w:val="14"/>
          <w:b w:val="1"/>
          <w:bCs w:val="1"/>
          <w:i w:val="1"/>
          <w:i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39" w:lineRule="exact"/>
        <w:rPr>
          <w:sz w:val="20"/>
          <w:szCs w:val="20"/>
          <w:color w:val="auto"/>
        </w:rPr>
      </w:pPr>
    </w:p>
    <w:p>
      <w:pPr>
        <w:ind w:right="20" w:firstLine="432"/>
        <w:spacing w:after="0" w:line="252"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equivalents, government securities and high quality debt securities maturing in one year or less from the time of investment.</w:t>
      </w:r>
    </w:p>
    <w:p>
      <w:pPr>
        <w:spacing w:after="0" w:line="134" w:lineRule="exact"/>
        <w:rPr>
          <w:sz w:val="20"/>
          <w:szCs w:val="20"/>
          <w:color w:val="auto"/>
        </w:rPr>
      </w:pPr>
    </w:p>
    <w:p>
      <w:pPr>
        <w:ind w:right="60" w:firstLine="432"/>
        <w:spacing w:after="0" w:line="247" w:lineRule="auto"/>
        <w:rPr>
          <w:sz w:val="20"/>
          <w:szCs w:val="20"/>
          <w:color w:val="auto"/>
        </w:rPr>
      </w:pPr>
      <w:r>
        <w:rPr>
          <w:rFonts w:ascii="Arial" w:cs="Arial" w:eastAsia="Arial" w:hAnsi="Arial"/>
          <w:sz w:val="14"/>
          <w:szCs w:val="14"/>
          <w:color w:val="auto"/>
        </w:rPr>
        <w:t>We believe that most of our Floating Rate Loan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59" w:lineRule="exact"/>
        <w:rPr>
          <w:sz w:val="20"/>
          <w:szCs w:val="20"/>
          <w:color w:val="auto"/>
        </w:rPr>
      </w:pPr>
    </w:p>
    <w:p>
      <w:pPr>
        <w:ind w:right="320" w:firstLine="216"/>
        <w:spacing w:after="0" w:line="27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39" w:lineRule="exact"/>
        <w:rPr>
          <w:sz w:val="20"/>
          <w:szCs w:val="20"/>
          <w:color w:val="auto"/>
        </w:rPr>
      </w:pPr>
    </w:p>
    <w:p>
      <w:pPr>
        <w:ind w:right="60" w:firstLine="432"/>
        <w:spacing w:after="0" w:line="273"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82" w:lineRule="exact"/>
        <w:rPr>
          <w:sz w:val="20"/>
          <w:szCs w:val="20"/>
          <w:color w:val="auto"/>
        </w:rPr>
      </w:pPr>
    </w:p>
    <w:p>
      <w:pPr>
        <w:ind w:firstLine="432"/>
        <w:spacing w:after="0" w:line="249" w:lineRule="auto"/>
        <w:rPr>
          <w:sz w:val="20"/>
          <w:szCs w:val="20"/>
          <w:color w:val="auto"/>
        </w:rPr>
      </w:pPr>
      <w:r>
        <w:rPr>
          <w:rFonts w:ascii="Arial" w:cs="Arial" w:eastAsia="Arial" w:hAnsi="Arial"/>
          <w:sz w:val="14"/>
          <w:szCs w:val="14"/>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56" w:lineRule="exact"/>
        <w:rPr>
          <w:sz w:val="20"/>
          <w:szCs w:val="20"/>
          <w:color w:val="auto"/>
        </w:rPr>
      </w:pPr>
    </w:p>
    <w:p>
      <w:pPr>
        <w:ind w:right="60" w:firstLine="432"/>
        <w:spacing w:after="0" w:line="273"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55" w:lineRule="exact"/>
        <w:rPr>
          <w:sz w:val="20"/>
          <w:szCs w:val="20"/>
          <w:color w:val="auto"/>
        </w:rPr>
      </w:pPr>
    </w:p>
    <w:p>
      <w:pPr>
        <w:ind w:left="820" w:hanging="326"/>
        <w:spacing w:after="0"/>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63" w:lineRule="exact"/>
        <w:rPr>
          <w:sz w:val="20"/>
          <w:szCs w:val="20"/>
          <w:color w:val="auto"/>
        </w:rPr>
      </w:pPr>
    </w:p>
    <w:p>
      <w:pPr>
        <w:ind w:right="60" w:firstLine="432"/>
        <w:spacing w:after="0" w:line="249"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00"/>
          </w:cols>
          <w:pgMar w:left="320" w:top="121" w:right="37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4" w:lineRule="exact"/>
        <w:rPr>
          <w:sz w:val="20"/>
          <w:szCs w:val="20"/>
          <w:color w:val="auto"/>
        </w:rPr>
      </w:pPr>
    </w:p>
    <w:p>
      <w:pPr>
        <w:ind w:right="80" w:firstLine="216"/>
        <w:spacing w:after="0" w:line="27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39"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53" w:lineRule="exact"/>
        <w:rPr>
          <w:sz w:val="20"/>
          <w:szCs w:val="20"/>
          <w:color w:val="auto"/>
        </w:rPr>
      </w:pPr>
    </w:p>
    <w:p>
      <w:pPr>
        <w:ind w:right="220" w:firstLine="216"/>
        <w:spacing w:after="0" w:line="352"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ind w:firstLine="432"/>
        <w:spacing w:after="0" w:line="249"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69" w:lineRule="exact"/>
        <w:rPr>
          <w:sz w:val="20"/>
          <w:szCs w:val="20"/>
          <w:color w:val="auto"/>
        </w:rPr>
      </w:pPr>
    </w:p>
    <w:p>
      <w:pPr>
        <w:ind w:firstLine="405"/>
        <w:spacing w:after="0" w:line="273" w:lineRule="auto"/>
        <w:rPr>
          <w:sz w:val="20"/>
          <w:szCs w:val="20"/>
          <w:color w:val="auto"/>
        </w:rPr>
      </w:pPr>
      <w:r>
        <w:rPr>
          <w:rFonts w:ascii="Arial" w:cs="Arial" w:eastAsia="Arial" w:hAnsi="Arial"/>
          <w:sz w:val="13"/>
          <w:szCs w:val="13"/>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w:t>
      </w:r>
    </w:p>
    <w:p>
      <w:pPr>
        <w:spacing w:after="0" w:line="82" w:lineRule="exact"/>
        <w:rPr>
          <w:sz w:val="20"/>
          <w:szCs w:val="20"/>
          <w:color w:val="auto"/>
        </w:rPr>
      </w:pPr>
    </w:p>
    <w:p>
      <w:pPr>
        <w:ind w:right="40" w:firstLine="432"/>
        <w:spacing w:after="0" w:line="246" w:lineRule="auto"/>
        <w:rPr>
          <w:sz w:val="20"/>
          <w:szCs w:val="20"/>
          <w:color w:val="auto"/>
        </w:rPr>
      </w:pPr>
      <w:r>
        <w:rPr>
          <w:rFonts w:ascii="Arial" w:cs="Arial" w:eastAsia="Arial" w:hAnsi="Arial"/>
          <w:sz w:val="14"/>
          <w:szCs w:val="14"/>
          <w:color w:val="auto"/>
        </w:rPr>
        <w:t>We invest primarily in Floating Rate Loans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82" w:lineRule="exact"/>
        <w:rPr>
          <w:sz w:val="20"/>
          <w:szCs w:val="20"/>
          <w:color w:val="auto"/>
        </w:rPr>
      </w:pPr>
    </w:p>
    <w:p>
      <w:pPr>
        <w:ind w:right="80" w:firstLine="432"/>
        <w:spacing w:after="0" w:line="268"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46" w:lineRule="exact"/>
        <w:rPr>
          <w:sz w:val="20"/>
          <w:szCs w:val="20"/>
          <w:color w:val="auto"/>
        </w:rPr>
      </w:pPr>
    </w:p>
    <w:p>
      <w:pPr>
        <w:jc w:val="both"/>
        <w:ind w:right="180" w:firstLine="432"/>
        <w:spacing w:after="0" w:line="286" w:lineRule="auto"/>
        <w:rPr>
          <w:sz w:val="20"/>
          <w:szCs w:val="20"/>
          <w:color w:val="auto"/>
        </w:rPr>
      </w:pPr>
      <w:r>
        <w:rPr>
          <w:rFonts w:ascii="Arial" w:cs="Arial" w:eastAsia="Arial" w:hAnsi="Arial"/>
          <w:sz w:val="13"/>
          <w:szCs w:val="13"/>
          <w:color w:val="auto"/>
        </w:rPr>
        <w:t>The part of our incentive fee payable by us to PennantPark Investment Advisers that relates to our investment income is computed and paid on income that may include interest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We may make investments that cause our shareholders to bear investment advisory fees and other expenses on such investments in addition to our management fees and expenses.</w:t>
      </w:r>
    </w:p>
    <w:p>
      <w:pPr>
        <w:spacing w:after="0" w:line="105" w:lineRule="exact"/>
        <w:rPr>
          <w:sz w:val="20"/>
          <w:szCs w:val="20"/>
          <w:color w:val="auto"/>
        </w:rPr>
      </w:pPr>
    </w:p>
    <w:p>
      <w:pPr>
        <w:ind w:right="100" w:firstLine="432"/>
        <w:spacing w:after="0" w:line="247"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82" w:lineRule="exact"/>
        <w:rPr>
          <w:sz w:val="20"/>
          <w:szCs w:val="20"/>
          <w:color w:val="auto"/>
        </w:rPr>
      </w:pPr>
    </w:p>
    <w:p>
      <w:pPr>
        <w:ind w:firstLine="432"/>
        <w:spacing w:after="0" w:line="249" w:lineRule="auto"/>
        <w:rPr>
          <w:sz w:val="20"/>
          <w:szCs w:val="20"/>
          <w:color w:val="auto"/>
        </w:rPr>
      </w:pPr>
      <w:r>
        <w:rPr>
          <w:rFonts w:ascii="Arial" w:cs="Arial" w:eastAsia="Arial" w:hAnsi="Arial"/>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the Investment Adviser incentive compensation for a fiscal quarter even if there is a decline in the value of our portfolio or we incur a net loss for that quarter.</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8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20" w:lineRule="exact"/>
        <w:rPr>
          <w:sz w:val="20"/>
          <w:szCs w:val="20"/>
          <w:color w:val="auto"/>
        </w:rPr>
      </w:pPr>
    </w:p>
    <w:p>
      <w:pPr>
        <w:ind w:right="40" w:firstLine="432"/>
        <w:spacing w:after="0" w:line="252" w:lineRule="auto"/>
        <w:rPr>
          <w:sz w:val="20"/>
          <w:szCs w:val="20"/>
          <w:color w:val="auto"/>
        </w:rPr>
      </w:pPr>
      <w:r>
        <w:rPr>
          <w:rFonts w:ascii="Arial" w:cs="Arial" w:eastAsia="Arial" w:hAnsi="Arial"/>
          <w:sz w:val="14"/>
          <w:szCs w:val="14"/>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82" w:lineRule="exact"/>
        <w:rPr>
          <w:sz w:val="20"/>
          <w:szCs w:val="20"/>
          <w:color w:val="auto"/>
        </w:rPr>
      </w:pPr>
    </w:p>
    <w:p>
      <w:pPr>
        <w:ind w:firstLine="432"/>
        <w:spacing w:after="0" w:line="246"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41" w:lineRule="exact"/>
        <w:rPr>
          <w:sz w:val="20"/>
          <w:szCs w:val="20"/>
          <w:color w:val="auto"/>
        </w:rPr>
      </w:pPr>
    </w:p>
    <w:p>
      <w:pPr>
        <w:ind w:right="80" w:firstLine="432"/>
        <w:spacing w:after="0" w:line="247"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86" w:lineRule="exact"/>
        <w:rPr>
          <w:sz w:val="20"/>
          <w:szCs w:val="20"/>
          <w:color w:val="auto"/>
        </w:rPr>
      </w:pPr>
    </w:p>
    <w:p>
      <w:pPr>
        <w:jc w:val="both"/>
        <w:ind w:right="180" w:firstLine="216"/>
        <w:spacing w:after="0" w:line="257"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net asset value per share of our common stock. If we receive such approval from stockholders, in the future, we may issue shares of our common stock at a price below the then current net asset value per share of common stock. Any such issuance could materially dilute your interest in our common stock and reduce our net asset value per share.</w:t>
      </w:r>
    </w:p>
    <w:p>
      <w:pPr>
        <w:spacing w:after="0" w:line="5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4"/>
          <w:szCs w:val="14"/>
          <w:color w:val="auto"/>
        </w:rPr>
        <w:t>We intend to seek to obtain from our stockholders and they may approve a proposal that authorizes us to sell shares of our common stock below the then current net asset value per share of our common stock in one or more offerings for a 12-month period. Such approval will allow us to access the capital markets in a way that we were previously unable to as a result of restrictions that, absent stockholder approval, apply to BDC's under the 1940 Act.</w:t>
      </w:r>
    </w:p>
    <w:p>
      <w:pPr>
        <w:spacing w:after="0" w:line="131" w:lineRule="exact"/>
        <w:rPr>
          <w:sz w:val="20"/>
          <w:szCs w:val="20"/>
          <w:color w:val="auto"/>
        </w:rPr>
      </w:pPr>
    </w:p>
    <w:p>
      <w:pPr>
        <w:ind w:right="60" w:firstLine="432"/>
        <w:spacing w:after="0" w:line="270" w:lineRule="auto"/>
        <w:rPr>
          <w:sz w:val="20"/>
          <w:szCs w:val="20"/>
          <w:color w:val="auto"/>
        </w:rPr>
      </w:pPr>
      <w:r>
        <w:rPr>
          <w:rFonts w:ascii="Arial" w:cs="Arial" w:eastAsia="Arial" w:hAnsi="Arial"/>
          <w:sz w:val="13"/>
          <w:szCs w:val="13"/>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offerings we make at a price below our then current net asset value in the future in a prospectus supplement issued in connection with any such offering.</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69" w:lineRule="exact"/>
        <w:rPr>
          <w:sz w:val="20"/>
          <w:szCs w:val="20"/>
          <w:color w:val="auto"/>
        </w:rPr>
      </w:pPr>
    </w:p>
    <w:p>
      <w:pPr>
        <w:ind w:firstLine="405"/>
        <w:spacing w:after="0" w:line="247"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82" w:lineRule="exact"/>
        <w:rPr>
          <w:sz w:val="20"/>
          <w:szCs w:val="20"/>
          <w:color w:val="auto"/>
        </w:rPr>
      </w:pPr>
    </w:p>
    <w:p>
      <w:pPr>
        <w:ind w:right="60" w:firstLine="432"/>
        <w:spacing w:after="0" w:line="247" w:lineRule="auto"/>
        <w:rPr>
          <w:sz w:val="20"/>
          <w:szCs w:val="20"/>
          <w:color w:val="auto"/>
        </w:rPr>
      </w:pPr>
      <w:r>
        <w:rPr>
          <w:rFonts w:ascii="Arial" w:cs="Arial" w:eastAsia="Arial" w:hAnsi="Arial"/>
          <w:sz w:val="14"/>
          <w:szCs w:val="14"/>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82"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4"/>
          <w:szCs w:val="14"/>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 See "Market For Registrant’s Common Equity, Related Stockholder Matters and Issuer Purchases of Equity Securities" for more information.</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82" w:lineRule="exact"/>
        <w:rPr>
          <w:sz w:val="20"/>
          <w:szCs w:val="20"/>
          <w:color w:val="auto"/>
        </w:rPr>
      </w:pPr>
    </w:p>
    <w:p>
      <w:pPr>
        <w:ind w:right="60" w:firstLine="432"/>
        <w:spacing w:after="0" w:line="273" w:lineRule="auto"/>
        <w:rPr>
          <w:sz w:val="20"/>
          <w:szCs w:val="20"/>
          <w:color w:val="auto"/>
        </w:rPr>
      </w:pPr>
      <w:r>
        <w:rPr>
          <w:rFonts w:ascii="Arial" w:cs="Arial" w:eastAsia="Arial" w:hAnsi="Arial"/>
          <w:sz w:val="14"/>
          <w:szCs w:val="14"/>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shares may trade at discounts from net asset value or at premiums that are unsustainable over the long term.</w:t>
      </w:r>
    </w:p>
    <w:p>
      <w:pPr>
        <w:spacing w:after="0" w:line="82" w:lineRule="exact"/>
        <w:rPr>
          <w:sz w:val="20"/>
          <w:szCs w:val="20"/>
          <w:color w:val="auto"/>
        </w:rPr>
      </w:pPr>
    </w:p>
    <w:p>
      <w:pPr>
        <w:ind w:right="60" w:firstLine="432"/>
        <w:spacing w:after="0" w:line="252" w:lineRule="auto"/>
        <w:rPr>
          <w:sz w:val="20"/>
          <w:szCs w:val="20"/>
          <w:color w:val="auto"/>
        </w:rPr>
      </w:pPr>
      <w:r>
        <w:rPr>
          <w:rFonts w:ascii="Arial" w:cs="Arial" w:eastAsia="Arial" w:hAnsi="Arial"/>
          <w:sz w:val="14"/>
          <w:szCs w:val="14"/>
          <w:color w:val="auto"/>
        </w:rPr>
        <w:t>Shares of BDC's may trade at a market price that is less than the net asset value that is attributable to those shares. Our shares may trade above and below our net asset value, or NAV. Our shares traded on the NASDAQ Global Select Market at $10.55 as of September 30, 2011. Our NAV was $13.44 as of September 30, 2011.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82" w:lineRule="exact"/>
        <w:rPr>
          <w:sz w:val="20"/>
          <w:szCs w:val="20"/>
          <w:color w:val="auto"/>
        </w:rPr>
      </w:pPr>
    </w:p>
    <w:p>
      <w:pPr>
        <w:ind w:right="220" w:firstLine="432"/>
        <w:spacing w:after="0" w:line="273"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2" w:lineRule="exact"/>
        <w:rPr>
          <w:sz w:val="20"/>
          <w:szCs w:val="20"/>
          <w:color w:val="auto"/>
        </w:rPr>
      </w:pPr>
    </w:p>
    <w:p>
      <w:pPr>
        <w:ind w:left="820" w:right="80" w:hanging="326"/>
        <w:spacing w:after="0" w:line="273" w:lineRule="auto"/>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11" w:lineRule="exact"/>
        <w:rPr>
          <w:rFonts w:ascii="Arial" w:cs="Arial" w:eastAsia="Arial" w:hAnsi="Arial"/>
          <w:sz w:val="14"/>
          <w:szCs w:val="14"/>
          <w:color w:val="auto"/>
        </w:rPr>
      </w:pPr>
    </w:p>
    <w:p>
      <w:pPr>
        <w:ind w:left="820" w:hanging="326"/>
        <w:spacing w:after="0"/>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loss of RIC status;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general economic trends and other external factors; and</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163" w:lineRule="exact"/>
        <w:rPr>
          <w:sz w:val="20"/>
          <w:szCs w:val="20"/>
          <w:color w:val="auto"/>
        </w:rPr>
      </w:pPr>
    </w:p>
    <w:p>
      <w:pPr>
        <w:ind w:right="140" w:firstLine="432"/>
        <w:spacing w:after="0" w:line="27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8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3"/>
          <w:szCs w:val="13"/>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82" w:lineRule="exact"/>
        <w:rPr>
          <w:sz w:val="20"/>
          <w:szCs w:val="20"/>
          <w:color w:val="auto"/>
        </w:rPr>
      </w:pPr>
    </w:p>
    <w:p>
      <w:pPr>
        <w:ind w:right="500" w:firstLine="432"/>
        <w:spacing w:after="0" w:line="27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3"/>
          <w:szCs w:val="13"/>
          <w:b w:val="1"/>
          <w:bCs w:val="1"/>
          <w:i w:val="1"/>
          <w:iCs w:val="1"/>
          <w:color w:val="auto"/>
        </w:rPr>
        <w:t>There is a risk that our common stockholders may receive our stock as dividends in which case they may be required to pay taxes in excess of the cash they receive.</w:t>
      </w:r>
    </w:p>
    <w:p>
      <w:pPr>
        <w:spacing w:after="0" w:line="94" w:lineRule="exact"/>
        <w:rPr>
          <w:sz w:val="20"/>
          <w:szCs w:val="20"/>
          <w:color w:val="auto"/>
        </w:rPr>
      </w:pPr>
    </w:p>
    <w:p>
      <w:pPr>
        <w:ind w:right="20" w:firstLine="432"/>
        <w:spacing w:after="0" w:line="270" w:lineRule="auto"/>
        <w:rPr>
          <w:sz w:val="20"/>
          <w:szCs w:val="20"/>
          <w:color w:val="auto"/>
        </w:rPr>
      </w:pPr>
      <w:r>
        <w:rPr>
          <w:rFonts w:ascii="Arial" w:cs="Arial" w:eastAsia="Arial" w:hAnsi="Arial"/>
          <w:sz w:val="13"/>
          <w:szCs w:val="13"/>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in the United States, (2) 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44"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4"/>
          <w:szCs w:val="14"/>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180"/>
          </w:cols>
          <w:pgMar w:left="320" w:top="122" w:right="39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69" w:lineRule="exact"/>
        <w:rPr>
          <w:sz w:val="20"/>
          <w:szCs w:val="20"/>
          <w:color w:val="auto"/>
        </w:rPr>
      </w:pPr>
    </w:p>
    <w:p>
      <w:pPr>
        <w:ind w:right="40" w:firstLine="405"/>
        <w:spacing w:after="0" w:line="257"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of 2002, and other rules implemented by the SEC and the listing standards of the NASDAQ.</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21" w:lineRule="exact"/>
        <w:rPr>
          <w:sz w:val="20"/>
          <w:szCs w:val="20"/>
          <w:color w:val="auto"/>
        </w:rPr>
      </w:pPr>
    </w:p>
    <w:p>
      <w:pPr>
        <w:ind w:left="60" w:right="40" w:firstLine="324"/>
        <w:spacing w:after="0" w:line="273"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76" w:lineRule="exact"/>
        <w:rPr>
          <w:sz w:val="20"/>
          <w:szCs w:val="20"/>
          <w:color w:val="auto"/>
        </w:rPr>
      </w:pPr>
    </w:p>
    <w:p>
      <w:pPr>
        <w:ind w:left="80" w:firstLine="243"/>
        <w:spacing w:after="0" w:line="249"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37" w:lineRule="exact"/>
        <w:rPr>
          <w:sz w:val="20"/>
          <w:szCs w:val="20"/>
          <w:color w:val="auto"/>
        </w:rPr>
      </w:pPr>
    </w:p>
    <w:p>
      <w:pPr>
        <w:ind w:left="80" w:right="40" w:firstLine="243"/>
        <w:spacing w:after="0" w:line="27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1B. </w:t>
      </w:r>
      <w:r>
        <w:rPr>
          <w:rFonts w:ascii="Arial" w:cs="Arial" w:eastAsia="Arial" w:hAnsi="Arial"/>
          <w:sz w:val="14"/>
          <w:szCs w:val="14"/>
          <w:b w:val="1"/>
          <w:bCs w:val="1"/>
          <w:i w:val="1"/>
          <w:iCs w:val="1"/>
          <w:color w:val="auto"/>
        </w:rPr>
        <w:t>Unresolved Staff Comments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2. </w:t>
      </w:r>
      <w:r>
        <w:rPr>
          <w:rFonts w:ascii="Arial" w:cs="Arial" w:eastAsia="Arial" w:hAnsi="Arial"/>
          <w:sz w:val="14"/>
          <w:szCs w:val="14"/>
          <w:b w:val="1"/>
          <w:bCs w:val="1"/>
          <w:i w:val="1"/>
          <w:iCs w:val="1"/>
          <w:color w:val="auto"/>
        </w:rPr>
        <w:t>Properties</w:t>
      </w:r>
    </w:p>
    <w:p>
      <w:pPr>
        <w:spacing w:after="0" w:line="86" w:lineRule="exact"/>
        <w:rPr>
          <w:sz w:val="20"/>
          <w:szCs w:val="20"/>
          <w:color w:val="auto"/>
        </w:rPr>
      </w:pPr>
    </w:p>
    <w:p>
      <w:pPr>
        <w:ind w:right="20" w:firstLine="432"/>
        <w:spacing w:after="0" w:line="273" w:lineRule="auto"/>
        <w:rPr>
          <w:sz w:val="20"/>
          <w:szCs w:val="20"/>
          <w:color w:val="auto"/>
        </w:rPr>
      </w:pPr>
      <w:r>
        <w:rPr>
          <w:rFonts w:ascii="Arial" w:cs="Arial" w:eastAsia="Arial" w:hAnsi="Arial"/>
          <w:sz w:val="14"/>
          <w:szCs w:val="14"/>
          <w:color w:val="auto"/>
        </w:rPr>
        <w:t>As of September 30, 2011,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3. </w:t>
      </w:r>
      <w:r>
        <w:rPr>
          <w:rFonts w:ascii="Arial" w:cs="Arial" w:eastAsia="Arial" w:hAnsi="Arial"/>
          <w:sz w:val="14"/>
          <w:szCs w:val="14"/>
          <w:b w:val="1"/>
          <w:bCs w:val="1"/>
          <w:i w:val="1"/>
          <w:iCs w:val="1"/>
          <w:color w:val="auto"/>
        </w:rPr>
        <w:t>Legal Proceedings</w:t>
      </w:r>
    </w:p>
    <w:p>
      <w:pPr>
        <w:spacing w:after="0" w:line="86"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4. </w:t>
      </w:r>
      <w:r>
        <w:rPr>
          <w:rFonts w:ascii="Arial" w:cs="Arial" w:eastAsia="Arial" w:hAnsi="Arial"/>
          <w:sz w:val="14"/>
          <w:szCs w:val="14"/>
          <w:b w:val="1"/>
          <w:bCs w:val="1"/>
          <w:i w:val="1"/>
          <w:iCs w:val="1"/>
          <w:color w:val="auto"/>
        </w:rPr>
        <w:t>Removed and Reserved</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180"/>
          </w:cols>
          <w:pgMar w:left="320" w:top="122" w:right="39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PART II</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 RANGE OF COMMON STOCK</w:t>
      </w:r>
    </w:p>
    <w:p>
      <w:pPr>
        <w:spacing w:after="0" w:line="86" w:lineRule="exact"/>
        <w:rPr>
          <w:sz w:val="20"/>
          <w:szCs w:val="20"/>
          <w:color w:val="auto"/>
        </w:rPr>
      </w:pPr>
    </w:p>
    <w:p>
      <w:pPr>
        <w:ind w:right="220" w:firstLine="432"/>
        <w:spacing w:after="0" w:line="312" w:lineRule="auto"/>
        <w:rPr>
          <w:sz w:val="20"/>
          <w:szCs w:val="20"/>
          <w:color w:val="auto"/>
        </w:rPr>
      </w:pPr>
      <w:r>
        <w:rPr>
          <w:rFonts w:ascii="Arial" w:cs="Arial" w:eastAsia="Arial" w:hAnsi="Arial"/>
          <w:sz w:val="13"/>
          <w:szCs w:val="13"/>
          <w:color w:val="auto"/>
        </w:rPr>
        <w:t>Our common stock is traded on the NASDAQ Global Select Market under the symbol “PFLT”. The following table lists the high and low closing sale price for our common stock, the closing sale price as a percentage of NAV, and monthly dividends per share since shares of our common stock began being regularly quoted on the NASDAQ Global Select Market.</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Closing Sales Price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High Sales</w:t>
            </w:r>
          </w:p>
        </w:tc>
        <w:tc>
          <w:tcPr>
            <w:tcW w:w="16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0"/>
              </w:rPr>
              <w:t>Low Sales</w:t>
            </w: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1660" w:type="dxa"/>
            <w:vAlign w:val="bottom"/>
            <w:gridSpan w:val="3"/>
            <w:vMerge w:val="continue"/>
          </w:tcPr>
          <w:p>
            <w:pPr>
              <w:spacing w:after="0" w:line="20" w:lineRule="exact"/>
              <w:rPr>
                <w:sz w:val="1"/>
                <w:szCs w:val="1"/>
                <w:color w:val="auto"/>
              </w:rPr>
            </w:pP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Dividends</w:t>
            </w: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ind w:right="397"/>
              <w:spacing w:after="0"/>
              <w:rPr>
                <w:sz w:val="20"/>
                <w:szCs w:val="20"/>
                <w:color w:val="auto"/>
              </w:rPr>
            </w:pPr>
            <w:r>
              <w:rPr>
                <w:rFonts w:ascii="Arial" w:cs="Arial" w:eastAsia="Arial" w:hAnsi="Arial"/>
                <w:sz w:val="28"/>
                <w:szCs w:val="28"/>
                <w:b w:val="1"/>
                <w:bCs w:val="1"/>
                <w:color w:val="auto"/>
                <w:vertAlign w:val="subscript"/>
              </w:rPr>
              <w:t>NAV</w:t>
            </w:r>
            <w:r>
              <w:rPr>
                <w:rFonts w:ascii="Arial" w:cs="Arial" w:eastAsia="Arial" w:hAnsi="Arial"/>
                <w:sz w:val="9"/>
                <w:szCs w:val="9"/>
                <w:b w:val="1"/>
                <w:bCs w:val="1"/>
                <w:color w:val="auto"/>
              </w:rPr>
              <w:t>(1)</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High</w:t>
            </w:r>
          </w:p>
        </w:tc>
        <w:tc>
          <w:tcPr>
            <w:tcW w:w="2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Low</w:t>
            </w:r>
          </w:p>
        </w:tc>
        <w:tc>
          <w:tcPr>
            <w:tcW w:w="100" w:type="dxa"/>
            <w:vAlign w:val="bottom"/>
            <w:vMerge w:val="restart"/>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 to</w:t>
            </w:r>
          </w:p>
        </w:tc>
        <w:tc>
          <w:tcPr>
            <w:tcW w:w="16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Price to</w:t>
            </w: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September 30, 2011</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6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22"/>
                <w:szCs w:val="22"/>
                <w:b w:val="1"/>
                <w:bCs w:val="1"/>
                <w:color w:val="auto"/>
                <w:w w:val="98"/>
                <w:vertAlign w:val="subscript"/>
              </w:rPr>
              <w:t>NAV</w:t>
            </w:r>
            <w:r>
              <w:rPr>
                <w:rFonts w:ascii="Arial" w:cs="Arial" w:eastAsia="Arial" w:hAnsi="Arial"/>
                <w:sz w:val="8"/>
                <w:szCs w:val="8"/>
                <w:b w:val="1"/>
                <w:bCs w:val="1"/>
                <w:color w:val="auto"/>
                <w:w w:val="98"/>
              </w:rPr>
              <w:t>(2)</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22"/>
                <w:szCs w:val="22"/>
                <w:b w:val="1"/>
                <w:bCs w:val="1"/>
                <w:color w:val="auto"/>
                <w:w w:val="98"/>
                <w:vertAlign w:val="subscript"/>
              </w:rPr>
              <w:t>NAV</w:t>
            </w:r>
            <w:r>
              <w:rPr>
                <w:rFonts w:ascii="Arial" w:cs="Arial" w:eastAsia="Arial" w:hAnsi="Arial"/>
                <w:sz w:val="8"/>
                <w:szCs w:val="8"/>
                <w:b w:val="1"/>
                <w:bCs w:val="1"/>
                <w:color w:val="auto"/>
                <w:w w:val="98"/>
              </w:rPr>
              <w:t>(2)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Declared</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4"/>
                <w:szCs w:val="14"/>
                <w:color w:val="auto"/>
              </w:rPr>
              <w:t>Fourth quarter</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7"/>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12.85</w:t>
            </w:r>
          </w:p>
        </w:tc>
        <w:tc>
          <w:tcPr>
            <w:tcW w:w="2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1"/>
                <w:szCs w:val="21"/>
                <w:color w:val="auto"/>
              </w:rPr>
            </w:pPr>
          </w:p>
        </w:tc>
        <w:tc>
          <w:tcPr>
            <w:tcW w:w="1660" w:type="dxa"/>
            <w:vAlign w:val="bottom"/>
            <w:gridSpan w:val="3"/>
          </w:tcPr>
          <w:p>
            <w:pPr>
              <w:ind w:left="1060"/>
              <w:spacing w:after="0"/>
              <w:rPr>
                <w:sz w:val="20"/>
                <w:szCs w:val="20"/>
                <w:color w:val="auto"/>
              </w:rPr>
            </w:pPr>
            <w:r>
              <w:rPr>
                <w:rFonts w:ascii="Arial" w:cs="Arial" w:eastAsia="Arial" w:hAnsi="Arial"/>
                <w:sz w:val="14"/>
                <w:szCs w:val="14"/>
                <w:color w:val="auto"/>
              </w:rPr>
              <w:t>77%  $</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0.20</w:t>
            </w:r>
          </w:p>
        </w:tc>
        <w:tc>
          <w:tcPr>
            <w:tcW w:w="300" w:type="dxa"/>
            <w:vAlign w:val="bottom"/>
          </w:tcPr>
          <w:p>
            <w:pPr>
              <w:jc w:val="right"/>
              <w:ind w:right="135"/>
              <w:spacing w:after="0"/>
              <w:rPr>
                <w:sz w:val="20"/>
                <w:szCs w:val="20"/>
                <w:color w:val="auto"/>
              </w:rPr>
            </w:pPr>
            <w:r>
              <w:rPr>
                <w:rFonts w:ascii="Arial" w:cs="Arial" w:eastAsia="Arial" w:hAnsi="Arial"/>
                <w:sz w:val="9"/>
                <w:szCs w:val="9"/>
                <w:color w:val="auto"/>
                <w:w w:val="90"/>
              </w:rPr>
              <w:t>(3)</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Third quarter*</w:t>
            </w:r>
          </w:p>
        </w:tc>
        <w:tc>
          <w:tcPr>
            <w:tcW w:w="2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37"/>
              <w:spacing w:after="0"/>
              <w:rPr>
                <w:sz w:val="20"/>
                <w:szCs w:val="20"/>
                <w:color w:val="auto"/>
              </w:rPr>
            </w:pPr>
            <w:r>
              <w:rPr>
                <w:rFonts w:ascii="Arial" w:cs="Arial" w:eastAsia="Arial" w:hAnsi="Arial"/>
                <w:sz w:val="14"/>
                <w:szCs w:val="14"/>
                <w:color w:val="auto"/>
              </w:rPr>
              <w:t>14.06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13.70</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ind w:left="1060"/>
              <w:spacing w:after="0"/>
              <w:rPr>
                <w:sz w:val="20"/>
                <w:szCs w:val="20"/>
                <w:color w:val="auto"/>
              </w:rPr>
            </w:pPr>
            <w:r>
              <w:rPr>
                <w:rFonts w:ascii="Arial" w:cs="Arial" w:eastAsia="Arial" w:hAnsi="Arial"/>
                <w:sz w:val="14"/>
                <w:szCs w:val="14"/>
                <w:color w:val="auto"/>
                <w:w w:val="99"/>
              </w:rPr>
              <w:t>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2" w:lineRule="exact"/>
        <w:rPr>
          <w:sz w:val="20"/>
          <w:szCs w:val="20"/>
          <w:color w:val="auto"/>
        </w:rPr>
      </w:pPr>
    </w:p>
    <w:p>
      <w:pPr>
        <w:ind w:left="340" w:right="240" w:hanging="332"/>
        <w:spacing w:after="0" w:line="24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divided by the quarter end NAV.</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 declared dividend of $0.07 per share paid on October 3, 2011.</w:t>
      </w:r>
    </w:p>
    <w:p>
      <w:pPr>
        <w:spacing w:after="0" w:line="15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From April 9, 2011 (commencement of trading) to June 30, 2011.</w:t>
      </w:r>
    </w:p>
    <w:p>
      <w:pPr>
        <w:spacing w:after="0" w:line="163" w:lineRule="exact"/>
        <w:rPr>
          <w:sz w:val="20"/>
          <w:szCs w:val="20"/>
          <w:color w:val="auto"/>
        </w:rPr>
      </w:pPr>
    </w:p>
    <w:p>
      <w:pPr>
        <w:ind w:left="60" w:firstLine="405"/>
        <w:spacing w:after="0" w:line="252" w:lineRule="auto"/>
        <w:rPr>
          <w:sz w:val="20"/>
          <w:szCs w:val="20"/>
          <w:color w:val="auto"/>
        </w:rPr>
      </w:pPr>
      <w:r>
        <w:rPr>
          <w:rFonts w:ascii="Arial" w:cs="Arial" w:eastAsia="Arial" w:hAnsi="Arial"/>
          <w:sz w:val="14"/>
          <w:szCs w:val="14"/>
          <w:color w:val="auto"/>
        </w:rPr>
        <w:t>Shares of business development companies may trade at a market price that is less than the NAV that is attributable to those shares. Our shares have traded below our NAV. Our shares closed on the NASDAQ Global Select Market at $10.55 and our NAV was $13.44 as of September 30, 2011.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 As of September 30, 2011, we had 3 stockholders of record.</w:t>
      </w:r>
    </w:p>
    <w:p>
      <w:pPr>
        <w:spacing w:after="0" w:line="134" w:lineRule="exact"/>
        <w:rPr>
          <w:sz w:val="20"/>
          <w:szCs w:val="20"/>
          <w:color w:val="auto"/>
        </w:rPr>
      </w:pPr>
    </w:p>
    <w:p>
      <w:pPr>
        <w:ind w:right="40" w:firstLine="432"/>
        <w:spacing w:after="0" w:line="249" w:lineRule="auto"/>
        <w:rPr>
          <w:sz w:val="20"/>
          <w:szCs w:val="20"/>
          <w:color w:val="auto"/>
        </w:rPr>
      </w:pPr>
      <w:r>
        <w:rPr>
          <w:rFonts w:ascii="Arial" w:cs="Arial" w:eastAsia="Arial" w:hAnsi="Arial"/>
          <w:sz w:val="14"/>
          <w:szCs w:val="14"/>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 (See Note 7 to our Consolidated Financial Statements):</w:t>
      </w:r>
    </w:p>
    <w:p>
      <w:pPr>
        <w:spacing w:after="0" w:line="28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Record Dates</w:t>
            </w:r>
          </w:p>
        </w:tc>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 Dates</w:t>
            </w:r>
          </w:p>
        </w:tc>
        <w:tc>
          <w:tcPr>
            <w:tcW w:w="18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158"/>
        </w:trPr>
        <w:tc>
          <w:tcPr>
            <w:tcW w:w="6800" w:type="dxa"/>
            <w:vAlign w:val="bottom"/>
            <w:gridSpan w:val="3"/>
            <w:vMerge w:val="continue"/>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8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Fiscal year ended September 30, 2011</w:t>
            </w:r>
          </w:p>
        </w:tc>
        <w:tc>
          <w:tcPr>
            <w:tcW w:w="9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59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760" w:type="dxa"/>
            <w:vAlign w:val="bottom"/>
            <w:gridSpan w:val="2"/>
          </w:tcPr>
          <w:p>
            <w:pPr>
              <w:ind w:left="340"/>
              <w:spacing w:after="0"/>
              <w:rPr>
                <w:sz w:val="20"/>
                <w:szCs w:val="20"/>
                <w:color w:val="auto"/>
              </w:rPr>
            </w:pPr>
            <w:r>
              <w:rPr>
                <w:rFonts w:ascii="Arial" w:cs="Arial" w:eastAsia="Arial" w:hAnsi="Arial"/>
                <w:sz w:val="14"/>
                <w:szCs w:val="14"/>
                <w:color w:val="auto"/>
              </w:rPr>
              <w:t>September 23, 2011</w:t>
            </w:r>
          </w:p>
        </w:tc>
        <w:tc>
          <w:tcPr>
            <w:tcW w:w="2120" w:type="dxa"/>
            <w:vAlign w:val="bottom"/>
            <w:gridSpan w:val="2"/>
            <w:vMerge w:val="restart"/>
          </w:tcPr>
          <w:p>
            <w:pPr>
              <w:spacing w:after="0"/>
              <w:rPr>
                <w:sz w:val="20"/>
                <w:szCs w:val="20"/>
                <w:color w:val="auto"/>
              </w:rPr>
            </w:pPr>
            <w:r>
              <w:rPr>
                <w:rFonts w:ascii="Arial" w:cs="Arial" w:eastAsia="Arial" w:hAnsi="Arial"/>
                <w:sz w:val="14"/>
                <w:szCs w:val="14"/>
                <w:color w:val="auto"/>
              </w:rPr>
              <w:t>October 3, 2011</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0.07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August 22, 2011</w:t>
            </w:r>
          </w:p>
        </w:tc>
        <w:tc>
          <w:tcPr>
            <w:tcW w:w="2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September 1, 2011</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0.07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940" w:type="dxa"/>
            <w:vAlign w:val="bottom"/>
            <w:shd w:val="clear" w:color="auto" w:fill="CCEEFF"/>
          </w:tcPr>
          <w:p>
            <w:pPr>
              <w:spacing w:after="0"/>
              <w:rPr>
                <w:sz w:val="6"/>
                <w:szCs w:val="6"/>
                <w:color w:val="auto"/>
              </w:rPr>
            </w:pPr>
          </w:p>
        </w:tc>
        <w:tc>
          <w:tcPr>
            <w:tcW w:w="212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760" w:type="dxa"/>
            <w:vAlign w:val="bottom"/>
            <w:gridSpan w:val="2"/>
          </w:tcPr>
          <w:p>
            <w:pPr>
              <w:ind w:left="340"/>
              <w:spacing w:after="0"/>
              <w:rPr>
                <w:sz w:val="20"/>
                <w:szCs w:val="20"/>
                <w:color w:val="auto"/>
              </w:rPr>
            </w:pPr>
            <w:r>
              <w:rPr>
                <w:rFonts w:ascii="Arial" w:cs="Arial" w:eastAsia="Arial" w:hAnsi="Arial"/>
                <w:sz w:val="14"/>
                <w:szCs w:val="14"/>
                <w:color w:val="auto"/>
              </w:rPr>
              <w:t>July 22, 2011</w:t>
            </w:r>
          </w:p>
        </w:tc>
        <w:tc>
          <w:tcPr>
            <w:tcW w:w="2120" w:type="dxa"/>
            <w:vAlign w:val="bottom"/>
            <w:gridSpan w:val="2"/>
            <w:vMerge w:val="restart"/>
          </w:tcPr>
          <w:p>
            <w:pPr>
              <w:spacing w:after="0"/>
              <w:rPr>
                <w:sz w:val="20"/>
                <w:szCs w:val="20"/>
                <w:color w:val="auto"/>
              </w:rPr>
            </w:pPr>
            <w:r>
              <w:rPr>
                <w:rFonts w:ascii="Arial" w:cs="Arial" w:eastAsia="Arial" w:hAnsi="Arial"/>
                <w:sz w:val="14"/>
                <w:szCs w:val="14"/>
                <w:color w:val="auto"/>
              </w:rPr>
              <w:t>August 1, 2011</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0.06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June 24, 2011</w:t>
            </w:r>
          </w:p>
        </w:tc>
        <w:tc>
          <w:tcPr>
            <w:tcW w:w="2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July 1, 2011</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940" w:type="dxa"/>
            <w:vAlign w:val="bottom"/>
            <w:shd w:val="clear" w:color="auto" w:fill="CCEEFF"/>
          </w:tcPr>
          <w:p>
            <w:pPr>
              <w:spacing w:after="0"/>
              <w:rPr>
                <w:sz w:val="6"/>
                <w:szCs w:val="6"/>
                <w:color w:val="auto"/>
              </w:rPr>
            </w:pPr>
          </w:p>
        </w:tc>
        <w:tc>
          <w:tcPr>
            <w:tcW w:w="2120" w:type="dxa"/>
            <w:vAlign w:val="bottom"/>
            <w:gridSpan w:val="2"/>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676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0.25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480" w:firstLine="432"/>
        <w:spacing w:after="0" w:line="273" w:lineRule="auto"/>
        <w:rPr>
          <w:sz w:val="20"/>
          <w:szCs w:val="20"/>
          <w:color w:val="auto"/>
        </w:rPr>
      </w:pPr>
      <w:r>
        <w:rPr>
          <w:rFonts w:ascii="Arial" w:cs="Arial" w:eastAsia="Arial" w:hAnsi="Arial"/>
          <w:sz w:val="14"/>
          <w:szCs w:val="14"/>
          <w:color w:val="auto"/>
        </w:rPr>
        <w:t>In January 2012, a Form 1099-DIV will be sent to stockholders that will state the amount and composition of distributions and provide information with respect to appropriate tax treatment of our distributions.</w:t>
      </w:r>
    </w:p>
    <w:p>
      <w:pPr>
        <w:spacing w:after="0" w:line="120" w:lineRule="exact"/>
        <w:rPr>
          <w:sz w:val="20"/>
          <w:szCs w:val="20"/>
          <w:color w:val="auto"/>
        </w:rPr>
      </w:pPr>
    </w:p>
    <w:p>
      <w:pPr>
        <w:ind w:firstLine="432"/>
        <w:spacing w:after="0" w:line="312"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180"/>
          </w:cols>
          <w:pgMar w:left="320" w:top="122" w:right="39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right="180" w:firstLine="432"/>
        <w:spacing w:after="0" w:line="269" w:lineRule="auto"/>
        <w:rPr>
          <w:sz w:val="20"/>
          <w:szCs w:val="20"/>
          <w:color w:val="auto"/>
        </w:rPr>
      </w:pPr>
      <w:r>
        <w:rPr>
          <w:rFonts w:ascii="Arial" w:cs="Arial" w:eastAsia="Arial" w:hAnsi="Arial"/>
          <w:sz w:val="13"/>
          <w:szCs w:val="13"/>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w:t>
      </w:r>
    </w:p>
    <w:p>
      <w:pPr>
        <w:spacing w:after="0" w:line="1" w:lineRule="exact"/>
        <w:rPr>
          <w:sz w:val="20"/>
          <w:szCs w:val="20"/>
          <w:color w:val="auto"/>
        </w:rPr>
      </w:pPr>
    </w:p>
    <w:p>
      <w:pPr>
        <w:ind w:right="200" w:firstLine="8"/>
        <w:spacing w:after="0" w:line="271" w:lineRule="auto"/>
        <w:tabs>
          <w:tab w:leader="none" w:pos="204"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23" w:lineRule="exact"/>
        <w:rPr>
          <w:sz w:val="20"/>
          <w:szCs w:val="20"/>
          <w:color w:val="auto"/>
        </w:rPr>
      </w:pPr>
    </w:p>
    <w:p>
      <w:pPr>
        <w:ind w:firstLine="432"/>
        <w:spacing w:after="0" w:line="277" w:lineRule="auto"/>
        <w:rPr>
          <w:sz w:val="20"/>
          <w:szCs w:val="20"/>
          <w:color w:val="auto"/>
        </w:rPr>
      </w:pPr>
      <w:r>
        <w:rPr>
          <w:rFonts w:ascii="Arial" w:cs="Arial" w:eastAsia="Arial" w:hAnsi="Arial"/>
          <w:sz w:val="13"/>
          <w:szCs w:val="13"/>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82" w:lineRule="exact"/>
        <w:rPr>
          <w:sz w:val="20"/>
          <w:szCs w:val="20"/>
          <w:color w:val="auto"/>
        </w:rPr>
      </w:pPr>
    </w:p>
    <w:p>
      <w:pPr>
        <w:ind w:right="940" w:firstLine="432"/>
        <w:spacing w:after="0" w:line="273" w:lineRule="auto"/>
        <w:rPr>
          <w:sz w:val="20"/>
          <w:szCs w:val="20"/>
          <w:color w:val="auto"/>
        </w:rPr>
      </w:pPr>
      <w:r>
        <w:rPr>
          <w:rFonts w:ascii="Arial" w:cs="Arial" w:eastAsia="Arial" w:hAnsi="Arial"/>
          <w:sz w:val="14"/>
          <w:szCs w:val="14"/>
          <w:color w:val="auto"/>
        </w:rPr>
        <w:t>We sold 667 shares in a private placement to PennantPark Investment Advisers at a price of $15.00 per share for total proceeds of $10,000 during the period March 4, 2011 (commencement of operations) to September 30, 2011.</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82" w:lineRule="exact"/>
        <w:rPr>
          <w:sz w:val="20"/>
          <w:szCs w:val="20"/>
          <w:color w:val="auto"/>
        </w:rPr>
      </w:pPr>
    </w:p>
    <w:p>
      <w:pPr>
        <w:ind w:right="60" w:firstLine="432"/>
        <w:spacing w:after="0" w:line="252" w:lineRule="auto"/>
        <w:rPr>
          <w:sz w:val="20"/>
          <w:szCs w:val="20"/>
          <w:color w:val="auto"/>
        </w:rPr>
      </w:pPr>
      <w:r>
        <w:rPr>
          <w:rFonts w:ascii="Arial" w:cs="Arial" w:eastAsia="Arial" w:hAnsi="Arial"/>
          <w:sz w:val="14"/>
          <w:szCs w:val="14"/>
          <w:color w:val="auto"/>
        </w:rPr>
        <w:t>This graph compares the return on our common stock with that of the Standard &amp; Poor’s 500 Stock Index and the Russell 2000 Financial Services Index, for the period from April 8, 2011 (initial public offering) through September 30, 2011. The graph assumes that, on April 8, 2011, a person invested $100 in each of our common stock, the S&amp;P 500 Index, and the Russell 2000 Financial Services Index. The graph measures total stockholder return, which takes into account both changes in stock price and dividends. It assumes that dividends paid are invested in like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432"/>
        <w:spacing w:after="0" w:line="312" w:lineRule="auto"/>
        <w:rPr>
          <w:sz w:val="20"/>
          <w:szCs w:val="20"/>
          <w:color w:val="auto"/>
        </w:rPr>
      </w:pPr>
      <w:r>
        <w:rPr>
          <w:rFonts w:ascii="Arial" w:cs="Arial" w:eastAsia="Arial" w:hAnsi="Arial"/>
          <w:sz w:val="13"/>
          <w:szCs w:val="13"/>
          <w:color w:val="auto"/>
        </w:rPr>
        <w:t>The graph and other information furnished under this Part II Item 5 of this Form 10-K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86" w:lineRule="exact"/>
        <w:rPr>
          <w:sz w:val="20"/>
          <w:szCs w:val="20"/>
          <w:color w:val="auto"/>
        </w:rPr>
      </w:pPr>
    </w:p>
    <w:p>
      <w:pPr>
        <w:ind w:firstLine="432"/>
        <w:spacing w:after="0" w:line="249" w:lineRule="auto"/>
        <w:rPr>
          <w:sz w:val="20"/>
          <w:szCs w:val="20"/>
          <w:color w:val="auto"/>
        </w:rPr>
      </w:pPr>
      <w:r>
        <w:rPr>
          <w:rFonts w:ascii="Arial" w:cs="Arial" w:eastAsia="Arial" w:hAnsi="Arial"/>
          <w:sz w:val="14"/>
          <w:szCs w:val="14"/>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period March 4, 2011 (commencement of operations) to September 30, 2011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w:t>
      </w:r>
    </w:p>
    <w:p>
      <w:pPr>
        <w:spacing w:after="0" w:line="120"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For the period March 4, 2011</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(commencement of operations) to</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Statement of Operations data:</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4"/>
                <w:szCs w:val="14"/>
                <w:color w:val="auto"/>
              </w:rPr>
              <w:t>Total investment income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260" w:type="dxa"/>
            <w:vAlign w:val="bottom"/>
          </w:tcPr>
          <w:p>
            <w:pPr>
              <w:jc w:val="right"/>
              <w:ind w:right="148"/>
              <w:spacing w:after="0"/>
              <w:rPr>
                <w:sz w:val="20"/>
                <w:szCs w:val="20"/>
                <w:color w:val="auto"/>
              </w:rPr>
            </w:pPr>
            <w:r>
              <w:rPr>
                <w:rFonts w:ascii="Arial" w:cs="Arial" w:eastAsia="Arial" w:hAnsi="Arial"/>
                <w:sz w:val="14"/>
                <w:szCs w:val="14"/>
                <w:color w:val="auto"/>
              </w:rPr>
              <w:t>2,947</w:t>
            </w: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expenses before debt issuance costs</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325"/>
        </w:trPr>
        <w:tc>
          <w:tcPr>
            <w:tcW w:w="4480" w:type="dxa"/>
            <w:vAlign w:val="bottom"/>
          </w:tcPr>
          <w:p>
            <w:pPr>
              <w:ind w:left="20"/>
              <w:spacing w:after="0"/>
              <w:rPr>
                <w:sz w:val="20"/>
                <w:szCs w:val="20"/>
                <w:color w:val="auto"/>
              </w:rPr>
            </w:pPr>
            <w:r>
              <w:rPr>
                <w:rFonts w:ascii="Arial" w:cs="Arial" w:eastAsia="Arial" w:hAnsi="Arial"/>
                <w:sz w:val="14"/>
                <w:szCs w:val="14"/>
                <w:color w:val="auto"/>
              </w:rPr>
              <w:t xml:space="preserve">Total expenses after debt issuance costs </w:t>
            </w:r>
            <w:r>
              <w:rPr>
                <w:rFonts w:ascii="Arial" w:cs="Arial" w:eastAsia="Arial" w:hAnsi="Arial"/>
                <w:sz w:val="8"/>
                <w:szCs w:val="8"/>
                <w:color w:val="auto"/>
              </w:rPr>
              <w:t>*</w:t>
            </w:r>
          </w:p>
        </w:tc>
        <w:tc>
          <w:tcPr>
            <w:tcW w:w="120" w:type="dxa"/>
            <w:vAlign w:val="bottom"/>
          </w:tcPr>
          <w:p>
            <w:pPr>
              <w:spacing w:after="0"/>
              <w:rPr>
                <w:sz w:val="24"/>
                <w:szCs w:val="24"/>
                <w:color w:val="auto"/>
              </w:rPr>
            </w:pPr>
          </w:p>
        </w:tc>
        <w:tc>
          <w:tcPr>
            <w:tcW w:w="2260" w:type="dxa"/>
            <w:vAlign w:val="bottom"/>
            <w:vMerge w:val="restart"/>
          </w:tcPr>
          <w:p>
            <w:pPr>
              <w:jc w:val="right"/>
              <w:ind w:right="148"/>
              <w:spacing w:after="0"/>
              <w:rPr>
                <w:sz w:val="20"/>
                <w:szCs w:val="20"/>
                <w:color w:val="auto"/>
              </w:rPr>
            </w:pPr>
            <w:r>
              <w:rPr>
                <w:rFonts w:ascii="Arial" w:cs="Arial" w:eastAsia="Arial" w:hAnsi="Arial"/>
                <w:sz w:val="14"/>
                <w:szCs w:val="14"/>
                <w:color w:val="auto"/>
              </w:rPr>
              <w:t>2,626</w:t>
            </w:r>
          </w:p>
        </w:tc>
        <w:tc>
          <w:tcPr>
            <w:tcW w:w="0" w:type="dxa"/>
            <w:vAlign w:val="bottom"/>
          </w:tcPr>
          <w:p>
            <w:pPr>
              <w:spacing w:after="0"/>
              <w:rPr>
                <w:sz w:val="1"/>
                <w:szCs w:val="1"/>
                <w:color w:val="auto"/>
              </w:rPr>
            </w:pPr>
          </w:p>
        </w:tc>
      </w:tr>
      <w:tr>
        <w:trPr>
          <w:trHeight w:val="141"/>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Net realized and unrealized loss</w:t>
            </w:r>
          </w:p>
        </w:tc>
        <w:tc>
          <w:tcPr>
            <w:tcW w:w="120" w:type="dxa"/>
            <w:vAlign w:val="bottom"/>
          </w:tcPr>
          <w:p>
            <w:pPr>
              <w:spacing w:after="0"/>
              <w:rPr>
                <w:sz w:val="17"/>
                <w:szCs w:val="17"/>
                <w:color w:val="auto"/>
              </w:rPr>
            </w:pPr>
          </w:p>
        </w:tc>
        <w:tc>
          <w:tcPr>
            <w:tcW w:w="2260" w:type="dxa"/>
            <w:vAlign w:val="bottom"/>
          </w:tcPr>
          <w:p>
            <w:pPr>
              <w:jc w:val="right"/>
              <w:ind w:right="88"/>
              <w:spacing w:after="0"/>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net assets resulting from operations</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190"/>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Per share data:</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asset value (at period end)</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325"/>
        </w:trPr>
        <w:tc>
          <w:tcPr>
            <w:tcW w:w="4480" w:type="dxa"/>
            <w:vAlign w:val="bottom"/>
          </w:tcPr>
          <w:p>
            <w:pPr>
              <w:ind w:left="20"/>
              <w:spacing w:after="0"/>
              <w:rPr>
                <w:sz w:val="20"/>
                <w:szCs w:val="20"/>
                <w:color w:val="auto"/>
              </w:rPr>
            </w:pPr>
            <w:r>
              <w:rPr>
                <w:rFonts w:ascii="Arial" w:cs="Arial" w:eastAsia="Arial" w:hAnsi="Arial"/>
                <w:sz w:val="14"/>
                <w:szCs w:val="14"/>
                <w:color w:val="auto"/>
              </w:rPr>
              <w:t>Net investment income</w:t>
            </w:r>
            <w:r>
              <w:rPr>
                <w:rFonts w:ascii="Arial" w:cs="Arial" w:eastAsia="Arial" w:hAnsi="Arial"/>
                <w:sz w:val="8"/>
                <w:szCs w:val="8"/>
                <w:color w:val="auto"/>
              </w:rPr>
              <w:t>(2)</w:t>
            </w:r>
          </w:p>
        </w:tc>
        <w:tc>
          <w:tcPr>
            <w:tcW w:w="120" w:type="dxa"/>
            <w:vAlign w:val="bottom"/>
          </w:tcPr>
          <w:p>
            <w:pPr>
              <w:spacing w:after="0"/>
              <w:rPr>
                <w:sz w:val="24"/>
                <w:szCs w:val="24"/>
                <w:color w:val="auto"/>
              </w:rPr>
            </w:pPr>
          </w:p>
        </w:tc>
        <w:tc>
          <w:tcPr>
            <w:tcW w:w="2260" w:type="dxa"/>
            <w:vAlign w:val="bottom"/>
            <w:vMerge w:val="restart"/>
          </w:tcPr>
          <w:p>
            <w:pPr>
              <w:jc w:val="right"/>
              <w:ind w:right="14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1"/>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realized and unrealized loss</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90"/>
        </w:trPr>
        <w:tc>
          <w:tcPr>
            <w:tcW w:w="4480" w:type="dxa"/>
            <w:vAlign w:val="bottom"/>
          </w:tcPr>
          <w:p>
            <w:pPr>
              <w:ind w:left="20"/>
              <w:spacing w:after="0"/>
              <w:rPr>
                <w:sz w:val="20"/>
                <w:szCs w:val="20"/>
                <w:color w:val="auto"/>
              </w:rPr>
            </w:pPr>
            <w:r>
              <w:rPr>
                <w:rFonts w:ascii="Arial" w:cs="Arial" w:eastAsia="Arial" w:hAnsi="Arial"/>
                <w:sz w:val="14"/>
                <w:szCs w:val="14"/>
                <w:color w:val="auto"/>
              </w:rPr>
              <w:t>Net decrease in net assets resulting from operations</w:t>
            </w:r>
          </w:p>
        </w:tc>
        <w:tc>
          <w:tcPr>
            <w:tcW w:w="120" w:type="dxa"/>
            <w:vAlign w:val="bottom"/>
          </w:tcPr>
          <w:p>
            <w:pPr>
              <w:spacing w:after="0"/>
              <w:rPr>
                <w:sz w:val="16"/>
                <w:szCs w:val="16"/>
                <w:color w:val="auto"/>
              </w:rPr>
            </w:pPr>
          </w:p>
        </w:tc>
        <w:tc>
          <w:tcPr>
            <w:tcW w:w="2260" w:type="dxa"/>
            <w:vAlign w:val="bottom"/>
          </w:tcPr>
          <w:p>
            <w:pPr>
              <w:jc w:val="right"/>
              <w:ind w:right="88"/>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7620</wp:posOffset>
            </wp:positionV>
            <wp:extent cx="4345940" cy="300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45940" cy="300355"/>
                    </a:xfrm>
                    <a:prstGeom prst="rect">
                      <a:avLst/>
                    </a:prstGeom>
                    <a:noFill/>
                  </pic:spPr>
                </pic:pic>
              </a:graphicData>
            </a:graphic>
          </wp:anchor>
        </w:drawing>
      </w:r>
    </w:p>
    <w:p>
      <w:pPr>
        <w:spacing w:after="0" w:line="121"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Distributions declared</w:t>
      </w:r>
      <w:r>
        <w:rPr>
          <w:rFonts w:ascii="Arial" w:cs="Arial" w:eastAsia="Arial" w:hAnsi="Arial"/>
          <w:sz w:val="8"/>
          <w:szCs w:val="8"/>
          <w:color w:val="auto"/>
        </w:rPr>
        <w:t>(2)</w:t>
      </w:r>
    </w:p>
    <w:p>
      <w:pPr>
        <w:ind w:left="8600"/>
        <w:spacing w:after="0"/>
        <w:rPr>
          <w:sz w:val="20"/>
          <w:szCs w:val="20"/>
          <w:color w:val="auto"/>
        </w:rPr>
      </w:pPr>
      <w:r>
        <w:rPr>
          <w:rFonts w:ascii="Arial" w:cs="Arial" w:eastAsia="Arial" w:hAnsi="Arial"/>
          <w:sz w:val="14"/>
          <w:szCs w:val="14"/>
          <w:color w:val="auto"/>
        </w:rPr>
        <w:t>0.25</w:t>
      </w:r>
    </w:p>
    <w:p>
      <w:pPr>
        <w:spacing w:after="0" w:line="26" w:lineRule="exact"/>
        <w:rPr>
          <w:sz w:val="20"/>
          <w:szCs w:val="20"/>
          <w:color w:val="auto"/>
        </w:rPr>
      </w:pPr>
    </w:p>
    <w:p>
      <w:pPr>
        <w:ind w:left="2220"/>
        <w:spacing w:after="0"/>
        <w:rPr>
          <w:sz w:val="20"/>
          <w:szCs w:val="20"/>
          <w:color w:val="auto"/>
        </w:rPr>
      </w:pPr>
      <w:r>
        <w:rPr>
          <w:rFonts w:ascii="Arial" w:cs="Arial" w:eastAsia="Arial" w:hAnsi="Arial"/>
          <w:sz w:val="14"/>
          <w:szCs w:val="14"/>
          <w:b w:val="1"/>
          <w:bCs w:val="1"/>
          <w:color w:val="auto"/>
        </w:rPr>
        <w:t>Consolidated Statement of Assets and Liabilities data (at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66675</wp:posOffset>
            </wp:positionV>
            <wp:extent cx="434594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5940" cy="13716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p>
      <w:pPr>
        <w:spacing w:after="0" w:line="113"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Total assets</w:t>
      </w:r>
    </w:p>
    <w:p>
      <w:pPr>
        <w:spacing w:after="0" w:line="55"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Total investment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29845</wp:posOffset>
            </wp:positionV>
            <wp:extent cx="434594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5940" cy="137160"/>
                    </a:xfrm>
                    <a:prstGeom prst="rect">
                      <a:avLst/>
                    </a:prstGeom>
                    <a:noFill/>
                  </pic:spPr>
                </pic:pic>
              </a:graphicData>
            </a:graphic>
          </wp:anchor>
        </w:drawing>
      </w:r>
    </w:p>
    <w:p>
      <w:pPr>
        <w:spacing w:after="0" w:line="35"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Borrowings outstanding (at fair value)</w:t>
      </w:r>
    </w:p>
    <w:p>
      <w:pPr>
        <w:spacing w:after="0" w:line="55" w:lineRule="exact"/>
        <w:rPr>
          <w:sz w:val="20"/>
          <w:szCs w:val="20"/>
          <w:color w:val="auto"/>
        </w:rPr>
      </w:pPr>
    </w:p>
    <w:p>
      <w:pPr>
        <w:ind w:left="2220"/>
        <w:spacing w:after="0"/>
        <w:rPr>
          <w:sz w:val="20"/>
          <w:szCs w:val="20"/>
          <w:color w:val="auto"/>
        </w:rPr>
      </w:pPr>
      <w:r>
        <w:rPr>
          <w:rFonts w:ascii="Arial" w:cs="Arial" w:eastAsia="Arial" w:hAnsi="Arial"/>
          <w:sz w:val="12"/>
          <w:szCs w:val="12"/>
          <w:color w:val="auto"/>
        </w:rPr>
        <w:t>Payable for investments and unfunded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44450</wp:posOffset>
            </wp:positionV>
            <wp:extent cx="434594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5940" cy="137160"/>
                    </a:xfrm>
                    <a:prstGeom prst="rect">
                      <a:avLst/>
                    </a:prstGeom>
                    <a:noFill/>
                  </pic:spPr>
                </pic:pic>
              </a:graphicData>
            </a:graphic>
          </wp:anchor>
        </w:drawing>
      </w:r>
    </w:p>
    <w:p>
      <w:pPr>
        <w:spacing w:after="0" w:line="58"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Total net asset value</w:t>
      </w:r>
    </w:p>
    <w:p>
      <w:pPr>
        <w:spacing w:after="0" w:line="51" w:lineRule="exact"/>
        <w:rPr>
          <w:sz w:val="20"/>
          <w:szCs w:val="20"/>
          <w:color w:val="auto"/>
        </w:rPr>
      </w:pPr>
    </w:p>
    <w:p>
      <w:pPr>
        <w:ind w:left="2220"/>
        <w:spacing w:after="0"/>
        <w:rPr>
          <w:sz w:val="20"/>
          <w:szCs w:val="20"/>
          <w:color w:val="auto"/>
        </w:rPr>
      </w:pPr>
      <w:r>
        <w:rPr>
          <w:rFonts w:ascii="Arial" w:cs="Arial" w:eastAsia="Arial" w:hAnsi="Arial"/>
          <w:sz w:val="14"/>
          <w:szCs w:val="14"/>
          <w:b w:val="1"/>
          <w:bCs w:val="1"/>
          <w:color w:val="auto"/>
        </w:rPr>
        <w:t>Other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66675</wp:posOffset>
            </wp:positionV>
            <wp:extent cx="434594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5940" cy="300355"/>
                    </a:xfrm>
                    <a:prstGeom prst="rect">
                      <a:avLst/>
                    </a:prstGeom>
                    <a:noFill/>
                  </pic:spPr>
                </pic:pic>
              </a:graphicData>
            </a:graphic>
          </wp:anchor>
        </w:drawing>
      </w:r>
    </w:p>
    <w:p>
      <w:pPr>
        <w:spacing w:after="0" w:line="228"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 xml:space="preserve">Total return ** </w:t>
      </w:r>
      <w:r>
        <w:rPr>
          <w:rFonts w:ascii="Arial" w:cs="Arial" w:eastAsia="Arial" w:hAnsi="Arial"/>
          <w:sz w:val="8"/>
          <w:szCs w:val="8"/>
          <w:color w:val="auto"/>
        </w:rPr>
        <w:t>(3)</w:t>
      </w:r>
    </w:p>
    <w:p>
      <w:pPr>
        <w:spacing w:after="0" w:line="312"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 xml:space="preserve">Number of portfolio companies (at period end) </w:t>
      </w:r>
      <w:r>
        <w:rPr>
          <w:rFonts w:ascii="Arial" w:cs="Arial" w:eastAsia="Arial" w:hAnsi="Arial"/>
          <w:sz w:val="8"/>
          <w:szCs w:val="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114300</wp:posOffset>
            </wp:positionV>
            <wp:extent cx="4345940" cy="299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45940" cy="299720"/>
                    </a:xfrm>
                    <a:prstGeom prst="rect">
                      <a:avLst/>
                    </a:prstGeom>
                    <a:noFill/>
                  </pic:spPr>
                </pic:pic>
              </a:graphicData>
            </a:graphic>
          </wp:anchor>
        </w:drawing>
      </w:r>
    </w:p>
    <w:p>
      <w:pPr>
        <w:spacing w:after="0" w:line="303"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Yield on debt portfolio (at period end)</w:t>
      </w:r>
      <w:r>
        <w:rPr>
          <w:rFonts w:ascii="Arial" w:cs="Arial" w:eastAsia="Arial" w:hAnsi="Arial"/>
          <w:sz w:val="8"/>
          <w:szCs w:val="8"/>
          <w:color w:val="auto"/>
        </w:rPr>
        <w:t>(4)</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right"/>
        <w:ind w:right="2360"/>
        <w:spacing w:after="0"/>
        <w:rPr>
          <w:sz w:val="20"/>
          <w:szCs w:val="20"/>
          <w:color w:val="auto"/>
        </w:rPr>
      </w:pPr>
      <w:r>
        <w:rPr>
          <w:rFonts w:ascii="Arial" w:cs="Arial" w:eastAsia="Arial" w:hAnsi="Arial"/>
          <w:sz w:val="12"/>
          <w:szCs w:val="12"/>
          <w:color w:val="auto"/>
        </w:rPr>
        <w:t>121,075</w:t>
      </w:r>
    </w:p>
    <w:p>
      <w:pPr>
        <w:spacing w:after="0" w:line="78" w:lineRule="exact"/>
        <w:rPr>
          <w:sz w:val="20"/>
          <w:szCs w:val="20"/>
          <w:color w:val="auto"/>
        </w:rPr>
      </w:pPr>
    </w:p>
    <w:p>
      <w:pPr>
        <w:jc w:val="right"/>
        <w:ind w:right="2360"/>
        <w:spacing w:after="0"/>
        <w:rPr>
          <w:sz w:val="20"/>
          <w:szCs w:val="20"/>
          <w:color w:val="auto"/>
        </w:rPr>
      </w:pPr>
      <w:r>
        <w:rPr>
          <w:rFonts w:ascii="Arial" w:cs="Arial" w:eastAsia="Arial" w:hAnsi="Arial"/>
          <w:sz w:val="12"/>
          <w:szCs w:val="12"/>
          <w:color w:val="auto"/>
        </w:rPr>
        <w:t>110,724</w:t>
      </w:r>
    </w:p>
    <w:p>
      <w:pPr>
        <w:spacing w:after="0" w:line="78" w:lineRule="exact"/>
        <w:rPr>
          <w:sz w:val="20"/>
          <w:szCs w:val="20"/>
          <w:color w:val="auto"/>
        </w:rPr>
      </w:pPr>
    </w:p>
    <w:p>
      <w:pPr>
        <w:jc w:val="right"/>
        <w:ind w:right="2360"/>
        <w:spacing w:after="0"/>
        <w:rPr>
          <w:sz w:val="20"/>
          <w:szCs w:val="20"/>
          <w:color w:val="auto"/>
        </w:rPr>
      </w:pPr>
      <w:r>
        <w:rPr>
          <w:rFonts w:ascii="Arial" w:cs="Arial" w:eastAsia="Arial" w:hAnsi="Arial"/>
          <w:sz w:val="14"/>
          <w:szCs w:val="14"/>
          <w:color w:val="auto"/>
        </w:rPr>
        <w:t>24,650</w:t>
      </w:r>
    </w:p>
    <w:p>
      <w:pPr>
        <w:spacing w:after="0" w:line="55" w:lineRule="exact"/>
        <w:rPr>
          <w:sz w:val="20"/>
          <w:szCs w:val="20"/>
          <w:color w:val="auto"/>
        </w:rPr>
      </w:pPr>
    </w:p>
    <w:p>
      <w:pPr>
        <w:jc w:val="right"/>
        <w:ind w:right="2360"/>
        <w:spacing w:after="0"/>
        <w:rPr>
          <w:sz w:val="20"/>
          <w:szCs w:val="20"/>
          <w:color w:val="auto"/>
        </w:rPr>
      </w:pPr>
      <w:r>
        <w:rPr>
          <w:rFonts w:ascii="Arial" w:cs="Arial" w:eastAsia="Arial" w:hAnsi="Arial"/>
          <w:sz w:val="14"/>
          <w:szCs w:val="14"/>
          <w:color w:val="auto"/>
        </w:rPr>
        <w:t>3,313</w:t>
      </w:r>
    </w:p>
    <w:p>
      <w:pPr>
        <w:spacing w:after="0" w:line="55" w:lineRule="exact"/>
        <w:rPr>
          <w:sz w:val="20"/>
          <w:szCs w:val="20"/>
          <w:color w:val="auto"/>
        </w:rPr>
      </w:pPr>
    </w:p>
    <w:p>
      <w:pPr>
        <w:jc w:val="right"/>
        <w:ind w:right="2360"/>
        <w:spacing w:after="0"/>
        <w:rPr>
          <w:sz w:val="20"/>
          <w:szCs w:val="20"/>
          <w:color w:val="auto"/>
        </w:rPr>
      </w:pPr>
      <w:r>
        <w:rPr>
          <w:rFonts w:ascii="Arial" w:cs="Arial" w:eastAsia="Arial" w:hAnsi="Arial"/>
          <w:sz w:val="14"/>
          <w:szCs w:val="14"/>
          <w:color w:val="auto"/>
        </w:rPr>
        <w:t>92,072</w:t>
      </w:r>
    </w:p>
    <w:p>
      <w:pPr>
        <w:spacing w:after="0" w:line="200" w:lineRule="exact"/>
        <w:rPr>
          <w:sz w:val="20"/>
          <w:szCs w:val="20"/>
          <w:color w:val="auto"/>
        </w:rPr>
      </w:pPr>
    </w:p>
    <w:p>
      <w:pPr>
        <w:spacing w:after="0" w:line="382" w:lineRule="exact"/>
        <w:rPr>
          <w:sz w:val="20"/>
          <w:szCs w:val="20"/>
          <w:color w:val="auto"/>
        </w:rPr>
      </w:pPr>
    </w:p>
    <w:p>
      <w:pPr>
        <w:jc w:val="right"/>
        <w:ind w:right="2180"/>
        <w:spacing w:after="0"/>
        <w:rPr>
          <w:sz w:val="20"/>
          <w:szCs w:val="20"/>
          <w:color w:val="auto"/>
        </w:rPr>
      </w:pPr>
      <w:r>
        <w:rPr>
          <w:rFonts w:ascii="Arial" w:cs="Arial" w:eastAsia="Arial" w:hAnsi="Arial"/>
          <w:sz w:val="14"/>
          <w:szCs w:val="14"/>
          <w:color w:val="auto"/>
        </w:rPr>
        <w:t>(28.1)%</w:t>
      </w:r>
    </w:p>
    <w:p>
      <w:pPr>
        <w:spacing w:after="0" w:line="31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38</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8.0 %</w:t>
      </w:r>
    </w:p>
    <w:p>
      <w:pPr>
        <w:spacing w:after="0" w:line="21" w:lineRule="exact"/>
        <w:rPr>
          <w:sz w:val="20"/>
          <w:szCs w:val="20"/>
          <w:color w:val="auto"/>
        </w:rPr>
      </w:pPr>
    </w:p>
    <w:p>
      <w:pPr>
        <w:sectPr>
          <w:pgSz w:w="11900" w:h="16838" w:orient="portrait"/>
          <w:cols w:equalWidth="0" w:num="2">
            <w:col w:w="7660" w:space="720"/>
            <w:col w:w="2820"/>
          </w:cols>
          <w:pgMar w:left="320" w:top="122" w:right="37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______________________</w:t>
      </w:r>
    </w:p>
    <w:p>
      <w:pPr>
        <w:spacing w:after="0" w:line="32"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18"/>
          <w:szCs w:val="18"/>
          <w:color w:val="auto"/>
        </w:rPr>
      </w:pPr>
      <w:r>
        <w:rPr>
          <w:rFonts w:ascii="Arial" w:cs="Arial" w:eastAsia="Arial" w:hAnsi="Arial"/>
          <w:sz w:val="14"/>
          <w:szCs w:val="14"/>
          <w:color w:val="auto"/>
        </w:rPr>
        <w:t>Includes non-recurring expenses.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Not annualized for a period of less than a year.</w:t>
      </w:r>
    </w:p>
    <w:p>
      <w:pPr>
        <w:spacing w:after="0" w:line="15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period .</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which may differ from amounts determined under GAAP.</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Based on the change in market price per share during the period and takes into account distributions, if any, reinvested in accordance with our dividend reinvestment plan.</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00"/>
          </w:cols>
          <w:pgMar w:left="320" w:top="122" w:right="37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86" w:lineRule="exact"/>
        <w:rPr>
          <w:sz w:val="20"/>
          <w:szCs w:val="20"/>
          <w:color w:val="auto"/>
        </w:rPr>
      </w:pPr>
    </w:p>
    <w:p>
      <w:pPr>
        <w:ind w:firstLine="432"/>
        <w:spacing w:after="0" w:line="286" w:lineRule="auto"/>
        <w:rPr>
          <w:sz w:val="20"/>
          <w:szCs w:val="20"/>
          <w:color w:val="auto"/>
        </w:rPr>
      </w:pPr>
      <w:r>
        <w:rPr>
          <w:rFonts w:ascii="Arial" w:cs="Arial" w:eastAsia="Arial" w:hAnsi="Arial"/>
          <w:sz w:val="13"/>
          <w:szCs w:val="13"/>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6" w:lineRule="exact"/>
        <w:rPr>
          <w:sz w:val="20"/>
          <w:szCs w:val="20"/>
          <w:color w:val="auto"/>
        </w:rPr>
      </w:pPr>
    </w:p>
    <w:p>
      <w:pPr>
        <w:ind w:left="820" w:hanging="326"/>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 and</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ability of the Investment Adviser to locate suitable investments for us and to monitor and administer our investments.</w:t>
      </w:r>
    </w:p>
    <w:p>
      <w:pPr>
        <w:spacing w:after="0" w:line="163" w:lineRule="exact"/>
        <w:rPr>
          <w:sz w:val="20"/>
          <w:szCs w:val="20"/>
          <w:color w:val="auto"/>
        </w:rPr>
      </w:pPr>
    </w:p>
    <w:p>
      <w:pPr>
        <w:ind w:right="200" w:firstLine="432"/>
        <w:spacing w:after="0" w:line="257"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in “Risk Factors” and elsewhere in this Report.</w:t>
      </w:r>
    </w:p>
    <w:p>
      <w:pPr>
        <w:spacing w:after="0" w:line="131" w:lineRule="exact"/>
        <w:rPr>
          <w:sz w:val="20"/>
          <w:szCs w:val="20"/>
          <w:color w:val="auto"/>
        </w:rPr>
      </w:pPr>
    </w:p>
    <w:p>
      <w:pPr>
        <w:jc w:val="both"/>
        <w:ind w:right="60" w:firstLine="432"/>
        <w:spacing w:after="0" w:line="252"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34" w:lineRule="exact"/>
        <w:rPr>
          <w:sz w:val="20"/>
          <w:szCs w:val="20"/>
          <w:color w:val="auto"/>
        </w:rPr>
      </w:pPr>
    </w:p>
    <w:p>
      <w:pPr>
        <w:ind w:right="100" w:firstLine="432"/>
        <w:spacing w:after="0" w:line="252"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34" w:lineRule="exact"/>
        <w:rPr>
          <w:sz w:val="20"/>
          <w:szCs w:val="20"/>
          <w:color w:val="auto"/>
        </w:rPr>
      </w:pPr>
    </w:p>
    <w:p>
      <w:pPr>
        <w:ind w:right="520" w:firstLine="432"/>
        <w:spacing w:after="0" w:line="273" w:lineRule="auto"/>
        <w:rPr>
          <w:sz w:val="20"/>
          <w:szCs w:val="20"/>
          <w:color w:val="auto"/>
        </w:rPr>
      </w:pPr>
      <w:r>
        <w:rPr>
          <w:rFonts w:ascii="Arial" w:cs="Arial" w:eastAsia="Arial" w:hAnsi="Arial"/>
          <w:sz w:val="14"/>
          <w:szCs w:val="14"/>
          <w:color w:val="auto"/>
        </w:rPr>
        <w:t>You should understand that under Sections 27A(b)(2)(B) of the Securities Act and Section 21E(b)(2)(B) of the Exchange Act the “safe harbor” provisions of the Private Securities Litigation Reform Act of 1995 do not apply to statements made in periodic reports we file under the Exchange Act.</w:t>
      </w:r>
    </w:p>
    <w:p>
      <w:pPr>
        <w:spacing w:after="0" w:line="120" w:lineRule="exact"/>
        <w:rPr>
          <w:sz w:val="20"/>
          <w:szCs w:val="20"/>
          <w:color w:val="auto"/>
        </w:rPr>
      </w:pPr>
    </w:p>
    <w:p>
      <w:pPr>
        <w:ind w:right="580" w:firstLine="432"/>
        <w:spacing w:after="0" w:line="27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Overview</w:t>
      </w:r>
    </w:p>
    <w:p>
      <w:pPr>
        <w:spacing w:after="0" w:line="244" w:lineRule="exact"/>
        <w:rPr>
          <w:sz w:val="20"/>
          <w:szCs w:val="20"/>
          <w:color w:val="auto"/>
        </w:rPr>
      </w:pPr>
    </w:p>
    <w:p>
      <w:pPr>
        <w:ind w:right="200" w:firstLine="216"/>
        <w:spacing w:after="0" w:line="257" w:lineRule="auto"/>
        <w:rPr>
          <w:sz w:val="20"/>
          <w:szCs w:val="20"/>
          <w:color w:val="auto"/>
        </w:rPr>
      </w:pPr>
      <w:r>
        <w:rPr>
          <w:rFonts w:ascii="Arial" w:cs="Arial" w:eastAsia="Arial" w:hAnsi="Arial"/>
          <w:sz w:val="14"/>
          <w:szCs w:val="14"/>
          <w:color w:val="auto"/>
        </w:rPr>
        <w:t>PennantPark Floating Rate Capital Ltd. is a BDC, whose objective is to generate high current income by investing primarily in Floating Rate Loans and other investments made to private middle-market companies. Floating Rate Loans or variable rate investments are investments that pay interest at variable rates, which are determined periodically, on the basis of a floating base lending rate such as LIBOR, plus a fixed spread.</w:t>
      </w:r>
    </w:p>
    <w:p>
      <w:pPr>
        <w:spacing w:after="0" w:line="77" w:lineRule="exact"/>
        <w:rPr>
          <w:sz w:val="20"/>
          <w:szCs w:val="20"/>
          <w:color w:val="auto"/>
        </w:rPr>
      </w:pPr>
    </w:p>
    <w:p>
      <w:pPr>
        <w:ind w:right="500" w:firstLine="486"/>
        <w:spacing w:after="0" w:line="267" w:lineRule="auto"/>
        <w:rPr>
          <w:sz w:val="20"/>
          <w:szCs w:val="20"/>
          <w:color w:val="auto"/>
        </w:rPr>
      </w:pPr>
      <w:r>
        <w:rPr>
          <w:rFonts w:ascii="Arial" w:cs="Arial" w:eastAsia="Arial" w:hAnsi="Arial"/>
          <w:sz w:val="13"/>
          <w:szCs w:val="13"/>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74" w:lineRule="exact"/>
        <w:rPr>
          <w:sz w:val="20"/>
          <w:szCs w:val="20"/>
          <w:color w:val="auto"/>
        </w:rPr>
      </w:pPr>
    </w:p>
    <w:p>
      <w:pPr>
        <w:ind w:right="560" w:firstLine="405"/>
        <w:spacing w:after="0" w:line="249"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will be invested in Floating Rate Loans and investments with similar economic characteristics, including cash equivalents invested in money market funds.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range between $2 million and $20 million, on average, although we expect that this investment size will vary proportionately with the size of our capital base.</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69" w:lineRule="exact"/>
        <w:rPr>
          <w:sz w:val="20"/>
          <w:szCs w:val="20"/>
          <w:color w:val="auto"/>
        </w:rPr>
      </w:pPr>
    </w:p>
    <w:p>
      <w:pPr>
        <w:ind w:left="20" w:right="40" w:firstLine="405"/>
        <w:spacing w:after="0" w:line="249"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be treated, and intend to qualify annually, as a RIC under the Code, commencing with our first fiscal year ending September 30, 2011.</w:t>
      </w:r>
    </w:p>
    <w:p>
      <w:pPr>
        <w:spacing w:after="0" w:line="137" w:lineRule="exact"/>
        <w:rPr>
          <w:sz w:val="20"/>
          <w:szCs w:val="20"/>
          <w:color w:val="auto"/>
        </w:rPr>
      </w:pPr>
    </w:p>
    <w:p>
      <w:pPr>
        <w:ind w:firstLine="432"/>
        <w:spacing w:after="0" w:line="247" w:lineRule="auto"/>
        <w:rPr>
          <w:sz w:val="20"/>
          <w:szCs w:val="20"/>
          <w:color w:val="auto"/>
        </w:rPr>
      </w:pPr>
      <w:r>
        <w:rPr>
          <w:rFonts w:ascii="Arial" w:cs="Arial" w:eastAsia="Arial" w:hAnsi="Arial"/>
          <w:sz w:val="14"/>
          <w:szCs w:val="14"/>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PennantPark Investment Advisers supervise our activities.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Revenues</w:t>
      </w:r>
    </w:p>
    <w:p>
      <w:pPr>
        <w:spacing w:after="0" w:line="82" w:lineRule="exact"/>
        <w:rPr>
          <w:sz w:val="20"/>
          <w:szCs w:val="20"/>
          <w:color w:val="auto"/>
        </w:rPr>
      </w:pPr>
    </w:p>
    <w:p>
      <w:pPr>
        <w:ind w:firstLine="432"/>
        <w:spacing w:after="0" w:line="24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Expenses</w:t>
      </w:r>
    </w:p>
    <w:p>
      <w:pPr>
        <w:spacing w:after="0" w:line="82" w:lineRule="exact"/>
        <w:rPr>
          <w:sz w:val="20"/>
          <w:szCs w:val="20"/>
          <w:color w:val="auto"/>
        </w:rPr>
      </w:pPr>
    </w:p>
    <w:p>
      <w:pPr>
        <w:ind w:right="100" w:firstLine="432"/>
        <w:spacing w:after="0" w:line="252" w:lineRule="auto"/>
        <w:rPr>
          <w:sz w:val="20"/>
          <w:szCs w:val="20"/>
          <w:color w:val="auto"/>
        </w:rPr>
      </w:pPr>
      <w:r>
        <w:rPr>
          <w:rFonts w:ascii="Arial" w:cs="Arial" w:eastAsia="Arial" w:hAnsi="Arial"/>
          <w:sz w:val="14"/>
          <w:szCs w:val="14"/>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direct or indirect costs and expenses of our operations and transactions, including:</w:t>
      </w:r>
    </w:p>
    <w:p>
      <w:pPr>
        <w:spacing w:after="0" w:line="26" w:lineRule="exact"/>
        <w:rPr>
          <w:sz w:val="20"/>
          <w:szCs w:val="20"/>
          <w:color w:val="auto"/>
        </w:rPr>
      </w:pPr>
    </w:p>
    <w:p>
      <w:pPr>
        <w:ind w:left="820" w:hanging="326"/>
        <w:spacing w:after="0"/>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55" w:lineRule="exact"/>
        <w:rPr>
          <w:rFonts w:ascii="Arial" w:cs="Arial" w:eastAsia="Arial" w:hAnsi="Arial"/>
          <w:sz w:val="14"/>
          <w:szCs w:val="14"/>
          <w:color w:val="auto"/>
        </w:rPr>
      </w:pPr>
    </w:p>
    <w:p>
      <w:pPr>
        <w:ind w:left="820" w:right="140" w:hanging="326"/>
        <w:spacing w:after="0" w:line="273" w:lineRule="auto"/>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complimentary businesses;</w:t>
      </w:r>
    </w:p>
    <w:p>
      <w:pPr>
        <w:spacing w:after="0" w:line="11" w:lineRule="exact"/>
        <w:rPr>
          <w:rFonts w:ascii="Arial" w:cs="Arial" w:eastAsia="Arial" w:hAnsi="Arial"/>
          <w:sz w:val="14"/>
          <w:szCs w:val="14"/>
          <w:color w:val="auto"/>
        </w:rPr>
      </w:pPr>
    </w:p>
    <w:p>
      <w:pPr>
        <w:ind w:left="820" w:hanging="326"/>
        <w:spacing w:after="0"/>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fidelity bond, directors and officers/errors and omissions liability insurance and other insurance premiums;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55" w:lineRule="exact"/>
        <w:rPr>
          <w:rFonts w:ascii="Arial" w:cs="Arial" w:eastAsia="Arial" w:hAnsi="Arial"/>
          <w:sz w:val="14"/>
          <w:szCs w:val="14"/>
          <w:color w:val="auto"/>
        </w:rPr>
      </w:pPr>
    </w:p>
    <w:p>
      <w:pPr>
        <w:jc w:val="both"/>
        <w:ind w:left="820" w:right="120" w:hanging="326"/>
        <w:spacing w:after="0" w:line="286" w:lineRule="auto"/>
        <w:tabs>
          <w:tab w:leader="none" w:pos="8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68" w:lineRule="exact"/>
        <w:rPr>
          <w:sz w:val="20"/>
          <w:szCs w:val="20"/>
          <w:color w:val="auto"/>
        </w:rPr>
      </w:pPr>
    </w:p>
    <w:p>
      <w:pPr>
        <w:ind w:right="140" w:firstLine="405"/>
        <w:spacing w:after="0" w:line="273" w:lineRule="auto"/>
        <w:rPr>
          <w:sz w:val="20"/>
          <w:szCs w:val="20"/>
          <w:color w:val="auto"/>
        </w:rPr>
      </w:pPr>
      <w:r>
        <w:rPr>
          <w:rFonts w:ascii="Arial" w:cs="Arial" w:eastAsia="Arial" w:hAnsi="Arial"/>
          <w:sz w:val="14"/>
          <w:szCs w:val="14"/>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180"/>
          </w:cols>
          <w:pgMar w:left="320" w:top="122" w:right="39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67" w:lineRule="exact"/>
        <w:rPr>
          <w:sz w:val="20"/>
          <w:szCs w:val="20"/>
          <w:color w:val="auto"/>
        </w:rPr>
      </w:pPr>
    </w:p>
    <w:p>
      <w:pPr>
        <w:ind w:right="200" w:firstLine="405"/>
        <w:spacing w:after="0" w:line="249" w:lineRule="auto"/>
        <w:rPr>
          <w:sz w:val="20"/>
          <w:szCs w:val="20"/>
          <w:color w:val="auto"/>
        </w:rPr>
      </w:pPr>
      <w:r>
        <w:rPr>
          <w:rFonts w:ascii="Arial" w:cs="Arial" w:eastAsia="Arial" w:hAnsi="Arial"/>
          <w:sz w:val="14"/>
          <w:szCs w:val="14"/>
          <w:color w:val="auto"/>
        </w:rPr>
        <w:t>As of September 30, 2011, our portfolio totaled $110.7 million and consisted of $94.3 million of senior secured loans, $9.3 million of second lien secured debt, $7.0 million of subordinated debt and $0.1 million of preferred and common equity investments. Our portfolio consisted of 84% variable-rate (including 78% with a LIBOR or prime floor) and 16% with a fixed-rate. Overall, for the period from March 4, 2011 (commencement of operations) to September 30, 2011 the portfolio had an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 as of September 30, 2011.</w:t>
      </w:r>
    </w:p>
    <w:p>
      <w:pPr>
        <w:spacing w:after="0" w:line="137" w:lineRule="exact"/>
        <w:rPr>
          <w:sz w:val="20"/>
          <w:szCs w:val="20"/>
          <w:color w:val="auto"/>
        </w:rPr>
      </w:pPr>
    </w:p>
    <w:p>
      <w:pPr>
        <w:ind w:right="480" w:firstLine="432"/>
        <w:spacing w:after="0" w:line="273" w:lineRule="auto"/>
        <w:rPr>
          <w:sz w:val="20"/>
          <w:szCs w:val="20"/>
          <w:color w:val="auto"/>
        </w:rPr>
      </w:pPr>
      <w:r>
        <w:rPr>
          <w:rFonts w:ascii="Arial" w:cs="Arial" w:eastAsia="Arial" w:hAnsi="Arial"/>
          <w:sz w:val="14"/>
          <w:szCs w:val="14"/>
          <w:color w:val="auto"/>
        </w:rPr>
        <w:t>For the period March 4, 2011 (commencement of operations) to September 30, 2011, we purchased $147.5 million of investments issued by 50 portfolio companies with an overall weighted average yield of 7.6% on debt investments. For the same period, sales and repayments generated proceeds of $33.2 million.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86" w:lineRule="exact"/>
        <w:rPr>
          <w:sz w:val="20"/>
          <w:szCs w:val="20"/>
          <w:color w:val="auto"/>
        </w:rPr>
      </w:pPr>
    </w:p>
    <w:p>
      <w:pPr>
        <w:ind w:right="20" w:firstLine="432"/>
        <w:spacing w:after="0" w:line="270" w:lineRule="auto"/>
        <w:rPr>
          <w:sz w:val="20"/>
          <w:szCs w:val="20"/>
          <w:color w:val="auto"/>
        </w:rPr>
      </w:pPr>
      <w:r>
        <w:rPr>
          <w:rFonts w:ascii="Arial" w:cs="Arial" w:eastAsia="Arial" w:hAnsi="Arial"/>
          <w:sz w:val="13"/>
          <w:szCs w:val="13"/>
          <w:color w:val="auto"/>
        </w:rPr>
        <w:t>The discussion of our financial condition and results of operation is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244" w:lineRule="exact"/>
        <w:rPr>
          <w:sz w:val="20"/>
          <w:szCs w:val="20"/>
          <w:color w:val="auto"/>
        </w:rPr>
      </w:pPr>
    </w:p>
    <w:p>
      <w:pPr>
        <w:ind w:right="80" w:firstLine="391"/>
        <w:spacing w:after="0" w:line="273" w:lineRule="auto"/>
        <w:rPr>
          <w:sz w:val="20"/>
          <w:szCs w:val="20"/>
          <w:color w:val="auto"/>
        </w:rPr>
      </w:pPr>
      <w:r>
        <w:rPr>
          <w:rFonts w:ascii="Arial" w:cs="Arial" w:eastAsia="Arial" w:hAnsi="Arial"/>
          <w:sz w:val="13"/>
          <w:szCs w:val="13"/>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203" w:lineRule="exact"/>
        <w:rPr>
          <w:sz w:val="20"/>
          <w:szCs w:val="20"/>
          <w:color w:val="auto"/>
        </w:rPr>
      </w:pPr>
    </w:p>
    <w:p>
      <w:pPr>
        <w:ind w:firstLine="391"/>
        <w:spacing w:after="0" w:line="268"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right="500" w:firstLine="391"/>
        <w:spacing w:after="0" w:line="273"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0" w:lineRule="exact"/>
        <w:rPr>
          <w:sz w:val="20"/>
          <w:szCs w:val="20"/>
          <w:color w:val="auto"/>
        </w:rPr>
      </w:pPr>
    </w:p>
    <w:p>
      <w:pPr>
        <w:ind w:left="1160" w:hanging="669"/>
        <w:spacing w:after="0" w:line="253" w:lineRule="auto"/>
        <w:tabs>
          <w:tab w:leader="none" w:pos="11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senior investment professionals of the Investment Adviser responsible for the portfolio investment;</w:t>
      </w:r>
    </w:p>
    <w:p>
      <w:pPr>
        <w:spacing w:after="0" w:line="214" w:lineRule="exact"/>
        <w:rPr>
          <w:rFonts w:ascii="Arial" w:cs="Arial" w:eastAsia="Arial" w:hAnsi="Arial"/>
          <w:sz w:val="14"/>
          <w:szCs w:val="14"/>
          <w:color w:val="auto"/>
        </w:rPr>
      </w:pPr>
    </w:p>
    <w:p>
      <w:pPr>
        <w:ind w:left="1160" w:hanging="669"/>
        <w:spacing w:after="0"/>
        <w:tabs>
          <w:tab w:leader="none" w:pos="11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244" w:lineRule="exact"/>
        <w:rPr>
          <w:rFonts w:ascii="Arial" w:cs="Arial" w:eastAsia="Arial" w:hAnsi="Arial"/>
          <w:sz w:val="14"/>
          <w:szCs w:val="14"/>
          <w:color w:val="auto"/>
        </w:rPr>
      </w:pPr>
    </w:p>
    <w:p>
      <w:pPr>
        <w:jc w:val="both"/>
        <w:ind w:left="1160" w:hanging="669"/>
        <w:spacing w:after="0" w:line="264" w:lineRule="auto"/>
        <w:tabs>
          <w:tab w:leader="none" w:pos="11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208" w:lineRule="exact"/>
        <w:rPr>
          <w:rFonts w:ascii="Arial" w:cs="Arial" w:eastAsia="Arial" w:hAnsi="Arial"/>
          <w:sz w:val="13"/>
          <w:szCs w:val="13"/>
          <w:color w:val="auto"/>
        </w:rPr>
      </w:pPr>
    </w:p>
    <w:p>
      <w:pPr>
        <w:ind w:left="1160" w:hanging="669"/>
        <w:spacing w:after="0" w:line="253" w:lineRule="auto"/>
        <w:tabs>
          <w:tab w:leader="none" w:pos="11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214" w:lineRule="exact"/>
        <w:rPr>
          <w:rFonts w:ascii="Arial" w:cs="Arial" w:eastAsia="Arial" w:hAnsi="Arial"/>
          <w:sz w:val="14"/>
          <w:szCs w:val="14"/>
          <w:color w:val="auto"/>
        </w:rPr>
      </w:pPr>
    </w:p>
    <w:p>
      <w:pPr>
        <w:ind w:left="1160" w:hanging="669"/>
        <w:spacing w:after="0" w:line="253" w:lineRule="auto"/>
        <w:tabs>
          <w:tab w:leader="none" w:pos="11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47" w:lineRule="exact"/>
        <w:rPr>
          <w:sz w:val="20"/>
          <w:szCs w:val="20"/>
          <w:color w:val="auto"/>
        </w:rPr>
      </w:pPr>
    </w:p>
    <w:p>
      <w:pPr>
        <w:ind w:firstLine="405"/>
        <w:spacing w:after="0" w:line="247" w:lineRule="auto"/>
        <w:rPr>
          <w:sz w:val="20"/>
          <w:szCs w:val="20"/>
          <w:color w:val="auto"/>
        </w:rPr>
      </w:pPr>
      <w:r>
        <w:rPr>
          <w:rFonts w:ascii="Arial" w:cs="Arial" w:eastAsia="Arial" w:hAnsi="Arial"/>
          <w:sz w:val="14"/>
          <w:szCs w:val="14"/>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independent sources of us. Unobservable inputs are inputs that reflect the assumptions market participants would use in pricing an asset or liability based on the best information available to us at the reporting period date.</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Level 1: Inputs that are quoted prices (unadjusted) in active markets for identical assets or liabilities, accessible by us at the measurement date.</w:t>
      </w:r>
    </w:p>
    <w:p>
      <w:pPr>
        <w:spacing w:after="0" w:line="123" w:lineRule="exact"/>
        <w:rPr>
          <w:sz w:val="20"/>
          <w:szCs w:val="20"/>
          <w:color w:val="auto"/>
        </w:rPr>
      </w:pPr>
    </w:p>
    <w:p>
      <w:pPr>
        <w:ind w:left="820" w:right="300" w:hanging="647"/>
        <w:spacing w:after="0" w:line="273" w:lineRule="auto"/>
        <w:rPr>
          <w:sz w:val="20"/>
          <w:szCs w:val="20"/>
          <w:color w:val="auto"/>
        </w:rPr>
      </w:pPr>
      <w:r>
        <w:rPr>
          <w:rFonts w:ascii="Arial" w:cs="Arial" w:eastAsia="Arial" w:hAnsi="Arial"/>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Level 3: Inputs that are unobservable for an asset or liability because they are based on our own assumptions about how market participants would price the asset or liability.</w:t>
      </w:r>
    </w:p>
    <w:p>
      <w:pPr>
        <w:spacing w:after="0" w:line="123" w:lineRule="exact"/>
        <w:rPr>
          <w:sz w:val="20"/>
          <w:szCs w:val="20"/>
          <w:color w:val="auto"/>
        </w:rPr>
      </w:pPr>
    </w:p>
    <w:p>
      <w:pPr>
        <w:ind w:right="80" w:firstLine="391"/>
        <w:spacing w:after="0" w:line="257"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long-term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90" w:lineRule="exact"/>
        <w:rPr>
          <w:sz w:val="20"/>
          <w:szCs w:val="20"/>
          <w:color w:val="auto"/>
        </w:rPr>
      </w:pPr>
    </w:p>
    <w:p>
      <w:pPr>
        <w:ind w:right="60" w:firstLine="391"/>
        <w:spacing w:after="0" w:line="249"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data may be the result of consensus pricing information or broker quotes which may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37" w:lineRule="exact"/>
        <w:rPr>
          <w:sz w:val="20"/>
          <w:szCs w:val="20"/>
          <w:color w:val="auto"/>
        </w:rPr>
      </w:pPr>
    </w:p>
    <w:p>
      <w:pPr>
        <w:ind w:right="20" w:firstLine="391"/>
        <w:spacing w:after="0" w:line="247" w:lineRule="auto"/>
        <w:rPr>
          <w:sz w:val="20"/>
          <w:szCs w:val="20"/>
          <w:color w:val="auto"/>
        </w:rPr>
      </w:pPr>
      <w:r>
        <w:rPr>
          <w:rFonts w:ascii="Arial" w:cs="Arial" w:eastAsia="Arial" w:hAnsi="Arial"/>
          <w:sz w:val="14"/>
          <w:szCs w:val="14"/>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 for an investment.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00"/>
          </w:cols>
          <w:pgMar w:left="320" w:top="122" w:right="37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right="320" w:firstLine="391"/>
        <w:spacing w:after="0" w:line="257"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w:t>
      </w:r>
    </w:p>
    <w:p>
      <w:pPr>
        <w:spacing w:after="0" w:line="77" w:lineRule="exact"/>
        <w:rPr>
          <w:sz w:val="20"/>
          <w:szCs w:val="20"/>
          <w:color w:val="auto"/>
        </w:rPr>
      </w:pPr>
    </w:p>
    <w:p>
      <w:pPr>
        <w:ind w:right="580" w:firstLine="391"/>
        <w:spacing w:after="0" w:line="312"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investments are trading, in determining fair value.</w:t>
      </w:r>
    </w:p>
    <w:p>
      <w:pPr>
        <w:spacing w:after="0" w:line="97" w:lineRule="exact"/>
        <w:rPr>
          <w:sz w:val="20"/>
          <w:szCs w:val="20"/>
          <w:color w:val="auto"/>
        </w:rPr>
      </w:pPr>
    </w:p>
    <w:p>
      <w:pPr>
        <w:ind w:firstLine="432"/>
        <w:spacing w:after="0" w:line="266" w:lineRule="auto"/>
        <w:rPr>
          <w:sz w:val="20"/>
          <w:szCs w:val="20"/>
          <w:color w:val="auto"/>
        </w:rPr>
      </w:pPr>
      <w:r>
        <w:rPr>
          <w:rFonts w:ascii="Arial" w:cs="Arial" w:eastAsia="Arial" w:hAnsi="Arial"/>
          <w:sz w:val="13"/>
          <w:szCs w:val="13"/>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its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For the period June 23, 2011 (inception of Credit Facility) to September 30, 2011, our long-term Credit Facility had no change in unrealized appreciation. We use a nationally recognized independent valuation service to measure the fair value of our Credit Facility in a manner consistent with the valuation process that our board of directors uses to value investments. Subsequent changes in the fair value of our Credit Facility will be recorded in the Consolidated Statement of Operations.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55" w:lineRule="exact"/>
        <w:rPr>
          <w:sz w:val="20"/>
          <w:szCs w:val="20"/>
          <w:color w:val="auto"/>
        </w:rPr>
      </w:pPr>
    </w:p>
    <w:p>
      <w:pPr>
        <w:ind w:right="120" w:firstLine="432"/>
        <w:spacing w:after="0" w:line="300"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and market discount or premium are capitalized, and we then amortize such amounts as interest income or expense as applicable. We record prepayment premiums on loans and debt investments as income. Dividend income, if any, is recognized on an accrual basis on the ex-dividend date to the extent that we expect to collect such amounts.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55" w:lineRule="exact"/>
        <w:rPr>
          <w:sz w:val="20"/>
          <w:szCs w:val="20"/>
          <w:color w:val="auto"/>
        </w:rPr>
      </w:pPr>
    </w:p>
    <w:p>
      <w:pPr>
        <w:ind w:right="80" w:firstLine="432"/>
        <w:spacing w:after="0" w:line="252"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Payment-in-Kind Interest</w:t>
      </w:r>
    </w:p>
    <w:p>
      <w:pPr>
        <w:spacing w:after="0" w:line="55" w:lineRule="exact"/>
        <w:rPr>
          <w:sz w:val="20"/>
          <w:szCs w:val="20"/>
          <w:color w:val="auto"/>
        </w:rPr>
      </w:pPr>
    </w:p>
    <w:p>
      <w:pPr>
        <w:ind w:right="60" w:firstLine="432"/>
        <w:spacing w:after="0" w:line="303" w:lineRule="auto"/>
        <w:rPr>
          <w:sz w:val="20"/>
          <w:szCs w:val="20"/>
          <w:color w:val="auto"/>
        </w:rPr>
      </w:pPr>
      <w:r>
        <w:rPr>
          <w:rFonts w:ascii="Arial" w:cs="Arial" w:eastAsia="Arial" w:hAnsi="Arial"/>
          <w:sz w:val="13"/>
          <w:szCs w:val="13"/>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55" w:lineRule="exact"/>
        <w:rPr>
          <w:sz w:val="20"/>
          <w:szCs w:val="20"/>
          <w:color w:val="auto"/>
        </w:rPr>
      </w:pPr>
    </w:p>
    <w:p>
      <w:pPr>
        <w:ind w:right="180" w:firstLine="405"/>
        <w:spacing w:after="0" w:line="268" w:lineRule="auto"/>
        <w:rPr>
          <w:sz w:val="20"/>
          <w:szCs w:val="20"/>
          <w:color w:val="auto"/>
        </w:rPr>
      </w:pPr>
      <w:r>
        <w:rPr>
          <w:rFonts w:ascii="Arial" w:cs="Arial" w:eastAsia="Arial" w:hAnsi="Arial"/>
          <w:sz w:val="13"/>
          <w:szCs w:val="13"/>
          <w:color w:val="auto"/>
        </w:rPr>
        <w:t>We intend to elect to be taxed as a RIC under Subchapter M of the Code. In order to qualify as a RIC and not be subject to corporate-level tax on income,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9" w:lineRule="exact"/>
        <w:rPr>
          <w:sz w:val="20"/>
          <w:szCs w:val="20"/>
          <w:color w:val="auto"/>
        </w:rPr>
      </w:pPr>
    </w:p>
    <w:p>
      <w:pPr>
        <w:ind w:right="120" w:firstLine="432"/>
        <w:spacing w:after="0" w:line="252"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our results of operations for the period March 4, 2011 (commencement of operations) to September 30, 2011.</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82" w:lineRule="exact"/>
        <w:rPr>
          <w:sz w:val="20"/>
          <w:szCs w:val="20"/>
          <w:color w:val="auto"/>
        </w:rPr>
      </w:pPr>
    </w:p>
    <w:p>
      <w:pPr>
        <w:jc w:val="both"/>
        <w:ind w:right="100" w:firstLine="432"/>
        <w:spacing w:after="0" w:line="257" w:lineRule="auto"/>
        <w:rPr>
          <w:sz w:val="20"/>
          <w:szCs w:val="20"/>
          <w:color w:val="auto"/>
        </w:rPr>
      </w:pPr>
      <w:r>
        <w:rPr>
          <w:rFonts w:ascii="Arial" w:cs="Arial" w:eastAsia="Arial" w:hAnsi="Arial"/>
          <w:sz w:val="14"/>
          <w:szCs w:val="14"/>
          <w:color w:val="auto"/>
        </w:rPr>
        <w:t>Investment income for the period March 4, 2011 (commencement of operations) to September 30, 2011, was $2.9 million, and was attributable to $2.4 million from senior secured loan investments, $0.4 million from second lien secured debt investments, and $0.1 million from subordinated debt investments. We continue to deploy capital from our new Credit Facility to grow both our portfolio and investment income over time.</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Expenses</w:t>
      </w:r>
    </w:p>
    <w:p>
      <w:pPr>
        <w:spacing w:after="0" w:line="82"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investment income totaled $0.3 million or $0.05 per share for the period March 4, 2011 (commencement of operations) to September 30, 2011.</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Net Realized Gains</w:t>
      </w:r>
    </w:p>
    <w:p>
      <w:pPr>
        <w:spacing w:after="0" w:line="82" w:lineRule="exact"/>
        <w:rPr>
          <w:sz w:val="20"/>
          <w:szCs w:val="20"/>
          <w:color w:val="auto"/>
        </w:rPr>
      </w:pPr>
    </w:p>
    <w:p>
      <w:pPr>
        <w:ind w:right="160" w:firstLine="432"/>
        <w:spacing w:after="0" w:line="273" w:lineRule="auto"/>
        <w:rPr>
          <w:sz w:val="20"/>
          <w:szCs w:val="20"/>
          <w:color w:val="auto"/>
        </w:rPr>
      </w:pPr>
      <w:r>
        <w:rPr>
          <w:rFonts w:ascii="Arial" w:cs="Arial" w:eastAsia="Arial" w:hAnsi="Arial"/>
          <w:sz w:val="14"/>
          <w:szCs w:val="14"/>
          <w:color w:val="auto"/>
        </w:rPr>
        <w:t>Sales and repayments of long-term investments for the period March 4, 2011 (commencement of operations) to September 30, 2011 totaled $33.2 million and net realized gains totaled $0.3 million.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Net Unrealized Appreciation/Depreciation on Investments and Credit Facility</w:t>
      </w:r>
    </w:p>
    <w:p>
      <w:pPr>
        <w:spacing w:after="0" w:line="82" w:lineRule="exact"/>
        <w:rPr>
          <w:sz w:val="20"/>
          <w:szCs w:val="20"/>
          <w:color w:val="auto"/>
        </w:rPr>
      </w:pPr>
    </w:p>
    <w:p>
      <w:pPr>
        <w:ind w:right="20" w:firstLine="432"/>
        <w:spacing w:after="0" w:line="257" w:lineRule="auto"/>
        <w:rPr>
          <w:sz w:val="20"/>
          <w:szCs w:val="20"/>
          <w:color w:val="auto"/>
        </w:rPr>
      </w:pPr>
      <w:r>
        <w:rPr>
          <w:rFonts w:ascii="Arial" w:cs="Arial" w:eastAsia="Arial" w:hAnsi="Arial"/>
          <w:sz w:val="14"/>
          <w:szCs w:val="14"/>
          <w:color w:val="auto"/>
        </w:rPr>
        <w:t>Net unrealized depreciation on investments totaled $4.1 million for the period March 4, 2011 (commencement of operations) to September 30, 2011. There was no change in unrealized (appreciation) depreciation on credit facility for the same period. Credit market conditions have weakened and while lowering our net asset value could increase our risk adjusted returns on new investments.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Net Decrease in Net Assets Resulting From Operations</w:t>
      </w:r>
    </w:p>
    <w:p>
      <w:pPr>
        <w:spacing w:after="0" w:line="82" w:lineRule="exact"/>
        <w:rPr>
          <w:sz w:val="20"/>
          <w:szCs w:val="20"/>
          <w:color w:val="auto"/>
        </w:rPr>
      </w:pPr>
    </w:p>
    <w:p>
      <w:pPr>
        <w:ind w:right="300" w:firstLine="432"/>
        <w:spacing w:after="0" w:line="273" w:lineRule="auto"/>
        <w:rPr>
          <w:sz w:val="20"/>
          <w:szCs w:val="20"/>
          <w:color w:val="auto"/>
        </w:rPr>
      </w:pPr>
      <w:r>
        <w:rPr>
          <w:rFonts w:ascii="Arial" w:cs="Arial" w:eastAsia="Arial" w:hAnsi="Arial"/>
          <w:sz w:val="14"/>
          <w:szCs w:val="14"/>
          <w:color w:val="auto"/>
        </w:rPr>
        <w:t>Net decrease in net assets resulting from operations totaled $3.5 million, or $0.51 per share for the period March 4, 2011 (commencement of operations) to September 30, 2011. The decrease in net assets is primarily the result of unrealized losses on our investments.</w:t>
      </w: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140"/>
          </w:cols>
          <w:pgMar w:left="320" w:top="122" w:right="4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86"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3"/>
          <w:szCs w:val="13"/>
          <w:color w:val="auto"/>
        </w:rPr>
        <w:t>Our liquidity and capital resources are derived from our public offering, Credit Facility, cash flows from operations, including investment sales and repayments, and income earned. Our primary use of funds from operations includes investments in portfolio companies and payments of dividends and operating expenses, including management fees. We have used, and expect to continue to use, our Credit Facility proceeds, the rotation of our portfolio and proceeds from public and private offerings of securities to finance our investment objectives.</w:t>
      </w:r>
    </w:p>
    <w:p>
      <w:pPr>
        <w:spacing w:after="0" w:line="33" w:lineRule="exact"/>
        <w:rPr>
          <w:sz w:val="20"/>
          <w:szCs w:val="20"/>
          <w:color w:val="auto"/>
        </w:rPr>
      </w:pPr>
    </w:p>
    <w:p>
      <w:pPr>
        <w:ind w:right="120" w:firstLine="432"/>
        <w:spacing w:after="0" w:line="252" w:lineRule="auto"/>
        <w:rPr>
          <w:sz w:val="20"/>
          <w:szCs w:val="20"/>
          <w:color w:val="auto"/>
        </w:rPr>
      </w:pPr>
      <w:r>
        <w:rPr>
          <w:rFonts w:ascii="Arial" w:cs="Arial" w:eastAsia="Arial" w:hAnsi="Arial"/>
          <w:sz w:val="14"/>
          <w:szCs w:val="14"/>
          <w:color w:val="auto"/>
        </w:rPr>
        <w:t>On June 23, 2011, we entered into a five-year senior secured revolving Credit Facility with affiliates of SunTrust, or the Lender, an asset-backed commercial paper conduit administered by STRH. The Credit Facility allows us to borrow up to $100.0 million and contains an accordion feature whereby the Credit Facility can be expanded to $600.0 million. As of September 30, 2011, we had $24.7 million in outstanding borrowings under the Credit Facility with a rate of 2.53%, exclusive of the 0.50% on undrawn commitment. We had $75.3 million available under our Credit Facility subject to various restrictions and covenants as of September 30, 2011.</w:t>
      </w:r>
    </w:p>
    <w:p>
      <w:pPr>
        <w:spacing w:after="0" w:line="80" w:lineRule="exact"/>
        <w:rPr>
          <w:sz w:val="20"/>
          <w:szCs w:val="20"/>
          <w:color w:val="auto"/>
        </w:rPr>
      </w:pPr>
    </w:p>
    <w:p>
      <w:pPr>
        <w:ind w:firstLine="324"/>
        <w:spacing w:after="0" w:line="257" w:lineRule="auto"/>
        <w:rPr>
          <w:sz w:val="20"/>
          <w:szCs w:val="20"/>
          <w:color w:val="auto"/>
        </w:rPr>
      </w:pPr>
      <w:r>
        <w:rPr>
          <w:rFonts w:ascii="Arial" w:cs="Arial" w:eastAsia="Arial" w:hAnsi="Arial"/>
          <w:sz w:val="14"/>
          <w:szCs w:val="14"/>
          <w:color w:val="auto"/>
        </w:rPr>
        <w:t>During the Credit Facility's first three years, or the revolving period, it bears interest at the LIBOR plus 225 basis points, and after the revolving period, the rate sets to LIBOR plus 425 basis points for the remaining two years. The Credit Facility is secured by all of the assets held by Funding I. Both we and Funding I have made customary representations and warranties and are required to comply with various covenants, reporting requirements and other customary requirements for similar credit facilities.</w:t>
      </w:r>
    </w:p>
    <w:p>
      <w:pPr>
        <w:spacing w:after="0" w:line="77" w:lineRule="exact"/>
        <w:rPr>
          <w:sz w:val="20"/>
          <w:szCs w:val="20"/>
          <w:color w:val="auto"/>
        </w:rPr>
      </w:pPr>
    </w:p>
    <w:p>
      <w:pPr>
        <w:ind w:right="100" w:firstLine="324"/>
        <w:spacing w:after="0" w:line="247" w:lineRule="auto"/>
        <w:rPr>
          <w:sz w:val="20"/>
          <w:szCs w:val="20"/>
          <w:color w:val="auto"/>
        </w:rPr>
      </w:pPr>
      <w:r>
        <w:rPr>
          <w:rFonts w:ascii="Arial" w:cs="Arial" w:eastAsia="Arial" w:hAnsi="Arial"/>
          <w:sz w:val="14"/>
          <w:szCs w:val="14"/>
          <w:color w:val="auto"/>
        </w:rPr>
        <w:t>The Credit Facility, as amended, contains covenants including but not limited to restrictions of loan size, industry requirements, average life of loans, geographic and individual portfolio concentrations, minimum portfolio yield and loan payment frequency. For example, we must maintain a weighted average loan life of no more than 6 years and cannot have more than 10% of Funding I's assets in a single portfolio company.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Any violations of these and other covenants could result in the early amortization of the Credit Facility and further limit advances available under it. For a complete list of such covenants, see our report on Form 8-K, filed June 29, 2011.</w:t>
      </w:r>
    </w:p>
    <w:p>
      <w:pPr>
        <w:spacing w:after="0" w:line="86" w:lineRule="exact"/>
        <w:rPr>
          <w:sz w:val="20"/>
          <w:szCs w:val="20"/>
          <w:color w:val="auto"/>
        </w:rPr>
      </w:pPr>
    </w:p>
    <w:p>
      <w:pPr>
        <w:ind w:right="20" w:firstLine="324"/>
        <w:spacing w:after="0" w:line="273" w:lineRule="auto"/>
        <w:rPr>
          <w:sz w:val="20"/>
          <w:szCs w:val="20"/>
          <w:color w:val="auto"/>
        </w:rPr>
      </w:pPr>
      <w:r>
        <w:rPr>
          <w:rFonts w:ascii="Arial" w:cs="Arial" w:eastAsia="Arial" w:hAnsi="Arial"/>
          <w:sz w:val="14"/>
          <w:szCs w:val="14"/>
          <w:color w:val="auto"/>
        </w:rPr>
        <w:t>Our Investment Adviser, serves as collateral manager to Funding I under the Credit Facility. The Investment Adviser has irrevocably directed that all management fees owing with respect to such services are to be paid to us so long as the Investment Adviser remains the collateral manager.</w:t>
      </w:r>
    </w:p>
    <w:p>
      <w:pPr>
        <w:spacing w:after="0" w:line="66" w:lineRule="exact"/>
        <w:rPr>
          <w:sz w:val="20"/>
          <w:szCs w:val="20"/>
          <w:color w:val="auto"/>
        </w:rPr>
      </w:pPr>
    </w:p>
    <w:p>
      <w:pPr>
        <w:ind w:right="80" w:firstLine="324"/>
        <w:spacing w:after="0" w:line="277" w:lineRule="auto"/>
        <w:rPr>
          <w:sz w:val="20"/>
          <w:szCs w:val="20"/>
          <w:color w:val="auto"/>
        </w:rPr>
      </w:pPr>
      <w:r>
        <w:rPr>
          <w:rFonts w:ascii="Arial" w:cs="Arial" w:eastAsia="Arial" w:hAnsi="Arial"/>
          <w:sz w:val="13"/>
          <w:szCs w:val="13"/>
          <w:color w:val="auto"/>
        </w:rPr>
        <w:t>We own 100% of the equity interest in Funding I and treat the indebtedness of Funding I as our leverage. We also transfered certain loans and debt securities we have originated or acquired and may continue to contribute such assets from time to time to Funding I through a Purchase and Contribution Agreement and may cause Funding I to originate or acquire loans in the future, consistent with our investment objectives. The structure of the financing, including organizing Funding I as a special purpose, bankruptcy-remote entity and selling assets from us to Funding I renders such assets generally unavailable to creditors of PennantPark Floating Rate Capital Ltd. and is intended to protect the Lender from credit and bankruptcy risks of the Company.</w:t>
      </w:r>
    </w:p>
    <w:p>
      <w:pPr>
        <w:spacing w:after="0" w:line="120" w:lineRule="exact"/>
        <w:rPr>
          <w:sz w:val="20"/>
          <w:szCs w:val="20"/>
          <w:color w:val="auto"/>
        </w:rPr>
      </w:pPr>
    </w:p>
    <w:p>
      <w:pPr>
        <w:ind w:right="60" w:firstLine="405"/>
        <w:spacing w:after="0" w:line="249" w:lineRule="auto"/>
        <w:rPr>
          <w:sz w:val="20"/>
          <w:szCs w:val="20"/>
          <w:color w:val="auto"/>
        </w:rPr>
      </w:pPr>
      <w:r>
        <w:rPr>
          <w:rFonts w:ascii="Arial" w:cs="Arial" w:eastAsia="Arial" w:hAnsi="Arial"/>
          <w:sz w:val="14"/>
          <w:szCs w:val="14"/>
          <w:color w:val="auto"/>
        </w:rPr>
        <w:t>Our interest in Funding I (other than the management fees that the Investment Adviser has irrevocably directed to be paid to us) is subordinate in priority of payment to every other obligation of Funding I, and are subject to certain payment restrictions set forth in the Credit Facility.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As of September 30, 2011, we were in compliance with the terms of our Credit Facility.</w:t>
      </w:r>
    </w:p>
    <w:p>
      <w:pPr>
        <w:spacing w:after="0" w:line="83" w:lineRule="exact"/>
        <w:rPr>
          <w:sz w:val="20"/>
          <w:szCs w:val="20"/>
          <w:color w:val="auto"/>
        </w:rPr>
      </w:pPr>
    </w:p>
    <w:p>
      <w:pPr>
        <w:ind w:right="60" w:firstLine="405"/>
        <w:spacing w:after="0" w:line="273" w:lineRule="auto"/>
        <w:rPr>
          <w:sz w:val="20"/>
          <w:szCs w:val="20"/>
          <w:color w:val="auto"/>
        </w:rPr>
      </w:pPr>
      <w:r>
        <w:rPr>
          <w:rFonts w:ascii="Arial" w:cs="Arial" w:eastAsia="Arial" w:hAnsi="Arial"/>
          <w:sz w:val="14"/>
          <w:szCs w:val="14"/>
          <w:color w:val="auto"/>
        </w:rPr>
        <w:t>In accordance with the 1940 Act, with certain limited exceptions, the Company is only allowed to borrow amounts such that its asset coverage, as defined in the 1940 Act, is at least 200% after such borrowing. As of September 30, 2011 our asset coverage for borrowed amounts was 474%.</w:t>
      </w:r>
    </w:p>
    <w:p>
      <w:pPr>
        <w:spacing w:after="0" w:line="120" w:lineRule="exact"/>
        <w:rPr>
          <w:sz w:val="20"/>
          <w:szCs w:val="20"/>
          <w:color w:val="auto"/>
        </w:rPr>
      </w:pPr>
    </w:p>
    <w:p>
      <w:pPr>
        <w:ind w:right="100" w:firstLine="432"/>
        <w:spacing w:after="0" w:line="286" w:lineRule="auto"/>
        <w:rPr>
          <w:sz w:val="20"/>
          <w:szCs w:val="20"/>
          <w:color w:val="auto"/>
        </w:rPr>
      </w:pPr>
      <w:r>
        <w:rPr>
          <w:rFonts w:ascii="Arial" w:cs="Arial" w:eastAsia="Arial" w:hAnsi="Arial"/>
          <w:sz w:val="13"/>
          <w:szCs w:val="13"/>
          <w:color w:val="auto"/>
        </w:rPr>
        <w:t>We may raise equity or debt capital through both registered offerings and by private offerings of securities, by securitizing a portion of our investments among other considerations. Furthermore, our Credit Facility availability depends on various covenants and restrictions as discussed in the preceding paragraph. The primary use of existing funds and any funds raised in the future is expected to be for repayment of indebtedness, investments in portfolio companies, cash distributions to our shareholders or for other general corporate purposes.</w:t>
      </w:r>
    </w:p>
    <w:p>
      <w:pPr>
        <w:spacing w:after="0" w:line="114" w:lineRule="exact"/>
        <w:rPr>
          <w:sz w:val="20"/>
          <w:szCs w:val="20"/>
          <w:color w:val="auto"/>
        </w:rPr>
      </w:pPr>
    </w:p>
    <w:p>
      <w:pPr>
        <w:ind w:right="40" w:firstLine="432"/>
        <w:spacing w:after="0" w:line="273" w:lineRule="auto"/>
        <w:rPr>
          <w:sz w:val="20"/>
          <w:szCs w:val="20"/>
          <w:color w:val="auto"/>
        </w:rPr>
      </w:pPr>
      <w:r>
        <w:rPr>
          <w:rFonts w:ascii="Arial" w:cs="Arial" w:eastAsia="Arial" w:hAnsi="Arial"/>
          <w:sz w:val="14"/>
          <w:szCs w:val="14"/>
          <w:color w:val="auto"/>
        </w:rPr>
        <w:t>At September 30, 2011, we had cash equivalents of $7.0 million available for investing and general corporate purposes. We believe our liquidity and capital resources are sufficient to take advantage of market opportunities.</w:t>
      </w:r>
    </w:p>
    <w:p>
      <w:pPr>
        <w:spacing w:after="0" w:line="12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4"/>
          <w:szCs w:val="14"/>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investing that was provided from, primarily, proceeds from our initial public offering of common stock and draws under the Credit Facility.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82" w:lineRule="exact"/>
        <w:rPr>
          <w:sz w:val="20"/>
          <w:szCs w:val="20"/>
          <w:color w:val="auto"/>
        </w:rPr>
      </w:pPr>
    </w:p>
    <w:p>
      <w:pPr>
        <w:ind w:right="120" w:firstLine="432"/>
        <w:spacing w:after="0" w:line="273" w:lineRule="auto"/>
        <w:rPr>
          <w:sz w:val="20"/>
          <w:szCs w:val="20"/>
          <w:color w:val="auto"/>
        </w:rPr>
      </w:pPr>
      <w:r>
        <w:rPr>
          <w:rFonts w:ascii="Arial" w:cs="Arial" w:eastAsia="Arial" w:hAnsi="Arial"/>
          <w:sz w:val="14"/>
          <w:szCs w:val="14"/>
          <w:color w:val="auto"/>
        </w:rPr>
        <w:t>A summary of our significant contractual payment obligations including, but not limited to, borrowings under our Credit Facility maturing in June 2016 and other contractual obligations are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3"/>
              </w:rPr>
              <w:t>Payments due by period (in millions)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Less than</w:t>
            </w:r>
          </w:p>
        </w:tc>
        <w:tc>
          <w:tcPr>
            <w:tcW w:w="280" w:type="dxa"/>
            <w:vAlign w:val="bottom"/>
          </w:tcPr>
          <w:p>
            <w:pPr>
              <w:spacing w:after="0"/>
              <w:rPr>
                <w:sz w:val="13"/>
                <w:szCs w:val="13"/>
                <w:color w:val="auto"/>
              </w:rPr>
            </w:pPr>
          </w:p>
        </w:tc>
        <w:tc>
          <w:tcPr>
            <w:tcW w:w="940" w:type="dxa"/>
            <w:vAlign w:val="bottom"/>
          </w:tcPr>
          <w:p>
            <w:pPr>
              <w:jc w:val="right"/>
              <w:ind w:right="448"/>
              <w:spacing w:after="0" w:line="153"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ind w:right="448"/>
              <w:spacing w:after="0" w:line="153" w:lineRule="exact"/>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3"/>
              </w:rPr>
              <w:t>1 year</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secured revolving Credit Facility</w:t>
            </w:r>
            <w:r>
              <w:rPr>
                <w:rFonts w:ascii="Arial" w:cs="Arial" w:eastAsia="Arial" w:hAnsi="Arial"/>
                <w:sz w:val="8"/>
                <w:szCs w:val="8"/>
                <w:color w:val="auto"/>
              </w:rPr>
              <w:t>(1), (2)</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5"/>
        </w:trPr>
        <w:tc>
          <w:tcPr>
            <w:tcW w:w="4620" w:type="dxa"/>
            <w:vAlign w:val="bottom"/>
          </w:tcPr>
          <w:p>
            <w:pPr>
              <w:ind w:left="40"/>
              <w:spacing w:after="0"/>
              <w:rPr>
                <w:sz w:val="20"/>
                <w:szCs w:val="20"/>
                <w:color w:val="auto"/>
              </w:rPr>
            </w:pPr>
            <w:r>
              <w:rPr>
                <w:rFonts w:ascii="Arial" w:cs="Arial" w:eastAsia="Arial" w:hAnsi="Arial"/>
                <w:sz w:val="14"/>
                <w:szCs w:val="14"/>
                <w:color w:val="auto"/>
              </w:rPr>
              <w:t>Unfunded investments</w:t>
            </w:r>
            <w:r>
              <w:rPr>
                <w:rFonts w:ascii="Arial" w:cs="Arial" w:eastAsia="Arial" w:hAnsi="Arial"/>
                <w:sz w:val="8"/>
                <w:szCs w:val="8"/>
                <w:color w:val="auto"/>
              </w:rPr>
              <w:t>(3)</w:t>
            </w:r>
          </w:p>
        </w:tc>
        <w:tc>
          <w:tcPr>
            <w:tcW w:w="280" w:type="dxa"/>
            <w:vAlign w:val="bottom"/>
          </w:tcPr>
          <w:p>
            <w:pPr>
              <w:spacing w:after="0"/>
              <w:rPr>
                <w:sz w:val="24"/>
                <w:szCs w:val="24"/>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restart"/>
          </w:tcPr>
          <w:p>
            <w:pPr>
              <w:ind w:left="7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vMerge w:val="restart"/>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46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contractual obligations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46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w:t>
      </w:r>
    </w:p>
    <w:p>
      <w:pPr>
        <w:spacing w:after="0" w:line="44"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As of September 30, 2011, we had $75.3 million of unused borrowing capacity under our Credit Facility, subject to various restrictions and covenants.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weighted average interest rate on the total debt outstanding as of September 30, 2011 was 2.53% exclusive of the fee on undrawn commitment of 0.50%.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Unfunded debt investments described in the Consolidated Statement of Assets and Liabilities represent unfunded delayed draws on investments in subordinated debt.</w:t>
      </w:r>
    </w:p>
    <w:p>
      <w:pPr>
        <w:spacing w:after="0" w:line="163" w:lineRule="exact"/>
        <w:rPr>
          <w:sz w:val="20"/>
          <w:szCs w:val="20"/>
          <w:color w:val="auto"/>
        </w:rPr>
      </w:pPr>
    </w:p>
    <w:p>
      <w:pPr>
        <w:ind w:right="20" w:firstLine="432"/>
        <w:spacing w:after="0" w:line="252"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approved by the board of directors and a majority of our independent directors in March 2011, PennantPark Investment Advisers serves as our investment adviser in accordance with the terms of that Investment Management Agreement. Payments under our Investment Management Agreement in each reporting period is equal to (1) a management fee equal to a percentage of the value of our gross assets and (2) an incentive fee based on our performance. See note 3 to the Consolidated Financial Statements for more information.</w:t>
      </w:r>
    </w:p>
    <w:p>
      <w:pPr>
        <w:spacing w:after="0" w:line="134" w:lineRule="exact"/>
        <w:rPr>
          <w:sz w:val="20"/>
          <w:szCs w:val="20"/>
          <w:color w:val="auto"/>
        </w:rPr>
      </w:pPr>
    </w:p>
    <w:p>
      <w:pPr>
        <w:ind w:right="80" w:firstLine="432"/>
        <w:spacing w:after="0" w:line="247" w:lineRule="auto"/>
        <w:rPr>
          <w:sz w:val="20"/>
          <w:szCs w:val="20"/>
          <w:color w:val="auto"/>
        </w:rPr>
      </w:pPr>
      <w:r>
        <w:rPr>
          <w:rFonts w:ascii="Arial" w:cs="Arial" w:eastAsia="Arial" w:hAnsi="Arial"/>
          <w:sz w:val="14"/>
          <w:szCs w:val="14"/>
          <w:color w:val="auto"/>
        </w:rPr>
        <w:t>Under our Administration Agreement, approved by the board of directors and a majority of our independent directors in March 2011,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the Consolidated Financial Statements for more information.</w:t>
      </w:r>
    </w:p>
    <w:p>
      <w:pPr>
        <w:spacing w:after="0" w:line="140" w:lineRule="exact"/>
        <w:rPr>
          <w:sz w:val="20"/>
          <w:szCs w:val="20"/>
          <w:color w:val="auto"/>
        </w:rPr>
      </w:pPr>
    </w:p>
    <w:p>
      <w:pPr>
        <w:ind w:right="80" w:firstLine="432"/>
        <w:spacing w:after="0" w:line="257"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including any risk management of commodity pricing or other hedging practices.</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Distributions</w:t>
      </w:r>
    </w:p>
    <w:p>
      <w:pPr>
        <w:spacing w:after="0" w:line="82"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5" w:lineRule="exact"/>
        <w:rPr>
          <w:sz w:val="20"/>
          <w:szCs w:val="20"/>
          <w:color w:val="auto"/>
        </w:rPr>
      </w:pPr>
    </w:p>
    <w:p>
      <w:pPr>
        <w:ind w:right="60" w:firstLine="432"/>
        <w:spacing w:after="0" w:line="252" w:lineRule="auto"/>
        <w:rPr>
          <w:sz w:val="20"/>
          <w:szCs w:val="20"/>
          <w:color w:val="auto"/>
        </w:rPr>
      </w:pPr>
      <w:r>
        <w:rPr>
          <w:rFonts w:ascii="Arial" w:cs="Arial" w:eastAsia="Arial" w:hAnsi="Arial"/>
          <w:sz w:val="14"/>
          <w:szCs w:val="14"/>
          <w:color w:val="auto"/>
        </w:rPr>
        <w:t>During the period March 4, 2011 (commencement of operations) to September 30, 2011, we declared to stockholders distributions of $0.25 per share for total distributions of $1.7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 after the end of the calendar year.</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distribute monthly distributions to our stockholders. Our monthly distributions, if any, are determined by our board of directors.</w:t>
      </w:r>
    </w:p>
    <w:p>
      <w:pPr>
        <w:spacing w:after="0" w:line="163" w:lineRule="exact"/>
        <w:rPr>
          <w:sz w:val="20"/>
          <w:szCs w:val="20"/>
          <w:color w:val="auto"/>
        </w:rPr>
      </w:pPr>
    </w:p>
    <w:p>
      <w:pPr>
        <w:ind w:right="600" w:firstLine="432"/>
        <w:spacing w:after="0" w:line="312" w:lineRule="auto"/>
        <w:rPr>
          <w:sz w:val="20"/>
          <w:szCs w:val="20"/>
          <w:color w:val="auto"/>
        </w:rPr>
      </w:pPr>
      <w:r>
        <w:rPr>
          <w:rFonts w:ascii="Arial" w:cs="Arial" w:eastAsia="Arial" w:hAnsi="Arial"/>
          <w:sz w:val="13"/>
          <w:szCs w:val="13"/>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97" w:lineRule="exact"/>
        <w:rPr>
          <w:sz w:val="20"/>
          <w:szCs w:val="20"/>
          <w:color w:val="auto"/>
        </w:rPr>
      </w:pPr>
    </w:p>
    <w:p>
      <w:pPr>
        <w:ind w:right="580" w:firstLine="432"/>
        <w:spacing w:after="0" w:line="27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20" w:lineRule="exact"/>
        <w:rPr>
          <w:sz w:val="20"/>
          <w:szCs w:val="20"/>
          <w:color w:val="auto"/>
        </w:rPr>
      </w:pPr>
    </w:p>
    <w:p>
      <w:pPr>
        <w:ind w:right="180" w:firstLine="432"/>
        <w:spacing w:after="0" w:line="269" w:lineRule="auto"/>
        <w:rPr>
          <w:sz w:val="20"/>
          <w:szCs w:val="20"/>
          <w:color w:val="auto"/>
        </w:rPr>
      </w:pPr>
      <w:r>
        <w:rPr>
          <w:rFonts w:ascii="Arial" w:cs="Arial" w:eastAsia="Arial" w:hAnsi="Arial"/>
          <w:sz w:val="13"/>
          <w:szCs w:val="13"/>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w:t>
      </w:r>
    </w:p>
    <w:p>
      <w:pPr>
        <w:spacing w:after="0" w:line="1" w:lineRule="exact"/>
        <w:rPr>
          <w:sz w:val="20"/>
          <w:szCs w:val="20"/>
          <w:color w:val="auto"/>
        </w:rPr>
      </w:pPr>
    </w:p>
    <w:p>
      <w:pPr>
        <w:ind w:right="200" w:firstLine="8"/>
        <w:spacing w:after="0" w:line="271" w:lineRule="auto"/>
        <w:tabs>
          <w:tab w:leader="none" w:pos="204"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23"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86" w:lineRule="exact"/>
        <w:rPr>
          <w:sz w:val="20"/>
          <w:szCs w:val="20"/>
          <w:color w:val="auto"/>
        </w:rPr>
      </w:pPr>
    </w:p>
    <w:p>
      <w:pPr>
        <w:ind w:right="20" w:firstLine="432"/>
        <w:spacing w:after="0" w:line="277" w:lineRule="auto"/>
        <w:rPr>
          <w:sz w:val="20"/>
          <w:szCs w:val="20"/>
          <w:color w:val="auto"/>
        </w:rPr>
      </w:pPr>
      <w:r>
        <w:rPr>
          <w:rFonts w:ascii="Arial" w:cs="Arial" w:eastAsia="Arial" w:hAnsi="Arial"/>
          <w:sz w:val="13"/>
          <w:szCs w:val="13"/>
          <w:color w:val="auto"/>
        </w:rPr>
        <w:t>We are subject to financial market risks, including changes in interest rates. As of September 30, 2011, our portfolio consisted of 84% variable-rate (including 78% with a LIBOR or prime floor) and 16% fixed-rate investments. The variable, or floating, rate loans are usually based on a floating LIBOR rate and typically have durations of three months after which they reset to current market interest rates. Variable rate investments subject to a floor generally reset by reference to the current market index after one to six months only if the index exceeds the floor. In regards to variable rate instruments with a floor, we do not benefit from increases in interest rates until such rates exceed the floor and thereafter benefits from market rates above a floor.</w:t>
      </w:r>
    </w:p>
    <w:p>
      <w:pPr>
        <w:spacing w:after="0" w:line="120" w:lineRule="exact"/>
        <w:rPr>
          <w:sz w:val="20"/>
          <w:szCs w:val="20"/>
          <w:color w:val="auto"/>
        </w:rPr>
      </w:pPr>
    </w:p>
    <w:p>
      <w:pPr>
        <w:ind w:firstLine="432"/>
        <w:spacing w:after="0" w:line="277" w:lineRule="auto"/>
        <w:rPr>
          <w:sz w:val="20"/>
          <w:szCs w:val="20"/>
          <w:color w:val="auto"/>
        </w:rPr>
      </w:pPr>
      <w:r>
        <w:rPr>
          <w:rFonts w:ascii="Arial" w:cs="Arial" w:eastAsia="Arial" w:hAnsi="Arial"/>
          <w:sz w:val="13"/>
          <w:szCs w:val="13"/>
          <w:color w:val="auto"/>
        </w:rPr>
        <w:t>Assuming that the balance sheet as of September 30, 2011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2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In periods of increasing interest rates, our cost of funds would increase, which would reduce our net investment income. As a result, there can be no assurance that a significant change in market interest rates will not have a material adverse effect on our net investment income.</w:t>
      </w:r>
    </w:p>
    <w:p>
      <w:pPr>
        <w:spacing w:after="0" w:line="131" w:lineRule="exact"/>
        <w:rPr>
          <w:sz w:val="20"/>
          <w:szCs w:val="20"/>
          <w:color w:val="auto"/>
        </w:rPr>
      </w:pPr>
    </w:p>
    <w:p>
      <w:pPr>
        <w:ind w:right="200" w:firstLine="432"/>
        <w:spacing w:after="0" w:line="257" w:lineRule="auto"/>
        <w:rPr>
          <w:sz w:val="20"/>
          <w:szCs w:val="20"/>
          <w:color w:val="auto"/>
        </w:rPr>
      </w:pPr>
      <w:r>
        <w:rPr>
          <w:rFonts w:ascii="Arial" w:cs="Arial" w:eastAsia="Arial" w:hAnsi="Arial"/>
          <w:sz w:val="14"/>
          <w:szCs w:val="14"/>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40"/>
          </w:cols>
          <w:pgMar w:left="320" w:top="122"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2"/>
        </w:trPr>
        <w:tc>
          <w:tcPr>
            <w:tcW w:w="1080" w:type="dxa"/>
            <w:vAlign w:val="bottom"/>
          </w:tcPr>
          <w:p>
            <w:pPr>
              <w:spacing w:after="0"/>
              <w:rPr>
                <w:rFonts w:ascii="Arial" w:cs="Arial" w:eastAsia="Arial" w:hAnsi="Arial"/>
                <w:sz w:val="14"/>
                <w:szCs w:val="14"/>
                <w:u w:val="single" w:color="auto"/>
                <w:color w:val="0000FF"/>
                <w:w w:val="95"/>
              </w:rPr>
            </w:pPr>
            <w:hyperlink w:anchor="page1">
              <w:r>
                <w:rPr>
                  <w:rFonts w:ascii="Arial" w:cs="Arial" w:eastAsia="Arial" w:hAnsi="Arial"/>
                  <w:sz w:val="14"/>
                  <w:szCs w:val="14"/>
                  <w:u w:val="single" w:color="auto"/>
                  <w:color w:val="0000FF"/>
                  <w:w w:val="95"/>
                </w:rPr>
                <w:t>Table of Contents</w:t>
              </w:r>
            </w:hyperlink>
          </w:p>
        </w:tc>
        <w:tc>
          <w:tcPr>
            <w:tcW w:w="1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405"/>
        </w:trPr>
        <w:tc>
          <w:tcPr>
            <w:tcW w:w="108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8340" w:type="dxa"/>
            <w:vAlign w:val="bottom"/>
            <w:gridSpan w:val="6"/>
          </w:tcPr>
          <w:p>
            <w:pPr>
              <w:ind w:left="60"/>
              <w:spacing w:after="0"/>
              <w:rPr>
                <w:sz w:val="20"/>
                <w:szCs w:val="20"/>
                <w:color w:val="auto"/>
              </w:rPr>
            </w:pPr>
            <w:r>
              <w:rPr>
                <w:rFonts w:ascii="Arial" w:cs="Arial" w:eastAsia="Arial" w:hAnsi="Arial"/>
                <w:sz w:val="14"/>
                <w:szCs w:val="14"/>
                <w:b w:val="1"/>
                <w:bCs w:val="1"/>
                <w:color w:val="auto"/>
              </w:rPr>
              <w:t>Consolidated Financial Statements and Supplementary Data</w:t>
            </w:r>
          </w:p>
        </w:tc>
        <w:tc>
          <w:tcPr>
            <w:tcW w:w="1800" w:type="dxa"/>
            <w:vAlign w:val="bottom"/>
          </w:tcPr>
          <w:p>
            <w:pPr>
              <w:spacing w:after="0"/>
              <w:rPr>
                <w:sz w:val="24"/>
                <w:szCs w:val="24"/>
                <w:color w:val="auto"/>
              </w:rPr>
            </w:pPr>
          </w:p>
        </w:tc>
      </w:tr>
      <w:tr>
        <w:trPr>
          <w:trHeight w:val="607"/>
        </w:trPr>
        <w:tc>
          <w:tcPr>
            <w:tcW w:w="9420" w:type="dxa"/>
            <w:vAlign w:val="bottom"/>
            <w:gridSpan w:val="7"/>
          </w:tcPr>
          <w:p>
            <w:pPr>
              <w:ind w:left="40"/>
              <w:spacing w:after="0"/>
              <w:rPr>
                <w:rFonts w:ascii="Arial" w:cs="Arial" w:eastAsia="Arial" w:hAnsi="Arial"/>
                <w:sz w:val="14"/>
                <w:szCs w:val="14"/>
                <w:u w:val="single" w:color="auto"/>
                <w:color w:val="0000FF"/>
              </w:rPr>
            </w:pPr>
            <w:hyperlink w:anchor="page59">
              <w:r>
                <w:rPr>
                  <w:rFonts w:ascii="Arial" w:cs="Arial" w:eastAsia="Arial" w:hAnsi="Arial"/>
                  <w:sz w:val="14"/>
                  <w:szCs w:val="14"/>
                  <w:u w:val="single" w:color="auto"/>
                  <w:color w:val="0000FF"/>
                </w:rPr>
                <w:t>Report of Independent Registered Public Accounting Firm</w:t>
              </w:r>
            </w:hyperlink>
          </w:p>
        </w:tc>
        <w:tc>
          <w:tcPr>
            <w:tcW w:w="1800" w:type="dxa"/>
            <w:vAlign w:val="bottom"/>
          </w:tcPr>
          <w:p>
            <w:pPr>
              <w:jc w:val="right"/>
              <w:spacing w:after="0"/>
              <w:rPr>
                <w:rFonts w:ascii="Arial" w:cs="Arial" w:eastAsia="Arial" w:hAnsi="Arial"/>
                <w:sz w:val="14"/>
                <w:szCs w:val="14"/>
                <w:u w:val="single" w:color="auto"/>
                <w:color w:val="0000FF"/>
              </w:rPr>
            </w:pPr>
            <w:hyperlink w:anchor="page59">
              <w:r>
                <w:rPr>
                  <w:rFonts w:ascii="Arial" w:cs="Arial" w:eastAsia="Arial" w:hAnsi="Arial"/>
                  <w:sz w:val="14"/>
                  <w:szCs w:val="14"/>
                  <w:u w:val="single" w:color="auto"/>
                  <w:color w:val="0000FF"/>
                </w:rPr>
                <w:t>60</w:t>
              </w:r>
            </w:hyperlink>
          </w:p>
        </w:tc>
      </w:tr>
      <w:tr>
        <w:trPr>
          <w:trHeight w:val="324"/>
        </w:trPr>
        <w:tc>
          <w:tcPr>
            <w:tcW w:w="9420" w:type="dxa"/>
            <w:vAlign w:val="bottom"/>
            <w:gridSpan w:val="7"/>
          </w:tcPr>
          <w:p>
            <w:pPr>
              <w:ind w:left="40"/>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Consolidated Statement of Assets and Liabilities as of September 30, 2011</w:t>
              </w:r>
            </w:hyperlink>
          </w:p>
        </w:tc>
        <w:tc>
          <w:tcPr>
            <w:tcW w:w="1800" w:type="dxa"/>
            <w:vAlign w:val="bottom"/>
          </w:tcPr>
          <w:p>
            <w:pPr>
              <w:jc w:val="right"/>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61</w:t>
              </w:r>
            </w:hyperlink>
          </w:p>
        </w:tc>
      </w:tr>
      <w:tr>
        <w:trPr>
          <w:trHeight w:val="296"/>
        </w:trPr>
        <w:tc>
          <w:tcPr>
            <w:tcW w:w="9420" w:type="dxa"/>
            <w:vAlign w:val="bottom"/>
            <w:gridSpan w:val="7"/>
          </w:tcPr>
          <w:p>
            <w:pPr>
              <w:ind w:left="40"/>
              <w:spacing w:after="0"/>
              <w:rPr>
                <w:rFonts w:ascii="Arial" w:cs="Arial" w:eastAsia="Arial" w:hAnsi="Arial"/>
                <w:sz w:val="14"/>
                <w:szCs w:val="14"/>
                <w:color w:val="0000CC"/>
              </w:rPr>
            </w:pPr>
            <w:hyperlink w:anchor="page61">
              <w:r>
                <w:rPr>
                  <w:rFonts w:ascii="Arial" w:cs="Arial" w:eastAsia="Arial" w:hAnsi="Arial"/>
                  <w:sz w:val="14"/>
                  <w:szCs w:val="14"/>
                  <w:u w:val="single" w:color="auto"/>
                  <w:color w:val="0000CC"/>
                </w:rPr>
                <w:t>Consolidated Statement of Operations for the</w:t>
              </w:r>
              <w:r>
                <w:rPr>
                  <w:rFonts w:ascii="Arial" w:cs="Arial" w:eastAsia="Arial" w:hAnsi="Arial"/>
                  <w:sz w:val="14"/>
                  <w:szCs w:val="14"/>
                  <w:color w:val="0000CC"/>
                </w:rPr>
                <w:t xml:space="preserve"> </w:t>
              </w:r>
            </w:hyperlink>
            <w:r>
              <w:rPr>
                <w:rFonts w:ascii="Arial" w:cs="Arial" w:eastAsia="Arial" w:hAnsi="Arial"/>
                <w:sz w:val="14"/>
                <w:szCs w:val="14"/>
                <w:color w:val="0000CC"/>
              </w:rPr>
              <w:t>period March 4, 2011 (commencement of operations) to September 30, 2011</w:t>
            </w:r>
          </w:p>
        </w:tc>
        <w:tc>
          <w:tcPr>
            <w:tcW w:w="1800" w:type="dxa"/>
            <w:vAlign w:val="bottom"/>
          </w:tcPr>
          <w:p>
            <w:pPr>
              <w:jc w:val="right"/>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62</w:t>
              </w:r>
            </w:hyperlink>
          </w:p>
        </w:tc>
      </w:tr>
      <w:tr>
        <w:trPr>
          <w:trHeight w:val="20"/>
        </w:trPr>
        <w:tc>
          <w:tcPr>
            <w:tcW w:w="2720" w:type="dxa"/>
            <w:vAlign w:val="bottom"/>
            <w:tcBorders>
              <w:right w:val="single" w:sz="8" w:color="0000CC"/>
            </w:tcBorders>
            <w:gridSpan w:val="2"/>
          </w:tcPr>
          <w:p>
            <w:pPr>
              <w:spacing w:after="0" w:line="20" w:lineRule="exact"/>
              <w:rPr>
                <w:sz w:val="1"/>
                <w:szCs w:val="1"/>
                <w:color w:val="auto"/>
              </w:rPr>
            </w:pPr>
          </w:p>
        </w:tc>
        <w:tc>
          <w:tcPr>
            <w:tcW w:w="620" w:type="dxa"/>
            <w:vAlign w:val="bottom"/>
            <w:shd w:val="clear" w:color="auto" w:fill="0000CC"/>
          </w:tcPr>
          <w:p>
            <w:pPr>
              <w:spacing w:after="0" w:line="20" w:lineRule="exact"/>
              <w:rPr>
                <w:sz w:val="1"/>
                <w:szCs w:val="1"/>
                <w:color w:val="auto"/>
              </w:rPr>
            </w:pPr>
          </w:p>
        </w:tc>
        <w:tc>
          <w:tcPr>
            <w:tcW w:w="3740" w:type="dxa"/>
            <w:vAlign w:val="bottom"/>
            <w:shd w:val="clear" w:color="auto" w:fill="0000C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9420" w:type="dxa"/>
            <w:vAlign w:val="bottom"/>
            <w:gridSpan w:val="7"/>
          </w:tcPr>
          <w:p>
            <w:pPr>
              <w:ind w:left="40"/>
              <w:spacing w:after="0"/>
              <w:rPr>
                <w:rFonts w:ascii="Arial" w:cs="Arial" w:eastAsia="Arial" w:hAnsi="Arial"/>
                <w:sz w:val="14"/>
                <w:szCs w:val="14"/>
                <w:color w:val="0000CC"/>
              </w:rPr>
            </w:pPr>
            <w:hyperlink w:anchor="page62">
              <w:r>
                <w:rPr>
                  <w:rFonts w:ascii="Arial" w:cs="Arial" w:eastAsia="Arial" w:hAnsi="Arial"/>
                  <w:sz w:val="14"/>
                  <w:szCs w:val="14"/>
                  <w:u w:val="single" w:color="auto"/>
                  <w:color w:val="0000CC"/>
                </w:rPr>
                <w:t>Consolidated Statement of Changes in Net Assets for the</w:t>
              </w:r>
              <w:r>
                <w:rPr>
                  <w:rFonts w:ascii="Arial" w:cs="Arial" w:eastAsia="Arial" w:hAnsi="Arial"/>
                  <w:sz w:val="14"/>
                  <w:szCs w:val="14"/>
                  <w:color w:val="0000CC"/>
                </w:rPr>
                <w:t xml:space="preserve"> </w:t>
              </w:r>
            </w:hyperlink>
            <w:r>
              <w:rPr>
                <w:rFonts w:ascii="Arial" w:cs="Arial" w:eastAsia="Arial" w:hAnsi="Arial"/>
                <w:sz w:val="14"/>
                <w:szCs w:val="14"/>
                <w:color w:val="0000CC"/>
              </w:rPr>
              <w:t>period March 4, 2011 (commencement of operations) to September 30, 2011</w:t>
            </w:r>
          </w:p>
        </w:tc>
        <w:tc>
          <w:tcPr>
            <w:tcW w:w="1800" w:type="dxa"/>
            <w:vAlign w:val="bottom"/>
          </w:tcPr>
          <w:p>
            <w:pPr>
              <w:jc w:val="right"/>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63</w:t>
              </w:r>
            </w:hyperlink>
          </w:p>
        </w:tc>
      </w:tr>
      <w:tr>
        <w:trPr>
          <w:trHeight w:val="20"/>
        </w:trPr>
        <w:tc>
          <w:tcPr>
            <w:tcW w:w="2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0" w:type="dxa"/>
            <w:vAlign w:val="bottom"/>
            <w:gridSpan w:val="2"/>
            <w:shd w:val="clear" w:color="auto" w:fill="0000CC"/>
          </w:tcPr>
          <w:p>
            <w:pPr>
              <w:spacing w:after="0" w:line="20" w:lineRule="exact"/>
              <w:rPr>
                <w:sz w:val="1"/>
                <w:szCs w:val="1"/>
                <w:color w:val="auto"/>
              </w:rPr>
            </w:pPr>
          </w:p>
        </w:tc>
        <w:tc>
          <w:tcPr>
            <w:tcW w:w="620" w:type="dxa"/>
            <w:vAlign w:val="bottom"/>
            <w:shd w:val="clear" w:color="auto" w:fill="0000CC"/>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9420" w:type="dxa"/>
            <w:vAlign w:val="bottom"/>
            <w:gridSpan w:val="7"/>
          </w:tcPr>
          <w:p>
            <w:pPr>
              <w:ind w:left="40"/>
              <w:spacing w:after="0"/>
              <w:rPr>
                <w:rFonts w:ascii="Arial" w:cs="Arial" w:eastAsia="Arial" w:hAnsi="Arial"/>
                <w:sz w:val="14"/>
                <w:szCs w:val="14"/>
                <w:color w:val="0000CC"/>
              </w:rPr>
            </w:pPr>
            <w:hyperlink w:anchor="page63">
              <w:r>
                <w:rPr>
                  <w:rFonts w:ascii="Arial" w:cs="Arial" w:eastAsia="Arial" w:hAnsi="Arial"/>
                  <w:sz w:val="14"/>
                  <w:szCs w:val="14"/>
                  <w:u w:val="single" w:color="auto"/>
                  <w:color w:val="0000CC"/>
                </w:rPr>
                <w:t>Consolidated Statement of Cash Flows for the</w:t>
              </w:r>
              <w:r>
                <w:rPr>
                  <w:rFonts w:ascii="Arial" w:cs="Arial" w:eastAsia="Arial" w:hAnsi="Arial"/>
                  <w:sz w:val="14"/>
                  <w:szCs w:val="14"/>
                  <w:color w:val="0000CC"/>
                </w:rPr>
                <w:t xml:space="preserve"> </w:t>
              </w:r>
            </w:hyperlink>
            <w:r>
              <w:rPr>
                <w:rFonts w:ascii="Arial" w:cs="Arial" w:eastAsia="Arial" w:hAnsi="Arial"/>
                <w:sz w:val="14"/>
                <w:szCs w:val="14"/>
                <w:color w:val="0000CC"/>
              </w:rPr>
              <w:t>period March 4, 2011 (commencement of operations) to September 30, 2011</w:t>
            </w:r>
          </w:p>
        </w:tc>
        <w:tc>
          <w:tcPr>
            <w:tcW w:w="1800" w:type="dxa"/>
            <w:vAlign w:val="bottom"/>
          </w:tcPr>
          <w:p>
            <w:pPr>
              <w:jc w:val="right"/>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64</w:t>
              </w:r>
            </w:hyperlink>
          </w:p>
        </w:tc>
      </w:tr>
      <w:tr>
        <w:trPr>
          <w:trHeight w:val="20"/>
        </w:trPr>
        <w:tc>
          <w:tcPr>
            <w:tcW w:w="2720" w:type="dxa"/>
            <w:vAlign w:val="bottom"/>
            <w:gridSpan w:val="2"/>
          </w:tcPr>
          <w:p>
            <w:pPr>
              <w:spacing w:after="0" w:line="20" w:lineRule="exact"/>
              <w:rPr>
                <w:sz w:val="1"/>
                <w:szCs w:val="1"/>
                <w:color w:val="auto"/>
              </w:rPr>
            </w:pPr>
          </w:p>
        </w:tc>
        <w:tc>
          <w:tcPr>
            <w:tcW w:w="4420" w:type="dxa"/>
            <w:vAlign w:val="bottom"/>
            <w:gridSpan w:val="3"/>
            <w:shd w:val="clear" w:color="auto" w:fill="0000CC"/>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32"/>
        </w:trPr>
        <w:tc>
          <w:tcPr>
            <w:tcW w:w="9420" w:type="dxa"/>
            <w:vAlign w:val="bottom"/>
            <w:gridSpan w:val="7"/>
          </w:tcPr>
          <w:p>
            <w:pPr>
              <w:ind w:left="40"/>
              <w:spacing w:after="0"/>
              <w:rPr>
                <w:rFonts w:ascii="Arial" w:cs="Arial" w:eastAsia="Arial" w:hAnsi="Arial"/>
                <w:sz w:val="14"/>
                <w:szCs w:val="14"/>
                <w:u w:val="single" w:color="auto"/>
                <w:color w:val="0000FF"/>
              </w:rPr>
            </w:pPr>
            <w:hyperlink w:anchor="page64">
              <w:r>
                <w:rPr>
                  <w:rFonts w:ascii="Arial" w:cs="Arial" w:eastAsia="Arial" w:hAnsi="Arial"/>
                  <w:sz w:val="14"/>
                  <w:szCs w:val="14"/>
                  <w:u w:val="single" w:color="auto"/>
                  <w:color w:val="0000FF"/>
                </w:rPr>
                <w:t>Consolidated Schedule of Investments as of September 30, 2011</w:t>
              </w:r>
            </w:hyperlink>
          </w:p>
        </w:tc>
        <w:tc>
          <w:tcPr>
            <w:tcW w:w="1800" w:type="dxa"/>
            <w:vAlign w:val="bottom"/>
          </w:tcPr>
          <w:p>
            <w:pPr>
              <w:jc w:val="right"/>
              <w:spacing w:after="0"/>
              <w:rPr>
                <w:rFonts w:ascii="Arial" w:cs="Arial" w:eastAsia="Arial" w:hAnsi="Arial"/>
                <w:sz w:val="14"/>
                <w:szCs w:val="14"/>
                <w:color w:val="0000FF"/>
              </w:rPr>
            </w:pPr>
            <w:hyperlink w:anchor="page64">
              <w:r>
                <w:rPr>
                  <w:rFonts w:ascii="Arial" w:cs="Arial" w:eastAsia="Arial" w:hAnsi="Arial"/>
                  <w:sz w:val="14"/>
                  <w:szCs w:val="14"/>
                  <w:color w:val="0000FF"/>
                </w:rPr>
                <w:t>65</w:t>
              </w:r>
            </w:hyperlink>
          </w:p>
        </w:tc>
      </w:tr>
      <w:tr>
        <w:trPr>
          <w:trHeight w:val="324"/>
        </w:trPr>
        <w:tc>
          <w:tcPr>
            <w:tcW w:w="9420" w:type="dxa"/>
            <w:vAlign w:val="bottom"/>
            <w:gridSpan w:val="7"/>
          </w:tcPr>
          <w:p>
            <w:pPr>
              <w:ind w:left="40"/>
              <w:spacing w:after="0"/>
              <w:rPr>
                <w:rFonts w:ascii="Arial" w:cs="Arial" w:eastAsia="Arial" w:hAnsi="Arial"/>
                <w:sz w:val="14"/>
                <w:szCs w:val="14"/>
                <w:u w:val="single" w:color="auto"/>
                <w:color w:val="0000FF"/>
              </w:rPr>
            </w:pPr>
            <w:hyperlink w:anchor="page67">
              <w:r>
                <w:rPr>
                  <w:rFonts w:ascii="Arial" w:cs="Arial" w:eastAsia="Arial" w:hAnsi="Arial"/>
                  <w:sz w:val="14"/>
                  <w:szCs w:val="14"/>
                  <w:u w:val="single" w:color="auto"/>
                  <w:color w:val="0000FF"/>
                </w:rPr>
                <w:t>Notes to the Consolidated Financial Statements</w:t>
              </w:r>
            </w:hyperlink>
          </w:p>
        </w:tc>
        <w:tc>
          <w:tcPr>
            <w:tcW w:w="1800" w:type="dxa"/>
            <w:vAlign w:val="bottom"/>
          </w:tcPr>
          <w:p>
            <w:pPr>
              <w:jc w:val="right"/>
              <w:spacing w:after="0"/>
              <w:rPr>
                <w:rFonts w:ascii="Arial" w:cs="Arial" w:eastAsia="Arial" w:hAnsi="Arial"/>
                <w:sz w:val="14"/>
                <w:szCs w:val="14"/>
                <w:u w:val="single" w:color="auto"/>
                <w:color w:val="0000FF"/>
              </w:rPr>
            </w:pPr>
            <w:hyperlink w:anchor="page67">
              <w:r>
                <w:rPr>
                  <w:rFonts w:ascii="Arial" w:cs="Arial" w:eastAsia="Arial" w:hAnsi="Arial"/>
                  <w:sz w:val="14"/>
                  <w:szCs w:val="14"/>
                  <w:u w:val="single" w:color="auto"/>
                  <w:color w:val="0000FF"/>
                </w:rPr>
                <w:t>68</w:t>
              </w:r>
            </w:hyperlink>
          </w:p>
        </w:tc>
      </w:tr>
      <w:tr>
        <w:trPr>
          <w:trHeight w:val="418"/>
        </w:trPr>
        <w:tc>
          <w:tcPr>
            <w:tcW w:w="1080" w:type="dxa"/>
            <w:vAlign w:val="bottom"/>
          </w:tcPr>
          <w:p>
            <w:pPr>
              <w:spacing w:after="0"/>
              <w:rPr>
                <w:sz w:val="24"/>
                <w:szCs w:val="24"/>
                <w:color w:val="auto"/>
              </w:rPr>
            </w:pPr>
          </w:p>
        </w:tc>
        <w:tc>
          <w:tcPr>
            <w:tcW w:w="6000" w:type="dxa"/>
            <w:vAlign w:val="bottom"/>
            <w:gridSpan w:val="3"/>
          </w:tcPr>
          <w:p>
            <w:pPr>
              <w:jc w:val="right"/>
              <w:ind w:right="1380"/>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220"/>
          </w:cols>
          <w:pgMar w:left="320" w:top="122" w:right="35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70" w:lineRule="exact"/>
        <w:rPr>
          <w:sz w:val="20"/>
          <w:szCs w:val="20"/>
          <w:color w:val="auto"/>
        </w:rPr>
      </w:pPr>
    </w:p>
    <w:p>
      <w:pPr>
        <w:ind w:right="60" w:firstLine="432"/>
        <w:spacing w:after="0" w:line="252" w:lineRule="auto"/>
        <w:rPr>
          <w:sz w:val="20"/>
          <w:szCs w:val="20"/>
          <w:color w:val="auto"/>
        </w:rPr>
      </w:pPr>
      <w:r>
        <w:rPr>
          <w:rFonts w:ascii="Arial" w:cs="Arial" w:eastAsia="Arial" w:hAnsi="Arial"/>
          <w:sz w:val="14"/>
          <w:szCs w:val="14"/>
          <w:color w:val="auto"/>
        </w:rPr>
        <w:t>We have audited the accompanying consolidated statement of assets and liabilities of PennantPark Floating Rate Capital Ltd. and its Subsidiary (collectively referred to as the “Company”), including the consolidated schedule of investments as of September 30, 2011, and the related consolidated statements of operations, changes in net assets, and cash flows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34"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3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Subsidiary as of September 30, 2011, and the results of their operations and their cash flows for the period March 4, 2011 (commencement of operations) to September 30, 2011, in conformity with U.S. generally accepted accounting principles.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November 17, 2011</w:t>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160"/>
          </w:cols>
          <w:pgMar w:left="320" w:top="122" w:right="41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left="2600"/>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82" w:lineRule="exact"/>
        <w:rPr>
          <w:sz w:val="20"/>
          <w:szCs w:val="20"/>
          <w:color w:val="auto"/>
        </w:rPr>
      </w:pPr>
    </w:p>
    <w:p>
      <w:pPr>
        <w:jc w:val="center"/>
        <w:ind w:left="2600"/>
        <w:spacing w:after="0"/>
        <w:rPr>
          <w:sz w:val="20"/>
          <w:szCs w:val="20"/>
          <w:color w:val="auto"/>
        </w:rPr>
      </w:pPr>
      <w:r>
        <w:rPr>
          <w:rFonts w:ascii="Arial" w:cs="Arial" w:eastAsia="Arial" w:hAnsi="Arial"/>
          <w:sz w:val="14"/>
          <w:szCs w:val="14"/>
          <w:b w:val="1"/>
          <w:bCs w:val="1"/>
          <w:color w:val="auto"/>
        </w:rPr>
        <w:t>CONSOLIDATED STATEMENT OF ASSETS AND LIABILITIES</w:t>
      </w:r>
    </w:p>
    <w:p>
      <w:pPr>
        <w:spacing w:after="0" w:line="36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Investments at fair value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Non-controlled, non-affiliated investments, at fair value (cost—$114,829,621)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equivalents (See Note 8)</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Receivable for investments sold</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1"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Total assets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Distributions payable</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Payable for investments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Unfunded investments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Credit facility payable (cost—$24,650,000), (See Notes 5 and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payable on credit facility</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Management fee payable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Accrued other expenses</w:t>
      </w:r>
    </w:p>
    <w:p>
      <w:pPr>
        <w:spacing w:after="0" w:line="51"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Assets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stock, 6,850,667 shares are issued and outstanding. Par value $0.001 per share, 100,000,000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Paid-in capital in excess of par value</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Distributions in excess of 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Accumulated net realized gain on investments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depreciation on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12084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060" w:hanging="1057"/>
        <w:spacing w:after="0"/>
        <w:tabs>
          <w:tab w:leader="none" w:pos="10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110,724,241</w:t>
      </w:r>
    </w:p>
    <w:p>
      <w:pPr>
        <w:spacing w:after="0" w:line="66" w:lineRule="exact"/>
        <w:rPr>
          <w:rFonts w:ascii="Arial" w:cs="Arial" w:eastAsia="Arial" w:hAnsi="Arial"/>
          <w:sz w:val="13"/>
          <w:szCs w:val="13"/>
          <w:color w:val="auto"/>
        </w:rPr>
      </w:pPr>
    </w:p>
    <w:p>
      <w:pPr>
        <w:ind w:left="1200"/>
        <w:spacing w:after="0"/>
        <w:rPr>
          <w:rFonts w:ascii="Arial" w:cs="Arial" w:eastAsia="Arial" w:hAnsi="Arial"/>
          <w:sz w:val="13"/>
          <w:szCs w:val="13"/>
          <w:color w:val="auto"/>
        </w:rPr>
      </w:pPr>
      <w:r>
        <w:rPr>
          <w:rFonts w:ascii="Arial" w:cs="Arial" w:eastAsia="Arial" w:hAnsi="Arial"/>
          <w:sz w:val="13"/>
          <w:szCs w:val="13"/>
          <w:color w:val="auto"/>
        </w:rPr>
        <w:t>6,987,450</w:t>
      </w:r>
    </w:p>
    <w:p>
      <w:pPr>
        <w:spacing w:after="0" w:line="66" w:lineRule="exact"/>
        <w:rPr>
          <w:rFonts w:ascii="Arial" w:cs="Arial" w:eastAsia="Arial" w:hAnsi="Arial"/>
          <w:sz w:val="13"/>
          <w:szCs w:val="13"/>
          <w:color w:val="auto"/>
        </w:rPr>
      </w:pPr>
    </w:p>
    <w:p>
      <w:pPr>
        <w:ind w:left="1300"/>
        <w:spacing w:after="0"/>
        <w:rPr>
          <w:rFonts w:ascii="Arial" w:cs="Arial" w:eastAsia="Arial" w:hAnsi="Arial"/>
          <w:sz w:val="13"/>
          <w:szCs w:val="13"/>
          <w:color w:val="auto"/>
        </w:rPr>
      </w:pPr>
      <w:r>
        <w:rPr>
          <w:rFonts w:ascii="Arial" w:cs="Arial" w:eastAsia="Arial" w:hAnsi="Arial"/>
          <w:sz w:val="14"/>
          <w:szCs w:val="14"/>
          <w:color w:val="auto"/>
        </w:rPr>
        <w:t>732,695</w:t>
      </w:r>
    </w:p>
    <w:p>
      <w:pPr>
        <w:spacing w:after="0" w:line="55" w:lineRule="exact"/>
        <w:rPr>
          <w:rFonts w:ascii="Arial" w:cs="Arial" w:eastAsia="Arial" w:hAnsi="Arial"/>
          <w:sz w:val="13"/>
          <w:szCs w:val="13"/>
          <w:color w:val="auto"/>
        </w:rPr>
      </w:pPr>
    </w:p>
    <w:p>
      <w:pPr>
        <w:ind w:left="1200"/>
        <w:spacing w:after="0"/>
        <w:rPr>
          <w:rFonts w:ascii="Arial" w:cs="Arial" w:eastAsia="Arial" w:hAnsi="Arial"/>
          <w:sz w:val="13"/>
          <w:szCs w:val="13"/>
          <w:color w:val="auto"/>
        </w:rPr>
      </w:pPr>
      <w:r>
        <w:rPr>
          <w:rFonts w:ascii="Arial" w:cs="Arial" w:eastAsia="Arial" w:hAnsi="Arial"/>
          <w:sz w:val="13"/>
          <w:szCs w:val="13"/>
          <w:color w:val="auto"/>
        </w:rPr>
        <w:t>2,467,500</w:t>
      </w:r>
    </w:p>
    <w:p>
      <w:pPr>
        <w:spacing w:after="0" w:line="66" w:lineRule="exact"/>
        <w:rPr>
          <w:rFonts w:ascii="Arial" w:cs="Arial" w:eastAsia="Arial" w:hAnsi="Arial"/>
          <w:sz w:val="13"/>
          <w:szCs w:val="13"/>
          <w:color w:val="auto"/>
        </w:rPr>
      </w:pPr>
    </w:p>
    <w:p>
      <w:pPr>
        <w:ind w:left="1300"/>
        <w:spacing w:after="0"/>
        <w:rPr>
          <w:rFonts w:ascii="Arial" w:cs="Arial" w:eastAsia="Arial" w:hAnsi="Arial"/>
          <w:sz w:val="13"/>
          <w:szCs w:val="13"/>
          <w:color w:val="auto"/>
        </w:rPr>
      </w:pPr>
      <w:r>
        <w:rPr>
          <w:rFonts w:ascii="Arial" w:cs="Arial" w:eastAsia="Arial" w:hAnsi="Arial"/>
          <w:sz w:val="14"/>
          <w:szCs w:val="14"/>
          <w:color w:val="auto"/>
        </w:rPr>
        <w:t>163,374</w:t>
      </w:r>
    </w:p>
    <w:p>
      <w:pPr>
        <w:spacing w:after="0" w:line="69"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121,075,260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45720</wp:posOffset>
            </wp:positionV>
            <wp:extent cx="12084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357"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479,547</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990,000</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2,323,250</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24,650,000</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150,246</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266,432</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143,680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20955</wp:posOffset>
            </wp:positionV>
            <wp:extent cx="12084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4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29,003,155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28575</wp:posOffset>
            </wp:positionV>
            <wp:extent cx="12084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357"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6,851</w:t>
      </w:r>
    </w:p>
    <w:p>
      <w:pPr>
        <w:spacing w:after="0" w:line="55"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97,251,174</w:t>
      </w:r>
    </w:p>
    <w:p>
      <w:pPr>
        <w:spacing w:after="0" w:line="53"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(1,392,528)</w:t>
      </w:r>
    </w:p>
    <w:p>
      <w:pPr>
        <w:spacing w:after="0" w:line="55"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311,988</w:t>
      </w:r>
    </w:p>
    <w:p>
      <w:pPr>
        <w:spacing w:after="0" w:line="4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(4,105,380)</w:t>
      </w:r>
    </w:p>
    <w:p>
      <w:pPr>
        <w:spacing w:after="0" w:line="21" w:lineRule="exact"/>
        <w:rPr>
          <w:sz w:val="20"/>
          <w:szCs w:val="20"/>
          <w:color w:val="auto"/>
        </w:rPr>
      </w:pPr>
    </w:p>
    <w:p>
      <w:pPr>
        <w:sectPr>
          <w:pgSz w:w="11900" w:h="16838" w:orient="portrait"/>
          <w:cols w:equalWidth="0" w:num="2">
            <w:col w:w="8640" w:space="720"/>
            <w:col w:w="1880"/>
          </w:cols>
          <w:pgMar w:left="320" w:top="122"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934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b w:val="1"/>
                <w:bCs w:val="1"/>
                <w:color w:val="auto"/>
              </w:rPr>
              <w:t>Total net assets</w:t>
            </w: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20"/>
        </w:trPr>
        <w:tc>
          <w:tcPr>
            <w:tcW w:w="934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Total liabilities and net assets</w:t>
            </w: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34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121,075,260</w:t>
            </w:r>
          </w:p>
        </w:tc>
        <w:tc>
          <w:tcPr>
            <w:tcW w:w="0" w:type="dxa"/>
            <w:vAlign w:val="bottom"/>
          </w:tcPr>
          <w:p>
            <w:pPr>
              <w:spacing w:after="0"/>
              <w:rPr>
                <w:sz w:val="1"/>
                <w:szCs w:val="1"/>
                <w:color w:val="auto"/>
              </w:rPr>
            </w:pPr>
          </w:p>
        </w:tc>
      </w:tr>
      <w:tr>
        <w:trPr>
          <w:trHeight w:val="196"/>
        </w:trPr>
        <w:tc>
          <w:tcPr>
            <w:tcW w:w="9340" w:type="dxa"/>
            <w:vAlign w:val="bottom"/>
            <w:tcBorders>
              <w:bottom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Net asset value per share</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40"/>
          </w:cols>
          <w:pgMar w:left="320" w:top="122" w:right="3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82"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598170</wp:posOffset>
            </wp:positionV>
            <wp:extent cx="646366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36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Investment income:</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From 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64135</wp:posOffset>
            </wp:positionV>
            <wp:extent cx="646366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3665" cy="137160"/>
                    </a:xfrm>
                    <a:prstGeom prst="rect">
                      <a:avLst/>
                    </a:prstGeom>
                    <a:noFill/>
                  </pic:spPr>
                </pic:pic>
              </a:graphicData>
            </a:graphic>
          </wp:anchor>
        </w:drawing>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Interest</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79" w:right="40"/>
        <w:spacing w:after="0" w:line="267" w:lineRule="auto"/>
        <w:rPr>
          <w:sz w:val="20"/>
          <w:szCs w:val="20"/>
          <w:color w:val="auto"/>
        </w:rPr>
      </w:pPr>
      <w:r>
        <w:rPr>
          <w:rFonts w:ascii="Arial" w:cs="Arial" w:eastAsia="Arial" w:hAnsi="Arial"/>
          <w:sz w:val="13"/>
          <w:szCs w:val="13"/>
          <w:b w:val="1"/>
          <w:bCs w:val="1"/>
          <w:color w:val="auto"/>
        </w:rPr>
        <w:t>For the period March 4, 2011 (commencement of operations) to 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wp:posOffset>
            </wp:positionV>
            <wp:extent cx="1482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6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2,946,599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1482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327" w:lineRule="exact"/>
        <w:rPr>
          <w:sz w:val="20"/>
          <w:szCs w:val="20"/>
          <w:color w:val="auto"/>
        </w:rPr>
      </w:pPr>
    </w:p>
    <w:p>
      <w:pPr>
        <w:sectPr>
          <w:pgSz w:w="11900" w:h="16838" w:orient="portrait"/>
          <w:cols w:equalWidth="0" w:num="2">
            <w:col w:w="7920" w:space="480"/>
            <w:col w:w="2320"/>
          </w:cols>
          <w:pgMar w:left="320" w:top="122" w:right="859" w:bottom="1440" w:gutter="0" w:footer="0" w:header="0"/>
        </w:sectPr>
      </w:pPr>
    </w:p>
    <w:tbl>
      <w:tblPr>
        <w:tblLayout w:type="fixed"/>
        <w:tblInd w:w="540" w:type="dxa"/>
        <w:tblCellMar>
          <w:top w:w="0" w:type="dxa"/>
          <w:left w:w="0" w:type="dxa"/>
          <w:bottom w:w="0" w:type="dxa"/>
          <w:right w:w="0" w:type="dxa"/>
        </w:tblCellMar>
      </w:tblP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Base management fee (See Note 3)</w:t>
            </w: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365,433</w:t>
            </w:r>
          </w:p>
        </w:tc>
      </w:tr>
      <w:tr>
        <w:trPr>
          <w:trHeight w:val="210"/>
        </w:trPr>
        <w:tc>
          <w:tcPr>
            <w:tcW w:w="7840" w:type="dxa"/>
            <w:vAlign w:val="bottom"/>
          </w:tcPr>
          <w:p>
            <w:pPr>
              <w:ind w:left="340"/>
              <w:spacing w:after="0"/>
              <w:rPr>
                <w:sz w:val="20"/>
                <w:szCs w:val="20"/>
                <w:color w:val="auto"/>
              </w:rPr>
            </w:pPr>
            <w:r>
              <w:rPr>
                <w:rFonts w:ascii="Arial" w:cs="Arial" w:eastAsia="Arial" w:hAnsi="Arial"/>
                <w:sz w:val="14"/>
                <w:szCs w:val="14"/>
                <w:color w:val="auto"/>
              </w:rPr>
              <w:t>Interest and expenses on the credit facility (See Note 10)</w:t>
            </w:r>
          </w:p>
        </w:tc>
        <w:tc>
          <w:tcPr>
            <w:tcW w:w="86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155,913</w:t>
            </w:r>
          </w:p>
        </w:tc>
      </w:tr>
      <w:tr>
        <w:trPr>
          <w:trHeight w:val="222"/>
        </w:trPr>
        <w:tc>
          <w:tcPr>
            <w:tcW w:w="7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Administrative services expenses (See Note 3)</w:t>
            </w: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182,995</w:t>
            </w:r>
          </w:p>
        </w:tc>
      </w:tr>
      <w:tr>
        <w:trPr>
          <w:trHeight w:val="210"/>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general and administrative expenses</w:t>
            </w: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556,076</w:t>
            </w: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Expenses before debt issuance costs</w:t>
            </w: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1,260,417</w:t>
            </w:r>
          </w:p>
        </w:tc>
      </w:tr>
      <w:tr>
        <w:trPr>
          <w:trHeight w:val="210"/>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Debt issuance costs (See Note 5)</w:t>
            </w: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1,366,043</w:t>
            </w: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Total expenses</w:t>
            </w:r>
          </w:p>
        </w:tc>
        <w:tc>
          <w:tcPr>
            <w:tcW w:w="8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2,626,460</w:t>
            </w:r>
          </w:p>
        </w:tc>
      </w:tr>
      <w:tr>
        <w:trPr>
          <w:trHeight w:val="204"/>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auto"/>
              </w:rPr>
              <w:t>Net investment income</w:t>
            </w:r>
          </w:p>
        </w:tc>
        <w:tc>
          <w:tcPr>
            <w:tcW w:w="8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320,139</w:t>
            </w:r>
          </w:p>
        </w:tc>
      </w:tr>
      <w:tr>
        <w:trPr>
          <w:trHeight w:val="176"/>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Realized and unrealized gain(loss) on investments:</w:t>
            </w:r>
          </w:p>
        </w:tc>
        <w:tc>
          <w:tcPr>
            <w:tcW w:w="8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93"/>
        </w:trPr>
        <w:tc>
          <w:tcPr>
            <w:tcW w:w="78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r>
      <w:tr>
        <w:trPr>
          <w:trHeight w:val="210"/>
        </w:trPr>
        <w:tc>
          <w:tcPr>
            <w:tcW w:w="7840" w:type="dxa"/>
            <w:vAlign w:val="bottom"/>
          </w:tcPr>
          <w:p>
            <w:pPr>
              <w:ind w:left="20"/>
              <w:spacing w:after="0"/>
              <w:rPr>
                <w:sz w:val="20"/>
                <w:szCs w:val="20"/>
                <w:color w:val="auto"/>
              </w:rPr>
            </w:pPr>
            <w:r>
              <w:rPr>
                <w:rFonts w:ascii="Arial" w:cs="Arial" w:eastAsia="Arial" w:hAnsi="Arial"/>
                <w:sz w:val="14"/>
                <w:szCs w:val="14"/>
                <w:color w:val="auto"/>
              </w:rPr>
              <w:t>Net realized gain on non-controlled, non-affiliated investments</w:t>
            </w:r>
          </w:p>
        </w:tc>
        <w:tc>
          <w:tcPr>
            <w:tcW w:w="86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311,988</w:t>
            </w:r>
          </w:p>
        </w:tc>
      </w:tr>
      <w:tr>
        <w:trPr>
          <w:trHeight w:val="196"/>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unrealized (depreciation) on:</w:t>
            </w:r>
          </w:p>
        </w:tc>
        <w:tc>
          <w:tcPr>
            <w:tcW w:w="8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80"/>
        </w:trPr>
        <w:tc>
          <w:tcPr>
            <w:tcW w:w="78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197"/>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Non-controlled, non-affiliated investments</w:t>
            </w:r>
          </w:p>
        </w:tc>
        <w:tc>
          <w:tcPr>
            <w:tcW w:w="8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(4,105,380)</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realized and unrealized loss from investments</w:t>
            </w:r>
          </w:p>
        </w:tc>
        <w:tc>
          <w:tcPr>
            <w:tcW w:w="8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(3,793,392)</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decrease in net assets resulting from operations</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(3,473,253)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net assets resulting from operations per common share (See Note 6)</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r>
      <w:tr>
        <w:trPr>
          <w:trHeight w:val="204"/>
        </w:trPr>
        <w:tc>
          <w:tcPr>
            <w:tcW w:w="7840" w:type="dxa"/>
            <w:vAlign w:val="bottom"/>
          </w:tcPr>
          <w:p>
            <w:pPr>
              <w:ind w:left="20"/>
              <w:spacing w:after="0"/>
              <w:rPr>
                <w:sz w:val="20"/>
                <w:szCs w:val="20"/>
                <w:color w:val="auto"/>
              </w:rPr>
            </w:pPr>
            <w:r>
              <w:rPr>
                <w:rFonts w:ascii="Arial" w:cs="Arial" w:eastAsia="Arial" w:hAnsi="Arial"/>
                <w:sz w:val="14"/>
                <w:szCs w:val="14"/>
                <w:color w:val="auto"/>
              </w:rPr>
              <w:t>Net investment income per common share</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0.05</w:t>
            </w:r>
          </w:p>
        </w:tc>
      </w:tr>
    </w:tbl>
    <w:p>
      <w:pPr>
        <w:spacing w:after="0" w:line="371"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SEE NOTES TO CONSOLIDATED FINANCIAL STATEMENTS</w:t>
      </w:r>
    </w:p>
    <w:p>
      <w:pPr>
        <w:spacing w:after="0" w:line="244"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0720"/>
          </w:cols>
          <w:pgMar w:left="320" w:top="122" w:right="85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tbl>
      <w:tblPr>
        <w:tblLayout w:type="fixed"/>
        <w:tblInd w:w="1100" w:type="dxa"/>
        <w:tblCellMar>
          <w:top w:w="0" w:type="dxa"/>
          <w:left w:w="0" w:type="dxa"/>
          <w:bottom w:w="0" w:type="dxa"/>
          <w:right w:w="0" w:type="dxa"/>
        </w:tblCellMar>
      </w:tblPr>
      <w:tr>
        <w:trPr>
          <w:trHeight w:val="186"/>
        </w:trPr>
        <w:tc>
          <w:tcPr>
            <w:tcW w:w="9060" w:type="dxa"/>
            <w:vAlign w:val="bottom"/>
            <w:gridSpan w:val="3"/>
          </w:tcPr>
          <w:p>
            <w:pPr>
              <w:ind w:left="2220"/>
              <w:spacing w:after="0"/>
              <w:rPr>
                <w:sz w:val="20"/>
                <w:szCs w:val="20"/>
                <w:color w:val="auto"/>
              </w:rPr>
            </w:pPr>
            <w:r>
              <w:rPr>
                <w:rFonts w:ascii="Arial" w:cs="Arial" w:eastAsia="Arial" w:hAnsi="Arial"/>
                <w:sz w:val="14"/>
                <w:szCs w:val="14"/>
                <w:b w:val="1"/>
                <w:bCs w:val="1"/>
                <w:color w:val="auto"/>
              </w:rPr>
              <w:t>PENNANTPARK FLOATING RATE CAPITAL LTD. AND SUBSIDIARY</w:t>
            </w:r>
          </w:p>
        </w:tc>
        <w:tc>
          <w:tcPr>
            <w:tcW w:w="0" w:type="dxa"/>
            <w:vAlign w:val="bottom"/>
          </w:tcPr>
          <w:p>
            <w:pPr>
              <w:spacing w:after="0"/>
              <w:rPr>
                <w:sz w:val="1"/>
                <w:szCs w:val="1"/>
                <w:color w:val="auto"/>
              </w:rPr>
            </w:pPr>
          </w:p>
        </w:tc>
      </w:tr>
      <w:tr>
        <w:trPr>
          <w:trHeight w:val="243"/>
        </w:trPr>
        <w:tc>
          <w:tcPr>
            <w:tcW w:w="6620" w:type="dxa"/>
            <w:vAlign w:val="bottom"/>
          </w:tcPr>
          <w:p>
            <w:pPr>
              <w:ind w:left="2440"/>
              <w:spacing w:after="0"/>
              <w:rPr>
                <w:sz w:val="20"/>
                <w:szCs w:val="20"/>
                <w:color w:val="auto"/>
              </w:rPr>
            </w:pPr>
            <w:r>
              <w:rPr>
                <w:rFonts w:ascii="Arial" w:cs="Arial" w:eastAsia="Arial" w:hAnsi="Arial"/>
                <w:sz w:val="14"/>
                <w:szCs w:val="14"/>
                <w:b w:val="1"/>
                <w:bCs w:val="1"/>
                <w:color w:val="auto"/>
              </w:rPr>
              <w:t>CONSOLIDATED STATEMENT OF CHANGES IN NET ASSETS</w:t>
            </w:r>
          </w:p>
        </w:tc>
        <w:tc>
          <w:tcPr>
            <w:tcW w:w="1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8"/>
        </w:trPr>
        <w:tc>
          <w:tcPr>
            <w:tcW w:w="6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For the period March 4, 2011</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(commencement of operations) to</w:t>
            </w: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0"/>
              </w:rPr>
              <w:t>September 30, 2011</w:t>
            </w:r>
          </w:p>
        </w:tc>
        <w:tc>
          <w:tcPr>
            <w:tcW w:w="0" w:type="dxa"/>
            <w:vAlign w:val="bottom"/>
          </w:tcPr>
          <w:p>
            <w:pPr>
              <w:spacing w:after="0"/>
              <w:rPr>
                <w:sz w:val="1"/>
                <w:szCs w:val="1"/>
                <w:color w:val="auto"/>
              </w:rPr>
            </w:pPr>
          </w:p>
        </w:tc>
      </w:tr>
      <w:tr>
        <w:trPr>
          <w:trHeight w:val="202"/>
        </w:trPr>
        <w:tc>
          <w:tcPr>
            <w:tcW w:w="6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decrease in net assets from operations:</w:t>
            </w:r>
          </w:p>
        </w:tc>
        <w:tc>
          <w:tcPr>
            <w:tcW w:w="1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700"/>
              <w:spacing w:after="0"/>
              <w:rPr>
                <w:sz w:val="20"/>
                <w:szCs w:val="20"/>
                <w:color w:val="auto"/>
              </w:rPr>
            </w:pPr>
            <w:r>
              <w:rPr>
                <w:rFonts w:ascii="Arial" w:cs="Arial" w:eastAsia="Arial" w:hAnsi="Arial"/>
                <w:sz w:val="14"/>
                <w:szCs w:val="14"/>
                <w:color w:val="auto"/>
              </w:rPr>
              <w:t>Net investment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300" w:type="dxa"/>
            <w:vAlign w:val="bottom"/>
          </w:tcPr>
          <w:p>
            <w:pPr>
              <w:jc w:val="right"/>
              <w:ind w:right="8"/>
              <w:spacing w:after="0"/>
              <w:rPr>
                <w:sz w:val="20"/>
                <w:szCs w:val="20"/>
                <w:color w:val="auto"/>
              </w:rPr>
            </w:pPr>
            <w:r>
              <w:rPr>
                <w:rFonts w:ascii="Arial" w:cs="Arial" w:eastAsia="Arial" w:hAnsi="Arial"/>
                <w:sz w:val="14"/>
                <w:szCs w:val="14"/>
                <w:color w:val="auto"/>
              </w:rPr>
              <w:t>320,139</w:t>
            </w:r>
          </w:p>
        </w:tc>
        <w:tc>
          <w:tcPr>
            <w:tcW w:w="0" w:type="dxa"/>
            <w:vAlign w:val="bottom"/>
          </w:tcPr>
          <w:p>
            <w:pPr>
              <w:spacing w:after="0"/>
              <w:rPr>
                <w:sz w:val="1"/>
                <w:szCs w:val="1"/>
                <w:color w:val="auto"/>
              </w:rPr>
            </w:pPr>
          </w:p>
        </w:tc>
      </w:tr>
      <w:tr>
        <w:trPr>
          <w:trHeight w:val="222"/>
        </w:trPr>
        <w:tc>
          <w:tcPr>
            <w:tcW w:w="66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Net realized gain on investments and cash equivalents</w:t>
            </w:r>
          </w:p>
        </w:tc>
        <w:tc>
          <w:tcPr>
            <w:tcW w:w="140" w:type="dxa"/>
            <w:vAlign w:val="bottom"/>
            <w:shd w:val="clear" w:color="auto" w:fill="CCEEFF"/>
          </w:tcPr>
          <w:p>
            <w:pPr>
              <w:spacing w:after="0"/>
              <w:rPr>
                <w:sz w:val="19"/>
                <w:szCs w:val="19"/>
                <w:color w:val="auto"/>
              </w:rPr>
            </w:pPr>
          </w:p>
        </w:tc>
        <w:tc>
          <w:tcPr>
            <w:tcW w:w="2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311,988</w:t>
            </w:r>
          </w:p>
        </w:tc>
        <w:tc>
          <w:tcPr>
            <w:tcW w:w="0" w:type="dxa"/>
            <w:vAlign w:val="bottom"/>
          </w:tcPr>
          <w:p>
            <w:pPr>
              <w:spacing w:after="0"/>
              <w:rPr>
                <w:sz w:val="1"/>
                <w:szCs w:val="1"/>
                <w:color w:val="auto"/>
              </w:rPr>
            </w:pPr>
          </w:p>
        </w:tc>
      </w:tr>
      <w:tr>
        <w:trPr>
          <w:trHeight w:val="197"/>
        </w:trPr>
        <w:tc>
          <w:tcPr>
            <w:tcW w:w="662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Net unrealized depreciation on investments</w:t>
            </w: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202"/>
        </w:trPr>
        <w:tc>
          <w:tcPr>
            <w:tcW w:w="6620" w:type="dxa"/>
            <w:vAlign w:val="bottom"/>
            <w:shd w:val="clear" w:color="auto" w:fill="CCEEFF"/>
          </w:tcPr>
          <w:p>
            <w:pPr>
              <w:ind w:left="700"/>
              <w:spacing w:after="0"/>
              <w:rPr>
                <w:sz w:val="20"/>
                <w:szCs w:val="20"/>
                <w:color w:val="auto"/>
              </w:rPr>
            </w:pPr>
            <w:r>
              <w:rPr>
                <w:rFonts w:ascii="Arial" w:cs="Arial" w:eastAsia="Arial" w:hAnsi="Arial"/>
                <w:sz w:val="14"/>
                <w:szCs w:val="14"/>
                <w:b w:val="1"/>
                <w:bCs w:val="1"/>
                <w:color w:val="auto"/>
              </w:rPr>
              <w:t>Net decrease in net assets resulting from operations</w:t>
            </w:r>
          </w:p>
        </w:tc>
        <w:tc>
          <w:tcPr>
            <w:tcW w:w="14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(3,473,253)</w:t>
            </w:r>
          </w:p>
        </w:tc>
        <w:tc>
          <w:tcPr>
            <w:tcW w:w="0" w:type="dxa"/>
            <w:vAlign w:val="bottom"/>
          </w:tcPr>
          <w:p>
            <w:pPr>
              <w:spacing w:after="0"/>
              <w:rPr>
                <w:sz w:val="1"/>
                <w:szCs w:val="1"/>
                <w:color w:val="auto"/>
              </w:rPr>
            </w:pPr>
          </w:p>
        </w:tc>
      </w:tr>
      <w:tr>
        <w:trPr>
          <w:trHeight w:val="170"/>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Distributions to stockholders:</w:t>
            </w:r>
          </w:p>
        </w:tc>
        <w:tc>
          <w:tcPr>
            <w:tcW w:w="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Distributions</w:t>
            </w:r>
          </w:p>
        </w:tc>
        <w:tc>
          <w:tcPr>
            <w:tcW w:w="14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(1,712,667)</w:t>
            </w:r>
          </w:p>
        </w:tc>
        <w:tc>
          <w:tcPr>
            <w:tcW w:w="0" w:type="dxa"/>
            <w:vAlign w:val="bottom"/>
          </w:tcPr>
          <w:p>
            <w:pPr>
              <w:spacing w:after="0"/>
              <w:rPr>
                <w:sz w:val="1"/>
                <w:szCs w:val="1"/>
                <w:color w:val="auto"/>
              </w:rPr>
            </w:pPr>
          </w:p>
        </w:tc>
      </w:tr>
      <w:tr>
        <w:trPr>
          <w:trHeight w:val="171"/>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Capital share transactions:</w:t>
            </w:r>
          </w:p>
        </w:tc>
        <w:tc>
          <w:tcPr>
            <w:tcW w:w="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Issuance of shares of common stock</w:t>
            </w:r>
          </w:p>
        </w:tc>
        <w:tc>
          <w:tcPr>
            <w:tcW w:w="140" w:type="dxa"/>
            <w:vAlign w:val="bottom"/>
            <w:shd w:val="clear" w:color="auto" w:fill="CCEEFF"/>
          </w:tcPr>
          <w:p>
            <w:pPr>
              <w:spacing w:after="0"/>
              <w:rPr>
                <w:sz w:val="18"/>
                <w:szCs w:val="18"/>
                <w:color w:val="auto"/>
              </w:rPr>
            </w:pPr>
          </w:p>
        </w:tc>
        <w:tc>
          <w:tcPr>
            <w:tcW w:w="2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102,760,000</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Offering costs</w:t>
            </w: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(5,501,975)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00"/>
              <w:spacing w:after="0"/>
              <w:rPr>
                <w:sz w:val="20"/>
                <w:szCs w:val="20"/>
                <w:color w:val="auto"/>
              </w:rPr>
            </w:pPr>
            <w:r>
              <w:rPr>
                <w:rFonts w:ascii="Arial" w:cs="Arial" w:eastAsia="Arial" w:hAnsi="Arial"/>
                <w:sz w:val="14"/>
                <w:szCs w:val="14"/>
                <w:b w:val="1"/>
                <w:bCs w:val="1"/>
                <w:color w:val="auto"/>
              </w:rPr>
              <w:t>Net increase in net assets resulting from capital share transactions</w:t>
            </w:r>
          </w:p>
        </w:tc>
        <w:tc>
          <w:tcPr>
            <w:tcW w:w="14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97,258,025</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Total increase in net assets</w:t>
            </w:r>
          </w:p>
        </w:tc>
        <w:tc>
          <w:tcPr>
            <w:tcW w:w="140" w:type="dxa"/>
            <w:vAlign w:val="bottom"/>
          </w:tcPr>
          <w:p>
            <w:pPr>
              <w:spacing w:after="0"/>
              <w:rPr>
                <w:sz w:val="17"/>
                <w:szCs w:val="17"/>
                <w:color w:val="auto"/>
              </w:rPr>
            </w:pPr>
          </w:p>
        </w:tc>
        <w:tc>
          <w:tcPr>
            <w:tcW w:w="2300" w:type="dxa"/>
            <w:vAlign w:val="bottom"/>
          </w:tcPr>
          <w:p>
            <w:pPr>
              <w:jc w:val="right"/>
              <w:ind w:right="8"/>
              <w:spacing w:after="0"/>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Assets:</w:t>
            </w:r>
          </w:p>
        </w:tc>
        <w:tc>
          <w:tcPr>
            <w:tcW w:w="1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6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660"/>
              <w:spacing w:after="0"/>
              <w:rPr>
                <w:sz w:val="20"/>
                <w:szCs w:val="20"/>
                <w:color w:val="auto"/>
              </w:rPr>
            </w:pPr>
            <w:r>
              <w:rPr>
                <w:rFonts w:ascii="Arial" w:cs="Arial" w:eastAsia="Arial" w:hAnsi="Arial"/>
                <w:sz w:val="14"/>
                <w:szCs w:val="14"/>
                <w:color w:val="auto"/>
              </w:rPr>
              <w:t>Beginning of period</w:t>
            </w:r>
          </w:p>
        </w:tc>
        <w:tc>
          <w:tcPr>
            <w:tcW w:w="140" w:type="dxa"/>
            <w:vAlign w:val="bottom"/>
          </w:tcPr>
          <w:p>
            <w:pPr>
              <w:spacing w:after="0"/>
              <w:rPr>
                <w:sz w:val="18"/>
                <w:szCs w:val="18"/>
                <w:color w:val="auto"/>
              </w:rPr>
            </w:pPr>
          </w:p>
        </w:tc>
        <w:tc>
          <w:tcPr>
            <w:tcW w:w="2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660"/>
              <w:spacing w:after="0"/>
              <w:rPr>
                <w:sz w:val="20"/>
                <w:szCs w:val="20"/>
                <w:color w:val="auto"/>
              </w:rPr>
            </w:pPr>
            <w:r>
              <w:rPr>
                <w:rFonts w:ascii="Arial" w:cs="Arial" w:eastAsia="Arial" w:hAnsi="Arial"/>
                <w:sz w:val="14"/>
                <w:szCs w:val="14"/>
                <w:color w:val="auto"/>
              </w:rPr>
              <w:t>Distributions in excess of net investment income, at period end</w:t>
            </w:r>
          </w:p>
        </w:tc>
        <w:tc>
          <w:tcPr>
            <w:tcW w:w="1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(1,392,528)</w:t>
            </w:r>
          </w:p>
        </w:tc>
        <w:tc>
          <w:tcPr>
            <w:tcW w:w="0" w:type="dxa"/>
            <w:vAlign w:val="bottom"/>
          </w:tcPr>
          <w:p>
            <w:pPr>
              <w:spacing w:after="0"/>
              <w:rPr>
                <w:sz w:val="1"/>
                <w:szCs w:val="1"/>
                <w:color w:val="auto"/>
              </w:rPr>
            </w:pPr>
          </w:p>
        </w:tc>
      </w:tr>
      <w:tr>
        <w:trPr>
          <w:trHeight w:val="150"/>
        </w:trPr>
        <w:tc>
          <w:tcPr>
            <w:tcW w:w="662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b w:val="1"/>
                <w:bCs w:val="1"/>
                <w:color w:val="auto"/>
              </w:rPr>
              <w:t>Capital Share Activity:</w:t>
            </w:r>
          </w:p>
        </w:tc>
        <w:tc>
          <w:tcPr>
            <w:tcW w:w="14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6620" w:type="dxa"/>
            <w:vAlign w:val="bottom"/>
          </w:tcPr>
          <w:p>
            <w:pPr>
              <w:ind w:left="700"/>
              <w:spacing w:after="0"/>
              <w:rPr>
                <w:sz w:val="20"/>
                <w:szCs w:val="20"/>
                <w:color w:val="auto"/>
              </w:rPr>
            </w:pPr>
            <w:r>
              <w:rPr>
                <w:rFonts w:ascii="Arial" w:cs="Arial" w:eastAsia="Arial" w:hAnsi="Arial"/>
                <w:sz w:val="14"/>
                <w:szCs w:val="14"/>
                <w:color w:val="auto"/>
              </w:rPr>
              <w:t>Shares issued from public and private offerings</w:t>
            </w:r>
          </w:p>
        </w:tc>
        <w:tc>
          <w:tcPr>
            <w:tcW w:w="140" w:type="dxa"/>
            <w:vAlign w:val="bottom"/>
          </w:tcPr>
          <w:p>
            <w:pPr>
              <w:spacing w:after="0"/>
              <w:rPr>
                <w:sz w:val="17"/>
                <w:szCs w:val="17"/>
                <w:color w:val="auto"/>
              </w:rPr>
            </w:pPr>
          </w:p>
        </w:tc>
        <w:tc>
          <w:tcPr>
            <w:tcW w:w="2300" w:type="dxa"/>
            <w:vAlign w:val="bottom"/>
          </w:tcPr>
          <w:p>
            <w:pPr>
              <w:jc w:val="right"/>
              <w:ind w:right="8"/>
              <w:spacing w:after="0"/>
              <w:rPr>
                <w:sz w:val="20"/>
                <w:szCs w:val="20"/>
                <w:color w:val="auto"/>
              </w:rPr>
            </w:pPr>
            <w:r>
              <w:rPr>
                <w:rFonts w:ascii="Arial" w:cs="Arial" w:eastAsia="Arial" w:hAnsi="Arial"/>
                <w:sz w:val="14"/>
                <w:szCs w:val="14"/>
                <w:color w:val="auto"/>
              </w:rPr>
              <w:t>6,850,667</w:t>
            </w: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SEE NOTES TO CONSOLIDATED FINANCIAL STATEMENTS</w:t>
      </w:r>
    </w:p>
    <w:p>
      <w:pPr>
        <w:spacing w:after="0" w:line="24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0160"/>
          </w:cols>
          <w:pgMar w:left="320" w:top="122" w:right="141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82"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598170</wp:posOffset>
            </wp:positionV>
            <wp:extent cx="674624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62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Cash flows from operating activities: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20955</wp:posOffset>
            </wp:positionV>
            <wp:extent cx="674624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6240" cy="171450"/>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Adjustments to reconcile net decrease in net assets resulting from operations to net cash used for operating activities:</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Net net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29845</wp:posOffset>
            </wp:positionV>
            <wp:extent cx="6746240"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46240" cy="128270"/>
                    </a:xfrm>
                    <a:prstGeom prst="rect">
                      <a:avLst/>
                    </a:prstGeom>
                    <a:noFill/>
                  </pic:spPr>
                </pic:pic>
              </a:graphicData>
            </a:graphic>
          </wp:anchor>
        </w:drawing>
      </w:r>
    </w:p>
    <w:p>
      <w:pPr>
        <w:spacing w:after="0" w:line="3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Net realized gain on investments</w:t>
      </w:r>
    </w:p>
    <w:p>
      <w:pPr>
        <w:spacing w:after="0" w:line="4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Net accretion of discount and amortization of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20955</wp:posOffset>
            </wp:positionV>
            <wp:extent cx="674624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46240" cy="128905"/>
                    </a:xfrm>
                    <a:prstGeom prst="rect">
                      <a:avLst/>
                    </a:prstGeom>
                    <a:noFill/>
                  </pic:spPr>
                </pic:pic>
              </a:graphicData>
            </a:graphic>
          </wp:anchor>
        </w:drawing>
      </w:r>
    </w:p>
    <w:p>
      <w:pPr>
        <w:spacing w:after="0" w:line="2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Purchase of investments</w:t>
      </w:r>
    </w:p>
    <w:p>
      <w:pPr>
        <w:spacing w:after="0" w:line="4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Payment-in-kind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20955</wp:posOffset>
            </wp:positionV>
            <wp:extent cx="674624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46240" cy="137160"/>
                    </a:xfrm>
                    <a:prstGeom prst="rect">
                      <a:avLst/>
                    </a:prstGeom>
                    <a:noFill/>
                  </pic:spPr>
                </pic:pic>
              </a:graphicData>
            </a:graphic>
          </wp:anchor>
        </w:drawing>
      </w:r>
    </w:p>
    <w:p>
      <w:pPr>
        <w:spacing w:after="0" w:line="2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Proceeds from disposition of investments</w:t>
      </w:r>
    </w:p>
    <w:p>
      <w:pPr>
        <w:spacing w:after="0" w:line="5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(Increase) in 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20955</wp:posOffset>
            </wp:positionV>
            <wp:extent cx="674624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46240" cy="128905"/>
                    </a:xfrm>
                    <a:prstGeom prst="rect">
                      <a:avLst/>
                    </a:prstGeom>
                    <a:noFill/>
                  </pic:spPr>
                </pic:pic>
              </a:graphicData>
            </a:graphic>
          </wp:anchor>
        </w:drawing>
      </w:r>
    </w:p>
    <w:p>
      <w:pPr>
        <w:spacing w:after="0" w:line="2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(Increase) in receivables for investments sold</w:t>
      </w:r>
    </w:p>
    <w:p>
      <w:pPr>
        <w:spacing w:after="0" w:line="4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(Increase) in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20955</wp:posOffset>
            </wp:positionV>
            <wp:extent cx="674624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46240" cy="137160"/>
                    </a:xfrm>
                    <a:prstGeom prst="rect">
                      <a:avLst/>
                    </a:prstGeom>
                    <a:noFill/>
                  </pic:spPr>
                </pic:pic>
              </a:graphicData>
            </a:graphic>
          </wp:anchor>
        </w:drawing>
      </w:r>
    </w:p>
    <w:p>
      <w:pPr>
        <w:spacing w:after="0" w:line="2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Increase in unfunded investments</w:t>
      </w:r>
    </w:p>
    <w:p>
      <w:pPr>
        <w:spacing w:after="0" w:line="5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Increase in payables for investments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29845</wp:posOffset>
            </wp:positionV>
            <wp:extent cx="674624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46240" cy="137160"/>
                    </a:xfrm>
                    <a:prstGeom prst="rect">
                      <a:avLst/>
                    </a:prstGeom>
                    <a:noFill/>
                  </pic:spPr>
                </pic:pic>
              </a:graphicData>
            </a:graphic>
          </wp:anchor>
        </w:drawing>
      </w:r>
    </w:p>
    <w:p>
      <w:pPr>
        <w:spacing w:after="0" w:line="3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Increase in interest payable on credit facility</w:t>
      </w:r>
    </w:p>
    <w:p>
      <w:pPr>
        <w:spacing w:after="0" w:line="5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Increase in management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29845</wp:posOffset>
            </wp:positionV>
            <wp:extent cx="674624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46240" cy="137160"/>
                    </a:xfrm>
                    <a:prstGeom prst="rect">
                      <a:avLst/>
                    </a:prstGeom>
                    <a:noFill/>
                  </pic:spPr>
                </pic:pic>
              </a:graphicData>
            </a:graphic>
          </wp:anchor>
        </w:drawing>
      </w:r>
    </w:p>
    <w:p>
      <w:pPr>
        <w:spacing w:after="0" w:line="3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Increase in accrued other expenses</w:t>
      </w:r>
    </w:p>
    <w:p>
      <w:pPr>
        <w:spacing w:after="0" w:line="55"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Net cash used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29845</wp:posOffset>
            </wp:positionV>
            <wp:extent cx="674624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46240" cy="179705"/>
                    </a:xfrm>
                    <a:prstGeom prst="rect">
                      <a:avLst/>
                    </a:prstGeom>
                    <a:noFill/>
                  </pic:spPr>
                </pic:pic>
              </a:graphicData>
            </a:graphic>
          </wp:anchor>
        </w:drawing>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12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29845</wp:posOffset>
            </wp:positionV>
            <wp:extent cx="674624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46240" cy="128905"/>
                    </a:xfrm>
                    <a:prstGeom prst="rect">
                      <a:avLst/>
                    </a:prstGeom>
                    <a:noFill/>
                  </pic:spPr>
                </pic:pic>
              </a:graphicData>
            </a:graphic>
          </wp:anchor>
        </w:drawing>
      </w:r>
    </w:p>
    <w:p>
      <w:pPr>
        <w:spacing w:after="0" w:line="3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Offering costs</w:t>
      </w:r>
    </w:p>
    <w:p>
      <w:pPr>
        <w:spacing w:after="0" w:line="4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Distributions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20955</wp:posOffset>
            </wp:positionV>
            <wp:extent cx="674624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46240" cy="137160"/>
                    </a:xfrm>
                    <a:prstGeom prst="rect">
                      <a:avLst/>
                    </a:prstGeom>
                    <a:noFill/>
                  </pic:spPr>
                </pic:pic>
              </a:graphicData>
            </a:graphic>
          </wp:anchor>
        </w:drawing>
      </w:r>
    </w:p>
    <w:p>
      <w:pPr>
        <w:spacing w:after="0" w:line="2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Borrowings under credit facility (See Note 10)</w:t>
      </w:r>
    </w:p>
    <w:p>
      <w:pPr>
        <w:spacing w:after="0" w:line="5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Repayments under credit facility (See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20955</wp:posOffset>
            </wp:positionV>
            <wp:extent cx="674624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46240" cy="146050"/>
                    </a:xfrm>
                    <a:prstGeom prst="rect">
                      <a:avLst/>
                    </a:prstGeom>
                    <a:noFill/>
                  </pic:spPr>
                </pic:pic>
              </a:graphicData>
            </a:graphic>
          </wp:anchor>
        </w:drawing>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Net cash provided by financing activities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Net increase in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40640</wp:posOffset>
            </wp:positionV>
            <wp:extent cx="674624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46240" cy="137160"/>
                    </a:xfrm>
                    <a:prstGeom prst="rect">
                      <a:avLst/>
                    </a:prstGeom>
                    <a:noFill/>
                  </pic:spPr>
                </pic:pic>
              </a:graphicData>
            </a:graphic>
          </wp:anchor>
        </w:drawing>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Cash equivalents, beginning of year</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49530</wp:posOffset>
            </wp:positionV>
            <wp:extent cx="674624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46240" cy="188595"/>
                    </a:xfrm>
                    <a:prstGeom prst="rect">
                      <a:avLst/>
                    </a:prstGeom>
                    <a:noFill/>
                  </pic:spPr>
                </pic:pic>
              </a:graphicData>
            </a:graphic>
          </wp:anchor>
        </w:drawing>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Supplemental disclosure of cash flow information:</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paid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SEE NOTES TO CONSOLIDATED FINANCIAL STATEMENTS</w:t>
      </w:r>
    </w:p>
    <w:p>
      <w:pPr>
        <w:spacing w:after="0" w:line="24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39" w:right="80"/>
        <w:spacing w:after="0" w:line="267" w:lineRule="auto"/>
        <w:rPr>
          <w:sz w:val="20"/>
          <w:szCs w:val="20"/>
          <w:color w:val="auto"/>
        </w:rPr>
      </w:pPr>
      <w:r>
        <w:rPr>
          <w:rFonts w:ascii="Arial" w:cs="Arial" w:eastAsia="Arial" w:hAnsi="Arial"/>
          <w:sz w:val="13"/>
          <w:szCs w:val="13"/>
          <w:b w:val="1"/>
          <w:bCs w:val="1"/>
          <w:color w:val="auto"/>
        </w:rPr>
        <w:t>For the period March 4, 2011 (commencement of operations) to 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wp:posOffset>
            </wp:positionV>
            <wp:extent cx="14833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8336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tabs>
          <w:tab w:leader="none" w:pos="158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(3,473,253)</w:t>
      </w:r>
    </w:p>
    <w:p>
      <w:pPr>
        <w:spacing w:after="0" w:line="34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4,105,380</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(311,988)</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(136,975)</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(147,545,077)</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(42,074)</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33,206,493</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(732,695)</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(2,467,500)</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(163,374)</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2,323,250</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990,000</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150,246</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266,432</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143,680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14833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(113,687,455)</w:t>
      </w:r>
    </w:p>
    <w:p>
      <w:pPr>
        <w:spacing w:after="0" w:line="33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102,760,000</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(5,501,975)</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(1,233,120)</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29,000,000</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(4,350,000)</w:t>
      </w:r>
    </w:p>
    <w:p>
      <w:pPr>
        <w:spacing w:after="0" w:line="6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120,674,905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14833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83360" cy="8255"/>
                    </a:xfrm>
                    <a:prstGeom prst="rect">
                      <a:avLst/>
                    </a:prstGeom>
                    <a:noFill/>
                  </pic:spPr>
                </pic:pic>
              </a:graphicData>
            </a:graphic>
          </wp:anchor>
        </w:drawing>
      </w:r>
    </w:p>
    <w:p>
      <w:pPr>
        <w:spacing w:after="0" w:line="4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6,987,450</w:t>
      </w:r>
    </w:p>
    <w:p>
      <w:pPr>
        <w:spacing w:after="0" w:line="55"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14833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83360" cy="8255"/>
                    </a:xfrm>
                    <a:prstGeom prst="rect">
                      <a:avLst/>
                    </a:prstGeom>
                    <a:noFill/>
                  </pic:spPr>
                </pic:pic>
              </a:graphicData>
            </a:graphic>
          </wp:anchor>
        </w:drawing>
      </w:r>
    </w:p>
    <w:p>
      <w:pPr>
        <w:spacing w:after="0" w:line="49" w:lineRule="exact"/>
        <w:rPr>
          <w:sz w:val="20"/>
          <w:szCs w:val="20"/>
          <w:color w:val="auto"/>
        </w:rPr>
      </w:pPr>
    </w:p>
    <w:p>
      <w:pPr>
        <w:spacing w:after="0"/>
        <w:tabs>
          <w:tab w:leader="none" w:pos="16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6,987,450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28575</wp:posOffset>
            </wp:positionV>
            <wp:extent cx="14833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83360"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5,556</w:t>
            </w:r>
          </w:p>
        </w:tc>
      </w:tr>
    </w:tbl>
    <w:p>
      <w:pPr>
        <w:sectPr>
          <w:pgSz w:w="11900" w:h="16838" w:orient="portrait"/>
          <w:cols w:equalWidth="0" w:num="2">
            <w:col w:w="7920" w:space="700"/>
            <w:col w:w="2260"/>
          </w:cols>
          <w:pgMar w:left="320" w:top="122" w:right="69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5"/>
        </w:trPr>
        <w:tc>
          <w:tcPr>
            <w:tcW w:w="2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Current</w:t>
            </w:r>
          </w:p>
        </w:tc>
        <w:tc>
          <w:tcPr>
            <w:tcW w:w="260" w:type="dxa"/>
            <w:vAlign w:val="bottom"/>
          </w:tcPr>
          <w:p>
            <w:pPr>
              <w:spacing w:after="0"/>
              <w:rPr>
                <w:sz w:val="11"/>
                <w:szCs w:val="11"/>
                <w:color w:val="auto"/>
              </w:rPr>
            </w:pPr>
          </w:p>
        </w:tc>
        <w:tc>
          <w:tcPr>
            <w:tcW w:w="10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Par/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4"/>
        </w:trPr>
        <w:tc>
          <w:tcPr>
            <w:tcW w:w="2040" w:type="dxa"/>
            <w:vAlign w:val="bottom"/>
          </w:tcPr>
          <w:p>
            <w:pPr>
              <w:ind w:left="40"/>
              <w:spacing w:after="0"/>
              <w:rPr>
                <w:sz w:val="20"/>
                <w:szCs w:val="20"/>
                <w:color w:val="auto"/>
              </w:rPr>
            </w:pPr>
            <w:r>
              <w:rPr>
                <w:rFonts w:ascii="Arial" w:cs="Arial" w:eastAsia="Arial" w:hAnsi="Arial"/>
                <w:sz w:val="13"/>
                <w:szCs w:val="13"/>
                <w:b w:val="1"/>
                <w:bCs w:val="1"/>
                <w:color w:val="auto"/>
              </w:rPr>
              <w:t>Issuer Name</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auto"/>
              </w:rPr>
              <w:t>Maturity</w:t>
            </w: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Coupon</w:t>
            </w:r>
          </w:p>
        </w:tc>
        <w:tc>
          <w:tcPr>
            <w:tcW w:w="260" w:type="dxa"/>
            <w:vAlign w:val="bottom"/>
          </w:tcPr>
          <w:p>
            <w:pPr>
              <w:spacing w:after="0"/>
              <w:rPr>
                <w:sz w:val="15"/>
                <w:szCs w:val="15"/>
                <w:color w:val="auto"/>
              </w:rPr>
            </w:pPr>
          </w:p>
        </w:tc>
        <w:tc>
          <w:tcPr>
            <w:tcW w:w="720" w:type="dxa"/>
            <w:vAlign w:val="bottom"/>
          </w:tcPr>
          <w:p>
            <w:pPr>
              <w:jc w:val="center"/>
              <w:ind w:left="237"/>
              <w:spacing w:after="0"/>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8"/>
                <w:szCs w:val="8"/>
                <w:b w:val="1"/>
                <w:bCs w:val="1"/>
                <w:color w:val="auto"/>
                <w:w w:val="95"/>
              </w:rPr>
              <w:t>(1)</w:t>
            </w:r>
          </w:p>
        </w:tc>
        <w:tc>
          <w:tcPr>
            <w:tcW w:w="34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Shares</w:t>
            </w:r>
          </w:p>
        </w:tc>
        <w:tc>
          <w:tcPr>
            <w:tcW w:w="18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auto"/>
                <w:w w:val="91"/>
              </w:rPr>
              <w:t>Fair Value</w:t>
            </w:r>
            <w:r>
              <w:rPr>
                <w:rFonts w:ascii="Arial" w:cs="Arial" w:eastAsia="Arial" w:hAnsi="Arial"/>
                <w:sz w:val="8"/>
                <w:szCs w:val="8"/>
                <w:b w:val="1"/>
                <w:bCs w:val="1"/>
                <w:color w:val="auto"/>
                <w:w w:val="91"/>
              </w:rPr>
              <w:t>(2)</w:t>
            </w:r>
          </w:p>
        </w:tc>
      </w:tr>
      <w:tr>
        <w:trPr>
          <w:trHeight w:val="308"/>
        </w:trPr>
        <w:tc>
          <w:tcPr>
            <w:tcW w:w="4940" w:type="dxa"/>
            <w:vAlign w:val="bottom"/>
            <w:tcBorders>
              <w:top w:val="single" w:sz="8" w:color="auto"/>
            </w:tcBorders>
            <w:gridSpan w:val="3"/>
            <w:shd w:val="clear" w:color="auto" w:fill="CCEEFF"/>
          </w:tcPr>
          <w:p>
            <w:pPr>
              <w:ind w:left="40"/>
              <w:spacing w:after="0"/>
              <w:rPr>
                <w:sz w:val="20"/>
                <w:szCs w:val="20"/>
                <w:color w:val="auto"/>
              </w:rPr>
            </w:pPr>
            <w:r>
              <w:rPr>
                <w:rFonts w:ascii="Arial" w:cs="Arial" w:eastAsia="Arial" w:hAnsi="Arial"/>
                <w:sz w:val="13"/>
                <w:szCs w:val="13"/>
                <w:b w:val="1"/>
                <w:bCs w:val="1"/>
                <w:color w:val="auto"/>
                <w:w w:val="99"/>
              </w:rPr>
              <w:t>Investments in Non-Controlled, Non-Affiliated Portfolio Companies—120.2%</w:t>
            </w:r>
            <w:r>
              <w:rPr>
                <w:rFonts w:ascii="Arial" w:cs="Arial" w:eastAsia="Arial" w:hAnsi="Arial"/>
                <w:sz w:val="8"/>
                <w:szCs w:val="8"/>
                <w:b w:val="1"/>
                <w:bCs w:val="1"/>
                <w:color w:val="auto"/>
                <w:w w:val="99"/>
              </w:rPr>
              <w:t>(3),(4)</w:t>
            </w:r>
          </w:p>
        </w:tc>
        <w:tc>
          <w:tcPr>
            <w:tcW w:w="70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r>
      <w:tr>
        <w:trPr>
          <w:trHeight w:val="151"/>
        </w:trPr>
        <w:tc>
          <w:tcPr>
            <w:tcW w:w="20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b w:val="1"/>
                <w:bCs w:val="1"/>
                <w:color w:val="auto"/>
                <w:w w:val="97"/>
              </w:rPr>
              <w:t>First Lien Secured Debt—102.4%</w:t>
            </w:r>
          </w:p>
        </w:tc>
        <w:tc>
          <w:tcPr>
            <w:tcW w:w="8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3"/>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Airvana Network Solutions Inc. </w:t>
            </w:r>
            <w:r>
              <w:rPr>
                <w:rFonts w:ascii="Arial" w:cs="Arial" w:eastAsia="Arial" w:hAnsi="Arial"/>
                <w:sz w:val="8"/>
                <w:szCs w:val="8"/>
                <w:color w:val="auto"/>
              </w:rPr>
              <w:t>(11)</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3/25/2015</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Telecommunications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L+800</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1,209,524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1,213,365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1,215,571</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 xml:space="preserve">Artel, LLC </w:t>
            </w:r>
            <w:r>
              <w:rPr>
                <w:rFonts w:ascii="Arial" w:cs="Arial" w:eastAsia="Arial" w:hAnsi="Arial"/>
                <w:sz w:val="8"/>
                <w:szCs w:val="8"/>
                <w:color w:val="auto"/>
              </w:rPr>
              <w:t>(11)</w:t>
            </w:r>
          </w:p>
        </w:tc>
        <w:tc>
          <w:tcPr>
            <w:tcW w:w="840" w:type="dxa"/>
            <w:vAlign w:val="bottom"/>
          </w:tcPr>
          <w:p>
            <w:pPr>
              <w:jc w:val="center"/>
              <w:spacing w:after="0"/>
              <w:rPr>
                <w:sz w:val="20"/>
                <w:szCs w:val="20"/>
                <w:color w:val="auto"/>
              </w:rPr>
            </w:pPr>
            <w:r>
              <w:rPr>
                <w:rFonts w:ascii="Arial" w:cs="Arial" w:eastAsia="Arial" w:hAnsi="Arial"/>
                <w:sz w:val="13"/>
                <w:szCs w:val="13"/>
                <w:color w:val="auto"/>
                <w:w w:val="90"/>
              </w:rPr>
              <w:t>6/1/2016</w:t>
            </w:r>
          </w:p>
        </w:tc>
        <w:tc>
          <w:tcPr>
            <w:tcW w:w="2060" w:type="dxa"/>
            <w:vAlign w:val="bottom"/>
          </w:tcPr>
          <w:p>
            <w:pPr>
              <w:jc w:val="center"/>
              <w:spacing w:after="0"/>
              <w:rPr>
                <w:sz w:val="20"/>
                <w:szCs w:val="20"/>
                <w:color w:val="auto"/>
              </w:rPr>
            </w:pPr>
            <w:r>
              <w:rPr>
                <w:rFonts w:ascii="Arial" w:cs="Arial" w:eastAsia="Arial" w:hAnsi="Arial"/>
                <w:sz w:val="13"/>
                <w:szCs w:val="13"/>
                <w:color w:val="auto"/>
                <w:w w:val="87"/>
              </w:rPr>
              <w:t>Telecommunications</w:t>
            </w:r>
          </w:p>
        </w:tc>
        <w:tc>
          <w:tcPr>
            <w:tcW w:w="700" w:type="dxa"/>
            <w:vAlign w:val="bottom"/>
          </w:tcPr>
          <w:p>
            <w:pPr>
              <w:jc w:val="right"/>
              <w:spacing w:after="0"/>
              <w:rPr>
                <w:sz w:val="20"/>
                <w:szCs w:val="20"/>
                <w:color w:val="auto"/>
              </w:rPr>
            </w:pPr>
            <w:r>
              <w:rPr>
                <w:rFonts w:ascii="Arial" w:cs="Arial" w:eastAsia="Arial" w:hAnsi="Arial"/>
                <w:sz w:val="13"/>
                <w:szCs w:val="13"/>
                <w:color w:val="auto"/>
              </w:rPr>
              <w:t>5.50%</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L+425</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987,500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978,043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972,688</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3"/>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Autoparts Holdings Limited </w:t>
            </w:r>
            <w:r>
              <w:rPr>
                <w:rFonts w:ascii="Arial" w:cs="Arial" w:eastAsia="Arial" w:hAnsi="Arial"/>
                <w:sz w:val="8"/>
                <w:szCs w:val="8"/>
                <w:color w:val="auto"/>
              </w:rPr>
              <w:t>(11)</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7/29/2017</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Automotive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L+500</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995,085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992,500</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Chester Downs and Marina, LLC</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7/31/2016</w:t>
            </w:r>
          </w:p>
        </w:tc>
        <w:tc>
          <w:tcPr>
            <w:tcW w:w="2060" w:type="dxa"/>
            <w:vAlign w:val="bottom"/>
          </w:tcPr>
          <w:p>
            <w:pPr>
              <w:jc w:val="center"/>
              <w:spacing w:after="0"/>
              <w:rPr>
                <w:sz w:val="20"/>
                <w:szCs w:val="20"/>
                <w:color w:val="auto"/>
              </w:rPr>
            </w:pPr>
            <w:r>
              <w:rPr>
                <w:rFonts w:ascii="Arial" w:cs="Arial" w:eastAsia="Arial" w:hAnsi="Arial"/>
                <w:sz w:val="13"/>
                <w:szCs w:val="13"/>
                <w:color w:val="auto"/>
                <w:w w:val="87"/>
              </w:rPr>
              <w:t>Hotel, Gaming and Leisure</w:t>
            </w:r>
          </w:p>
        </w:tc>
        <w:tc>
          <w:tcPr>
            <w:tcW w:w="700" w:type="dxa"/>
            <w:vAlign w:val="bottom"/>
          </w:tcPr>
          <w:p>
            <w:pPr>
              <w:jc w:val="right"/>
              <w:spacing w:after="0"/>
              <w:rPr>
                <w:sz w:val="20"/>
                <w:szCs w:val="20"/>
                <w:color w:val="auto"/>
              </w:rPr>
            </w:pPr>
            <w:r>
              <w:rPr>
                <w:rFonts w:ascii="Arial" w:cs="Arial" w:eastAsia="Arial" w:hAnsi="Arial"/>
                <w:sz w:val="13"/>
                <w:szCs w:val="13"/>
                <w:color w:val="auto"/>
              </w:rPr>
              <w:t>12.38%</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L+988</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478,873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488,220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476,878</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3"/>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C.H.I. Overhead Doors, Inc. </w:t>
            </w:r>
            <w:r>
              <w:rPr>
                <w:rFonts w:ascii="Arial" w:cs="Arial" w:eastAsia="Arial" w:hAnsi="Arial"/>
                <w:sz w:val="8"/>
                <w:szCs w:val="8"/>
                <w:color w:val="auto"/>
              </w:rPr>
              <w:t>(11)</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8/17/2017</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Consumer Goods: Durable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L+575</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3,921,236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3,900,000</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 xml:space="preserve">EAG, Inc. </w:t>
            </w:r>
            <w:r>
              <w:rPr>
                <w:rFonts w:ascii="Arial" w:cs="Arial" w:eastAsia="Arial" w:hAnsi="Arial"/>
                <w:sz w:val="8"/>
                <w:szCs w:val="8"/>
                <w:color w:val="auto"/>
              </w:rPr>
              <w:t>(11)</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7/28/2017</w:t>
            </w:r>
          </w:p>
        </w:tc>
        <w:tc>
          <w:tcPr>
            <w:tcW w:w="2060" w:type="dxa"/>
            <w:vAlign w:val="bottom"/>
          </w:tcPr>
          <w:p>
            <w:pPr>
              <w:jc w:val="center"/>
              <w:spacing w:after="0"/>
              <w:rPr>
                <w:sz w:val="20"/>
                <w:szCs w:val="20"/>
                <w:color w:val="auto"/>
              </w:rPr>
            </w:pPr>
            <w:r>
              <w:rPr>
                <w:rFonts w:ascii="Arial" w:cs="Arial" w:eastAsia="Arial" w:hAnsi="Arial"/>
                <w:sz w:val="13"/>
                <w:szCs w:val="13"/>
                <w:color w:val="auto"/>
                <w:w w:val="84"/>
              </w:rPr>
              <w:t>Business Services</w:t>
            </w:r>
          </w:p>
        </w:tc>
        <w:tc>
          <w:tcPr>
            <w:tcW w:w="700" w:type="dxa"/>
            <w:vAlign w:val="bottom"/>
          </w:tcPr>
          <w:p>
            <w:pPr>
              <w:jc w:val="right"/>
              <w:spacing w:after="0"/>
              <w:rPr>
                <w:sz w:val="20"/>
                <w:szCs w:val="20"/>
                <w:color w:val="auto"/>
              </w:rPr>
            </w:pPr>
            <w:r>
              <w:rPr>
                <w:rFonts w:ascii="Arial" w:cs="Arial" w:eastAsia="Arial" w:hAnsi="Arial"/>
                <w:sz w:val="13"/>
                <w:szCs w:val="13"/>
                <w:color w:val="auto"/>
              </w:rPr>
              <w:t>6.75%</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P+350</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987,500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982,590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967,750</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3"/>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Ernest Health, Inc. </w:t>
            </w:r>
            <w:r>
              <w:rPr>
                <w:rFonts w:ascii="Arial" w:cs="Arial" w:eastAsia="Arial" w:hAnsi="Arial"/>
                <w:sz w:val="8"/>
                <w:szCs w:val="8"/>
                <w:color w:val="auto"/>
              </w:rPr>
              <w:t>(11)</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5/13/2016</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Healthcare and Pharmaceuticals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L+475</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2,966,250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2,939,107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2,936,587</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Frac Tech International, LLC</w:t>
            </w:r>
          </w:p>
        </w:tc>
        <w:tc>
          <w:tcPr>
            <w:tcW w:w="840" w:type="dxa"/>
            <w:vAlign w:val="bottom"/>
          </w:tcPr>
          <w:p>
            <w:pPr>
              <w:jc w:val="center"/>
              <w:spacing w:after="0"/>
              <w:rPr>
                <w:sz w:val="20"/>
                <w:szCs w:val="20"/>
                <w:color w:val="auto"/>
              </w:rPr>
            </w:pPr>
            <w:r>
              <w:rPr>
                <w:rFonts w:ascii="Arial" w:cs="Arial" w:eastAsia="Arial" w:hAnsi="Arial"/>
                <w:sz w:val="13"/>
                <w:szCs w:val="13"/>
                <w:color w:val="auto"/>
                <w:w w:val="90"/>
              </w:rPr>
              <w:t>5/6/2016</w:t>
            </w:r>
          </w:p>
        </w:tc>
        <w:tc>
          <w:tcPr>
            <w:tcW w:w="2060" w:type="dxa"/>
            <w:vAlign w:val="bottom"/>
          </w:tcPr>
          <w:p>
            <w:pPr>
              <w:jc w:val="center"/>
              <w:spacing w:after="0"/>
              <w:rPr>
                <w:sz w:val="20"/>
                <w:szCs w:val="20"/>
                <w:color w:val="auto"/>
              </w:rPr>
            </w:pPr>
            <w:r>
              <w:rPr>
                <w:rFonts w:ascii="Arial" w:cs="Arial" w:eastAsia="Arial" w:hAnsi="Arial"/>
                <w:sz w:val="13"/>
                <w:szCs w:val="13"/>
                <w:color w:val="auto"/>
                <w:w w:val="88"/>
              </w:rPr>
              <w:t>Energy: Oil and Gas</w:t>
            </w:r>
          </w:p>
        </w:tc>
        <w:tc>
          <w:tcPr>
            <w:tcW w:w="700" w:type="dxa"/>
            <w:vAlign w:val="bottom"/>
          </w:tcPr>
          <w:p>
            <w:pPr>
              <w:jc w:val="right"/>
              <w:spacing w:after="0"/>
              <w:rPr>
                <w:sz w:val="20"/>
                <w:szCs w:val="20"/>
                <w:color w:val="auto"/>
              </w:rPr>
            </w:pPr>
            <w:r>
              <w:rPr>
                <w:rFonts w:ascii="Arial" w:cs="Arial" w:eastAsia="Arial" w:hAnsi="Arial"/>
                <w:sz w:val="13"/>
                <w:szCs w:val="13"/>
                <w:color w:val="auto"/>
              </w:rPr>
              <w:t>6.25%</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L+475</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2,073,930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2,054,330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2,033,747</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3"/>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 xml:space="preserve">Gundle/SLT Environmental, Inc. </w:t>
            </w:r>
            <w:r>
              <w:rPr>
                <w:rFonts w:ascii="Arial" w:cs="Arial" w:eastAsia="Arial" w:hAnsi="Arial"/>
                <w:sz w:val="8"/>
                <w:szCs w:val="8"/>
                <w:color w:val="auto"/>
                <w:w w:val="97"/>
              </w:rPr>
              <w:t>(11)</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5/27/2016</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Environmental Industries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L+550</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2,992,500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2,964,467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2,812,950</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 xml:space="preserve">Harmony Foods Corporation </w:t>
            </w:r>
            <w:r>
              <w:rPr>
                <w:rFonts w:ascii="Arial" w:cs="Arial" w:eastAsia="Arial" w:hAnsi="Arial"/>
                <w:sz w:val="8"/>
                <w:szCs w:val="8"/>
                <w:color w:val="auto"/>
              </w:rPr>
              <w:t>(5) (6)</w:t>
            </w:r>
          </w:p>
        </w:tc>
        <w:tc>
          <w:tcPr>
            <w:tcW w:w="840" w:type="dxa"/>
            <w:vAlign w:val="bottom"/>
          </w:tcPr>
          <w:p>
            <w:pPr>
              <w:jc w:val="center"/>
              <w:spacing w:after="0"/>
              <w:rPr>
                <w:sz w:val="20"/>
                <w:szCs w:val="20"/>
                <w:color w:val="auto"/>
              </w:rPr>
            </w:pPr>
            <w:r>
              <w:rPr>
                <w:rFonts w:ascii="Arial" w:cs="Arial" w:eastAsia="Arial" w:hAnsi="Arial"/>
                <w:sz w:val="13"/>
                <w:szCs w:val="13"/>
                <w:color w:val="auto"/>
                <w:w w:val="90"/>
              </w:rPr>
              <w:t>5/1/2016</w:t>
            </w:r>
          </w:p>
        </w:tc>
        <w:tc>
          <w:tcPr>
            <w:tcW w:w="2060" w:type="dxa"/>
            <w:vAlign w:val="bottom"/>
          </w:tcPr>
          <w:p>
            <w:pPr>
              <w:jc w:val="center"/>
              <w:spacing w:after="0"/>
              <w:rPr>
                <w:sz w:val="20"/>
                <w:szCs w:val="20"/>
                <w:color w:val="auto"/>
              </w:rPr>
            </w:pPr>
            <w:r>
              <w:rPr>
                <w:rFonts w:ascii="Arial" w:cs="Arial" w:eastAsia="Arial" w:hAnsi="Arial"/>
                <w:sz w:val="13"/>
                <w:szCs w:val="13"/>
                <w:color w:val="auto"/>
                <w:w w:val="85"/>
              </w:rPr>
              <w:t>Beverage, Food and Tobacco</w:t>
            </w:r>
          </w:p>
        </w:tc>
        <w:tc>
          <w:tcPr>
            <w:tcW w:w="700" w:type="dxa"/>
            <w:vAlign w:val="bottom"/>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2,000,000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2,000,000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1,990,000</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3"/>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Insight Global, Inc. </w:t>
            </w:r>
            <w:r>
              <w:rPr>
                <w:rFonts w:ascii="Arial" w:cs="Arial" w:eastAsia="Arial" w:hAnsi="Arial"/>
                <w:sz w:val="8"/>
                <w:szCs w:val="8"/>
                <w:color w:val="auto"/>
              </w:rPr>
              <w:t>(11)</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8/16/2017</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Business Services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L+500</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2,493,750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2,481,331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2,475,047</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48"/>
        </w:trPr>
        <w:tc>
          <w:tcPr>
            <w:tcW w:w="2040" w:type="dxa"/>
            <w:vAlign w:val="bottom"/>
          </w:tcPr>
          <w:p>
            <w:pPr>
              <w:ind w:left="40"/>
              <w:spacing w:after="0" w:line="148" w:lineRule="exact"/>
              <w:rPr>
                <w:sz w:val="20"/>
                <w:szCs w:val="20"/>
                <w:color w:val="auto"/>
              </w:rPr>
            </w:pPr>
            <w:r>
              <w:rPr>
                <w:rFonts w:ascii="Arial" w:cs="Arial" w:eastAsia="Arial" w:hAnsi="Arial"/>
                <w:sz w:val="13"/>
                <w:szCs w:val="13"/>
                <w:color w:val="auto"/>
              </w:rPr>
              <w:t>Instant Web, Inc.</w:t>
            </w:r>
          </w:p>
        </w:tc>
        <w:tc>
          <w:tcPr>
            <w:tcW w:w="840" w:type="dxa"/>
            <w:vAlign w:val="bottom"/>
          </w:tcPr>
          <w:p>
            <w:pPr>
              <w:jc w:val="center"/>
              <w:spacing w:after="0" w:line="148" w:lineRule="exact"/>
              <w:rPr>
                <w:sz w:val="20"/>
                <w:szCs w:val="20"/>
                <w:color w:val="auto"/>
              </w:rPr>
            </w:pPr>
            <w:r>
              <w:rPr>
                <w:rFonts w:ascii="Arial" w:cs="Arial" w:eastAsia="Arial" w:hAnsi="Arial"/>
                <w:sz w:val="13"/>
                <w:szCs w:val="13"/>
                <w:color w:val="auto"/>
                <w:w w:val="90"/>
              </w:rPr>
              <w:t>8/7/2014</w:t>
            </w:r>
          </w:p>
        </w:tc>
        <w:tc>
          <w:tcPr>
            <w:tcW w:w="2060" w:type="dxa"/>
            <w:vAlign w:val="bottom"/>
          </w:tcPr>
          <w:p>
            <w:pPr>
              <w:jc w:val="center"/>
              <w:spacing w:after="0" w:line="148" w:lineRule="exact"/>
              <w:rPr>
                <w:sz w:val="20"/>
                <w:szCs w:val="20"/>
                <w:color w:val="auto"/>
              </w:rPr>
            </w:pPr>
            <w:r>
              <w:rPr>
                <w:rFonts w:ascii="Arial" w:cs="Arial" w:eastAsia="Arial" w:hAnsi="Arial"/>
                <w:sz w:val="13"/>
                <w:szCs w:val="13"/>
                <w:color w:val="auto"/>
                <w:w w:val="90"/>
              </w:rPr>
              <w:t>Media: Advertising, Printing and</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3.61%</w:t>
            </w:r>
          </w:p>
        </w:tc>
        <w:tc>
          <w:tcPr>
            <w:tcW w:w="26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L+338</w:t>
            </w:r>
          </w:p>
        </w:tc>
        <w:tc>
          <w:tcPr>
            <w:tcW w:w="340" w:type="dxa"/>
            <w:vAlign w:val="bottom"/>
          </w:tcPr>
          <w:p>
            <w:pPr>
              <w:jc w:val="right"/>
              <w:ind w:right="175"/>
              <w:spacing w:after="0"/>
              <w:rPr>
                <w:sz w:val="20"/>
                <w:szCs w:val="20"/>
                <w:color w:val="auto"/>
              </w:rPr>
            </w:pPr>
            <w:r>
              <w:rPr>
                <w:rFonts w:ascii="Arial" w:cs="Arial" w:eastAsia="Arial" w:hAnsi="Arial"/>
                <w:sz w:val="9"/>
                <w:szCs w:val="9"/>
                <w:color w:val="auto"/>
                <w:w w:val="90"/>
              </w:rPr>
              <w:t>(7)</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6,981,823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6,523,240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6,283,641</w:t>
            </w:r>
          </w:p>
        </w:tc>
      </w:tr>
      <w:tr>
        <w:trPr>
          <w:trHeight w:val="168"/>
        </w:trPr>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1"/>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8"/>
                <w:szCs w:val="8"/>
                <w:color w:val="auto"/>
              </w:rPr>
              <w:t>(11)</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9/10/2015</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Chemicals, Plastics and Rubber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P+675</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5,476,250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5,525,637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5,202,437</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KAR Auction Services, Inc.</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5/19/2017</w:t>
            </w:r>
          </w:p>
        </w:tc>
        <w:tc>
          <w:tcPr>
            <w:tcW w:w="2060" w:type="dxa"/>
            <w:vAlign w:val="bottom"/>
          </w:tcPr>
          <w:p>
            <w:pPr>
              <w:jc w:val="center"/>
              <w:spacing w:after="0"/>
              <w:rPr>
                <w:sz w:val="20"/>
                <w:szCs w:val="20"/>
                <w:color w:val="auto"/>
              </w:rPr>
            </w:pPr>
            <w:r>
              <w:rPr>
                <w:rFonts w:ascii="Arial" w:cs="Arial" w:eastAsia="Arial" w:hAnsi="Arial"/>
                <w:sz w:val="13"/>
                <w:szCs w:val="13"/>
                <w:color w:val="auto"/>
                <w:w w:val="92"/>
              </w:rPr>
              <w:t>Automotive</w:t>
            </w:r>
          </w:p>
        </w:tc>
        <w:tc>
          <w:tcPr>
            <w:tcW w:w="700" w:type="dxa"/>
            <w:vAlign w:val="bottom"/>
          </w:tcPr>
          <w:p>
            <w:pPr>
              <w:jc w:val="right"/>
              <w:spacing w:after="0"/>
              <w:rPr>
                <w:sz w:val="20"/>
                <w:szCs w:val="20"/>
                <w:color w:val="auto"/>
              </w:rPr>
            </w:pPr>
            <w:r>
              <w:rPr>
                <w:rFonts w:ascii="Arial" w:cs="Arial" w:eastAsia="Arial" w:hAnsi="Arial"/>
                <w:sz w:val="13"/>
                <w:szCs w:val="13"/>
                <w:color w:val="auto"/>
              </w:rPr>
              <w:t>5.00%</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L+375</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2,992,500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2,978,487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2,895,244</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3"/>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KIK Custom Products Inc. </w:t>
            </w:r>
            <w:r>
              <w:rPr>
                <w:rFonts w:ascii="Arial" w:cs="Arial" w:eastAsia="Arial" w:hAnsi="Arial"/>
                <w:sz w:val="8"/>
                <w:szCs w:val="8"/>
                <w:color w:val="auto"/>
              </w:rPr>
              <w:t>(7)</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5/31/2014</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Consumer Goods: Non-Durable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L+700</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4,987,500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4,847,186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4,713,187</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 xml:space="preserve">Medpace Holdings, Inc. </w:t>
            </w:r>
            <w:r>
              <w:rPr>
                <w:rFonts w:ascii="Arial" w:cs="Arial" w:eastAsia="Arial" w:hAnsi="Arial"/>
                <w:sz w:val="8"/>
                <w:szCs w:val="8"/>
                <w:color w:val="auto"/>
              </w:rPr>
              <w:t>(11)</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6/17/2017</w:t>
            </w:r>
          </w:p>
        </w:tc>
        <w:tc>
          <w:tcPr>
            <w:tcW w:w="2060" w:type="dxa"/>
            <w:vAlign w:val="bottom"/>
          </w:tcPr>
          <w:p>
            <w:pPr>
              <w:jc w:val="center"/>
              <w:spacing w:after="0"/>
              <w:rPr>
                <w:sz w:val="20"/>
                <w:szCs w:val="20"/>
                <w:color w:val="auto"/>
              </w:rPr>
            </w:pPr>
            <w:r>
              <w:rPr>
                <w:rFonts w:ascii="Arial" w:cs="Arial" w:eastAsia="Arial" w:hAnsi="Arial"/>
                <w:sz w:val="13"/>
                <w:szCs w:val="13"/>
                <w:color w:val="auto"/>
                <w:w w:val="84"/>
              </w:rPr>
              <w:t>Business Services</w:t>
            </w:r>
          </w:p>
        </w:tc>
        <w:tc>
          <w:tcPr>
            <w:tcW w:w="700" w:type="dxa"/>
            <w:vAlign w:val="bottom"/>
          </w:tcPr>
          <w:p>
            <w:pPr>
              <w:jc w:val="right"/>
              <w:spacing w:after="0"/>
              <w:rPr>
                <w:sz w:val="20"/>
                <w:szCs w:val="20"/>
                <w:color w:val="auto"/>
              </w:rPr>
            </w:pPr>
            <w:r>
              <w:rPr>
                <w:rFonts w:ascii="Arial" w:cs="Arial" w:eastAsia="Arial" w:hAnsi="Arial"/>
                <w:sz w:val="13"/>
                <w:szCs w:val="13"/>
                <w:color w:val="auto"/>
              </w:rPr>
              <w:t>6.50%</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L+500</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1,995,000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1,966,025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1,895,250</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3"/>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Mood Media Corporation </w:t>
            </w:r>
            <w:r>
              <w:rPr>
                <w:rFonts w:ascii="Arial" w:cs="Arial" w:eastAsia="Arial" w:hAnsi="Arial"/>
                <w:sz w:val="8"/>
                <w:szCs w:val="8"/>
                <w:color w:val="auto"/>
              </w:rPr>
              <w:t>(7) (11)</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5/6/2018</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Media: Diversified and Production</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L+550</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3,951,886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3,670,800</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Penton Media, Inc.</w:t>
            </w:r>
          </w:p>
        </w:tc>
        <w:tc>
          <w:tcPr>
            <w:tcW w:w="840" w:type="dxa"/>
            <w:vAlign w:val="bottom"/>
          </w:tcPr>
          <w:p>
            <w:pPr>
              <w:jc w:val="center"/>
              <w:spacing w:after="0"/>
              <w:rPr>
                <w:sz w:val="20"/>
                <w:szCs w:val="20"/>
                <w:color w:val="auto"/>
              </w:rPr>
            </w:pPr>
            <w:r>
              <w:rPr>
                <w:rFonts w:ascii="Arial" w:cs="Arial" w:eastAsia="Arial" w:hAnsi="Arial"/>
                <w:sz w:val="13"/>
                <w:szCs w:val="13"/>
                <w:color w:val="auto"/>
                <w:w w:val="90"/>
              </w:rPr>
              <w:t>8/1/2014</w:t>
            </w:r>
          </w:p>
        </w:tc>
        <w:tc>
          <w:tcPr>
            <w:tcW w:w="2060" w:type="dxa"/>
            <w:vAlign w:val="bottom"/>
          </w:tcPr>
          <w:p>
            <w:pPr>
              <w:jc w:val="center"/>
              <w:spacing w:after="0"/>
              <w:rPr>
                <w:sz w:val="20"/>
                <w:szCs w:val="20"/>
                <w:color w:val="auto"/>
              </w:rPr>
            </w:pPr>
            <w:r>
              <w:rPr>
                <w:rFonts w:ascii="Arial" w:cs="Arial" w:eastAsia="Arial" w:hAnsi="Arial"/>
                <w:sz w:val="13"/>
                <w:szCs w:val="13"/>
                <w:color w:val="auto"/>
                <w:w w:val="90"/>
              </w:rPr>
              <w:t>Media: Diversified and Production</w:t>
            </w:r>
          </w:p>
        </w:tc>
        <w:tc>
          <w:tcPr>
            <w:tcW w:w="700" w:type="dxa"/>
            <w:vAlign w:val="bottom"/>
          </w:tcPr>
          <w:p>
            <w:pPr>
              <w:jc w:val="right"/>
              <w:spacing w:after="0"/>
              <w:rPr>
                <w:sz w:val="20"/>
                <w:szCs w:val="20"/>
                <w:color w:val="auto"/>
              </w:rPr>
            </w:pPr>
            <w:r>
              <w:rPr>
                <w:rFonts w:ascii="Arial" w:cs="Arial" w:eastAsia="Arial" w:hAnsi="Arial"/>
                <w:sz w:val="13"/>
                <w:szCs w:val="13"/>
                <w:color w:val="auto"/>
              </w:rPr>
              <w:t>5.00%</w:t>
            </w:r>
          </w:p>
        </w:tc>
        <w:tc>
          <w:tcPr>
            <w:tcW w:w="260" w:type="dxa"/>
            <w:vAlign w:val="bottom"/>
          </w:tcPr>
          <w:p>
            <w:pPr>
              <w:jc w:val="right"/>
              <w:ind w:right="95"/>
              <w:spacing w:after="0"/>
              <w:rPr>
                <w:sz w:val="20"/>
                <w:szCs w:val="20"/>
                <w:color w:val="auto"/>
              </w:rPr>
            </w:pPr>
            <w:r>
              <w:rPr>
                <w:rFonts w:ascii="Arial" w:cs="Arial" w:eastAsia="Arial" w:hAnsi="Arial"/>
                <w:sz w:val="9"/>
                <w:szCs w:val="9"/>
                <w:color w:val="auto"/>
                <w:w w:val="90"/>
              </w:rPr>
              <w:t>(8)</w:t>
            </w:r>
          </w:p>
        </w:tc>
        <w:tc>
          <w:tcPr>
            <w:tcW w:w="720" w:type="dxa"/>
            <w:vAlign w:val="bottom"/>
          </w:tcPr>
          <w:p>
            <w:pPr>
              <w:jc w:val="right"/>
              <w:spacing w:after="0"/>
              <w:rPr>
                <w:sz w:val="20"/>
                <w:szCs w:val="20"/>
                <w:color w:val="auto"/>
              </w:rPr>
            </w:pPr>
            <w:r>
              <w:rPr>
                <w:rFonts w:ascii="Arial" w:cs="Arial" w:eastAsia="Arial" w:hAnsi="Arial"/>
                <w:sz w:val="13"/>
                <w:szCs w:val="13"/>
                <w:color w:val="auto"/>
              </w:rPr>
              <w:t>L+400</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5,498,048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4,675,936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3,802,818</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3"/>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Potter's Holdings II, L.P. </w:t>
            </w:r>
            <w:r>
              <w:rPr>
                <w:rFonts w:ascii="Arial" w:cs="Arial" w:eastAsia="Arial" w:hAnsi="Arial"/>
                <w:sz w:val="8"/>
                <w:szCs w:val="8"/>
                <w:color w:val="auto"/>
              </w:rPr>
              <w:t>(11)</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5/8/2017</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Containers, Packaging and Glass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L+450</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1,976,257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1,900,237</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 xml:space="preserve">Pro Mach, Inc. </w:t>
            </w:r>
            <w:r>
              <w:rPr>
                <w:rFonts w:ascii="Arial" w:cs="Arial" w:eastAsia="Arial" w:hAnsi="Arial"/>
                <w:sz w:val="8"/>
                <w:szCs w:val="8"/>
                <w:color w:val="auto"/>
              </w:rPr>
              <w:t>(11)</w:t>
            </w:r>
          </w:p>
        </w:tc>
        <w:tc>
          <w:tcPr>
            <w:tcW w:w="840" w:type="dxa"/>
            <w:vAlign w:val="bottom"/>
          </w:tcPr>
          <w:p>
            <w:pPr>
              <w:jc w:val="center"/>
              <w:spacing w:after="0"/>
              <w:rPr>
                <w:sz w:val="20"/>
                <w:szCs w:val="20"/>
                <w:color w:val="auto"/>
              </w:rPr>
            </w:pPr>
            <w:r>
              <w:rPr>
                <w:rFonts w:ascii="Arial" w:cs="Arial" w:eastAsia="Arial" w:hAnsi="Arial"/>
                <w:sz w:val="13"/>
                <w:szCs w:val="13"/>
                <w:color w:val="auto"/>
                <w:w w:val="90"/>
              </w:rPr>
              <w:t>7/6/2017</w:t>
            </w:r>
          </w:p>
        </w:tc>
        <w:tc>
          <w:tcPr>
            <w:tcW w:w="2060" w:type="dxa"/>
            <w:vAlign w:val="bottom"/>
          </w:tcPr>
          <w:p>
            <w:pPr>
              <w:jc w:val="center"/>
              <w:spacing w:after="0"/>
              <w:rPr>
                <w:sz w:val="20"/>
                <w:szCs w:val="20"/>
                <w:color w:val="auto"/>
              </w:rPr>
            </w:pPr>
            <w:r>
              <w:rPr>
                <w:rFonts w:ascii="Arial" w:cs="Arial" w:eastAsia="Arial" w:hAnsi="Arial"/>
                <w:sz w:val="13"/>
                <w:szCs w:val="13"/>
                <w:color w:val="auto"/>
                <w:w w:val="90"/>
              </w:rPr>
              <w:t>Capital Equipment</w:t>
            </w:r>
          </w:p>
        </w:tc>
        <w:tc>
          <w:tcPr>
            <w:tcW w:w="700" w:type="dxa"/>
            <w:vAlign w:val="bottom"/>
          </w:tcPr>
          <w:p>
            <w:pPr>
              <w:jc w:val="right"/>
              <w:spacing w:after="0"/>
              <w:rPr>
                <w:sz w:val="20"/>
                <w:szCs w:val="20"/>
                <w:color w:val="auto"/>
              </w:rPr>
            </w:pPr>
            <w:r>
              <w:rPr>
                <w:rFonts w:ascii="Arial" w:cs="Arial" w:eastAsia="Arial" w:hAnsi="Arial"/>
                <w:sz w:val="13"/>
                <w:szCs w:val="13"/>
                <w:color w:val="auto"/>
              </w:rPr>
              <w:t>6.25%</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L+475</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997,500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987,986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982,537</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3"/>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Securus Technologies, Inc. </w:t>
            </w:r>
            <w:r>
              <w:rPr>
                <w:rFonts w:ascii="Arial" w:cs="Arial" w:eastAsia="Arial" w:hAnsi="Arial"/>
                <w:sz w:val="8"/>
                <w:szCs w:val="8"/>
                <w:color w:val="auto"/>
              </w:rPr>
              <w:t>(11)</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5/31/2017</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Telecommunications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L+400</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2,992,500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2,963,597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2,891,503</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Select Medical Corporation</w:t>
            </w:r>
          </w:p>
        </w:tc>
        <w:tc>
          <w:tcPr>
            <w:tcW w:w="840" w:type="dxa"/>
            <w:vAlign w:val="bottom"/>
          </w:tcPr>
          <w:p>
            <w:pPr>
              <w:jc w:val="center"/>
              <w:spacing w:after="0"/>
              <w:rPr>
                <w:sz w:val="20"/>
                <w:szCs w:val="20"/>
                <w:color w:val="auto"/>
              </w:rPr>
            </w:pPr>
            <w:r>
              <w:rPr>
                <w:rFonts w:ascii="Arial" w:cs="Arial" w:eastAsia="Arial" w:hAnsi="Arial"/>
                <w:sz w:val="13"/>
                <w:szCs w:val="13"/>
                <w:color w:val="auto"/>
                <w:w w:val="90"/>
              </w:rPr>
              <w:t>6/1/2018</w:t>
            </w:r>
          </w:p>
        </w:tc>
        <w:tc>
          <w:tcPr>
            <w:tcW w:w="2060" w:type="dxa"/>
            <w:vAlign w:val="bottom"/>
          </w:tcPr>
          <w:p>
            <w:pPr>
              <w:jc w:val="center"/>
              <w:spacing w:after="0"/>
              <w:rPr>
                <w:sz w:val="20"/>
                <w:szCs w:val="20"/>
                <w:color w:val="auto"/>
              </w:rPr>
            </w:pPr>
            <w:r>
              <w:rPr>
                <w:rFonts w:ascii="Arial" w:cs="Arial" w:eastAsia="Arial" w:hAnsi="Arial"/>
                <w:sz w:val="13"/>
                <w:szCs w:val="13"/>
                <w:color w:val="auto"/>
                <w:w w:val="84"/>
              </w:rPr>
              <w:t>Business Services</w:t>
            </w:r>
          </w:p>
        </w:tc>
        <w:tc>
          <w:tcPr>
            <w:tcW w:w="700" w:type="dxa"/>
            <w:vAlign w:val="bottom"/>
          </w:tcPr>
          <w:p>
            <w:pPr>
              <w:jc w:val="right"/>
              <w:spacing w:after="0"/>
              <w:rPr>
                <w:sz w:val="20"/>
                <w:szCs w:val="20"/>
                <w:color w:val="auto"/>
              </w:rPr>
            </w:pPr>
            <w:r>
              <w:rPr>
                <w:rFonts w:ascii="Arial" w:cs="Arial" w:eastAsia="Arial" w:hAnsi="Arial"/>
                <w:sz w:val="13"/>
                <w:szCs w:val="13"/>
                <w:color w:val="auto"/>
              </w:rPr>
              <w:t>5.50%</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L+375</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2,992,500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2,963,943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2,708,212</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3"/>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Seven Seas Cruises </w:t>
            </w:r>
            <w:r>
              <w:rPr>
                <w:rFonts w:ascii="Arial" w:cs="Arial" w:eastAsia="Arial" w:hAnsi="Arial"/>
                <w:sz w:val="8"/>
                <w:szCs w:val="8"/>
                <w:color w:val="auto"/>
              </w:rPr>
              <w:t>(5) (6) (7)</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5/15/2019</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Hotel, Gaming and Leisure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2,970,000</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 xml:space="preserve">Sotera Defense Solutions, Inc. </w:t>
            </w:r>
            <w:r>
              <w:rPr>
                <w:rFonts w:ascii="Arial" w:cs="Arial" w:eastAsia="Arial" w:hAnsi="Arial"/>
                <w:sz w:val="8"/>
                <w:szCs w:val="8"/>
                <w:color w:val="auto"/>
              </w:rPr>
              <w:t>(11)</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4/22/2017</w:t>
            </w:r>
          </w:p>
        </w:tc>
        <w:tc>
          <w:tcPr>
            <w:tcW w:w="2060" w:type="dxa"/>
            <w:vAlign w:val="bottom"/>
          </w:tcPr>
          <w:p>
            <w:pPr>
              <w:jc w:val="center"/>
              <w:spacing w:after="0"/>
              <w:rPr>
                <w:sz w:val="20"/>
                <w:szCs w:val="20"/>
                <w:color w:val="auto"/>
              </w:rPr>
            </w:pPr>
            <w:r>
              <w:rPr>
                <w:rFonts w:ascii="Arial" w:cs="Arial" w:eastAsia="Arial" w:hAnsi="Arial"/>
                <w:sz w:val="13"/>
                <w:szCs w:val="13"/>
                <w:color w:val="auto"/>
                <w:w w:val="86"/>
              </w:rPr>
              <w:t>Aerospace and Defense</w:t>
            </w:r>
          </w:p>
        </w:tc>
        <w:tc>
          <w:tcPr>
            <w:tcW w:w="700" w:type="dxa"/>
            <w:vAlign w:val="bottom"/>
          </w:tcPr>
          <w:p>
            <w:pPr>
              <w:jc w:val="right"/>
              <w:spacing w:after="0"/>
              <w:rPr>
                <w:sz w:val="20"/>
                <w:szCs w:val="20"/>
                <w:color w:val="auto"/>
              </w:rPr>
            </w:pPr>
            <w:r>
              <w:rPr>
                <w:rFonts w:ascii="Arial" w:cs="Arial" w:eastAsia="Arial" w:hAnsi="Arial"/>
                <w:sz w:val="13"/>
                <w:szCs w:val="13"/>
                <w:color w:val="auto"/>
              </w:rPr>
              <w:t>7.00%</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L+550</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2,992,500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2,964,848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2,917,688</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3"/>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 xml:space="preserve">Tank Intermediate Holding Corp. </w:t>
            </w:r>
            <w:r>
              <w:rPr>
                <w:rFonts w:ascii="Arial" w:cs="Arial" w:eastAsia="Arial" w:hAnsi="Arial"/>
                <w:sz w:val="8"/>
                <w:szCs w:val="8"/>
                <w:color w:val="auto"/>
                <w:w w:val="96"/>
              </w:rPr>
              <w:t>(11)</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4/15/2016</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Containers, Packaging and Glass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L+375</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1,835,472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1,831,420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1,807,940</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 xml:space="preserve">Terex Corporation </w:t>
            </w:r>
            <w:r>
              <w:rPr>
                <w:rFonts w:ascii="Arial" w:cs="Arial" w:eastAsia="Arial" w:hAnsi="Arial"/>
                <w:sz w:val="8"/>
                <w:szCs w:val="8"/>
                <w:color w:val="auto"/>
              </w:rPr>
              <w:t>(11)</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4/28/2017</w:t>
            </w:r>
          </w:p>
        </w:tc>
        <w:tc>
          <w:tcPr>
            <w:tcW w:w="2060" w:type="dxa"/>
            <w:vAlign w:val="bottom"/>
          </w:tcPr>
          <w:p>
            <w:pPr>
              <w:jc w:val="center"/>
              <w:spacing w:after="0"/>
              <w:rPr>
                <w:sz w:val="20"/>
                <w:szCs w:val="20"/>
                <w:color w:val="auto"/>
              </w:rPr>
            </w:pPr>
            <w:r>
              <w:rPr>
                <w:rFonts w:ascii="Arial" w:cs="Arial" w:eastAsia="Arial" w:hAnsi="Arial"/>
                <w:sz w:val="13"/>
                <w:szCs w:val="13"/>
                <w:color w:val="auto"/>
                <w:w w:val="90"/>
              </w:rPr>
              <w:t>Capital Equipment</w:t>
            </w:r>
          </w:p>
        </w:tc>
        <w:tc>
          <w:tcPr>
            <w:tcW w:w="700" w:type="dxa"/>
            <w:vAlign w:val="bottom"/>
          </w:tcPr>
          <w:p>
            <w:pPr>
              <w:jc w:val="right"/>
              <w:spacing w:after="0"/>
              <w:rPr>
                <w:sz w:val="20"/>
                <w:szCs w:val="20"/>
                <w:color w:val="auto"/>
              </w:rPr>
            </w:pPr>
            <w:r>
              <w:rPr>
                <w:rFonts w:ascii="Arial" w:cs="Arial" w:eastAsia="Arial" w:hAnsi="Arial"/>
                <w:sz w:val="13"/>
                <w:szCs w:val="13"/>
                <w:color w:val="auto"/>
              </w:rPr>
              <w:t>5.50%</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L+400</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2,000,000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1,980,598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1,962,500</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3"/>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Triple Point Technology, Inc. </w:t>
            </w:r>
            <w:r>
              <w:rPr>
                <w:rFonts w:ascii="Arial" w:cs="Arial" w:eastAsia="Arial" w:hAnsi="Arial"/>
                <w:sz w:val="8"/>
                <w:szCs w:val="8"/>
                <w:color w:val="auto"/>
              </w:rPr>
              <w:t>(11)</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4/14/2016</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High Tech Industries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L+475</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4,968,750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4,923,769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4,819,688</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 xml:space="preserve">Univita Health Inc. </w:t>
            </w:r>
            <w:r>
              <w:rPr>
                <w:rFonts w:ascii="Arial" w:cs="Arial" w:eastAsia="Arial" w:hAnsi="Arial"/>
                <w:sz w:val="8"/>
                <w:szCs w:val="8"/>
                <w:color w:val="auto"/>
              </w:rPr>
              <w:t>(11)</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6/19/2017</w:t>
            </w:r>
          </w:p>
        </w:tc>
        <w:tc>
          <w:tcPr>
            <w:tcW w:w="2060" w:type="dxa"/>
            <w:vAlign w:val="bottom"/>
          </w:tcPr>
          <w:p>
            <w:pPr>
              <w:jc w:val="center"/>
              <w:spacing w:after="0"/>
              <w:rPr>
                <w:sz w:val="20"/>
                <w:szCs w:val="20"/>
                <w:color w:val="auto"/>
              </w:rPr>
            </w:pPr>
            <w:r>
              <w:rPr>
                <w:rFonts w:ascii="Arial" w:cs="Arial" w:eastAsia="Arial" w:hAnsi="Arial"/>
                <w:sz w:val="13"/>
                <w:szCs w:val="13"/>
                <w:color w:val="auto"/>
                <w:w w:val="86"/>
              </w:rPr>
              <w:t>Consumer Services</w:t>
            </w:r>
          </w:p>
        </w:tc>
        <w:tc>
          <w:tcPr>
            <w:tcW w:w="700" w:type="dxa"/>
            <w:vAlign w:val="bottom"/>
          </w:tcPr>
          <w:p>
            <w:pPr>
              <w:jc w:val="right"/>
              <w:spacing w:after="0"/>
              <w:rPr>
                <w:sz w:val="20"/>
                <w:szCs w:val="20"/>
                <w:color w:val="auto"/>
              </w:rPr>
            </w:pPr>
            <w:r>
              <w:rPr>
                <w:rFonts w:ascii="Arial" w:cs="Arial" w:eastAsia="Arial" w:hAnsi="Arial"/>
                <w:sz w:val="13"/>
                <w:szCs w:val="13"/>
                <w:color w:val="auto"/>
              </w:rPr>
              <w:t>6.25%</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L+475</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2,992,500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2,964,110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2,827,913</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48"/>
        </w:trPr>
        <w:tc>
          <w:tcPr>
            <w:tcW w:w="20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U.S. Healthworks Holding Company,</w:t>
            </w:r>
          </w:p>
        </w:tc>
        <w:tc>
          <w:tcPr>
            <w:tcW w:w="8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6"/>
              </w:rPr>
              <w:t>6/15/2016</w:t>
            </w:r>
          </w:p>
        </w:tc>
        <w:tc>
          <w:tcPr>
            <w:tcW w:w="20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6.25%</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L+475</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2,992,500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2,964,480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2,887,763</w:t>
            </w:r>
          </w:p>
        </w:tc>
      </w:tr>
      <w:tr>
        <w:trPr>
          <w:trHeight w:val="176"/>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Inc. </w:t>
            </w:r>
            <w:r>
              <w:rPr>
                <w:rFonts w:ascii="Arial" w:cs="Arial" w:eastAsia="Arial" w:hAnsi="Arial"/>
                <w:sz w:val="8"/>
                <w:szCs w:val="8"/>
                <w:color w:val="auto"/>
              </w:rPr>
              <w:t>(11)</w:t>
            </w:r>
          </w:p>
        </w:tc>
        <w:tc>
          <w:tcPr>
            <w:tcW w:w="84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 xml:space="preserve">Valitas Health Services, Inc. </w:t>
            </w:r>
            <w:r>
              <w:rPr>
                <w:rFonts w:ascii="Arial" w:cs="Arial" w:eastAsia="Arial" w:hAnsi="Arial"/>
                <w:sz w:val="8"/>
                <w:szCs w:val="8"/>
                <w:color w:val="auto"/>
              </w:rPr>
              <w:t>(11)</w:t>
            </w:r>
          </w:p>
        </w:tc>
        <w:tc>
          <w:tcPr>
            <w:tcW w:w="840" w:type="dxa"/>
            <w:vAlign w:val="bottom"/>
          </w:tcPr>
          <w:p>
            <w:pPr>
              <w:jc w:val="center"/>
              <w:spacing w:after="0"/>
              <w:rPr>
                <w:sz w:val="20"/>
                <w:szCs w:val="20"/>
                <w:color w:val="auto"/>
              </w:rPr>
            </w:pPr>
            <w:r>
              <w:rPr>
                <w:rFonts w:ascii="Arial" w:cs="Arial" w:eastAsia="Arial" w:hAnsi="Arial"/>
                <w:sz w:val="13"/>
                <w:szCs w:val="13"/>
                <w:color w:val="auto"/>
                <w:w w:val="90"/>
              </w:rPr>
              <w:t>6/2/2017</w:t>
            </w:r>
          </w:p>
        </w:tc>
        <w:tc>
          <w:tcPr>
            <w:tcW w:w="2060" w:type="dxa"/>
            <w:vAlign w:val="bottom"/>
          </w:tcPr>
          <w:p>
            <w:pPr>
              <w:jc w:val="center"/>
              <w:spacing w:after="0"/>
              <w:rPr>
                <w:sz w:val="20"/>
                <w:szCs w:val="20"/>
                <w:color w:val="auto"/>
              </w:rPr>
            </w:pPr>
            <w:r>
              <w:rPr>
                <w:rFonts w:ascii="Arial" w:cs="Arial" w:eastAsia="Arial" w:hAnsi="Arial"/>
                <w:sz w:val="13"/>
                <w:szCs w:val="13"/>
                <w:color w:val="auto"/>
                <w:w w:val="86"/>
              </w:rPr>
              <w:t>Healthcare and Pharmaceuticals</w:t>
            </w:r>
          </w:p>
        </w:tc>
        <w:tc>
          <w:tcPr>
            <w:tcW w:w="700" w:type="dxa"/>
            <w:vAlign w:val="bottom"/>
          </w:tcPr>
          <w:p>
            <w:pPr>
              <w:jc w:val="right"/>
              <w:spacing w:after="0"/>
              <w:rPr>
                <w:sz w:val="20"/>
                <w:szCs w:val="20"/>
                <w:color w:val="auto"/>
              </w:rPr>
            </w:pPr>
            <w:r>
              <w:rPr>
                <w:rFonts w:ascii="Arial" w:cs="Arial" w:eastAsia="Arial" w:hAnsi="Arial"/>
                <w:sz w:val="13"/>
                <w:szCs w:val="13"/>
                <w:color w:val="auto"/>
              </w:rPr>
              <w:t>5.75%</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L+450</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1,496,250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1,489,223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1,406,475</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48"/>
        </w:trPr>
        <w:tc>
          <w:tcPr>
            <w:tcW w:w="20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Viamedia Services Corp.</w:t>
            </w:r>
          </w:p>
        </w:tc>
        <w:tc>
          <w:tcPr>
            <w:tcW w:w="8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6"/>
              </w:rPr>
              <w:t>4/19/2016</w:t>
            </w:r>
          </w:p>
        </w:tc>
        <w:tc>
          <w:tcPr>
            <w:tcW w:w="20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Media: Advertising, Printing and</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7.00%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L+550</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4,750,000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4,694,273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4,690,625</w:t>
            </w:r>
          </w:p>
        </w:tc>
      </w:tr>
      <w:tr>
        <w:trPr>
          <w:trHeight w:val="176"/>
        </w:trPr>
        <w:tc>
          <w:tcPr>
            <w:tcW w:w="20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 xml:space="preserve">Virtual Radiologic Corporation </w:t>
            </w:r>
            <w:r>
              <w:rPr>
                <w:rFonts w:ascii="Arial" w:cs="Arial" w:eastAsia="Arial" w:hAnsi="Arial"/>
                <w:sz w:val="8"/>
                <w:szCs w:val="8"/>
                <w:color w:val="auto"/>
              </w:rPr>
              <w:t>(11)</w:t>
            </w:r>
          </w:p>
        </w:tc>
        <w:tc>
          <w:tcPr>
            <w:tcW w:w="840" w:type="dxa"/>
            <w:vAlign w:val="bottom"/>
          </w:tcPr>
          <w:p>
            <w:pPr>
              <w:jc w:val="center"/>
              <w:spacing w:after="0"/>
              <w:rPr>
                <w:sz w:val="20"/>
                <w:szCs w:val="20"/>
                <w:color w:val="auto"/>
              </w:rPr>
            </w:pPr>
            <w:r>
              <w:rPr>
                <w:rFonts w:ascii="Arial" w:cs="Arial" w:eastAsia="Arial" w:hAnsi="Arial"/>
                <w:sz w:val="13"/>
                <w:szCs w:val="13"/>
                <w:color w:val="auto"/>
                <w:w w:val="89"/>
              </w:rPr>
              <w:t>12/22/2016</w:t>
            </w:r>
          </w:p>
        </w:tc>
        <w:tc>
          <w:tcPr>
            <w:tcW w:w="2060" w:type="dxa"/>
            <w:vAlign w:val="bottom"/>
          </w:tcPr>
          <w:p>
            <w:pPr>
              <w:jc w:val="center"/>
              <w:spacing w:after="0"/>
              <w:rPr>
                <w:sz w:val="20"/>
                <w:szCs w:val="20"/>
                <w:color w:val="auto"/>
              </w:rPr>
            </w:pPr>
            <w:r>
              <w:rPr>
                <w:rFonts w:ascii="Arial" w:cs="Arial" w:eastAsia="Arial" w:hAnsi="Arial"/>
                <w:sz w:val="13"/>
                <w:szCs w:val="13"/>
                <w:color w:val="auto"/>
                <w:w w:val="84"/>
              </w:rPr>
              <w:t>Business Services</w:t>
            </w:r>
          </w:p>
        </w:tc>
        <w:tc>
          <w:tcPr>
            <w:tcW w:w="700" w:type="dxa"/>
            <w:vAlign w:val="bottom"/>
          </w:tcPr>
          <w:p>
            <w:pPr>
              <w:jc w:val="right"/>
              <w:spacing w:after="0"/>
              <w:rPr>
                <w:sz w:val="20"/>
                <w:szCs w:val="20"/>
                <w:color w:val="auto"/>
              </w:rPr>
            </w:pPr>
            <w:r>
              <w:rPr>
                <w:rFonts w:ascii="Arial" w:cs="Arial" w:eastAsia="Arial" w:hAnsi="Arial"/>
                <w:sz w:val="13"/>
                <w:szCs w:val="13"/>
                <w:color w:val="auto"/>
              </w:rPr>
              <w:t>7.75%</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P+450</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2,992,500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2,963,172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2,812,950</w:t>
            </w:r>
          </w:p>
        </w:tc>
      </w:tr>
      <w:tr>
        <w:trPr>
          <w:trHeight w:val="97"/>
        </w:trPr>
        <w:tc>
          <w:tcPr>
            <w:tcW w:w="2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3"/>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Water Pik, Inc. </w:t>
            </w:r>
            <w:r>
              <w:rPr>
                <w:rFonts w:ascii="Arial" w:cs="Arial" w:eastAsia="Arial" w:hAnsi="Arial"/>
                <w:sz w:val="8"/>
                <w:szCs w:val="8"/>
                <w:color w:val="auto"/>
              </w:rPr>
              <w:t>(11)</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8/10/2017</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Consumer Goods: Durable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L+525</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3,465,501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3,430,000</w:t>
            </w:r>
          </w:p>
        </w:tc>
      </w:tr>
      <w:tr>
        <w:trPr>
          <w:trHeight w:val="97"/>
        </w:trPr>
        <w:tc>
          <w:tcPr>
            <w:tcW w:w="2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 xml:space="preserve">Yonkers Racing Corporation </w:t>
            </w:r>
            <w:r>
              <w:rPr>
                <w:rFonts w:ascii="Arial" w:cs="Arial" w:eastAsia="Arial" w:hAnsi="Arial"/>
                <w:sz w:val="8"/>
                <w:szCs w:val="8"/>
                <w:color w:val="auto"/>
              </w:rPr>
              <w:t>(5) (6)</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7/15/2016</w:t>
            </w:r>
          </w:p>
        </w:tc>
        <w:tc>
          <w:tcPr>
            <w:tcW w:w="2060" w:type="dxa"/>
            <w:vAlign w:val="bottom"/>
          </w:tcPr>
          <w:p>
            <w:pPr>
              <w:jc w:val="center"/>
              <w:spacing w:after="0"/>
              <w:rPr>
                <w:sz w:val="20"/>
                <w:szCs w:val="20"/>
                <w:color w:val="auto"/>
              </w:rPr>
            </w:pPr>
            <w:r>
              <w:rPr>
                <w:rFonts w:ascii="Arial" w:cs="Arial" w:eastAsia="Arial" w:hAnsi="Arial"/>
                <w:sz w:val="13"/>
                <w:szCs w:val="13"/>
                <w:color w:val="auto"/>
                <w:w w:val="87"/>
              </w:rPr>
              <w:t>Hotel, Gaming and Leisure</w:t>
            </w:r>
          </w:p>
        </w:tc>
        <w:tc>
          <w:tcPr>
            <w:tcW w:w="700" w:type="dxa"/>
            <w:vAlign w:val="bottom"/>
          </w:tcPr>
          <w:p>
            <w:pPr>
              <w:jc w:val="right"/>
              <w:spacing w:after="0"/>
              <w:rPr>
                <w:sz w:val="20"/>
                <w:szCs w:val="20"/>
                <w:color w:val="auto"/>
              </w:rPr>
            </w:pPr>
            <w:r>
              <w:rPr>
                <w:rFonts w:ascii="Arial" w:cs="Arial" w:eastAsia="Arial" w:hAnsi="Arial"/>
                <w:sz w:val="13"/>
                <w:szCs w:val="13"/>
                <w:color w:val="auto"/>
              </w:rPr>
              <w:t>11.38%</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4,000,000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4,355,966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4,080,000</w:t>
            </w:r>
          </w:p>
        </w:tc>
      </w:tr>
      <w:tr>
        <w:trPr>
          <w:trHeight w:val="97"/>
        </w:trPr>
        <w:tc>
          <w:tcPr>
            <w:tcW w:w="204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206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7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166"/>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First Lien Secured Debt</w:t>
            </w:r>
          </w:p>
        </w:tc>
        <w:tc>
          <w:tcPr>
            <w:tcW w:w="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97,975,314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94,333,126</w:t>
            </w:r>
          </w:p>
        </w:tc>
      </w:tr>
      <w:tr>
        <w:trPr>
          <w:trHeight w:val="84"/>
        </w:trPr>
        <w:tc>
          <w:tcPr>
            <w:tcW w:w="20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r>
    </w:tbl>
    <w:p>
      <w:pPr>
        <w:spacing w:after="0" w:line="14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SEE NOTES TO CONSOLIDATED FINANCIAL STATEMENTS</w:t>
      </w:r>
    </w:p>
    <w:p>
      <w:pPr>
        <w:spacing w:after="0" w:line="24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0139"/>
          </w:cols>
          <w:pgMar w:left="320" w:top="118" w:right="1440"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Basis Point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Current</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9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2"/>
                <w:szCs w:val="12"/>
                <w:color w:val="auto"/>
              </w:rPr>
            </w:pPr>
          </w:p>
        </w:tc>
        <w:tc>
          <w:tcPr>
            <w:tcW w:w="144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7"/>
              </w:rPr>
              <w:t>Industry</w:t>
            </w:r>
          </w:p>
        </w:tc>
        <w:tc>
          <w:tcPr>
            <w:tcW w:w="880" w:type="dxa"/>
            <w:vAlign w:val="bottom"/>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Above</w:t>
            </w: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8"/>
                <w:szCs w:val="8"/>
                <w:b w:val="1"/>
                <w:bCs w:val="1"/>
                <w:color w:val="auto"/>
                <w:w w:val="96"/>
              </w:rPr>
              <w:t>(2)</w:t>
            </w:r>
          </w:p>
        </w:tc>
        <w:tc>
          <w:tcPr>
            <w:tcW w:w="0" w:type="dxa"/>
            <w:vAlign w:val="bottom"/>
          </w:tcPr>
          <w:p>
            <w:pPr>
              <w:spacing w:after="0"/>
              <w:rPr>
                <w:sz w:val="1"/>
                <w:szCs w:val="1"/>
                <w:color w:val="auto"/>
              </w:rPr>
            </w:pPr>
          </w:p>
        </w:tc>
      </w:tr>
      <w:tr>
        <w:trPr>
          <w:trHeight w:val="192"/>
        </w:trPr>
        <w:tc>
          <w:tcPr>
            <w:tcW w:w="22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b w:val="1"/>
                <w:bCs w:val="1"/>
                <w:color w:val="auto"/>
              </w:rPr>
              <w:t>Coupon</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(1)</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93"/>
              </w:rPr>
              <w:t>Second Lien Secured Debt—10.1%</w:t>
            </w: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220" w:type="dxa"/>
            <w:vAlign w:val="bottom"/>
          </w:tcPr>
          <w:p>
            <w:pPr>
              <w:ind w:left="40"/>
              <w:spacing w:after="0"/>
              <w:rPr>
                <w:sz w:val="20"/>
                <w:szCs w:val="20"/>
                <w:color w:val="auto"/>
              </w:rPr>
            </w:pPr>
            <w:r>
              <w:rPr>
                <w:rFonts w:ascii="Arial" w:cs="Arial" w:eastAsia="Arial" w:hAnsi="Arial"/>
                <w:sz w:val="14"/>
                <w:szCs w:val="14"/>
                <w:color w:val="auto"/>
              </w:rPr>
              <w:t xml:space="preserve">Autoparts Holdings Limited </w:t>
            </w:r>
            <w:r>
              <w:rPr>
                <w:rFonts w:ascii="Arial" w:cs="Arial" w:eastAsia="Arial" w:hAnsi="Arial"/>
                <w:sz w:val="8"/>
                <w:szCs w:val="8"/>
                <w:color w:val="auto"/>
              </w:rPr>
              <w:t>(11)</w:t>
            </w:r>
          </w:p>
        </w:tc>
        <w:tc>
          <w:tcPr>
            <w:tcW w:w="940" w:type="dxa"/>
            <w:vAlign w:val="bottom"/>
          </w:tcPr>
          <w:p>
            <w:pPr>
              <w:jc w:val="center"/>
              <w:ind w:right="208"/>
              <w:spacing w:after="0"/>
              <w:rPr>
                <w:sz w:val="20"/>
                <w:szCs w:val="20"/>
                <w:color w:val="auto"/>
              </w:rPr>
            </w:pPr>
            <w:r>
              <w:rPr>
                <w:rFonts w:ascii="Arial" w:cs="Arial" w:eastAsia="Arial" w:hAnsi="Arial"/>
                <w:sz w:val="14"/>
                <w:szCs w:val="14"/>
                <w:color w:val="auto"/>
                <w:w w:val="93"/>
              </w:rPr>
              <w:t>1/29/2018</w:t>
            </w:r>
          </w:p>
        </w:tc>
        <w:tc>
          <w:tcPr>
            <w:tcW w:w="80" w:type="dxa"/>
            <w:vAlign w:val="bottom"/>
          </w:tcPr>
          <w:p>
            <w:pPr>
              <w:spacing w:after="0"/>
              <w:rPr>
                <w:sz w:val="16"/>
                <w:szCs w:val="16"/>
                <w:color w:val="auto"/>
              </w:rPr>
            </w:pPr>
          </w:p>
        </w:tc>
        <w:tc>
          <w:tcPr>
            <w:tcW w:w="1440" w:type="dxa"/>
            <w:vAlign w:val="bottom"/>
          </w:tcPr>
          <w:p>
            <w:pPr>
              <w:jc w:val="center"/>
              <w:ind w:right="188"/>
              <w:spacing w:after="0"/>
              <w:rPr>
                <w:sz w:val="20"/>
                <w:szCs w:val="20"/>
                <w:color w:val="auto"/>
              </w:rPr>
            </w:pPr>
            <w:r>
              <w:rPr>
                <w:rFonts w:ascii="Arial" w:cs="Arial" w:eastAsia="Arial" w:hAnsi="Arial"/>
                <w:sz w:val="14"/>
                <w:szCs w:val="14"/>
                <w:color w:val="auto"/>
                <w:w w:val="99"/>
              </w:rPr>
              <w:t>Automotive</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10.50%</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L+900</w:t>
            </w:r>
          </w:p>
        </w:tc>
        <w:tc>
          <w:tcPr>
            <w:tcW w:w="800" w:type="dxa"/>
            <w:vAlign w:val="bottom"/>
          </w:tcPr>
          <w:p>
            <w:pPr>
              <w:ind w:left="180"/>
              <w:spacing w:after="0"/>
              <w:rPr>
                <w:sz w:val="20"/>
                <w:szCs w:val="20"/>
                <w:color w:val="auto"/>
              </w:rPr>
            </w:pPr>
            <w:r>
              <w:rPr>
                <w:rFonts w:ascii="Arial" w:cs="Arial" w:eastAsia="Arial" w:hAnsi="Arial"/>
                <w:sz w:val="14"/>
                <w:szCs w:val="14"/>
                <w:color w:val="auto"/>
                <w:w w:val="96"/>
              </w:rPr>
              <w:t>1,000,000</w:t>
            </w:r>
          </w:p>
        </w:tc>
        <w:tc>
          <w:tcPr>
            <w:tcW w:w="100" w:type="dxa"/>
            <w:vAlign w:val="bottom"/>
          </w:tcPr>
          <w:p>
            <w:pPr>
              <w:spacing w:after="0"/>
              <w:rPr>
                <w:sz w:val="16"/>
                <w:szCs w:val="16"/>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995,000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985,000</w:t>
            </w:r>
          </w:p>
        </w:tc>
        <w:tc>
          <w:tcPr>
            <w:tcW w:w="0" w:type="dxa"/>
            <w:vAlign w:val="bottom"/>
          </w:tcPr>
          <w:p>
            <w:pPr>
              <w:spacing w:after="0"/>
              <w:rPr>
                <w:sz w:val="1"/>
                <w:szCs w:val="1"/>
                <w:color w:val="auto"/>
              </w:rPr>
            </w:pPr>
          </w:p>
        </w:tc>
      </w:tr>
      <w:tr>
        <w:trPr>
          <w:trHeight w:val="79"/>
        </w:trPr>
        <w:tc>
          <w:tcPr>
            <w:tcW w:w="2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2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Ernest Health, Inc.</w:t>
            </w:r>
          </w:p>
        </w:tc>
        <w:tc>
          <w:tcPr>
            <w:tcW w:w="940" w:type="dxa"/>
            <w:vAlign w:val="bottom"/>
            <w:shd w:val="clear" w:color="auto" w:fill="CCEEFF"/>
          </w:tcPr>
          <w:p>
            <w:pPr>
              <w:jc w:val="center"/>
              <w:ind w:right="208"/>
              <w:spacing w:after="0" w:line="157" w:lineRule="exact"/>
              <w:rPr>
                <w:sz w:val="20"/>
                <w:szCs w:val="20"/>
                <w:color w:val="auto"/>
              </w:rPr>
            </w:pPr>
            <w:r>
              <w:rPr>
                <w:rFonts w:ascii="Arial" w:cs="Arial" w:eastAsia="Arial" w:hAnsi="Arial"/>
                <w:sz w:val="14"/>
                <w:szCs w:val="14"/>
                <w:color w:val="auto"/>
                <w:w w:val="93"/>
              </w:rPr>
              <w:t>5/13/2017</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center"/>
              <w:ind w:right="188"/>
              <w:spacing w:after="0" w:line="157" w:lineRule="exact"/>
              <w:rPr>
                <w:sz w:val="20"/>
                <w:szCs w:val="20"/>
                <w:color w:val="auto"/>
              </w:rPr>
            </w:pPr>
            <w:r>
              <w:rPr>
                <w:rFonts w:ascii="Arial" w:cs="Arial" w:eastAsia="Arial" w:hAnsi="Arial"/>
                <w:sz w:val="14"/>
                <w:szCs w:val="14"/>
                <w:color w:val="auto"/>
                <w:w w:val="90"/>
              </w:rPr>
              <w:t>Healthcare and</w:t>
            </w:r>
          </w:p>
        </w:tc>
        <w:tc>
          <w:tcPr>
            <w:tcW w:w="88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10.25%</w:t>
            </w:r>
          </w:p>
        </w:tc>
        <w:tc>
          <w:tcPr>
            <w:tcW w:w="108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L+850</w:t>
            </w:r>
          </w:p>
        </w:tc>
        <w:tc>
          <w:tcPr>
            <w:tcW w:w="8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w w:val="96"/>
              </w:rPr>
              <w:t>4,000,000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3,942,406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3,940,000</w:t>
            </w: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0"/>
              </w:rPr>
              <w:t>Pharmaceuticals</w:t>
            </w:r>
          </w:p>
        </w:tc>
        <w:tc>
          <w:tcPr>
            <w:tcW w:w="8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20" w:type="dxa"/>
            <w:vAlign w:val="bottom"/>
          </w:tcPr>
          <w:p>
            <w:pPr>
              <w:ind w:left="40"/>
              <w:spacing w:after="0" w:line="157" w:lineRule="exact"/>
              <w:rPr>
                <w:sz w:val="20"/>
                <w:szCs w:val="20"/>
                <w:color w:val="auto"/>
              </w:rPr>
            </w:pPr>
            <w:r>
              <w:rPr>
                <w:rFonts w:ascii="Arial" w:cs="Arial" w:eastAsia="Arial" w:hAnsi="Arial"/>
                <w:sz w:val="14"/>
                <w:szCs w:val="14"/>
                <w:color w:val="auto"/>
              </w:rPr>
              <w:t xml:space="preserve">Mood Media Corporation </w:t>
            </w:r>
            <w:r>
              <w:rPr>
                <w:rFonts w:ascii="Arial" w:cs="Arial" w:eastAsia="Arial" w:hAnsi="Arial"/>
                <w:sz w:val="8"/>
                <w:szCs w:val="8"/>
                <w:color w:val="auto"/>
              </w:rPr>
              <w:t>(7)</w:t>
            </w:r>
          </w:p>
        </w:tc>
        <w:tc>
          <w:tcPr>
            <w:tcW w:w="940" w:type="dxa"/>
            <w:vAlign w:val="bottom"/>
          </w:tcPr>
          <w:p>
            <w:pPr>
              <w:jc w:val="center"/>
              <w:ind w:right="208"/>
              <w:spacing w:after="0" w:line="157" w:lineRule="exact"/>
              <w:rPr>
                <w:sz w:val="20"/>
                <w:szCs w:val="20"/>
                <w:color w:val="auto"/>
              </w:rPr>
            </w:pPr>
            <w:r>
              <w:rPr>
                <w:rFonts w:ascii="Arial" w:cs="Arial" w:eastAsia="Arial" w:hAnsi="Arial"/>
                <w:sz w:val="14"/>
                <w:szCs w:val="14"/>
                <w:color w:val="auto"/>
                <w:w w:val="93"/>
              </w:rPr>
              <w:t>11/6/2018</w:t>
            </w:r>
          </w:p>
        </w:tc>
        <w:tc>
          <w:tcPr>
            <w:tcW w:w="1520" w:type="dxa"/>
            <w:vAlign w:val="bottom"/>
            <w:gridSpan w:val="2"/>
          </w:tcPr>
          <w:p>
            <w:pPr>
              <w:jc w:val="center"/>
              <w:ind w:right="108"/>
              <w:spacing w:after="0" w:line="157" w:lineRule="exact"/>
              <w:rPr>
                <w:sz w:val="20"/>
                <w:szCs w:val="20"/>
                <w:color w:val="auto"/>
              </w:rPr>
            </w:pPr>
            <w:r>
              <w:rPr>
                <w:rFonts w:ascii="Arial" w:cs="Arial" w:eastAsia="Arial" w:hAnsi="Arial"/>
                <w:sz w:val="14"/>
                <w:szCs w:val="14"/>
                <w:color w:val="auto"/>
                <w:w w:val="96"/>
              </w:rPr>
              <w:t>Media: Diversified and</w:t>
            </w:r>
          </w:p>
        </w:tc>
        <w:tc>
          <w:tcPr>
            <w:tcW w:w="88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10.25%</w:t>
            </w:r>
          </w:p>
        </w:tc>
        <w:tc>
          <w:tcPr>
            <w:tcW w:w="108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L+875</w:t>
            </w:r>
          </w:p>
        </w:tc>
        <w:tc>
          <w:tcPr>
            <w:tcW w:w="800" w:type="dxa"/>
            <w:vAlign w:val="bottom"/>
          </w:tcPr>
          <w:p>
            <w:pPr>
              <w:ind w:left="180"/>
              <w:spacing w:after="0" w:line="157" w:lineRule="exact"/>
              <w:rPr>
                <w:sz w:val="20"/>
                <w:szCs w:val="20"/>
                <w:color w:val="auto"/>
              </w:rPr>
            </w:pPr>
            <w:r>
              <w:rPr>
                <w:rFonts w:ascii="Arial" w:cs="Arial" w:eastAsia="Arial" w:hAnsi="Arial"/>
                <w:sz w:val="14"/>
                <w:szCs w:val="14"/>
                <w:color w:val="auto"/>
                <w:w w:val="96"/>
              </w:rPr>
              <w:t>1,500,000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1,485,581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1,380,000</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ind w:right="188"/>
              <w:spacing w:after="0"/>
              <w:rPr>
                <w:sz w:val="20"/>
                <w:szCs w:val="20"/>
                <w:color w:val="auto"/>
              </w:rPr>
            </w:pPr>
            <w:r>
              <w:rPr>
                <w:rFonts w:ascii="Arial" w:cs="Arial" w:eastAsia="Arial" w:hAnsi="Arial"/>
                <w:sz w:val="14"/>
                <w:szCs w:val="14"/>
                <w:color w:val="auto"/>
                <w:w w:val="92"/>
              </w:rPr>
              <w:t>Production</w:t>
            </w: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ROC Finance LLC and ROC</w:t>
            </w:r>
          </w:p>
        </w:tc>
        <w:tc>
          <w:tcPr>
            <w:tcW w:w="940" w:type="dxa"/>
            <w:vAlign w:val="bottom"/>
            <w:shd w:val="clear" w:color="auto" w:fill="CCEEFF"/>
          </w:tcPr>
          <w:p>
            <w:pPr>
              <w:jc w:val="center"/>
              <w:ind w:right="208"/>
              <w:spacing w:after="0"/>
              <w:rPr>
                <w:sz w:val="20"/>
                <w:szCs w:val="20"/>
                <w:color w:val="auto"/>
              </w:rPr>
            </w:pPr>
            <w:r>
              <w:rPr>
                <w:rFonts w:ascii="Arial" w:cs="Arial" w:eastAsia="Arial" w:hAnsi="Arial"/>
                <w:sz w:val="14"/>
                <w:szCs w:val="14"/>
                <w:color w:val="auto"/>
                <w:w w:val="91"/>
              </w:rPr>
              <w:t>9/1/2018</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4"/>
              </w:rPr>
              <w:t>Hotel, Gaming and</w:t>
            </w:r>
          </w:p>
        </w:tc>
        <w:tc>
          <w:tcPr>
            <w:tcW w:w="8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12.13%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2,000,000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1,965,834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2,020,000</w:t>
            </w: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Finance 1 Corp </w:t>
            </w:r>
            <w:r>
              <w:rPr>
                <w:rFonts w:ascii="Arial" w:cs="Arial" w:eastAsia="Arial" w:hAnsi="Arial"/>
                <w:sz w:val="8"/>
                <w:szCs w:val="8"/>
                <w:color w:val="auto"/>
              </w:rPr>
              <w:t>(5)</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1"/>
              </w:rPr>
              <w:t>Leisure</w:t>
            </w:r>
          </w:p>
        </w:tc>
        <w:tc>
          <w:tcPr>
            <w:tcW w:w="8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20" w:type="dxa"/>
            <w:vAlign w:val="bottom"/>
          </w:tcPr>
          <w:p>
            <w:pPr>
              <w:ind w:left="40"/>
              <w:spacing w:after="0"/>
              <w:rPr>
                <w:sz w:val="20"/>
                <w:szCs w:val="20"/>
                <w:color w:val="auto"/>
              </w:rPr>
            </w:pPr>
            <w:r>
              <w:rPr>
                <w:rFonts w:ascii="Arial" w:cs="Arial" w:eastAsia="Arial" w:hAnsi="Arial"/>
                <w:sz w:val="14"/>
                <w:szCs w:val="14"/>
                <w:color w:val="auto"/>
              </w:rPr>
              <w:t>Sensus USA Inc.</w:t>
            </w:r>
          </w:p>
        </w:tc>
        <w:tc>
          <w:tcPr>
            <w:tcW w:w="940" w:type="dxa"/>
            <w:vAlign w:val="bottom"/>
          </w:tcPr>
          <w:p>
            <w:pPr>
              <w:jc w:val="center"/>
              <w:ind w:right="208"/>
              <w:spacing w:after="0"/>
              <w:rPr>
                <w:sz w:val="20"/>
                <w:szCs w:val="20"/>
                <w:color w:val="auto"/>
              </w:rPr>
            </w:pPr>
            <w:r>
              <w:rPr>
                <w:rFonts w:ascii="Arial" w:cs="Arial" w:eastAsia="Arial" w:hAnsi="Arial"/>
                <w:sz w:val="14"/>
                <w:szCs w:val="14"/>
                <w:color w:val="auto"/>
                <w:w w:val="91"/>
              </w:rPr>
              <w:t>5/9/2018</w:t>
            </w:r>
          </w:p>
        </w:tc>
        <w:tc>
          <w:tcPr>
            <w:tcW w:w="80" w:type="dxa"/>
            <w:vAlign w:val="bottom"/>
          </w:tcPr>
          <w:p>
            <w:pPr>
              <w:spacing w:after="0"/>
              <w:rPr>
                <w:sz w:val="16"/>
                <w:szCs w:val="16"/>
                <w:color w:val="auto"/>
              </w:rPr>
            </w:pPr>
          </w:p>
        </w:tc>
        <w:tc>
          <w:tcPr>
            <w:tcW w:w="1440" w:type="dxa"/>
            <w:vAlign w:val="bottom"/>
          </w:tcPr>
          <w:p>
            <w:pPr>
              <w:jc w:val="center"/>
              <w:ind w:right="208"/>
              <w:spacing w:after="0"/>
              <w:rPr>
                <w:sz w:val="20"/>
                <w:szCs w:val="20"/>
                <w:color w:val="auto"/>
              </w:rPr>
            </w:pPr>
            <w:r>
              <w:rPr>
                <w:rFonts w:ascii="Arial" w:cs="Arial" w:eastAsia="Arial" w:hAnsi="Arial"/>
                <w:sz w:val="14"/>
                <w:szCs w:val="14"/>
                <w:color w:val="auto"/>
                <w:w w:val="97"/>
              </w:rPr>
              <w:t>Utilities: Water</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8.50%</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L+725</w:t>
            </w:r>
          </w:p>
        </w:tc>
        <w:tc>
          <w:tcPr>
            <w:tcW w:w="800" w:type="dxa"/>
            <w:vAlign w:val="bottom"/>
          </w:tcPr>
          <w:p>
            <w:pPr>
              <w:ind w:left="180"/>
              <w:spacing w:after="0"/>
              <w:rPr>
                <w:sz w:val="20"/>
                <w:szCs w:val="20"/>
                <w:color w:val="auto"/>
              </w:rPr>
            </w:pPr>
            <w:r>
              <w:rPr>
                <w:rFonts w:ascii="Arial" w:cs="Arial" w:eastAsia="Arial" w:hAnsi="Arial"/>
                <w:sz w:val="14"/>
                <w:szCs w:val="14"/>
                <w:color w:val="auto"/>
                <w:w w:val="96"/>
              </w:rPr>
              <w:t>1,000,000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990,624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960,000</w:t>
            </w:r>
          </w:p>
        </w:tc>
        <w:tc>
          <w:tcPr>
            <w:tcW w:w="0" w:type="dxa"/>
            <w:vAlign w:val="bottom"/>
          </w:tcPr>
          <w:p>
            <w:pPr>
              <w:spacing w:after="0"/>
              <w:rPr>
                <w:sz w:val="1"/>
                <w:szCs w:val="1"/>
                <w:color w:val="auto"/>
              </w:rPr>
            </w:pPr>
          </w:p>
        </w:tc>
      </w:tr>
      <w:tr>
        <w:trPr>
          <w:trHeight w:val="80"/>
        </w:trPr>
        <w:tc>
          <w:tcPr>
            <w:tcW w:w="2220" w:type="dxa"/>
            <w:vAlign w:val="bottom"/>
            <w:tcBorders>
              <w:bottom w:val="single" w:sz="8" w:color="CCEEFF"/>
            </w:tcBorders>
          </w:tcPr>
          <w:p>
            <w:pPr>
              <w:spacing w:after="0"/>
              <w:rPr>
                <w:sz w:val="6"/>
                <w:szCs w:val="6"/>
                <w:color w:val="auto"/>
              </w:rPr>
            </w:pPr>
          </w:p>
        </w:tc>
        <w:tc>
          <w:tcPr>
            <w:tcW w:w="9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40" w:type="dxa"/>
            <w:vAlign w:val="bottom"/>
            <w:tcBorders>
              <w:bottom w:val="single" w:sz="8" w:color="CCEEFF"/>
            </w:tcBorders>
          </w:tcPr>
          <w:p>
            <w:pPr>
              <w:spacing w:after="0"/>
              <w:rPr>
                <w:sz w:val="6"/>
                <w:szCs w:val="6"/>
                <w:color w:val="auto"/>
              </w:rPr>
            </w:pPr>
          </w:p>
        </w:tc>
        <w:tc>
          <w:tcPr>
            <w:tcW w:w="88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Second Lien Secured Debt</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9,379,445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9,285,000</w:t>
            </w:r>
          </w:p>
        </w:tc>
        <w:tc>
          <w:tcPr>
            <w:tcW w:w="0" w:type="dxa"/>
            <w:vAlign w:val="bottom"/>
          </w:tcPr>
          <w:p>
            <w:pPr>
              <w:spacing w:after="0"/>
              <w:rPr>
                <w:sz w:val="1"/>
                <w:szCs w:val="1"/>
                <w:color w:val="auto"/>
              </w:rPr>
            </w:pPr>
          </w:p>
        </w:tc>
      </w:tr>
      <w:tr>
        <w:trPr>
          <w:trHeight w:val="66"/>
        </w:trPr>
        <w:tc>
          <w:tcPr>
            <w:tcW w:w="3160" w:type="dxa"/>
            <w:vAlign w:val="bottom"/>
            <w:gridSpan w:val="2"/>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160" w:type="dxa"/>
            <w:vAlign w:val="bottom"/>
            <w:gridSpan w:val="2"/>
          </w:tcPr>
          <w:p>
            <w:pPr>
              <w:ind w:left="40"/>
              <w:spacing w:after="0"/>
              <w:rPr>
                <w:sz w:val="20"/>
                <w:szCs w:val="20"/>
                <w:color w:val="auto"/>
              </w:rPr>
            </w:pPr>
            <w:r>
              <w:rPr>
                <w:rFonts w:ascii="Arial" w:cs="Arial" w:eastAsia="Arial" w:hAnsi="Arial"/>
                <w:sz w:val="14"/>
                <w:szCs w:val="14"/>
                <w:b w:val="1"/>
                <w:bCs w:val="1"/>
                <w:color w:val="auto"/>
              </w:rPr>
              <w:t>Subordinated Debt/Corporate Notes—7.6%</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220" w:type="dxa"/>
            <w:vAlign w:val="bottom"/>
          </w:tcPr>
          <w:p>
            <w:pPr>
              <w:spacing w:after="0"/>
              <w:rPr>
                <w:sz w:val="6"/>
                <w:szCs w:val="6"/>
                <w:color w:val="auto"/>
              </w:rPr>
            </w:pPr>
          </w:p>
        </w:tc>
        <w:tc>
          <w:tcPr>
            <w:tcW w:w="1020" w:type="dxa"/>
            <w:vAlign w:val="bottom"/>
            <w:gridSpan w:val="2"/>
          </w:tcPr>
          <w:p>
            <w:pPr>
              <w:spacing w:after="0"/>
              <w:rPr>
                <w:sz w:val="6"/>
                <w:szCs w:val="6"/>
                <w:color w:val="auto"/>
              </w:rPr>
            </w:pPr>
          </w:p>
        </w:tc>
        <w:tc>
          <w:tcPr>
            <w:tcW w:w="1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gridSpan w:val="2"/>
          </w:tcPr>
          <w:p>
            <w:pPr>
              <w:spacing w:after="0"/>
              <w:rPr>
                <w:sz w:val="6"/>
                <w:szCs w:val="6"/>
                <w:color w:val="auto"/>
              </w:rPr>
            </w:pPr>
          </w:p>
        </w:tc>
        <w:tc>
          <w:tcPr>
            <w:tcW w:w="90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2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 xml:space="preserve">Affinion Group Holdings, Inc. </w:t>
            </w:r>
            <w:r>
              <w:rPr>
                <w:rFonts w:ascii="Arial" w:cs="Arial" w:eastAsia="Arial" w:hAnsi="Arial"/>
                <w:sz w:val="8"/>
                <w:szCs w:val="8"/>
                <w:color w:val="auto"/>
              </w:rPr>
              <w:t>(5)</w:t>
            </w:r>
          </w:p>
        </w:tc>
        <w:tc>
          <w:tcPr>
            <w:tcW w:w="1020" w:type="dxa"/>
            <w:vAlign w:val="bottom"/>
            <w:gridSpan w:val="2"/>
            <w:shd w:val="clear" w:color="auto" w:fill="CCEEFF"/>
          </w:tcPr>
          <w:p>
            <w:pPr>
              <w:jc w:val="center"/>
              <w:ind w:left="208"/>
              <w:spacing w:after="0" w:line="157" w:lineRule="exact"/>
              <w:rPr>
                <w:sz w:val="20"/>
                <w:szCs w:val="20"/>
                <w:color w:val="auto"/>
              </w:rPr>
            </w:pPr>
            <w:r>
              <w:rPr>
                <w:rFonts w:ascii="Arial" w:cs="Arial" w:eastAsia="Arial" w:hAnsi="Arial"/>
                <w:sz w:val="14"/>
                <w:szCs w:val="14"/>
                <w:color w:val="auto"/>
                <w:w w:val="94"/>
              </w:rPr>
              <w:t>11/15/2015</w:t>
            </w:r>
          </w:p>
        </w:tc>
        <w:tc>
          <w:tcPr>
            <w:tcW w:w="1440" w:type="dxa"/>
            <w:vAlign w:val="bottom"/>
            <w:shd w:val="clear" w:color="auto" w:fill="CCEEFF"/>
          </w:tcPr>
          <w:p>
            <w:pPr>
              <w:jc w:val="center"/>
              <w:ind w:left="48"/>
              <w:spacing w:after="0" w:line="157" w:lineRule="exact"/>
              <w:rPr>
                <w:sz w:val="20"/>
                <w:szCs w:val="20"/>
                <w:color w:val="auto"/>
              </w:rPr>
            </w:pPr>
            <w:r>
              <w:rPr>
                <w:rFonts w:ascii="Arial" w:cs="Arial" w:eastAsia="Arial" w:hAnsi="Arial"/>
                <w:sz w:val="14"/>
                <w:szCs w:val="14"/>
                <w:color w:val="auto"/>
                <w:w w:val="91"/>
              </w:rPr>
              <w:t>Consumer Goods:</w:t>
            </w:r>
          </w:p>
        </w:tc>
        <w:tc>
          <w:tcPr>
            <w:tcW w:w="880" w:type="dxa"/>
            <w:vAlign w:val="bottom"/>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rPr>
              <w:t>11.63%</w:t>
            </w:r>
          </w:p>
        </w:tc>
        <w:tc>
          <w:tcPr>
            <w:tcW w:w="1080" w:type="dxa"/>
            <w:vAlign w:val="bottom"/>
            <w:gridSpan w:val="2"/>
            <w:shd w:val="clear" w:color="auto" w:fill="CCEEFF"/>
          </w:tcPr>
          <w:p>
            <w:pPr>
              <w:ind w:left="56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1,500,000</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1,524,891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1,155,000</w:t>
            </w: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5"/>
              </w:rPr>
              <w:t>Non-Durable</w:t>
            </w:r>
          </w:p>
        </w:tc>
        <w:tc>
          <w:tcPr>
            <w:tcW w:w="8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20" w:type="dxa"/>
            <w:vAlign w:val="bottom"/>
          </w:tcPr>
          <w:p>
            <w:pPr>
              <w:ind w:left="40"/>
              <w:spacing w:after="0" w:line="157" w:lineRule="exact"/>
              <w:rPr>
                <w:sz w:val="20"/>
                <w:szCs w:val="20"/>
                <w:color w:val="auto"/>
              </w:rPr>
            </w:pPr>
            <w:r>
              <w:rPr>
                <w:rFonts w:ascii="Arial" w:cs="Arial" w:eastAsia="Arial" w:hAnsi="Arial"/>
                <w:sz w:val="14"/>
                <w:szCs w:val="14"/>
                <w:color w:val="auto"/>
                <w:w w:val="95"/>
              </w:rPr>
              <w:t xml:space="preserve">Trusthouse Services Group, Inc. </w:t>
            </w:r>
            <w:r>
              <w:rPr>
                <w:rFonts w:ascii="Arial" w:cs="Arial" w:eastAsia="Arial" w:hAnsi="Arial"/>
                <w:sz w:val="8"/>
                <w:szCs w:val="8"/>
                <w:color w:val="auto"/>
                <w:w w:val="95"/>
              </w:rPr>
              <w:t>(5) (7)</w:t>
            </w:r>
          </w:p>
        </w:tc>
        <w:tc>
          <w:tcPr>
            <w:tcW w:w="940" w:type="dxa"/>
            <w:vAlign w:val="bottom"/>
          </w:tcPr>
          <w:p>
            <w:pPr>
              <w:jc w:val="center"/>
              <w:ind w:left="288"/>
              <w:spacing w:after="0" w:line="157" w:lineRule="exact"/>
              <w:rPr>
                <w:sz w:val="20"/>
                <w:szCs w:val="20"/>
                <w:color w:val="auto"/>
              </w:rPr>
            </w:pPr>
            <w:r>
              <w:rPr>
                <w:rFonts w:ascii="Arial" w:cs="Arial" w:eastAsia="Arial" w:hAnsi="Arial"/>
                <w:sz w:val="14"/>
                <w:szCs w:val="14"/>
                <w:color w:val="auto"/>
                <w:w w:val="93"/>
              </w:rPr>
              <w:t>7/31/2018</w:t>
            </w:r>
          </w:p>
        </w:tc>
        <w:tc>
          <w:tcPr>
            <w:tcW w:w="80" w:type="dxa"/>
            <w:vAlign w:val="bottom"/>
          </w:tcPr>
          <w:p>
            <w:pPr>
              <w:spacing w:after="0"/>
              <w:rPr>
                <w:sz w:val="13"/>
                <w:szCs w:val="13"/>
                <w:color w:val="auto"/>
              </w:rPr>
            </w:pPr>
          </w:p>
        </w:tc>
        <w:tc>
          <w:tcPr>
            <w:tcW w:w="1440" w:type="dxa"/>
            <w:vAlign w:val="bottom"/>
          </w:tcPr>
          <w:p>
            <w:pPr>
              <w:jc w:val="center"/>
              <w:ind w:left="48"/>
              <w:spacing w:after="0" w:line="157" w:lineRule="exact"/>
              <w:rPr>
                <w:sz w:val="20"/>
                <w:szCs w:val="20"/>
                <w:color w:val="auto"/>
              </w:rPr>
            </w:pPr>
            <w:r>
              <w:rPr>
                <w:rFonts w:ascii="Arial" w:cs="Arial" w:eastAsia="Arial" w:hAnsi="Arial"/>
                <w:sz w:val="14"/>
                <w:szCs w:val="14"/>
                <w:color w:val="auto"/>
                <w:w w:val="91"/>
              </w:rPr>
              <w:t>Beverage, Food and</w:t>
            </w:r>
          </w:p>
        </w:tc>
        <w:tc>
          <w:tcPr>
            <w:tcW w:w="88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14.00%</w:t>
            </w:r>
          </w:p>
        </w:tc>
        <w:tc>
          <w:tcPr>
            <w:tcW w:w="108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3,762,500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3,688,091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3,687,250</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ind w:left="48"/>
              <w:spacing w:after="0"/>
              <w:rPr>
                <w:sz w:val="20"/>
                <w:szCs w:val="20"/>
                <w:color w:val="auto"/>
              </w:rPr>
            </w:pPr>
            <w:r>
              <w:rPr>
                <w:rFonts w:ascii="Arial" w:cs="Arial" w:eastAsia="Arial" w:hAnsi="Arial"/>
                <w:sz w:val="14"/>
                <w:szCs w:val="14"/>
                <w:color w:val="auto"/>
                <w:w w:val="89"/>
              </w:rPr>
              <w:t>Tobacco</w:t>
            </w: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 xml:space="preserve">Trusthouse Services Group, Inc. </w:t>
            </w:r>
            <w:r>
              <w:rPr>
                <w:rFonts w:ascii="Arial" w:cs="Arial" w:eastAsia="Arial" w:hAnsi="Arial"/>
                <w:sz w:val="8"/>
                <w:szCs w:val="8"/>
                <w:color w:val="auto"/>
                <w:w w:val="95"/>
              </w:rPr>
              <w:t>(5) (9)</w:t>
            </w:r>
          </w:p>
        </w:tc>
        <w:tc>
          <w:tcPr>
            <w:tcW w:w="94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w w:val="93"/>
              </w:rPr>
              <w:t>7/31/2018</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1"/>
              </w:rPr>
              <w:t>Beverage, Food and</w:t>
            </w:r>
          </w:p>
        </w:tc>
        <w:tc>
          <w:tcPr>
            <w:tcW w:w="8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2,206,000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2,161,880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2,161,880</w:t>
            </w: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89"/>
              </w:rPr>
              <w:t>Tobacco</w:t>
            </w:r>
          </w:p>
        </w:tc>
        <w:tc>
          <w:tcPr>
            <w:tcW w:w="8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1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Subordinated Debt/Corporate Notes</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7,374,862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7,004,130</w:t>
            </w:r>
          </w:p>
        </w:tc>
        <w:tc>
          <w:tcPr>
            <w:tcW w:w="0" w:type="dxa"/>
            <w:vAlign w:val="bottom"/>
          </w:tcPr>
          <w:p>
            <w:pPr>
              <w:spacing w:after="0"/>
              <w:rPr>
                <w:sz w:val="1"/>
                <w:szCs w:val="1"/>
                <w:color w:val="auto"/>
              </w:rPr>
            </w:pPr>
          </w:p>
        </w:tc>
      </w:tr>
      <w:tr>
        <w:trPr>
          <w:trHeight w:val="66"/>
        </w:trPr>
        <w:tc>
          <w:tcPr>
            <w:tcW w:w="3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Preferred Equity/Partnership Interests—0.1%</w:t>
            </w: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31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Trusthouse Services Holdings, LLC</w:t>
            </w:r>
          </w:p>
        </w:tc>
        <w:tc>
          <w:tcPr>
            <w:tcW w:w="94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1"/>
              </w:rPr>
              <w:t>Beverage, Food and</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12.50%</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96,985</w:t>
            </w: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89"/>
              </w:rPr>
              <w:t>Tobacco</w:t>
            </w:r>
          </w:p>
        </w:tc>
        <w:tc>
          <w:tcPr>
            <w:tcW w:w="8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1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Preferred Equity/Partnership Interests</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96,985</w:t>
            </w:r>
          </w:p>
        </w:tc>
        <w:tc>
          <w:tcPr>
            <w:tcW w:w="0" w:type="dxa"/>
            <w:vAlign w:val="bottom"/>
          </w:tcPr>
          <w:p>
            <w:pPr>
              <w:spacing w:after="0"/>
              <w:rPr>
                <w:sz w:val="1"/>
                <w:szCs w:val="1"/>
                <w:color w:val="auto"/>
              </w:rPr>
            </w:pPr>
          </w:p>
        </w:tc>
      </w:tr>
      <w:tr>
        <w:trPr>
          <w:trHeight w:val="66"/>
        </w:trPr>
        <w:tc>
          <w:tcPr>
            <w:tcW w:w="2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0139"/>
          </w:cols>
          <w:pgMar w:left="320" w:top="122" w:right="1440"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85"/>
              </w:rPr>
              <w:t>Basis</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Point</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Current</w:t>
            </w: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Spread</w:t>
            </w:r>
          </w:p>
        </w:tc>
        <w:tc>
          <w:tcPr>
            <w:tcW w:w="8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9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9"/>
              </w:rPr>
              <w:t>Maturity</w:t>
            </w:r>
          </w:p>
        </w:tc>
        <w:tc>
          <w:tcPr>
            <w:tcW w:w="14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Industry</w:t>
            </w:r>
          </w:p>
        </w:tc>
        <w:tc>
          <w:tcPr>
            <w:tcW w:w="700" w:type="dxa"/>
            <w:vAlign w:val="bottom"/>
            <w:gridSpan w:val="2"/>
            <w:vMerge w:val="continue"/>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Above</w:t>
            </w: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92"/>
        </w:trPr>
        <w:tc>
          <w:tcPr>
            <w:tcW w:w="23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Coupon</w:t>
            </w:r>
          </w:p>
        </w:tc>
        <w:tc>
          <w:tcPr>
            <w:tcW w:w="7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(1)</w:t>
            </w: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2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Common Equity - 0.0% </w:t>
            </w:r>
            <w:r>
              <w:rPr>
                <w:rFonts w:ascii="Arial" w:cs="Arial" w:eastAsia="Arial" w:hAnsi="Arial"/>
                <w:sz w:val="8"/>
                <w:szCs w:val="8"/>
                <w:b w:val="1"/>
                <w:bCs w:val="1"/>
                <w:color w:val="auto"/>
              </w:rPr>
              <w:t>(10)</w:t>
            </w:r>
          </w:p>
        </w:tc>
        <w:tc>
          <w:tcPr>
            <w:tcW w:w="9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340" w:type="dxa"/>
            <w:vAlign w:val="bottom"/>
          </w:tcPr>
          <w:p>
            <w:pPr>
              <w:ind w:left="40"/>
              <w:spacing w:after="0" w:line="157" w:lineRule="exact"/>
              <w:rPr>
                <w:sz w:val="20"/>
                <w:szCs w:val="20"/>
                <w:color w:val="auto"/>
              </w:rPr>
            </w:pPr>
            <w:r>
              <w:rPr>
                <w:rFonts w:ascii="Arial" w:cs="Arial" w:eastAsia="Arial" w:hAnsi="Arial"/>
                <w:sz w:val="14"/>
                <w:szCs w:val="14"/>
                <w:color w:val="auto"/>
              </w:rPr>
              <w:t>Trusthouse Services Holdings, LLC</w:t>
            </w:r>
          </w:p>
        </w:tc>
        <w:tc>
          <w:tcPr>
            <w:tcW w:w="960" w:type="dxa"/>
            <w:vAlign w:val="bottom"/>
          </w:tcPr>
          <w:p>
            <w:pPr>
              <w:jc w:val="center"/>
              <w:ind w:left="28"/>
              <w:spacing w:after="0" w:line="157" w:lineRule="exact"/>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89"/>
              </w:rPr>
              <w:t>Beverage, Food and</w:t>
            </w: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ind w:left="300"/>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3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5,000</w:t>
            </w:r>
          </w:p>
        </w:tc>
        <w:tc>
          <w:tcPr>
            <w:tcW w:w="28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7" w:lineRule="exact"/>
              <w:rPr>
                <w:sz w:val="20"/>
                <w:szCs w:val="20"/>
                <w:color w:val="auto"/>
              </w:rPr>
            </w:pPr>
            <w:r>
              <w:rPr>
                <w:rFonts w:ascii="Arial" w:cs="Arial" w:eastAsia="Arial" w:hAnsi="Arial"/>
                <w:sz w:val="14"/>
                <w:szCs w:val="14"/>
                <w:color w:val="auto"/>
              </w:rPr>
              <w:t>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gridSpan w:val="2"/>
          </w:tcPr>
          <w:p>
            <w:pPr>
              <w:jc w:val="center"/>
              <w:ind w:right="20"/>
              <w:spacing w:after="0"/>
              <w:rPr>
                <w:sz w:val="20"/>
                <w:szCs w:val="20"/>
                <w:color w:val="auto"/>
              </w:rPr>
            </w:pPr>
            <w:r>
              <w:rPr>
                <w:rFonts w:ascii="Arial" w:cs="Arial" w:eastAsia="Arial" w:hAnsi="Arial"/>
                <w:sz w:val="14"/>
                <w:szCs w:val="14"/>
                <w:color w:val="auto"/>
                <w:w w:val="93"/>
              </w:rPr>
              <w:t>Tobacco</w:t>
            </w:r>
          </w:p>
        </w:tc>
        <w:tc>
          <w:tcPr>
            <w:tcW w:w="5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Common Equity</w:t>
            </w:r>
          </w:p>
        </w:tc>
        <w:tc>
          <w:tcPr>
            <w:tcW w:w="9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5,000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3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7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Investments in Non-Controlled, Non-Affiliated Portfolio Companies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114,829,621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110,724,241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7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Equivalents—7.6%</w:t>
            </w:r>
          </w:p>
        </w:tc>
        <w:tc>
          <w:tcPr>
            <w:tcW w:w="9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6,987,450</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6,987,450</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6,987,450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3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80" w:type="dxa"/>
            <w:vAlign w:val="bottom"/>
            <w:tcBorders>
              <w:bottom w:val="single" w:sz="8" w:color="auto"/>
            </w:tcBorders>
            <w:gridSpan w:val="2"/>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tcBorders>
              <w:bottom w:val="single" w:sz="8" w:color="auto"/>
            </w:tcBorders>
            <w:gridSpan w:val="2"/>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Total Investments and Cash Equivalents—127.8%</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121,817,071</w:t>
            </w:r>
          </w:p>
        </w:tc>
        <w:tc>
          <w:tcPr>
            <w:tcW w:w="60" w:type="dxa"/>
            <w:vAlign w:val="bottom"/>
          </w:tcPr>
          <w:p>
            <w:pPr>
              <w:spacing w:after="0"/>
              <w:rPr>
                <w:sz w:val="16"/>
                <w:szCs w:val="16"/>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117,711,691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300" w:type="dxa"/>
            <w:vAlign w:val="bottom"/>
            <w:tcBorders>
              <w:bottom w:val="single" w:sz="8" w:color="CCEEFF"/>
            </w:tcBorders>
            <w:gridSpan w:val="2"/>
            <w:vMerge w:val="continue"/>
          </w:tcPr>
          <w:p>
            <w:pPr>
              <w:spacing w:after="0"/>
              <w:rPr>
                <w:sz w:val="8"/>
                <w:szCs w:val="8"/>
                <w:color w:val="auto"/>
              </w:rPr>
            </w:pPr>
          </w:p>
        </w:tc>
        <w:tc>
          <w:tcPr>
            <w:tcW w:w="13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tcPr>
          <w:p>
            <w:pPr>
              <w:spacing w:after="0"/>
              <w:rPr>
                <w:sz w:val="8"/>
                <w:szCs w:val="8"/>
                <w:color w:val="auto"/>
              </w:rPr>
            </w:pPr>
          </w:p>
        </w:tc>
        <w:tc>
          <w:tcPr>
            <w:tcW w:w="88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30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Liabilities in Excess of Other Assets—(27.8%)</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(25,639,586)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34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shd w:val="clear" w:color="auto" w:fill="CCEEFF"/>
          </w:tcPr>
          <w:p>
            <w:pPr>
              <w:spacing w:after="0"/>
              <w:rPr>
                <w:sz w:val="7"/>
                <w:szCs w:val="7"/>
                <w:color w:val="auto"/>
              </w:rPr>
            </w:pPr>
          </w:p>
        </w:tc>
        <w:tc>
          <w:tcPr>
            <w:tcW w:w="13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340" w:type="dxa"/>
            <w:vAlign w:val="bottom"/>
          </w:tcPr>
          <w:p>
            <w:pPr>
              <w:ind w:left="40"/>
              <w:spacing w:after="0"/>
              <w:rPr>
                <w:sz w:val="20"/>
                <w:szCs w:val="20"/>
                <w:color w:val="auto"/>
              </w:rPr>
            </w:pPr>
            <w:r>
              <w:rPr>
                <w:rFonts w:ascii="Arial" w:cs="Arial" w:eastAsia="Arial" w:hAnsi="Arial"/>
                <w:sz w:val="14"/>
                <w:szCs w:val="14"/>
                <w:b w:val="1"/>
                <w:bCs w:val="1"/>
                <w:color w:val="auto"/>
              </w:rPr>
              <w:t>Net Assets—100.0%</w:t>
            </w: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92,072,105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41910</wp:posOffset>
            </wp:positionV>
            <wp:extent cx="8401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59055</wp:posOffset>
            </wp:positionV>
            <wp:extent cx="8401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26" w:lineRule="exact"/>
        <w:rPr>
          <w:sz w:val="20"/>
          <w:szCs w:val="20"/>
          <w:color w:val="auto"/>
        </w:rPr>
      </w:pPr>
    </w:p>
    <w:p>
      <w:pPr>
        <w:ind w:left="340" w:right="360" w:hanging="332"/>
        <w:spacing w:after="0" w:line="255"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 Rate (LIBOR or “L”) or prime rate (Prime or “P”) and its coupon is subject to a LIBOR or prime rate floor.</w:t>
      </w:r>
    </w:p>
    <w:p>
      <w:pPr>
        <w:spacing w:after="0" w:line="127" w:lineRule="exact"/>
        <w:rPr>
          <w:rFonts w:ascii="Arial" w:cs="Arial" w:eastAsia="Arial" w:hAnsi="Arial"/>
          <w:sz w:val="13"/>
          <w:szCs w:val="13"/>
          <w:color w:val="auto"/>
        </w:rPr>
      </w:pPr>
    </w:p>
    <w:p>
      <w:pPr>
        <w:ind w:left="340" w:hanging="332"/>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consolidated financial statements).</w:t>
      </w:r>
    </w:p>
    <w:p>
      <w:pPr>
        <w:spacing w:after="0" w:line="147" w:lineRule="exact"/>
        <w:rPr>
          <w:rFonts w:ascii="Arial" w:cs="Arial" w:eastAsia="Arial" w:hAnsi="Arial"/>
          <w:sz w:val="13"/>
          <w:szCs w:val="13"/>
          <w:color w:val="auto"/>
        </w:rPr>
      </w:pPr>
    </w:p>
    <w:p>
      <w:pPr>
        <w:ind w:left="340" w:hanging="332"/>
        <w:spacing w:after="0" w:line="404" w:lineRule="auto"/>
        <w:tabs>
          <w:tab w:leader="none" w:pos="340"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58" w:lineRule="exact"/>
        <w:rPr>
          <w:rFonts w:ascii="Arial" w:cs="Arial" w:eastAsia="Arial" w:hAnsi="Arial"/>
          <w:sz w:val="10"/>
          <w:szCs w:val="10"/>
          <w:color w:val="auto"/>
        </w:rPr>
      </w:pPr>
    </w:p>
    <w:p>
      <w:pPr>
        <w:ind w:left="340" w:right="160" w:hanging="332"/>
        <w:spacing w:after="0" w:line="255"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127" w:lineRule="exact"/>
        <w:rPr>
          <w:rFonts w:ascii="Arial" w:cs="Arial" w:eastAsia="Arial" w:hAnsi="Arial"/>
          <w:sz w:val="13"/>
          <w:szCs w:val="13"/>
          <w:color w:val="auto"/>
        </w:rPr>
      </w:pPr>
    </w:p>
    <w:p>
      <w:pPr>
        <w:ind w:left="340" w:hanging="332"/>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147" w:lineRule="exact"/>
        <w:rPr>
          <w:rFonts w:ascii="Arial" w:cs="Arial" w:eastAsia="Arial" w:hAnsi="Arial"/>
          <w:sz w:val="13"/>
          <w:szCs w:val="13"/>
          <w:color w:val="auto"/>
        </w:rPr>
      </w:pPr>
    </w:p>
    <w:p>
      <w:pPr>
        <w:ind w:left="340" w:right="180" w:hanging="332"/>
        <w:spacing w:after="0" w:line="255"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The security may be resold in transactions that are exempt from registration, normally to qualified institutional buyers.</w:t>
      </w:r>
    </w:p>
    <w:p>
      <w:pPr>
        <w:spacing w:after="0" w:line="127" w:lineRule="exact"/>
        <w:rPr>
          <w:rFonts w:ascii="Arial" w:cs="Arial" w:eastAsia="Arial" w:hAnsi="Arial"/>
          <w:sz w:val="13"/>
          <w:szCs w:val="13"/>
          <w:color w:val="auto"/>
        </w:rPr>
      </w:pPr>
    </w:p>
    <w:p>
      <w:pPr>
        <w:ind w:left="340" w:hanging="332"/>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spacing w:after="0" w:line="147" w:lineRule="exact"/>
        <w:rPr>
          <w:rFonts w:ascii="Arial" w:cs="Arial" w:eastAsia="Arial" w:hAnsi="Arial"/>
          <w:sz w:val="13"/>
          <w:szCs w:val="13"/>
          <w:color w:val="auto"/>
        </w:rPr>
      </w:pPr>
    </w:p>
    <w:p>
      <w:pPr>
        <w:ind w:left="340" w:hanging="332"/>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Coupon is payable in cash and/or in-kind (“PIK”).</w:t>
      </w:r>
    </w:p>
    <w:p>
      <w:pPr>
        <w:spacing w:after="0" w:line="147" w:lineRule="exact"/>
        <w:rPr>
          <w:rFonts w:ascii="Arial" w:cs="Arial" w:eastAsia="Arial" w:hAnsi="Arial"/>
          <w:sz w:val="13"/>
          <w:szCs w:val="13"/>
          <w:color w:val="auto"/>
        </w:rPr>
      </w:pPr>
    </w:p>
    <w:p>
      <w:pPr>
        <w:ind w:left="340" w:hanging="332"/>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spacing w:after="0" w:line="147" w:lineRule="exact"/>
        <w:rPr>
          <w:rFonts w:ascii="Arial" w:cs="Arial" w:eastAsia="Arial" w:hAnsi="Arial"/>
          <w:sz w:val="13"/>
          <w:szCs w:val="13"/>
          <w:color w:val="auto"/>
        </w:rPr>
      </w:pPr>
    </w:p>
    <w:p>
      <w:pPr>
        <w:ind w:left="340" w:hanging="332"/>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Non-income producing securities.</w:t>
      </w:r>
    </w:p>
    <w:p>
      <w:pPr>
        <w:spacing w:after="0" w:line="147" w:lineRule="exact"/>
        <w:rPr>
          <w:rFonts w:ascii="Arial" w:cs="Arial" w:eastAsia="Arial" w:hAnsi="Arial"/>
          <w:sz w:val="13"/>
          <w:szCs w:val="13"/>
          <w:color w:val="auto"/>
        </w:rPr>
      </w:pPr>
    </w:p>
    <w:p>
      <w:pPr>
        <w:ind w:left="340" w:hanging="332"/>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securities are pledged as collateral under PennantPark Floating Rate Funding I, LLC's Credit Facility.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CONSOLIDATED FINANCIAL STATEMENTS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20"/>
          </w:cols>
          <w:pgMar w:left="320" w:top="122" w:right="35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Except where the context suggests otherwise, the terms “Company,” “we,” “our” or “us” refer to PennantPark Floating Rate Capital Ltd.</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67" w:lineRule="exact"/>
        <w:rPr>
          <w:sz w:val="20"/>
          <w:szCs w:val="20"/>
          <w:color w:val="auto"/>
        </w:rPr>
      </w:pPr>
    </w:p>
    <w:p>
      <w:pPr>
        <w:ind w:right="340" w:firstLine="405"/>
        <w:spacing w:after="0" w:line="312" w:lineRule="auto"/>
        <w:rPr>
          <w:sz w:val="20"/>
          <w:szCs w:val="20"/>
          <w:color w:val="auto"/>
        </w:rPr>
      </w:pPr>
      <w:r>
        <w:rPr>
          <w:rFonts w:ascii="Arial" w:cs="Arial" w:eastAsia="Arial" w:hAnsi="Arial"/>
          <w:sz w:val="13"/>
          <w:szCs w:val="13"/>
          <w:color w:val="auto"/>
        </w:rPr>
        <w:t>PennantPark Floating Rate Capital Ltd. was organized as a Maryland corporation on October 28, 2010. The Company is a closed-end, externally managed, non-diversified investment company that has elected to be treated as a business development company, or BDC, under the Investment Company Act of 1940, as amended, or the 1940 Act.</w:t>
      </w:r>
    </w:p>
    <w:p>
      <w:pPr>
        <w:spacing w:after="0" w:line="97" w:lineRule="exact"/>
        <w:rPr>
          <w:sz w:val="20"/>
          <w:szCs w:val="20"/>
          <w:color w:val="auto"/>
        </w:rPr>
      </w:pPr>
    </w:p>
    <w:p>
      <w:pPr>
        <w:ind w:right="100" w:firstLine="405"/>
        <w:spacing w:after="0" w:line="270" w:lineRule="auto"/>
        <w:rPr>
          <w:sz w:val="20"/>
          <w:szCs w:val="20"/>
          <w:color w:val="auto"/>
        </w:rPr>
      </w:pPr>
      <w:r>
        <w:rPr>
          <w:rFonts w:ascii="Arial" w:cs="Arial" w:eastAsia="Arial" w:hAnsi="Arial"/>
          <w:sz w:val="13"/>
          <w:szCs w:val="13"/>
          <w:color w:val="auto"/>
        </w:rPr>
        <w:t>Our investment objective is to generate high current income. We will seek to achieve our investment objective by investing primarily in floating rate loans and other instruments made to private middle-market companies whose debt is rated below investment grade. “Floating Rate Loans” are defined as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investments with similar characteristics, including cash equivalents in money market funds. We generally expect that senior secured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79" w:lineRule="exact"/>
        <w:rPr>
          <w:sz w:val="20"/>
          <w:szCs w:val="20"/>
          <w:color w:val="auto"/>
        </w:rPr>
      </w:pPr>
    </w:p>
    <w:p>
      <w:pPr>
        <w:ind w:right="180" w:firstLine="391"/>
        <w:spacing w:after="0" w:line="252" w:lineRule="auto"/>
        <w:rPr>
          <w:sz w:val="20"/>
          <w:szCs w:val="20"/>
          <w:color w:val="auto"/>
        </w:rPr>
      </w:pPr>
      <w:r>
        <w:rPr>
          <w:rFonts w:ascii="Arial" w:cs="Arial" w:eastAsia="Arial" w:hAnsi="Arial"/>
          <w:sz w:val="14"/>
          <w:szCs w:val="14"/>
          <w:color w:val="auto"/>
        </w:rPr>
        <w:t>On April 13, 2011, we closed our initial public offering of 6,700,000 shares, and on May 11, 2011 the underwriters exercised their overallotment option and purchased an additional 150,000 shares, resulting in total gross proceeds of $102.8 million. After deducting the underwriters' discount, or sales load, of $5.1 million, we received net proceeds of $97.7 million from our initial public offering. Additionally, offering costs were estimated at $1.0 million. The underwriters agreed to reimburse, and have paid us, $0.4 million of the estimated $1.0 million of offering expenses. On March 4, 2011, the Company sold 667 shares of common stock for $10,000 ($15.00 per share) to the Investment Adviser.</w:t>
      </w:r>
    </w:p>
    <w:p>
      <w:pPr>
        <w:spacing w:after="0" w:line="134" w:lineRule="exact"/>
        <w:rPr>
          <w:sz w:val="20"/>
          <w:szCs w:val="20"/>
          <w:color w:val="auto"/>
        </w:rPr>
      </w:pPr>
    </w:p>
    <w:p>
      <w:pPr>
        <w:jc w:val="center"/>
        <w:ind w:right="1840"/>
        <w:spacing w:after="0"/>
        <w:rPr>
          <w:sz w:val="20"/>
          <w:szCs w:val="20"/>
          <w:color w:val="auto"/>
        </w:rPr>
      </w:pPr>
      <w:r>
        <w:rPr>
          <w:rFonts w:ascii="Arial" w:cs="Arial" w:eastAsia="Arial" w:hAnsi="Arial"/>
          <w:sz w:val="14"/>
          <w:szCs w:val="14"/>
          <w:color w:val="auto"/>
        </w:rPr>
        <w:t>We are externally managed by PennantPark Investment Advisers, LLC, or the Investment Adviser or PennantPark Investment Advisers. PennantPark</w:t>
      </w:r>
    </w:p>
    <w:p>
      <w:pPr>
        <w:spacing w:after="0" w:line="13" w:lineRule="exact"/>
        <w:rPr>
          <w:sz w:val="20"/>
          <w:szCs w:val="20"/>
          <w:color w:val="auto"/>
        </w:rPr>
      </w:pPr>
    </w:p>
    <w:p>
      <w:pPr>
        <w:jc w:val="center"/>
        <w:ind w:right="1860"/>
        <w:spacing w:after="0"/>
        <w:rPr>
          <w:sz w:val="20"/>
          <w:szCs w:val="20"/>
          <w:color w:val="auto"/>
        </w:rPr>
      </w:pPr>
      <w:r>
        <w:rPr>
          <w:rFonts w:ascii="Arial" w:cs="Arial" w:eastAsia="Arial" w:hAnsi="Arial"/>
          <w:sz w:val="13"/>
          <w:szCs w:val="13"/>
          <w:color w:val="auto"/>
        </w:rPr>
        <w:t>Investment Administration, LLC, or the Administrator or PennantPark Investment Administration, provides the administrative services necessary for us to operate.</w:t>
      </w:r>
    </w:p>
    <w:p>
      <w:pPr>
        <w:spacing w:after="0" w:line="163" w:lineRule="exact"/>
        <w:rPr>
          <w:sz w:val="20"/>
          <w:szCs w:val="20"/>
          <w:color w:val="auto"/>
        </w:rPr>
      </w:pPr>
    </w:p>
    <w:p>
      <w:pPr>
        <w:ind w:right="20" w:firstLine="405"/>
        <w:spacing w:after="0" w:line="252" w:lineRule="auto"/>
        <w:rPr>
          <w:sz w:val="20"/>
          <w:szCs w:val="20"/>
          <w:color w:val="auto"/>
        </w:rPr>
      </w:pPr>
      <w:r>
        <w:rPr>
          <w:rFonts w:ascii="Arial" w:cs="Arial" w:eastAsia="Arial" w:hAnsi="Arial"/>
          <w:sz w:val="14"/>
          <w:szCs w:val="14"/>
          <w:color w:val="auto"/>
        </w:rPr>
        <w:t>On April 13, 2011, PennantPark Floating Rate Capital Ltd. closed its initial public offering and our common stock trades on the NASDAQ Global Select Market under the symbol “PFLT”. We entered into an investment management agreement, the Investment Management Agreement, with PennantPark Investment Advisers, LLC the Investment Adviser or Adviser, an external adviser that manages our day-to-day operations. We also entered into an administration agreement, the Administration Agreement, with the Administrator, that provides the administrative services necessary for us to operate.</w:t>
      </w:r>
    </w:p>
    <w:p>
      <w:pPr>
        <w:spacing w:after="0" w:line="188" w:lineRule="exact"/>
        <w:rPr>
          <w:sz w:val="20"/>
          <w:szCs w:val="20"/>
          <w:color w:val="auto"/>
        </w:rPr>
      </w:pPr>
    </w:p>
    <w:p>
      <w:pPr>
        <w:ind w:firstLine="391"/>
        <w:spacing w:after="0" w:line="249"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on May 18, 2011. We formed Funding I, in order to establish a senior secured revolving facility, the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commercial paper rate that approximates LIBOR plus 225 basis points during the revolving period. The Credit Facility is secured by all of the assets held by Funding I. See Note 10 to the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67" w:lineRule="exact"/>
        <w:rPr>
          <w:sz w:val="20"/>
          <w:szCs w:val="20"/>
          <w:color w:val="auto"/>
        </w:rPr>
      </w:pPr>
    </w:p>
    <w:p>
      <w:pPr>
        <w:ind w:right="40" w:firstLine="324"/>
        <w:spacing w:after="0" w:line="277" w:lineRule="auto"/>
        <w:rPr>
          <w:sz w:val="20"/>
          <w:szCs w:val="20"/>
          <w:color w:val="auto"/>
        </w:rPr>
      </w:pPr>
      <w:r>
        <w:rPr>
          <w:rFonts w:ascii="Arial" w:cs="Arial" w:eastAsia="Arial" w:hAnsi="Arial"/>
          <w:sz w:val="13"/>
          <w:szCs w:val="13"/>
          <w:color w:val="auto"/>
        </w:rPr>
        <w:t>The preparation of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25" w:lineRule="exact"/>
        <w:rPr>
          <w:sz w:val="20"/>
          <w:szCs w:val="20"/>
          <w:color w:val="auto"/>
        </w:rPr>
      </w:pPr>
    </w:p>
    <w:p>
      <w:pPr>
        <w:ind w:firstLine="324"/>
        <w:spacing w:after="0" w:line="257" w:lineRule="auto"/>
        <w:rPr>
          <w:sz w:val="20"/>
          <w:szCs w:val="20"/>
          <w:color w:val="auto"/>
        </w:rPr>
      </w:pPr>
      <w:r>
        <w:rPr>
          <w:rFonts w:ascii="Arial" w:cs="Arial" w:eastAsia="Arial" w:hAnsi="Arial"/>
          <w:sz w:val="14"/>
          <w:szCs w:val="14"/>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have provided a Consolidated Statement of Changes in Net Assets in lieu of a Consolidated Statement of Changes in Stockholders' Equity.</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244" w:lineRule="exact"/>
        <w:rPr>
          <w:sz w:val="20"/>
          <w:szCs w:val="20"/>
          <w:color w:val="auto"/>
        </w:rPr>
      </w:pPr>
    </w:p>
    <w:p>
      <w:pPr>
        <w:ind w:right="60" w:firstLine="405"/>
        <w:spacing w:after="0" w:line="264"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 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46" w:lineRule="exact"/>
        <w:rPr>
          <w:sz w:val="20"/>
          <w:szCs w:val="20"/>
          <w:color w:val="auto"/>
        </w:rPr>
      </w:pPr>
    </w:p>
    <w:p>
      <w:pPr>
        <w:ind w:right="600" w:firstLine="324"/>
        <w:spacing w:after="0" w:line="273"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295" w:lineRule="exact"/>
        <w:rPr>
          <w:sz w:val="20"/>
          <w:szCs w:val="20"/>
          <w:color w:val="auto"/>
        </w:rPr>
      </w:pPr>
    </w:p>
    <w:p>
      <w:pPr>
        <w:ind w:left="660" w:right="60" w:hanging="328"/>
        <w:spacing w:after="0" w:line="273" w:lineRule="auto"/>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19" w:lineRule="exact"/>
        <w:rPr>
          <w:rFonts w:ascii="Arial" w:cs="Arial" w:eastAsia="Arial" w:hAnsi="Arial"/>
          <w:sz w:val="14"/>
          <w:szCs w:val="14"/>
          <w:color w:val="auto"/>
        </w:rPr>
      </w:pP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63" w:lineRule="exact"/>
        <w:rPr>
          <w:rFonts w:ascii="Arial" w:cs="Arial" w:eastAsia="Arial" w:hAnsi="Arial"/>
          <w:sz w:val="14"/>
          <w:szCs w:val="14"/>
          <w:color w:val="auto"/>
        </w:rPr>
      </w:pPr>
    </w:p>
    <w:p>
      <w:pPr>
        <w:ind w:left="660" w:right="340" w:hanging="328"/>
        <w:spacing w:after="0" w:line="286" w:lineRule="auto"/>
        <w:tabs>
          <w:tab w:leader="none" w:pos="6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13" w:lineRule="exact"/>
        <w:rPr>
          <w:rFonts w:ascii="Arial" w:cs="Arial" w:eastAsia="Arial" w:hAnsi="Arial"/>
          <w:sz w:val="13"/>
          <w:szCs w:val="13"/>
          <w:color w:val="auto"/>
        </w:rPr>
      </w:pPr>
    </w:p>
    <w:p>
      <w:pPr>
        <w:ind w:left="660" w:right="80" w:hanging="328"/>
        <w:spacing w:after="0" w:line="273" w:lineRule="auto"/>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119" w:lineRule="exact"/>
        <w:rPr>
          <w:rFonts w:ascii="Arial" w:cs="Arial" w:eastAsia="Arial" w:hAnsi="Arial"/>
          <w:sz w:val="14"/>
          <w:szCs w:val="14"/>
          <w:color w:val="auto"/>
        </w:rPr>
      </w:pPr>
    </w:p>
    <w:p>
      <w:pPr>
        <w:ind w:left="660" w:right="380" w:hanging="328"/>
        <w:spacing w:after="0" w:line="273" w:lineRule="auto"/>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69" w:lineRule="exact"/>
        <w:rPr>
          <w:sz w:val="20"/>
          <w:szCs w:val="20"/>
          <w:color w:val="auto"/>
        </w:rPr>
      </w:pPr>
    </w:p>
    <w:p>
      <w:pPr>
        <w:ind w:right="120" w:firstLine="324"/>
        <w:spacing w:after="0" w:line="252"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4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premiums on loans and debt investments as income. Dividend income, if any, is recognized on an accrual basis on the ex-dividend date to the extent that we expect to collect such amounts.</w:t>
      </w:r>
    </w:p>
    <w:p>
      <w:pPr>
        <w:spacing w:after="0" w:line="135" w:lineRule="exact"/>
        <w:rPr>
          <w:sz w:val="20"/>
          <w:szCs w:val="20"/>
          <w:color w:val="auto"/>
        </w:rPr>
      </w:pPr>
    </w:p>
    <w:p>
      <w:pPr>
        <w:ind w:firstLine="324"/>
        <w:spacing w:after="0" w:line="320"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(c) Income Taxes</w:t>
      </w:r>
    </w:p>
    <w:p>
      <w:pPr>
        <w:spacing w:after="0" w:line="244" w:lineRule="exact"/>
        <w:rPr>
          <w:sz w:val="20"/>
          <w:szCs w:val="20"/>
          <w:color w:val="auto"/>
        </w:rPr>
      </w:pPr>
    </w:p>
    <w:p>
      <w:pPr>
        <w:ind w:right="40" w:firstLine="324"/>
        <w:spacing w:after="0" w:line="268" w:lineRule="auto"/>
        <w:rPr>
          <w:sz w:val="20"/>
          <w:szCs w:val="20"/>
          <w:color w:val="auto"/>
        </w:rPr>
      </w:pPr>
      <w:r>
        <w:rPr>
          <w:rFonts w:ascii="Arial" w:cs="Arial" w:eastAsia="Arial" w:hAnsi="Arial"/>
          <w:sz w:val="13"/>
          <w:szCs w:val="13"/>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41" w:lineRule="exact"/>
        <w:rPr>
          <w:sz w:val="20"/>
          <w:szCs w:val="20"/>
          <w:color w:val="auto"/>
        </w:rPr>
      </w:pPr>
    </w:p>
    <w:p>
      <w:pPr>
        <w:ind w:right="460" w:firstLine="324"/>
        <w:spacing w:after="0" w:line="312" w:lineRule="auto"/>
        <w:rPr>
          <w:sz w:val="20"/>
          <w:szCs w:val="20"/>
          <w:color w:val="auto"/>
        </w:rPr>
      </w:pPr>
      <w:r>
        <w:rPr>
          <w:rFonts w:ascii="Arial" w:cs="Arial" w:eastAsia="Arial" w:hAnsi="Arial"/>
          <w:sz w:val="13"/>
          <w:szCs w:val="13"/>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 See Note 7 to the Consolidated Financial Statements.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20"/>
          </w:cols>
          <w:pgMar w:left="320" w:top="122" w:right="35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82" w:lineRule="exact"/>
        <w:rPr>
          <w:sz w:val="20"/>
          <w:szCs w:val="20"/>
          <w:color w:val="auto"/>
        </w:rPr>
      </w:pPr>
    </w:p>
    <w:p>
      <w:pPr>
        <w:ind w:right="60" w:firstLine="432"/>
        <w:spacing w:after="0" w:line="273"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is determined by the board of directors each month and is generally based upon the earnings estimated by management. Net realized capital gains, if any, are distributed at least annually.</w:t>
      </w:r>
    </w:p>
    <w:p>
      <w:pPr>
        <w:spacing w:after="0" w:line="120" w:lineRule="exact"/>
        <w:rPr>
          <w:sz w:val="20"/>
          <w:szCs w:val="20"/>
          <w:color w:val="auto"/>
        </w:rPr>
      </w:pPr>
    </w:p>
    <w:p>
      <w:pPr>
        <w:ind w:right="100" w:firstLine="432"/>
        <w:spacing w:after="0" w:line="27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(e) Consolidation</w:t>
      </w:r>
    </w:p>
    <w:p>
      <w:pPr>
        <w:spacing w:after="0" w:line="82" w:lineRule="exact"/>
        <w:rPr>
          <w:sz w:val="20"/>
          <w:szCs w:val="20"/>
          <w:color w:val="auto"/>
        </w:rPr>
      </w:pPr>
    </w:p>
    <w:p>
      <w:pPr>
        <w:ind w:right="60" w:firstLine="432"/>
        <w:spacing w:after="0" w:line="257" w:lineRule="auto"/>
        <w:rPr>
          <w:sz w:val="20"/>
          <w:szCs w:val="20"/>
          <w:color w:val="auto"/>
        </w:rPr>
      </w:pPr>
      <w:r>
        <w:rPr>
          <w:rFonts w:ascii="Arial" w:cs="Arial" w:eastAsia="Arial" w:hAnsi="Arial"/>
          <w:sz w:val="14"/>
          <w:szCs w:val="14"/>
          <w:color w:val="auto"/>
        </w:rPr>
        <w:t>As permitted under Regulation S-X and the AICPA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212" w:lineRule="exact"/>
        <w:rPr>
          <w:sz w:val="20"/>
          <w:szCs w:val="20"/>
          <w:color w:val="auto"/>
        </w:rPr>
      </w:pPr>
    </w:p>
    <w:p>
      <w:pPr>
        <w:ind w:firstLine="216"/>
        <w:spacing w:after="0" w:line="257" w:lineRule="auto"/>
        <w:rPr>
          <w:sz w:val="20"/>
          <w:szCs w:val="20"/>
          <w:color w:val="auto"/>
        </w:rPr>
      </w:pPr>
      <w:r>
        <w:rPr>
          <w:rFonts w:ascii="Arial" w:cs="Arial" w:eastAsia="Arial" w:hAnsi="Arial"/>
          <w:sz w:val="14"/>
          <w:szCs w:val="14"/>
          <w:color w:val="auto"/>
        </w:rPr>
        <w:t>Assets related to transactions that do not meet ASC Topic 860 - Transfers and Servicing requirements for accounting sale treatment are reflected in the Consolidated Balance Sheet as investments. Any such assets are owned by Funding I, the creditors of Funding I have received security interests in any such assets are not intended to be available to the creditors of the Company (or any affiliate of the Company).</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(f) New Accounting Pronouncement</w:t>
      </w:r>
    </w:p>
    <w:p>
      <w:pPr>
        <w:spacing w:after="0" w:line="244" w:lineRule="exact"/>
        <w:rPr>
          <w:sz w:val="20"/>
          <w:szCs w:val="20"/>
          <w:color w:val="auto"/>
        </w:rPr>
      </w:pPr>
    </w:p>
    <w:p>
      <w:pPr>
        <w:ind w:right="20" w:firstLine="405"/>
        <w:spacing w:after="0" w:line="268" w:lineRule="auto"/>
        <w:rPr>
          <w:sz w:val="20"/>
          <w:szCs w:val="20"/>
          <w:color w:val="auto"/>
        </w:rPr>
      </w:pPr>
      <w:r>
        <w:rPr>
          <w:rFonts w:ascii="Arial" w:cs="Arial" w:eastAsia="Arial" w:hAnsi="Arial"/>
          <w:sz w:val="13"/>
          <w:szCs w:val="13"/>
          <w:color w:val="auto"/>
        </w:rPr>
        <w:t>In May 2011, the FASB issued Accounting Standards Update 2011-04, Amendments to Achieve Common Fair Value Measurement and Disclosure Requirements in U.S. GAAP and IFRSs ("ASU 2011-04"). ASU 2011-04 amends Accounting Standards Codification Topic 820, "Fair Value Measurements"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when adopted, are not expected to have a material impact on our consolidated financial statements and the company is currently evaluating the impact on its disclosures.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73" w:lineRule="exact"/>
        <w:rPr>
          <w:sz w:val="20"/>
          <w:szCs w:val="20"/>
          <w:color w:val="auto"/>
        </w:rPr>
      </w:pPr>
    </w:p>
    <w:p>
      <w:pPr>
        <w:ind w:right="100" w:firstLine="324"/>
        <w:spacing w:after="0" w:line="247" w:lineRule="auto"/>
        <w:rPr>
          <w:sz w:val="20"/>
          <w:szCs w:val="20"/>
          <w:color w:val="auto"/>
        </w:rPr>
      </w:pPr>
      <w:r>
        <w:rPr>
          <w:rFonts w:ascii="Arial" w:cs="Arial" w:eastAsia="Arial" w:hAnsi="Arial"/>
          <w:sz w:val="14"/>
          <w:szCs w:val="14"/>
          <w:color w:val="auto"/>
        </w:rPr>
        <w:t>The Company's investment management agreement, or the Investment Management Agreement, with the investment adviser, the adviser, was approved by our board of directors, including a majority of our independent directors in March 2011. Under this agreement the Investment Adviser, subject to the overall supervision of the Company's board of directors, manages the day-to-day operations of and provides investment advisory services to us. The Investment Adviser serve</w:t>
      </w:r>
      <w:r>
        <w:rPr>
          <w:rFonts w:ascii="Arial" w:cs="Arial" w:eastAsia="Arial" w:hAnsi="Arial"/>
          <w:sz w:val="14"/>
          <w:szCs w:val="14"/>
          <w:color w:val="1F497D"/>
        </w:rPr>
        <w:t>s</w:t>
      </w:r>
      <w:r>
        <w:rPr>
          <w:rFonts w:ascii="Arial" w:cs="Arial" w:eastAsia="Arial" w:hAnsi="Arial"/>
          <w:sz w:val="14"/>
          <w:szCs w:val="14"/>
          <w:color w:val="auto"/>
        </w:rPr>
        <w:t xml:space="preserve"> as the collateral manager to Funding I and has irrevocably directed that all management fees owing with respect to such services are to be paid to the Company so long as the Investment Adviser remains the collateral manager. This arrangement does not increase the consolidated management fee of the Company. For providing these services, the Investment Adviser receives a fee from the Company, consisting of two components</w:t>
      </w:r>
      <w:r>
        <w:rPr>
          <w:rFonts w:ascii="Arial" w:cs="Arial" w:eastAsia="Arial" w:hAnsi="Arial"/>
          <w:sz w:val="14"/>
          <w:szCs w:val="14"/>
          <w:b w:val="1"/>
          <w:bCs w:val="1"/>
          <w:color w:val="auto"/>
        </w:rPr>
        <w:t>-</w:t>
      </w:r>
      <w:r>
        <w:rPr>
          <w:rFonts w:ascii="Arial" w:cs="Arial" w:eastAsia="Arial" w:hAnsi="Arial"/>
          <w:sz w:val="14"/>
          <w:szCs w:val="14"/>
          <w:color w:val="auto"/>
        </w:rPr>
        <w:t>a base management fee and an incentive fee, collectively, the Management Fees.</w:t>
      </w:r>
    </w:p>
    <w:p>
      <w:pPr>
        <w:spacing w:after="0" w:line="153" w:lineRule="exact"/>
        <w:rPr>
          <w:sz w:val="20"/>
          <w:szCs w:val="20"/>
          <w:color w:val="auto"/>
        </w:rPr>
      </w:pPr>
    </w:p>
    <w:p>
      <w:pPr>
        <w:ind w:firstLine="324"/>
        <w:spacing w:after="0" w:line="247" w:lineRule="auto"/>
        <w:rPr>
          <w:sz w:val="20"/>
          <w:szCs w:val="20"/>
          <w:color w:val="auto"/>
        </w:rPr>
      </w:pPr>
      <w:r>
        <w:rPr>
          <w:rFonts w:ascii="Arial" w:cs="Arial" w:eastAsia="Arial" w:hAnsi="Arial"/>
          <w:sz w:val="14"/>
          <w:szCs w:val="14"/>
          <w:color w:val="auto"/>
        </w:rPr>
        <w:t>The base management fee is calculated at an annual rate of 1.00% of our gross assets (net of U.S. Treasury Bills, and/or temporary draws on the Credit Facility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w:t>
      </w:r>
    </w:p>
    <w:p>
      <w:pPr>
        <w:spacing w:after="0" w:line="153" w:lineRule="exact"/>
        <w:rPr>
          <w:sz w:val="20"/>
          <w:szCs w:val="20"/>
          <w:color w:val="auto"/>
        </w:rPr>
      </w:pPr>
    </w:p>
    <w:p>
      <w:pPr>
        <w:ind w:right="200" w:firstLine="324"/>
        <w:spacing w:after="0" w:line="257" w:lineRule="auto"/>
        <w:rPr>
          <w:sz w:val="20"/>
          <w:szCs w:val="20"/>
          <w:color w:val="auto"/>
        </w:rPr>
      </w:pPr>
      <w:r>
        <w:rPr>
          <w:rFonts w:ascii="Arial" w:cs="Arial" w:eastAsia="Arial" w:hAnsi="Arial"/>
          <w:sz w:val="14"/>
          <w:szCs w:val="14"/>
          <w:color w:val="auto"/>
        </w:rPr>
        <w:t>The gross assets are calculated based on the average gross assets at the end of the two most recently completed calendar quarters, appropriately adjusted for any share issuances or repurchases during the current calendar quarter. Base management fees for any partial quarter are appropriately pro-rated. For the period from March 4, 2011 (commencement of operations) to September 30, 2011, the Investment Adviser earned a base management fee of $0.4 million from us.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incentive fee has two parts, as follows:</w:t>
      </w:r>
    </w:p>
    <w:p>
      <w:pPr>
        <w:spacing w:after="0" w:line="177" w:lineRule="exact"/>
        <w:rPr>
          <w:sz w:val="20"/>
          <w:szCs w:val="20"/>
          <w:color w:val="auto"/>
        </w:rPr>
      </w:pPr>
    </w:p>
    <w:p>
      <w:pPr>
        <w:ind w:firstLine="324"/>
        <w:spacing w:after="0" w:line="264"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the Company's net assets at the end of the immediately preceding calendar quarter, is compared to the hurdle rate of 1.75% per quarter (7.00% annualized). The Company pays the Investment Adviser an incentive fee with respect to the Company's Pre-Incentive Fee Net Investment Income in each calendar quarter as follows: (1) no incentive fee in any calendar quarter in which the Company's Pre-Incentive Fee Net Investment Income does not exceed the hurdle rate of 1.75%, (2) 50% of the Company's Pre-Incentive Fee Net Investment Income with respect to that portion of such Pre-Incentive Fee Net Investment Income, if any, that exceeds the hurdle rate but is less than 2.9167% in any calendar quarter (11.67% annualized), and (3) 20% of the amount of the Company's Pre-Incentive Fee Net Investment Income, if any, that exceeds 2.9167% in any calendar quarter. These calculations are pro-rated for any period of less than three months and adjusted for any share issuances or repurchases during the relevant quarter.</w:t>
      </w:r>
    </w:p>
    <w:p>
      <w:pPr>
        <w:spacing w:after="0" w:line="14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2011 will be calculated for a period of shorter than twelve calendar months to take into account any realized capital gains computed net of all realized capital losses and unrealized capital depreciation from the inception of PennantPark Floating Rate Capital.</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4"/>
          <w:szCs w:val="14"/>
          <w:color w:val="auto"/>
        </w:rPr>
        <w:t>In accordance with GAAP, the Company did not accrue a capital gains incentive fee for the period from March 4, 2011 (commencement of operations) to September 30, 2011.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the Investment Management Agreement (as described above) for the period from March 4, 2011 (commencement of operations) to September 30, 2011, resulted in no accrual.</w:t>
      </w:r>
    </w:p>
    <w:p>
      <w:pPr>
        <w:spacing w:after="0" w:line="15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3"/>
          <w:szCs w:val="13"/>
          <w:color w:val="auto"/>
        </w:rPr>
        <w:t>We entered into an administration agreement with the Administrator, or the Administration Agreement, which was approved by our board of directors, including a majority of the independent directors, in March 2011. Under this agreement, the Administrator provides administration services to the Company.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the Company is required to offer such assistance. Reimbursement for certain of these costs is included in administrative services expenses in the Consolidated Statement of Operations. For the period from March 4, 2011 (commencement of operations) to September 30, 2011, the Investment Adviser was reimbursed approximately $0.1 million, from us, including expenses it incurred on behalf of the Administrator, for services described above.</w:t>
      </w:r>
    </w:p>
    <w:p>
      <w:pPr>
        <w:spacing w:after="0" w:line="141" w:lineRule="exact"/>
        <w:rPr>
          <w:sz w:val="20"/>
          <w:szCs w:val="20"/>
          <w:color w:val="auto"/>
        </w:rPr>
      </w:pPr>
    </w:p>
    <w:p>
      <w:pPr>
        <w:ind w:right="20" w:firstLine="324"/>
        <w:spacing w:after="0" w:line="267" w:lineRule="auto"/>
        <w:rPr>
          <w:sz w:val="20"/>
          <w:szCs w:val="20"/>
          <w:color w:val="auto"/>
        </w:rPr>
      </w:pPr>
      <w:r>
        <w:rPr>
          <w:rFonts w:ascii="Arial" w:cs="Arial" w:eastAsia="Arial" w:hAnsi="Arial"/>
          <w:sz w:val="13"/>
          <w:szCs w:val="13"/>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2011, as well as the likelihood of future activity that may generate additional returns, management determined that the 7.0% return on Pre-Incentive Fee Net Investment Income was uncertain. Accordingly, the Company did not record a liability for it. Management assesses performance to determine whether the 7% return on Pre-Incentive Fee Net Investment Income is probable before recording the $2.1 million charge to capital.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86"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Purchases of long-term investments, including PIK, for the period from March 4, 2011 (commencement of operations) to September 30, 2011 totaled $147.5 million. Sales and repayments of long-term investments for the same period totaled $33.2 million.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227" w:lineRule="exact"/>
        <w:rPr>
          <w:sz w:val="20"/>
          <w:szCs w:val="20"/>
          <w:color w:val="auto"/>
        </w:rPr>
      </w:pPr>
    </w:p>
    <w:tbl>
      <w:tblPr>
        <w:tblLayout w:type="fixed"/>
        <w:tblInd w:w="196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b w:val="1"/>
                <w:bCs w:val="1"/>
                <w:color w:val="auto"/>
              </w:rPr>
              <w:t>September 30, 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36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97,975,314</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94,333,126</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0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20" w:type="dxa"/>
            <w:vAlign w:val="bottom"/>
          </w:tcPr>
          <w:p>
            <w:pPr>
              <w:ind w:left="20"/>
              <w:spacing w:after="0"/>
              <w:rPr>
                <w:sz w:val="20"/>
                <w:szCs w:val="20"/>
                <w:color w:val="auto"/>
              </w:rPr>
            </w:pPr>
            <w:r>
              <w:rPr>
                <w:rFonts w:ascii="Arial" w:cs="Arial" w:eastAsia="Arial" w:hAnsi="Arial"/>
                <w:sz w:val="14"/>
                <w:szCs w:val="14"/>
                <w:color w:val="auto"/>
              </w:rPr>
              <w:t>Second lien</w:t>
            </w:r>
          </w:p>
        </w:tc>
        <w:tc>
          <w:tcPr>
            <w:tcW w:w="3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9,379,445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9,285,000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Subordinated debt / corporate notes</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7,374,862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7,004,130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20" w:type="dxa"/>
            <w:vAlign w:val="bottom"/>
          </w:tcPr>
          <w:p>
            <w:pPr>
              <w:ind w:left="20"/>
              <w:spacing w:after="0"/>
              <w:rPr>
                <w:sz w:val="20"/>
                <w:szCs w:val="20"/>
                <w:color w:val="auto"/>
              </w:rPr>
            </w:pPr>
            <w:r>
              <w:rPr>
                <w:rFonts w:ascii="Arial" w:cs="Arial" w:eastAsia="Arial" w:hAnsi="Arial"/>
                <w:sz w:val="14"/>
                <w:szCs w:val="14"/>
                <w:color w:val="auto"/>
              </w:rPr>
              <w:t>Preferred and common equity</w:t>
            </w:r>
          </w:p>
        </w:tc>
        <w:tc>
          <w:tcPr>
            <w:tcW w:w="3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101,985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Investments</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114,829,621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110,724,241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0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402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6,987,450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6,987,450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40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investments and cash equivalents</w:t>
            </w:r>
          </w:p>
        </w:tc>
        <w:tc>
          <w:tcPr>
            <w:tcW w:w="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121,817,071</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117,711,691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540" w:firstLine="432"/>
        <w:spacing w:after="0" w:line="27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market value, of the total portfolio assets (excluding cash equivalents) in such industries as of September 30, 2011.</w:t>
      </w:r>
    </w:p>
    <w:p>
      <w:pPr>
        <w:spacing w:after="0" w:line="200" w:lineRule="exact"/>
        <w:rPr>
          <w:sz w:val="20"/>
          <w:szCs w:val="20"/>
          <w:color w:val="auto"/>
        </w:rPr>
      </w:pPr>
    </w:p>
    <w:p>
      <w:pPr>
        <w:spacing w:after="0" w:line="253"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Industry Classification</w:t>
            </w:r>
          </w:p>
        </w:tc>
        <w:tc>
          <w:tcPr>
            <w:tcW w:w="26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8"/>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Business Services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10"/>
        </w:trPr>
        <w:tc>
          <w:tcPr>
            <w:tcW w:w="3100" w:type="dxa"/>
            <w:vAlign w:val="bottom"/>
          </w:tcPr>
          <w:p>
            <w:pPr>
              <w:ind w:left="40"/>
              <w:spacing w:after="0"/>
              <w:rPr>
                <w:sz w:val="20"/>
                <w:szCs w:val="20"/>
                <w:color w:val="auto"/>
              </w:rPr>
            </w:pPr>
            <w:r>
              <w:rPr>
                <w:rFonts w:ascii="Arial" w:cs="Arial" w:eastAsia="Arial" w:hAnsi="Arial"/>
                <w:sz w:val="14"/>
                <w:szCs w:val="14"/>
                <w:color w:val="auto"/>
              </w:rPr>
              <w:t>Healthcare and Pharmaceuticals</w:t>
            </w:r>
          </w:p>
        </w:tc>
        <w:tc>
          <w:tcPr>
            <w:tcW w:w="4300" w:type="dxa"/>
            <w:vAlign w:val="bottom"/>
            <w:gridSpan w:val="2"/>
          </w:tcPr>
          <w:p>
            <w:pPr>
              <w:jc w:val="right"/>
              <w:ind w:right="68"/>
              <w:spacing w:after="0"/>
              <w:rPr>
                <w:sz w:val="20"/>
                <w:szCs w:val="20"/>
                <w:color w:val="auto"/>
              </w:rPr>
            </w:pPr>
            <w:r>
              <w:rPr>
                <w:rFonts w:ascii="Arial" w:cs="Arial" w:eastAsia="Arial" w:hAnsi="Arial"/>
                <w:sz w:val="14"/>
                <w:szCs w:val="14"/>
                <w:color w:val="auto"/>
              </w:rPr>
              <w:t>10</w:t>
            </w:r>
          </w:p>
        </w:tc>
      </w:tr>
      <w:tr>
        <w:trPr>
          <w:trHeight w:val="222"/>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Media: Advertising, Printing and Publishing</w:t>
            </w:r>
          </w:p>
        </w:tc>
        <w:tc>
          <w:tcPr>
            <w:tcW w:w="43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r>
      <w:tr>
        <w:trPr>
          <w:trHeight w:val="210"/>
        </w:trPr>
        <w:tc>
          <w:tcPr>
            <w:tcW w:w="3100" w:type="dxa"/>
            <w:vAlign w:val="bottom"/>
          </w:tcPr>
          <w:p>
            <w:pPr>
              <w:ind w:left="40"/>
              <w:spacing w:after="0"/>
              <w:rPr>
                <w:sz w:val="20"/>
                <w:szCs w:val="20"/>
                <w:color w:val="auto"/>
              </w:rPr>
            </w:pPr>
            <w:r>
              <w:rPr>
                <w:rFonts w:ascii="Arial" w:cs="Arial" w:eastAsia="Arial" w:hAnsi="Arial"/>
                <w:sz w:val="14"/>
                <w:szCs w:val="14"/>
                <w:color w:val="auto"/>
              </w:rPr>
              <w:t>Hotel, Gaming and Leisure</w:t>
            </w:r>
          </w:p>
        </w:tc>
        <w:tc>
          <w:tcPr>
            <w:tcW w:w="4300" w:type="dxa"/>
            <w:vAlign w:val="bottom"/>
            <w:gridSpan w:val="2"/>
          </w:tcPr>
          <w:p>
            <w:pPr>
              <w:jc w:val="right"/>
              <w:ind w:right="68"/>
              <w:spacing w:after="0"/>
              <w:rPr>
                <w:sz w:val="20"/>
                <w:szCs w:val="20"/>
                <w:color w:val="auto"/>
              </w:rPr>
            </w:pPr>
            <w:r>
              <w:rPr>
                <w:rFonts w:ascii="Arial" w:cs="Arial" w:eastAsia="Arial" w:hAnsi="Arial"/>
                <w:sz w:val="14"/>
                <w:szCs w:val="14"/>
                <w:color w:val="auto"/>
              </w:rPr>
              <w:t>9</w:t>
            </w:r>
          </w:p>
        </w:tc>
      </w:tr>
      <w:tr>
        <w:trPr>
          <w:trHeight w:val="222"/>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Goods: Durable</w:t>
            </w:r>
          </w:p>
        </w:tc>
        <w:tc>
          <w:tcPr>
            <w:tcW w:w="43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r>
      <w:tr>
        <w:trPr>
          <w:trHeight w:val="210"/>
        </w:trPr>
        <w:tc>
          <w:tcPr>
            <w:tcW w:w="3100" w:type="dxa"/>
            <w:vAlign w:val="bottom"/>
          </w:tcPr>
          <w:p>
            <w:pPr>
              <w:ind w:left="40"/>
              <w:spacing w:after="0"/>
              <w:rPr>
                <w:sz w:val="20"/>
                <w:szCs w:val="20"/>
                <w:color w:val="auto"/>
              </w:rPr>
            </w:pPr>
            <w:r>
              <w:rPr>
                <w:rFonts w:ascii="Arial" w:cs="Arial" w:eastAsia="Arial" w:hAnsi="Arial"/>
                <w:sz w:val="14"/>
                <w:szCs w:val="14"/>
                <w:color w:val="auto"/>
              </w:rPr>
              <w:t>Media: Diversified and Production</w:t>
            </w:r>
          </w:p>
        </w:tc>
        <w:tc>
          <w:tcPr>
            <w:tcW w:w="4300" w:type="dxa"/>
            <w:vAlign w:val="bottom"/>
            <w:gridSpan w:val="2"/>
          </w:tcPr>
          <w:p>
            <w:pPr>
              <w:jc w:val="right"/>
              <w:ind w:right="68"/>
              <w:spacing w:after="0"/>
              <w:rPr>
                <w:sz w:val="20"/>
                <w:szCs w:val="20"/>
                <w:color w:val="auto"/>
              </w:rPr>
            </w:pPr>
            <w:r>
              <w:rPr>
                <w:rFonts w:ascii="Arial" w:cs="Arial" w:eastAsia="Arial" w:hAnsi="Arial"/>
                <w:sz w:val="14"/>
                <w:szCs w:val="14"/>
                <w:color w:val="auto"/>
              </w:rPr>
              <w:t>8</w:t>
            </w:r>
          </w:p>
        </w:tc>
      </w:tr>
      <w:tr>
        <w:trPr>
          <w:trHeight w:val="222"/>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Beverage, Food and Tobacco</w:t>
            </w:r>
          </w:p>
        </w:tc>
        <w:tc>
          <w:tcPr>
            <w:tcW w:w="43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10"/>
        </w:trPr>
        <w:tc>
          <w:tcPr>
            <w:tcW w:w="3100" w:type="dxa"/>
            <w:vAlign w:val="bottom"/>
          </w:tcPr>
          <w:p>
            <w:pPr>
              <w:ind w:left="40"/>
              <w:spacing w:after="0"/>
              <w:rPr>
                <w:sz w:val="20"/>
                <w:szCs w:val="20"/>
                <w:color w:val="auto"/>
              </w:rPr>
            </w:pPr>
            <w:r>
              <w:rPr>
                <w:rFonts w:ascii="Arial" w:cs="Arial" w:eastAsia="Arial" w:hAnsi="Arial"/>
                <w:sz w:val="14"/>
                <w:szCs w:val="14"/>
                <w:color w:val="auto"/>
              </w:rPr>
              <w:t>Chemicals, Plastics and Rubber</w:t>
            </w:r>
          </w:p>
        </w:tc>
        <w:tc>
          <w:tcPr>
            <w:tcW w:w="4300" w:type="dxa"/>
            <w:vAlign w:val="bottom"/>
            <w:gridSpan w:val="2"/>
          </w:tcPr>
          <w:p>
            <w:pPr>
              <w:jc w:val="right"/>
              <w:ind w:right="68"/>
              <w:spacing w:after="0"/>
              <w:rPr>
                <w:sz w:val="20"/>
                <w:szCs w:val="20"/>
                <w:color w:val="auto"/>
              </w:rPr>
            </w:pPr>
            <w:r>
              <w:rPr>
                <w:rFonts w:ascii="Arial" w:cs="Arial" w:eastAsia="Arial" w:hAnsi="Arial"/>
                <w:sz w:val="14"/>
                <w:szCs w:val="14"/>
                <w:color w:val="auto"/>
              </w:rPr>
              <w:t>5</w:t>
            </w:r>
          </w:p>
        </w:tc>
      </w:tr>
      <w:tr>
        <w:trPr>
          <w:trHeight w:val="222"/>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Telecommunications</w:t>
            </w:r>
          </w:p>
        </w:tc>
        <w:tc>
          <w:tcPr>
            <w:tcW w:w="43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r>
      <w:tr>
        <w:trPr>
          <w:trHeight w:val="210"/>
        </w:trPr>
        <w:tc>
          <w:tcPr>
            <w:tcW w:w="3100" w:type="dxa"/>
            <w:vAlign w:val="bottom"/>
          </w:tcPr>
          <w:p>
            <w:pPr>
              <w:ind w:left="40"/>
              <w:spacing w:after="0"/>
              <w:rPr>
                <w:sz w:val="20"/>
                <w:szCs w:val="20"/>
                <w:color w:val="auto"/>
              </w:rPr>
            </w:pPr>
            <w:r>
              <w:rPr>
                <w:rFonts w:ascii="Arial" w:cs="Arial" w:eastAsia="Arial" w:hAnsi="Arial"/>
                <w:sz w:val="14"/>
                <w:szCs w:val="14"/>
                <w:color w:val="auto"/>
              </w:rPr>
              <w:t>Automotive</w:t>
            </w:r>
          </w:p>
        </w:tc>
        <w:tc>
          <w:tcPr>
            <w:tcW w:w="4300" w:type="dxa"/>
            <w:vAlign w:val="bottom"/>
            <w:gridSpan w:val="2"/>
          </w:tcPr>
          <w:p>
            <w:pPr>
              <w:jc w:val="right"/>
              <w:ind w:right="68"/>
              <w:spacing w:after="0"/>
              <w:rPr>
                <w:sz w:val="20"/>
                <w:szCs w:val="20"/>
                <w:color w:val="auto"/>
              </w:rPr>
            </w:pPr>
            <w:r>
              <w:rPr>
                <w:rFonts w:ascii="Arial" w:cs="Arial" w:eastAsia="Arial" w:hAnsi="Arial"/>
                <w:sz w:val="14"/>
                <w:szCs w:val="14"/>
                <w:color w:val="auto"/>
              </w:rPr>
              <w:t>4</w:t>
            </w:r>
          </w:p>
        </w:tc>
      </w:tr>
      <w:tr>
        <w:trPr>
          <w:trHeight w:val="222"/>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Goods: Non-Durable</w:t>
            </w:r>
          </w:p>
        </w:tc>
        <w:tc>
          <w:tcPr>
            <w:tcW w:w="43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r>
      <w:tr>
        <w:trPr>
          <w:trHeight w:val="210"/>
        </w:trPr>
        <w:tc>
          <w:tcPr>
            <w:tcW w:w="3100" w:type="dxa"/>
            <w:vAlign w:val="bottom"/>
          </w:tcPr>
          <w:p>
            <w:pPr>
              <w:ind w:left="40"/>
              <w:spacing w:after="0"/>
              <w:rPr>
                <w:sz w:val="20"/>
                <w:szCs w:val="20"/>
                <w:color w:val="auto"/>
              </w:rPr>
            </w:pPr>
            <w:r>
              <w:rPr>
                <w:rFonts w:ascii="Arial" w:cs="Arial" w:eastAsia="Arial" w:hAnsi="Arial"/>
                <w:sz w:val="14"/>
                <w:szCs w:val="14"/>
                <w:color w:val="auto"/>
              </w:rPr>
              <w:t>High Tech Industries</w:t>
            </w:r>
          </w:p>
        </w:tc>
        <w:tc>
          <w:tcPr>
            <w:tcW w:w="4300" w:type="dxa"/>
            <w:vAlign w:val="bottom"/>
            <w:gridSpan w:val="2"/>
          </w:tcPr>
          <w:p>
            <w:pPr>
              <w:jc w:val="right"/>
              <w:ind w:right="68"/>
              <w:spacing w:after="0"/>
              <w:rPr>
                <w:sz w:val="20"/>
                <w:szCs w:val="20"/>
                <w:color w:val="auto"/>
              </w:rPr>
            </w:pPr>
            <w:r>
              <w:rPr>
                <w:rFonts w:ascii="Arial" w:cs="Arial" w:eastAsia="Arial" w:hAnsi="Arial"/>
                <w:sz w:val="14"/>
                <w:szCs w:val="14"/>
                <w:color w:val="auto"/>
              </w:rPr>
              <w:t>4</w:t>
            </w:r>
          </w:p>
        </w:tc>
      </w:tr>
      <w:tr>
        <w:trPr>
          <w:trHeight w:val="222"/>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Aerospace and Defense</w:t>
            </w:r>
          </w:p>
        </w:tc>
        <w:tc>
          <w:tcPr>
            <w:tcW w:w="43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r>
      <w:tr>
        <w:trPr>
          <w:trHeight w:val="210"/>
        </w:trPr>
        <w:tc>
          <w:tcPr>
            <w:tcW w:w="3100" w:type="dxa"/>
            <w:vAlign w:val="bottom"/>
          </w:tcPr>
          <w:p>
            <w:pPr>
              <w:ind w:left="40"/>
              <w:spacing w:after="0"/>
              <w:rPr>
                <w:sz w:val="20"/>
                <w:szCs w:val="20"/>
                <w:color w:val="auto"/>
              </w:rPr>
            </w:pPr>
            <w:r>
              <w:rPr>
                <w:rFonts w:ascii="Arial" w:cs="Arial" w:eastAsia="Arial" w:hAnsi="Arial"/>
                <w:sz w:val="14"/>
                <w:szCs w:val="14"/>
                <w:color w:val="auto"/>
              </w:rPr>
              <w:t>Capital Equipment</w:t>
            </w:r>
          </w:p>
        </w:tc>
        <w:tc>
          <w:tcPr>
            <w:tcW w:w="4300" w:type="dxa"/>
            <w:vAlign w:val="bottom"/>
            <w:gridSpan w:val="2"/>
          </w:tcPr>
          <w:p>
            <w:pPr>
              <w:jc w:val="right"/>
              <w:ind w:right="68"/>
              <w:spacing w:after="0"/>
              <w:rPr>
                <w:sz w:val="20"/>
                <w:szCs w:val="20"/>
                <w:color w:val="auto"/>
              </w:rPr>
            </w:pPr>
            <w:r>
              <w:rPr>
                <w:rFonts w:ascii="Arial" w:cs="Arial" w:eastAsia="Arial" w:hAnsi="Arial"/>
                <w:sz w:val="14"/>
                <w:szCs w:val="14"/>
                <w:color w:val="auto"/>
              </w:rPr>
              <w:t>3</w:t>
            </w:r>
          </w:p>
        </w:tc>
      </w:tr>
      <w:tr>
        <w:trPr>
          <w:trHeight w:val="222"/>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Containers, Packaging and Glass</w:t>
            </w:r>
          </w:p>
        </w:tc>
        <w:tc>
          <w:tcPr>
            <w:tcW w:w="43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r>
      <w:tr>
        <w:trPr>
          <w:trHeight w:val="210"/>
        </w:trPr>
        <w:tc>
          <w:tcPr>
            <w:tcW w:w="3100" w:type="dxa"/>
            <w:vAlign w:val="bottom"/>
          </w:tcPr>
          <w:p>
            <w:pPr>
              <w:ind w:left="40"/>
              <w:spacing w:after="0"/>
              <w:rPr>
                <w:sz w:val="20"/>
                <w:szCs w:val="20"/>
                <w:color w:val="auto"/>
              </w:rPr>
            </w:pPr>
            <w:r>
              <w:rPr>
                <w:rFonts w:ascii="Arial" w:cs="Arial" w:eastAsia="Arial" w:hAnsi="Arial"/>
                <w:sz w:val="14"/>
                <w:szCs w:val="14"/>
                <w:color w:val="auto"/>
              </w:rPr>
              <w:t>Consumer Services</w:t>
            </w:r>
          </w:p>
        </w:tc>
        <w:tc>
          <w:tcPr>
            <w:tcW w:w="4300" w:type="dxa"/>
            <w:vAlign w:val="bottom"/>
            <w:gridSpan w:val="2"/>
          </w:tcPr>
          <w:p>
            <w:pPr>
              <w:jc w:val="right"/>
              <w:ind w:right="68"/>
              <w:spacing w:after="0"/>
              <w:rPr>
                <w:sz w:val="20"/>
                <w:szCs w:val="20"/>
                <w:color w:val="auto"/>
              </w:rPr>
            </w:pPr>
            <w:r>
              <w:rPr>
                <w:rFonts w:ascii="Arial" w:cs="Arial" w:eastAsia="Arial" w:hAnsi="Arial"/>
                <w:sz w:val="14"/>
                <w:szCs w:val="14"/>
                <w:color w:val="auto"/>
              </w:rPr>
              <w:t>2</w:t>
            </w:r>
          </w:p>
        </w:tc>
      </w:tr>
      <w:tr>
        <w:trPr>
          <w:trHeight w:val="222"/>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Energy: Oil &amp; Gas</w:t>
            </w:r>
          </w:p>
        </w:tc>
        <w:tc>
          <w:tcPr>
            <w:tcW w:w="43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r>
      <w:tr>
        <w:trPr>
          <w:trHeight w:val="210"/>
        </w:trPr>
        <w:tc>
          <w:tcPr>
            <w:tcW w:w="3100" w:type="dxa"/>
            <w:vAlign w:val="bottom"/>
          </w:tcPr>
          <w:p>
            <w:pPr>
              <w:ind w:left="40"/>
              <w:spacing w:after="0"/>
              <w:rPr>
                <w:sz w:val="20"/>
                <w:szCs w:val="20"/>
                <w:color w:val="auto"/>
              </w:rPr>
            </w:pPr>
            <w:r>
              <w:rPr>
                <w:rFonts w:ascii="Arial" w:cs="Arial" w:eastAsia="Arial" w:hAnsi="Arial"/>
                <w:sz w:val="14"/>
                <w:szCs w:val="14"/>
                <w:color w:val="auto"/>
              </w:rPr>
              <w:t>Environmental Industries</w:t>
            </w:r>
          </w:p>
        </w:tc>
        <w:tc>
          <w:tcPr>
            <w:tcW w:w="4300" w:type="dxa"/>
            <w:vAlign w:val="bottom"/>
            <w:gridSpan w:val="2"/>
          </w:tcPr>
          <w:p>
            <w:pPr>
              <w:jc w:val="right"/>
              <w:ind w:right="68"/>
              <w:spacing w:after="0"/>
              <w:rPr>
                <w:sz w:val="20"/>
                <w:szCs w:val="20"/>
                <w:color w:val="auto"/>
              </w:rPr>
            </w:pPr>
            <w:r>
              <w:rPr>
                <w:rFonts w:ascii="Arial" w:cs="Arial" w:eastAsia="Arial" w:hAnsi="Arial"/>
                <w:sz w:val="14"/>
                <w:szCs w:val="14"/>
                <w:color w:val="auto"/>
              </w:rPr>
              <w:t>2</w:t>
            </w:r>
          </w:p>
        </w:tc>
      </w:tr>
      <w:tr>
        <w:trPr>
          <w:trHeight w:val="222"/>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Utilities: Water</w:t>
            </w:r>
          </w:p>
        </w:tc>
        <w:tc>
          <w:tcPr>
            <w:tcW w:w="26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184"/>
        </w:trPr>
        <w:tc>
          <w:tcPr>
            <w:tcW w:w="3100" w:type="dxa"/>
            <w:vAlign w:val="bottom"/>
          </w:tcPr>
          <w:p>
            <w:pPr>
              <w:ind w:left="40"/>
              <w:spacing w:after="0"/>
              <w:rPr>
                <w:sz w:val="20"/>
                <w:szCs w:val="20"/>
                <w:color w:val="auto"/>
              </w:rPr>
            </w:pPr>
            <w:r>
              <w:rPr>
                <w:rFonts w:ascii="Arial" w:cs="Arial" w:eastAsia="Arial" w:hAnsi="Arial"/>
                <w:sz w:val="14"/>
                <w:szCs w:val="14"/>
                <w:color w:val="auto"/>
              </w:rPr>
              <w:t>Total</w:t>
            </w:r>
          </w:p>
        </w:tc>
        <w:tc>
          <w:tcPr>
            <w:tcW w:w="4300" w:type="dxa"/>
            <w:vAlign w:val="bottom"/>
            <w:gridSpan w:val="2"/>
          </w:tcPr>
          <w:p>
            <w:pPr>
              <w:jc w:val="right"/>
              <w:spacing w:after="0"/>
              <w:rPr>
                <w:sz w:val="20"/>
                <w:szCs w:val="20"/>
                <w:color w:val="auto"/>
              </w:rPr>
            </w:pPr>
            <w:r>
              <w:rPr>
                <w:rFonts w:ascii="Arial" w:cs="Arial" w:eastAsia="Arial" w:hAnsi="Arial"/>
                <w:sz w:val="14"/>
                <w:szCs w:val="14"/>
                <w:color w:val="auto"/>
              </w:rPr>
              <w:t>100%</w:t>
            </w:r>
          </w:p>
        </w:tc>
      </w:tr>
      <w:tr>
        <w:trPr>
          <w:trHeight w:val="419"/>
        </w:trPr>
        <w:tc>
          <w:tcPr>
            <w:tcW w:w="3100" w:type="dxa"/>
            <w:vAlign w:val="bottom"/>
          </w:tcPr>
          <w:p>
            <w:pPr>
              <w:spacing w:after="0"/>
              <w:rPr>
                <w:sz w:val="24"/>
                <w:szCs w:val="24"/>
                <w:color w:val="auto"/>
              </w:rPr>
            </w:pPr>
          </w:p>
        </w:tc>
        <w:tc>
          <w:tcPr>
            <w:tcW w:w="2680" w:type="dxa"/>
            <w:vAlign w:val="bottom"/>
          </w:tcPr>
          <w:p>
            <w:pPr>
              <w:jc w:val="right"/>
              <w:ind w:right="1928"/>
              <w:spacing w:after="0"/>
              <w:rPr>
                <w:sz w:val="20"/>
                <w:szCs w:val="20"/>
                <w:color w:val="auto"/>
              </w:rPr>
            </w:pPr>
            <w:r>
              <w:rPr>
                <w:rFonts w:ascii="Arial" w:cs="Arial" w:eastAsia="Arial" w:hAnsi="Arial"/>
                <w:sz w:val="14"/>
                <w:szCs w:val="14"/>
                <w:color w:val="auto"/>
              </w:rPr>
              <w:t>74</w:t>
            </w:r>
          </w:p>
        </w:tc>
        <w:tc>
          <w:tcPr>
            <w:tcW w:w="1620" w:type="dxa"/>
            <w:vAlign w:val="bottom"/>
          </w:tcPr>
          <w:p>
            <w:pPr>
              <w:spacing w:after="0"/>
              <w:rPr>
                <w:sz w:val="24"/>
                <w:szCs w:val="24"/>
                <w:color w:val="auto"/>
              </w:rPr>
            </w:pPr>
          </w:p>
        </w:tc>
      </w:tr>
    </w:tbl>
    <w:p>
      <w:pPr>
        <w:sectPr>
          <w:pgSz w:w="11900" w:h="16838" w:orient="portrait"/>
          <w:cols w:equalWidth="0" w:num="1">
            <w:col w:w="11220"/>
          </w:cols>
          <w:pgMar w:left="320" w:top="122" w:right="35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67" w:lineRule="exact"/>
        <w:rPr>
          <w:sz w:val="20"/>
          <w:szCs w:val="20"/>
          <w:color w:val="auto"/>
        </w:rPr>
      </w:pPr>
    </w:p>
    <w:p>
      <w:pPr>
        <w:ind w:right="100" w:firstLine="432"/>
        <w:spacing w:after="0" w:line="247" w:lineRule="auto"/>
        <w:rPr>
          <w:sz w:val="20"/>
          <w:szCs w:val="20"/>
          <w:color w:val="auto"/>
        </w:rPr>
      </w:pPr>
      <w:r>
        <w:rPr>
          <w:rFonts w:ascii="Arial" w:cs="Arial" w:eastAsia="Arial" w:hAnsi="Arial"/>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the Company. Unobservable inputs are inputs that reflect the assumptions market participants would use in pricing an asset or liability based on the best information available to us at the reporting period date.</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Level 1: Inputs that are quoted prices (unadjusted) in active markets for identical assets or liabilities, accessible by us at the measurement date.</w:t>
      </w:r>
    </w:p>
    <w:p>
      <w:pPr>
        <w:spacing w:after="0" w:line="163" w:lineRule="exact"/>
        <w:rPr>
          <w:sz w:val="20"/>
          <w:szCs w:val="20"/>
          <w:color w:val="auto"/>
        </w:rPr>
      </w:pPr>
    </w:p>
    <w:p>
      <w:pPr>
        <w:ind w:left="120" w:right="300"/>
        <w:spacing w:after="0" w:line="273" w:lineRule="auto"/>
        <w:rPr>
          <w:sz w:val="20"/>
          <w:szCs w:val="20"/>
          <w:color w:val="auto"/>
        </w:rPr>
      </w:pPr>
      <w:r>
        <w:rPr>
          <w:rFonts w:ascii="Arial" w:cs="Arial" w:eastAsia="Arial" w:hAnsi="Arial"/>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Level 3: Inputs that are unobservable for an asset or liability because they are based on our own assumptions about how market participants would price the asset or liability.</w:t>
      </w:r>
    </w:p>
    <w:p>
      <w:pPr>
        <w:spacing w:after="0" w:line="163" w:lineRule="exact"/>
        <w:rPr>
          <w:sz w:val="20"/>
          <w:szCs w:val="20"/>
          <w:color w:val="auto"/>
        </w:rPr>
      </w:pPr>
    </w:p>
    <w:p>
      <w:pPr>
        <w:ind w:right="40" w:firstLine="405"/>
        <w:spacing w:after="0" w:line="257"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long-term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131" w:lineRule="exact"/>
        <w:rPr>
          <w:sz w:val="20"/>
          <w:szCs w:val="20"/>
          <w:color w:val="auto"/>
        </w:rPr>
      </w:pPr>
    </w:p>
    <w:p>
      <w:pPr>
        <w:ind w:right="160" w:firstLine="405"/>
        <w:spacing w:after="0" w:line="249"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37" w:lineRule="exact"/>
        <w:rPr>
          <w:sz w:val="20"/>
          <w:szCs w:val="20"/>
          <w:color w:val="auto"/>
        </w:rPr>
      </w:pPr>
    </w:p>
    <w:p>
      <w:pPr>
        <w:ind w:right="80" w:firstLine="405"/>
        <w:spacing w:after="0" w:line="247" w:lineRule="auto"/>
        <w:rPr>
          <w:sz w:val="20"/>
          <w:szCs w:val="20"/>
          <w:color w:val="auto"/>
        </w:rPr>
      </w:pPr>
      <w:r>
        <w:rPr>
          <w:rFonts w:ascii="Arial" w:cs="Arial" w:eastAsia="Arial" w:hAnsi="Arial"/>
          <w:sz w:val="14"/>
          <w:szCs w:val="14"/>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0" w:lineRule="exact"/>
        <w:rPr>
          <w:sz w:val="20"/>
          <w:szCs w:val="20"/>
          <w:color w:val="auto"/>
        </w:rPr>
      </w:pPr>
    </w:p>
    <w:p>
      <w:pPr>
        <w:ind w:firstLine="405"/>
        <w:spacing w:after="0" w:line="252"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period March 4, 2011 (commencement of operations) to September 30, 2011, our ability to observe valuation inputs has resulted in no reclassification of assets from Level 3 to Level 2. There were no investments transferred between Levels 1 and 2 for the same period.</w:t>
      </w:r>
    </w:p>
    <w:p>
      <w:pPr>
        <w:spacing w:after="0" w:line="134" w:lineRule="exact"/>
        <w:rPr>
          <w:sz w:val="20"/>
          <w:szCs w:val="20"/>
          <w:color w:val="auto"/>
        </w:rPr>
      </w:pPr>
    </w:p>
    <w:p>
      <w:pPr>
        <w:ind w:right="300" w:firstLine="324"/>
        <w:spacing w:after="0" w:line="257" w:lineRule="auto"/>
        <w:rPr>
          <w:sz w:val="20"/>
          <w:szCs w:val="20"/>
          <w:color w:val="auto"/>
        </w:rPr>
      </w:pPr>
      <w:r>
        <w:rPr>
          <w:rFonts w:ascii="Arial" w:cs="Arial" w:eastAsia="Arial" w:hAnsi="Arial"/>
          <w:sz w:val="14"/>
          <w:szCs w:val="14"/>
          <w:color w:val="auto"/>
        </w:rPr>
        <w:t>In addition to using the above inputs in cash equivalents, investments and our Credit Facility valuations we employ the valuation policy approved by our board of directors that is consistent with ASC 820 (See Note 2). Consistent with our valuation policy, we evaluate the source of inputs, including any markets in which its investments are trading, in determining fair value.</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160"/>
          </w:cols>
          <w:pgMar w:left="320" w:top="122" w:right="41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4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At September 30, 2011 our cash and cash equivalents, investments and our long-term Credit Facility were categorized as listed below in the fair value hierarchy for ASC 820 purposes.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Please refer to the paragraphs preceding this sentence for information regarding Levels 1 through 3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262255</wp:posOffset>
            </wp:positionV>
            <wp:extent cx="44405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4055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 Lien</w:t>
            </w: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94,333,126</w:t>
            </w:r>
          </w:p>
        </w:tc>
        <w:tc>
          <w:tcPr>
            <w:tcW w:w="1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2,033,747</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92,299,379</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4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30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9,285,000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9,285,000</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Debt/Corporate Notes</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7,004,130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1,155,000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5,849,130</w:t>
            </w:r>
          </w:p>
        </w:tc>
        <w:tc>
          <w:tcPr>
            <w:tcW w:w="0" w:type="dxa"/>
            <w:vAlign w:val="bottom"/>
          </w:tcPr>
          <w:p>
            <w:pPr>
              <w:spacing w:after="0"/>
              <w:rPr>
                <w:sz w:val="1"/>
                <w:szCs w:val="1"/>
                <w:color w:val="auto"/>
              </w:rPr>
            </w:pPr>
          </w:p>
        </w:tc>
      </w:tr>
      <w:tr>
        <w:trPr>
          <w:trHeight w:val="79"/>
        </w:trPr>
        <w:tc>
          <w:tcPr>
            <w:tcW w:w="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4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4"/>
                <w:szCs w:val="14"/>
                <w:color w:val="auto"/>
              </w:rPr>
              <w:t>Preferred and Common Equity</w:t>
            </w:r>
          </w:p>
        </w:tc>
        <w:tc>
          <w:tcPr>
            <w:tcW w:w="30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101,985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101,985</w:t>
            </w:r>
          </w:p>
        </w:tc>
        <w:tc>
          <w:tcPr>
            <w:tcW w:w="0" w:type="dxa"/>
            <w:vAlign w:val="bottom"/>
          </w:tcPr>
          <w:p>
            <w:pPr>
              <w:spacing w:after="0"/>
              <w:rPr>
                <w:sz w:val="1"/>
                <w:szCs w:val="1"/>
                <w:color w:val="auto"/>
              </w:rPr>
            </w:pPr>
          </w:p>
        </w:tc>
      </w:tr>
      <w:tr>
        <w:trPr>
          <w:trHeight w:val="73"/>
        </w:trPr>
        <w:tc>
          <w:tcPr>
            <w:tcW w:w="2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34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Total Investments</w:t>
            </w:r>
          </w:p>
        </w:tc>
        <w:tc>
          <w:tcPr>
            <w:tcW w:w="3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110,724,241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3,188,747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107,535,494</w:t>
            </w:r>
          </w:p>
        </w:tc>
        <w:tc>
          <w:tcPr>
            <w:tcW w:w="0" w:type="dxa"/>
            <w:vAlign w:val="bottom"/>
          </w:tcPr>
          <w:p>
            <w:pPr>
              <w:spacing w:after="0"/>
              <w:rPr>
                <w:sz w:val="1"/>
                <w:szCs w:val="1"/>
                <w:color w:val="auto"/>
              </w:rPr>
            </w:pPr>
          </w:p>
        </w:tc>
      </w:tr>
      <w:tr>
        <w:trPr>
          <w:trHeight w:val="79"/>
        </w:trPr>
        <w:tc>
          <w:tcPr>
            <w:tcW w:w="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4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gridSpan w:val="2"/>
          </w:tcPr>
          <w:p>
            <w:pPr>
              <w:ind w:left="680"/>
              <w:spacing w:after="0"/>
              <w:rPr>
                <w:sz w:val="20"/>
                <w:szCs w:val="20"/>
                <w:color w:val="auto"/>
              </w:rPr>
            </w:pPr>
            <w:r>
              <w:rPr>
                <w:rFonts w:ascii="Arial" w:cs="Arial" w:eastAsia="Arial" w:hAnsi="Arial"/>
                <w:sz w:val="14"/>
                <w:szCs w:val="14"/>
                <w:color w:val="auto"/>
              </w:rPr>
              <w:t>Cash Equivalents</w:t>
            </w:r>
          </w:p>
        </w:tc>
        <w:tc>
          <w:tcPr>
            <w:tcW w:w="30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6,987,450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6,987,450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10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Total Investments and cash equivalents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117,711,691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6,987,450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3,188,747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107,535,494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4100" w:type="dxa"/>
            <w:vAlign w:val="bottom"/>
            <w:gridSpan w:val="2"/>
            <w:vMerge w:val="continue"/>
          </w:tcPr>
          <w:p>
            <w:pPr>
              <w:spacing w:after="0"/>
              <w:rPr>
                <w:sz w:val="13"/>
                <w:szCs w:val="13"/>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24,650,000</w:t>
            </w:r>
          </w:p>
        </w:tc>
        <w:tc>
          <w:tcPr>
            <w:tcW w:w="120" w:type="dxa"/>
            <w:vAlign w:val="bottom"/>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24,650,000</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following tables show a reconciliation of the beginning and ending balances for fair valued investments measured using significant unobservable inputs (Level 3) for the period from</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March 4, 2011 (commencement of operations) to 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262255</wp:posOffset>
            </wp:positionV>
            <wp:extent cx="30257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23495</wp:posOffset>
            </wp:positionV>
            <wp:extent cx="689229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92290" cy="171450"/>
                    </a:xfrm>
                    <a:prstGeom prst="rect">
                      <a:avLst/>
                    </a:prstGeom>
                    <a:noFill/>
                  </pic:spPr>
                </pic:pic>
              </a:graphicData>
            </a:graphic>
          </wp:anchor>
        </w:drawing>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Beginning Balance, March 4, 2011</w:t>
      </w:r>
    </w:p>
    <w:p>
      <w:pPr>
        <w:spacing w:after="0" w:line="10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Realized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64135</wp:posOffset>
            </wp:positionV>
            <wp:extent cx="689229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92290" cy="171450"/>
                    </a:xfrm>
                    <a:prstGeom prst="rect">
                      <a:avLst/>
                    </a:prstGeom>
                    <a:noFill/>
                  </pic:spPr>
                </pic:pic>
              </a:graphicData>
            </a:graphic>
          </wp:anchor>
        </w:drawing>
      </w:r>
    </w:p>
    <w:p>
      <w:pPr>
        <w:spacing w:after="0" w:line="8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Unrealized depreciation</w:t>
      </w:r>
    </w:p>
    <w:p>
      <w:pPr>
        <w:spacing w:after="0" w:line="10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Purchases, PIK and net discount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64135</wp:posOffset>
            </wp:positionV>
            <wp:extent cx="689229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92290" cy="171450"/>
                    </a:xfrm>
                    <a:prstGeom prst="rect">
                      <a:avLst/>
                    </a:prstGeom>
                    <a:noFill/>
                  </pic:spPr>
                </pic:pic>
              </a:graphicData>
            </a:graphic>
          </wp:anchor>
        </w:drawing>
      </w:r>
    </w:p>
    <w:p>
      <w:pPr>
        <w:spacing w:after="0" w:line="8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Sales / repayments</w:t>
      </w:r>
    </w:p>
    <w:p>
      <w:pPr>
        <w:spacing w:after="0" w:line="10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Transfers in and /or out of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64135</wp:posOffset>
            </wp:positionV>
            <wp:extent cx="689229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92290" cy="171450"/>
                    </a:xfrm>
                    <a:prstGeom prst="rect">
                      <a:avLst/>
                    </a:prstGeom>
                    <a:noFill/>
                  </pic:spPr>
                </pic:pic>
              </a:graphicData>
            </a:graphic>
          </wp:anchor>
        </w:drawing>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Ending Balance, September 30, 2011</w:t>
      </w:r>
    </w:p>
    <w:p>
      <w:pPr>
        <w:spacing w:after="0" w:line="109" w:lineRule="exact"/>
        <w:rPr>
          <w:sz w:val="20"/>
          <w:szCs w:val="20"/>
          <w:color w:val="auto"/>
        </w:rPr>
      </w:pPr>
    </w:p>
    <w:p>
      <w:pPr>
        <w:ind w:left="220"/>
        <w:spacing w:after="0" w:line="238" w:lineRule="auto"/>
        <w:rPr>
          <w:sz w:val="20"/>
          <w:szCs w:val="20"/>
          <w:color w:val="auto"/>
        </w:rPr>
      </w:pPr>
      <w:r>
        <w:rPr>
          <w:rFonts w:ascii="Arial" w:cs="Arial" w:eastAsia="Arial" w:hAnsi="Arial"/>
          <w:sz w:val="14"/>
          <w:szCs w:val="14"/>
          <w:color w:val="auto"/>
        </w:rPr>
        <w:t>Net change in unrealized appreciation (depreciation) for the period above within the net change in unrealized appreciation on investments in our Consolidated Statement of Operations attributable to our Level 3 assets still held at the reporting date:</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Second Lien,</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2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First Lien</w:t>
            </w:r>
          </w:p>
        </w:tc>
        <w:tc>
          <w:tcPr>
            <w:tcW w:w="100" w:type="dxa"/>
            <w:vAlign w:val="bottom"/>
            <w:vMerge w:val="restart"/>
          </w:tcPr>
          <w:p>
            <w:pPr>
              <w:spacing w:after="0"/>
              <w:rPr>
                <w:sz w:val="12"/>
                <w:szCs w:val="12"/>
                <w:color w:val="auto"/>
              </w:rPr>
            </w:pPr>
          </w:p>
        </w:tc>
        <w:tc>
          <w:tcPr>
            <w:tcW w:w="16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Subordinated Debt and</w:t>
            </w:r>
          </w:p>
        </w:tc>
        <w:tc>
          <w:tcPr>
            <w:tcW w:w="340" w:type="dxa"/>
            <w:vAlign w:val="bottom"/>
          </w:tcPr>
          <w:p>
            <w:pPr>
              <w:spacing w:after="0"/>
              <w:rPr>
                <w:sz w:val="12"/>
                <w:szCs w:val="12"/>
                <w:color w:val="auto"/>
              </w:rPr>
            </w:pPr>
          </w:p>
        </w:tc>
        <w:tc>
          <w:tcPr>
            <w:tcW w:w="11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Equity Investments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218,684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93,319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312,003</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(3,621,606)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(93,301)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124,246,206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19,766,732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144,012,938</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(28,543,905)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(4,530,635)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(33,074,540)</w:t>
            </w:r>
          </w:p>
        </w:tc>
        <w:tc>
          <w:tcPr>
            <w:tcW w:w="0" w:type="dxa"/>
            <w:vAlign w:val="bottom"/>
          </w:tcPr>
          <w:p>
            <w:pPr>
              <w:spacing w:after="0"/>
              <w:rPr>
                <w:sz w:val="1"/>
                <w:szCs w:val="1"/>
                <w:color w:val="auto"/>
              </w:rPr>
            </w:pPr>
          </w:p>
        </w:tc>
      </w:tr>
      <w:tr>
        <w:trPr>
          <w:trHeight w:val="276"/>
        </w:trPr>
        <w:tc>
          <w:tcPr>
            <w:tcW w:w="28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92,299,379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15,236,115</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107,535,494</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(3,621,606)</w:t>
            </w:r>
          </w:p>
        </w:tc>
        <w:tc>
          <w:tcPr>
            <w:tcW w:w="100" w:type="dxa"/>
            <w:vAlign w:val="bottom"/>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(93,301)</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40" w:space="140"/>
            <w:col w:w="4900"/>
          </w:cols>
          <w:pgMar w:left="320" w:top="122" w:right="399" w:bottom="1440" w:gutter="0" w:footer="0" w:header="0"/>
          <w:type w:val="continuous"/>
        </w:sectPr>
      </w:pP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180"/>
          </w:cols>
          <w:pgMar w:left="320" w:top="122" w:right="39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60" w:firstLine="432"/>
        <w:spacing w:after="0" w:line="273" w:lineRule="auto"/>
        <w:rPr>
          <w:sz w:val="20"/>
          <w:szCs w:val="20"/>
          <w:color w:val="auto"/>
        </w:rPr>
      </w:pPr>
      <w:r>
        <w:rPr>
          <w:rFonts w:ascii="Arial" w:cs="Arial" w:eastAsia="Arial" w:hAnsi="Arial"/>
          <w:sz w:val="14"/>
          <w:szCs w:val="14"/>
          <w:color w:val="auto"/>
        </w:rPr>
        <w:t>The following tables show a reconciliation of the beginning and ending balances for fair valued liabilities measured using significant unobservable inputs (Level 3) for the period from March 4, 2011 (commencement of operations) to September 30, 2011.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Long-Term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8045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80455" cy="145415"/>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Beginning balance, March 4, 2011 (Cost - $0)</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unrealized appreciation 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618045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18045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Transfers in and/or out of Level 3</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Credit Facility, September 30, 2011 (Cost – $24,650,000)</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424"/>
        <w:spacing w:after="0"/>
        <w:rPr>
          <w:sz w:val="20"/>
          <w:szCs w:val="20"/>
          <w:color w:val="auto"/>
        </w:rPr>
      </w:pPr>
      <w:r>
        <w:rPr>
          <w:rFonts w:ascii="Arial" w:cs="Arial" w:eastAsia="Arial" w:hAnsi="Arial"/>
          <w:sz w:val="14"/>
          <w:szCs w:val="14"/>
          <w:b w:val="1"/>
          <w:bCs w:val="1"/>
          <w:color w:val="auto"/>
        </w:rPr>
        <w:t>Carrying /</w:t>
      </w:r>
    </w:p>
    <w:p>
      <w:pPr>
        <w:spacing w:after="0" w:line="4" w:lineRule="exact"/>
        <w:rPr>
          <w:sz w:val="20"/>
          <w:szCs w:val="20"/>
          <w:color w:val="auto"/>
        </w:rPr>
      </w:pPr>
    </w:p>
    <w:p>
      <w:pPr>
        <w:ind w:left="424"/>
        <w:spacing w:after="0"/>
        <w:rPr>
          <w:sz w:val="20"/>
          <w:szCs w:val="20"/>
          <w:color w:val="auto"/>
        </w:rPr>
      </w:pPr>
      <w:r>
        <w:rPr>
          <w:rFonts w:ascii="Arial" w:cs="Arial" w:eastAsia="Arial" w:hAnsi="Arial"/>
          <w:sz w:val="14"/>
          <w:szCs w:val="14"/>
          <w:b w:val="1"/>
          <w:bCs w:val="1"/>
          <w:color w:val="auto"/>
        </w:rPr>
        <w:t>Fair Value</w:t>
      </w:r>
    </w:p>
    <w:p>
      <w:pPr>
        <w:spacing w:after="0" w:line="57" w:lineRule="exact"/>
        <w:rPr>
          <w:sz w:val="20"/>
          <w:szCs w:val="20"/>
          <w:color w:val="auto"/>
        </w:rPr>
      </w:pPr>
    </w:p>
    <w:p>
      <w:pPr>
        <w:ind w:left="1284" w:hanging="1284"/>
        <w:spacing w:after="0"/>
        <w:tabs>
          <w:tab w:leader="none" w:pos="1284" w:val="left"/>
        </w:tabs>
        <w:numPr>
          <w:ilvl w:val="0"/>
          <w:numId w:val="44"/>
        </w:numPr>
        <w:rPr>
          <w:rFonts w:ascii="Arial" w:cs="Arial" w:eastAsia="Arial" w:hAnsi="Arial"/>
          <w:sz w:val="14"/>
          <w:szCs w:val="14"/>
          <w:color w:val="auto"/>
        </w:rPr>
      </w:pPr>
      <w:r>
        <w:rPr>
          <w:rFonts w:ascii="Arial" w:cs="Arial" w:eastAsia="Arial" w:hAnsi="Arial"/>
          <w:sz w:val="14"/>
          <w:szCs w:val="14"/>
          <w:color w:val="auto"/>
        </w:rPr>
        <w:t>—</w:t>
      </w:r>
    </w:p>
    <w:p>
      <w:pPr>
        <w:spacing w:after="0" w:line="55" w:lineRule="exact"/>
        <w:rPr>
          <w:rFonts w:ascii="Arial" w:cs="Arial" w:eastAsia="Arial" w:hAnsi="Arial"/>
          <w:sz w:val="14"/>
          <w:szCs w:val="14"/>
          <w:color w:val="auto"/>
        </w:rPr>
      </w:pPr>
    </w:p>
    <w:p>
      <w:pPr>
        <w:ind w:left="1284"/>
        <w:spacing w:after="0"/>
        <w:rPr>
          <w:rFonts w:ascii="Arial" w:cs="Arial" w:eastAsia="Arial" w:hAnsi="Arial"/>
          <w:sz w:val="14"/>
          <w:szCs w:val="14"/>
          <w:color w:val="auto"/>
        </w:rPr>
      </w:pPr>
      <w:r>
        <w:rPr>
          <w:rFonts w:ascii="Arial" w:cs="Arial" w:eastAsia="Arial" w:hAnsi="Arial"/>
          <w:sz w:val="14"/>
          <w:szCs w:val="14"/>
          <w:color w:val="auto"/>
        </w:rPr>
        <w:t>—</w:t>
      </w:r>
    </w:p>
    <w:p>
      <w:pPr>
        <w:spacing w:after="0" w:line="55" w:lineRule="exact"/>
        <w:rPr>
          <w:sz w:val="20"/>
          <w:szCs w:val="20"/>
          <w:color w:val="auto"/>
        </w:rPr>
      </w:pPr>
    </w:p>
    <w:p>
      <w:pPr>
        <w:ind w:left="784"/>
        <w:spacing w:after="0"/>
        <w:rPr>
          <w:sz w:val="20"/>
          <w:szCs w:val="20"/>
          <w:color w:val="auto"/>
        </w:rPr>
      </w:pPr>
      <w:r>
        <w:rPr>
          <w:rFonts w:ascii="Arial" w:cs="Arial" w:eastAsia="Arial" w:hAnsi="Arial"/>
          <w:sz w:val="13"/>
          <w:szCs w:val="13"/>
          <w:color w:val="auto"/>
        </w:rPr>
        <w:t>29,000,000</w:t>
      </w:r>
    </w:p>
    <w:p>
      <w:pPr>
        <w:spacing w:after="0" w:line="53" w:lineRule="exact"/>
        <w:rPr>
          <w:sz w:val="20"/>
          <w:szCs w:val="20"/>
          <w:color w:val="auto"/>
        </w:rPr>
      </w:pPr>
    </w:p>
    <w:p>
      <w:pPr>
        <w:jc w:val="right"/>
        <w:ind w:right="1540"/>
        <w:spacing w:after="0"/>
        <w:rPr>
          <w:sz w:val="20"/>
          <w:szCs w:val="20"/>
          <w:color w:val="auto"/>
        </w:rPr>
      </w:pPr>
      <w:r>
        <w:rPr>
          <w:rFonts w:ascii="Arial" w:cs="Arial" w:eastAsia="Arial" w:hAnsi="Arial"/>
          <w:sz w:val="14"/>
          <w:szCs w:val="14"/>
          <w:color w:val="auto"/>
        </w:rPr>
        <w:t>(4,350,000)</w:t>
      </w:r>
    </w:p>
    <w:p>
      <w:pPr>
        <w:spacing w:after="0" w:line="55" w:lineRule="exact"/>
        <w:rPr>
          <w:sz w:val="20"/>
          <w:szCs w:val="20"/>
          <w:color w:val="auto"/>
        </w:rPr>
      </w:pPr>
    </w:p>
    <w:p>
      <w:pPr>
        <w:ind w:left="1284"/>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20955</wp:posOffset>
            </wp:positionV>
            <wp:extent cx="9861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49" w:lineRule="exact"/>
        <w:rPr>
          <w:sz w:val="20"/>
          <w:szCs w:val="20"/>
          <w:color w:val="auto"/>
        </w:rPr>
      </w:pPr>
    </w:p>
    <w:p>
      <w:pPr>
        <w:ind w:left="784" w:hanging="784"/>
        <w:spacing w:after="0"/>
        <w:tabs>
          <w:tab w:leader="none" w:pos="784" w:val="left"/>
        </w:tabs>
        <w:numPr>
          <w:ilvl w:val="0"/>
          <w:numId w:val="45"/>
        </w:numPr>
        <w:rPr>
          <w:rFonts w:ascii="Arial" w:cs="Arial" w:eastAsia="Arial" w:hAnsi="Arial"/>
          <w:sz w:val="13"/>
          <w:szCs w:val="13"/>
          <w:color w:val="auto"/>
        </w:rPr>
      </w:pPr>
      <w:r>
        <w:rPr>
          <w:rFonts w:ascii="Arial" w:cs="Arial" w:eastAsia="Arial" w:hAnsi="Arial"/>
          <w:sz w:val="13"/>
          <w:szCs w:val="13"/>
          <w:color w:val="auto"/>
        </w:rPr>
        <w:t>24,650,000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9861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96" w:space="720"/>
            <w:col w:w="3024"/>
          </w:cols>
          <w:pgMar w:left="320" w:top="121" w:right="339" w:bottom="1440" w:gutter="0" w:footer="0" w:header="0"/>
          <w:type w:val="continuous"/>
        </w:sectPr>
      </w:pPr>
    </w:p>
    <w:p>
      <w:pPr>
        <w:spacing w:after="0" w:line="2" w:lineRule="exact"/>
        <w:rPr>
          <w:sz w:val="20"/>
          <w:szCs w:val="20"/>
          <w:color w:val="auto"/>
        </w:rPr>
      </w:pPr>
    </w:p>
    <w:p>
      <w:pPr>
        <w:ind w:firstLine="432"/>
        <w:spacing w:after="0" w:line="24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non-recurring expenses of $1.4 million, which represents the upfront fees and expenses related to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the period from March 4, 2011 (commencement of operations) to September 30, 2011, our Credit Facility had no net change in unrealized (appreciation) depreciation. PennantPark Floating Rate Capital Ltd. uses one or more nationally recognized independent valuation service to measure the fair value of its credit facility in a manner consistent with the valuation process that the board of directors uses to value investments.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decrease in net assets resulting from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For the period March 4, 2011 (commencement</w:t>
            </w:r>
          </w:p>
        </w:tc>
      </w:t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95"/>
              </w:rPr>
              <w:t>of operations) to September 30, 2011</w:t>
            </w:r>
          </w:p>
        </w:tc>
      </w:tr>
      <w:tr>
        <w:trPr>
          <w:trHeight w:val="229"/>
        </w:trPr>
        <w:tc>
          <w:tcPr>
            <w:tcW w:w="4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22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Numerator for net decrease in net assets resulting from operations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(3,473,253)</w:t>
            </w:r>
          </w:p>
        </w:tc>
      </w:tr>
      <w:tr>
        <w:trPr>
          <w:trHeight w:val="210"/>
        </w:trPr>
        <w:tc>
          <w:tcPr>
            <w:tcW w:w="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20" w:type="dxa"/>
            <w:vAlign w:val="bottom"/>
          </w:tcPr>
          <w:p>
            <w:pPr>
              <w:spacing w:after="0"/>
              <w:rPr>
                <w:sz w:val="18"/>
                <w:szCs w:val="18"/>
                <w:color w:val="auto"/>
              </w:rPr>
            </w:pPr>
          </w:p>
        </w:tc>
        <w:tc>
          <w:tcPr>
            <w:tcW w:w="2700" w:type="dxa"/>
            <w:vAlign w:val="bottom"/>
          </w:tcPr>
          <w:p>
            <w:pPr>
              <w:jc w:val="right"/>
              <w:ind w:right="8"/>
              <w:spacing w:after="0"/>
              <w:rPr>
                <w:sz w:val="20"/>
                <w:szCs w:val="20"/>
                <w:color w:val="auto"/>
              </w:rPr>
            </w:pPr>
            <w:r>
              <w:rPr>
                <w:rFonts w:ascii="Arial" w:cs="Arial" w:eastAsia="Arial" w:hAnsi="Arial"/>
                <w:sz w:val="14"/>
                <w:szCs w:val="14"/>
                <w:color w:val="auto"/>
              </w:rPr>
              <w:t>6,826,105</w:t>
            </w:r>
          </w:p>
        </w:tc>
      </w:tr>
      <w:tr>
        <w:trPr>
          <w:trHeight w:val="209"/>
        </w:trPr>
        <w:tc>
          <w:tcPr>
            <w:tcW w:w="4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and diluted net decrease in net assets per share resulting from operations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TAXES AND DISTRIBUTIONS</w:t>
      </w:r>
    </w:p>
    <w:p>
      <w:pPr>
        <w:spacing w:after="0" w:line="86" w:lineRule="exact"/>
        <w:rPr>
          <w:sz w:val="20"/>
          <w:szCs w:val="20"/>
          <w:color w:val="auto"/>
        </w:rPr>
      </w:pPr>
    </w:p>
    <w:p>
      <w:pPr>
        <w:ind w:right="40" w:firstLine="432"/>
        <w:spacing w:after="0" w:line="252" w:lineRule="auto"/>
        <w:rPr>
          <w:sz w:val="20"/>
          <w:szCs w:val="20"/>
          <w:color w:val="auto"/>
        </w:rPr>
      </w:pPr>
      <w:r>
        <w:rPr>
          <w:rFonts w:ascii="Arial" w:cs="Arial" w:eastAsia="Arial" w:hAnsi="Arial"/>
          <w:sz w:val="14"/>
          <w:szCs w:val="14"/>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As of September 30, 2011, we had no permanent book-to-tax differences.</w:t>
      </w:r>
    </w:p>
    <w:p>
      <w:pPr>
        <w:spacing w:after="0" w:line="53"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As of September 30, 2011, the cost of investments for federal income tax purposes was $114.8 million resulting in a gross unrealized appreciation of $0.1 million and depreciation of $4.2 million.</w:t>
      </w:r>
    </w:p>
    <w:p>
      <w:pPr>
        <w:sectPr>
          <w:pgSz w:w="11900" w:h="16838" w:orient="portrait"/>
          <w:cols w:equalWidth="0" w:num="1">
            <w:col w:w="11160"/>
          </w:cols>
          <w:pgMar w:left="320" w:top="121" w:right="419" w:bottom="1440" w:gutter="0" w:footer="0" w:header="0"/>
        </w:sectPr>
      </w:pPr>
    </w:p>
    <w:p>
      <w:pPr>
        <w:spacing w:after="0" w:line="12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following reconciles net decrease in net assets resulting from operations to taxable income:</w:t>
      </w:r>
    </w:p>
    <w:p>
      <w:pPr>
        <w:spacing w:after="0" w:line="200" w:lineRule="exact"/>
        <w:rPr>
          <w:sz w:val="20"/>
          <w:szCs w:val="20"/>
          <w:color w:val="auto"/>
        </w:rPr>
      </w:pPr>
    </w:p>
    <w:p>
      <w:pPr>
        <w:spacing w:after="0" w:line="32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Net increase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29845</wp:posOffset>
            </wp:positionV>
            <wp:extent cx="580326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03265" cy="137160"/>
                    </a:xfrm>
                    <a:prstGeom prst="rect">
                      <a:avLst/>
                    </a:prstGeom>
                    <a:noFill/>
                  </pic:spPr>
                </pic:pic>
              </a:graphicData>
            </a:graphic>
          </wp:anchor>
        </w:drawing>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Net unrealized appreciation / (depreciation) on investments and credit facility</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Other temporary book-to-tax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29845</wp:posOffset>
            </wp:positionV>
            <wp:extent cx="580326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03265" cy="154305"/>
                    </a:xfrm>
                    <a:prstGeom prst="rect">
                      <a:avLst/>
                    </a:prstGeom>
                    <a:noFill/>
                  </pic:spPr>
                </pic:pic>
              </a:graphicData>
            </a:graphic>
          </wp:anchor>
        </w:drawing>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Taxable income before deductions for distributions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center"/>
        <w:ind w:right="980"/>
        <w:spacing w:after="0"/>
        <w:rPr>
          <w:sz w:val="20"/>
          <w:szCs w:val="20"/>
          <w:color w:val="auto"/>
        </w:rPr>
      </w:pPr>
      <w:r>
        <w:rPr>
          <w:rFonts w:ascii="Arial" w:cs="Arial" w:eastAsia="Arial" w:hAnsi="Arial"/>
          <w:sz w:val="13"/>
          <w:szCs w:val="13"/>
          <w:b w:val="1"/>
          <w:bCs w:val="1"/>
          <w:color w:val="auto"/>
        </w:rPr>
        <w:t>For the period March 4, 2011 (commencement</w:t>
      </w:r>
    </w:p>
    <w:p>
      <w:pPr>
        <w:spacing w:after="0" w:line="15"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of operations) to 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8605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40" w:type="dxa"/>
            <w:vAlign w:val="bottom"/>
          </w:tcPr>
          <w:p>
            <w:pPr>
              <w:jc w:val="right"/>
              <w:ind w:right="988"/>
              <w:spacing w:after="0"/>
              <w:rPr>
                <w:sz w:val="20"/>
                <w:szCs w:val="20"/>
                <w:color w:val="auto"/>
              </w:rPr>
            </w:pPr>
            <w:r>
              <w:rPr>
                <w:rFonts w:ascii="Arial" w:cs="Arial" w:eastAsia="Arial" w:hAnsi="Arial"/>
                <w:sz w:val="14"/>
                <w:szCs w:val="14"/>
                <w:color w:val="auto"/>
                <w:w w:val="76"/>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(3,473,253)</w:t>
            </w:r>
          </w:p>
        </w:tc>
      </w:tr>
      <w:tr>
        <w:trPr>
          <w:trHeight w:val="216"/>
        </w:trPr>
        <w:tc>
          <w:tcPr>
            <w:tcW w:w="1140" w:type="dxa"/>
            <w:vAlign w:val="bottom"/>
          </w:tcPr>
          <w:p>
            <w:pPr>
              <w:spacing w:after="0"/>
              <w:rPr>
                <w:sz w:val="18"/>
                <w:szCs w:val="18"/>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4,105,380</w:t>
            </w:r>
          </w:p>
        </w:tc>
      </w:tr>
      <w:tr>
        <w:trPr>
          <w:trHeight w:val="222"/>
        </w:trPr>
        <w:tc>
          <w:tcPr>
            <w:tcW w:w="1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1,297,741</w:t>
            </w:r>
          </w:p>
        </w:tc>
      </w:tr>
      <w:tr>
        <w:trPr>
          <w:trHeight w:val="210"/>
        </w:trPr>
        <w:tc>
          <w:tcPr>
            <w:tcW w:w="114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1,929,868</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6560" w:space="720"/>
            <w:col w:w="3880"/>
          </w:cols>
          <w:pgMar w:left="320" w:top="121" w:right="419" w:bottom="1440" w:gutter="0" w:footer="0" w:header="0"/>
          <w:type w:val="continuous"/>
        </w:sectPr>
      </w:pPr>
    </w:p>
    <w:p>
      <w:pPr>
        <w:ind w:left="440"/>
        <w:spacing w:after="0"/>
        <w:rPr>
          <w:sz w:val="20"/>
          <w:szCs w:val="20"/>
          <w:color w:val="auto"/>
        </w:rPr>
      </w:pPr>
      <w:r>
        <w:rPr>
          <w:rFonts w:ascii="Arial" w:cs="Arial" w:eastAsia="Arial" w:hAnsi="Arial"/>
          <w:sz w:val="12"/>
          <w:szCs w:val="12"/>
          <w:color w:val="auto"/>
        </w:rPr>
        <w:t>The components of accumulated losses on tax basis and reconciliation to accumulated losses on a GAAP basis for the period from March 4, 2011 (commencement of operations) to</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2011 are as follows:</w:t>
      </w:r>
    </w:p>
    <w:p>
      <w:pPr>
        <w:spacing w:after="0" w:line="200" w:lineRule="exact"/>
        <w:rPr>
          <w:sz w:val="20"/>
          <w:szCs w:val="20"/>
          <w:color w:val="auto"/>
        </w:rPr>
      </w:pPr>
    </w:p>
    <w:p>
      <w:pPr>
        <w:spacing w:after="0" w:line="221" w:lineRule="exact"/>
        <w:rPr>
          <w:sz w:val="20"/>
          <w:szCs w:val="20"/>
          <w:color w:val="auto"/>
        </w:rPr>
      </w:pPr>
    </w:p>
    <w:tbl>
      <w:tblPr>
        <w:tblLayout w:type="fixed"/>
        <w:tblInd w:w="1200" w:type="dxa"/>
        <w:tblCellMar>
          <w:top w:w="0" w:type="dxa"/>
          <w:left w:w="0" w:type="dxa"/>
          <w:bottom w:w="0" w:type="dxa"/>
          <w:right w:w="0" w:type="dxa"/>
        </w:tblCellMar>
      </w:tblPr>
      <w:tr>
        <w:trPr>
          <w:trHeight w:val="202"/>
        </w:trPr>
        <w:tc>
          <w:tcPr>
            <w:tcW w:w="7240" w:type="dxa"/>
            <w:vAlign w:val="bottom"/>
          </w:tcPr>
          <w:p>
            <w:pPr>
              <w:ind w:left="40"/>
              <w:spacing w:after="0"/>
              <w:rPr>
                <w:sz w:val="20"/>
                <w:szCs w:val="20"/>
                <w:color w:val="auto"/>
              </w:rPr>
            </w:pPr>
            <w:r>
              <w:rPr>
                <w:rFonts w:ascii="Arial" w:cs="Arial" w:eastAsia="Arial" w:hAnsi="Arial"/>
                <w:sz w:val="14"/>
                <w:szCs w:val="14"/>
                <w:color w:val="auto"/>
              </w:rPr>
              <w:t>Undistributed ordinary income</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696,748</w:t>
            </w:r>
          </w:p>
        </w:tc>
      </w:tr>
      <w:tr>
        <w:trPr>
          <w:trHeight w:val="222"/>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Undistributed long-term net capital gains</w:t>
            </w: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7240" w:type="dxa"/>
            <w:vAlign w:val="bottom"/>
          </w:tcPr>
          <w:p>
            <w:pPr>
              <w:ind w:left="40"/>
              <w:spacing w:after="0"/>
              <w:rPr>
                <w:sz w:val="20"/>
                <w:szCs w:val="20"/>
                <w:color w:val="auto"/>
              </w:rPr>
            </w:pPr>
            <w:r>
              <w:rPr>
                <w:rFonts w:ascii="Arial" w:cs="Arial" w:eastAsia="Arial" w:hAnsi="Arial"/>
                <w:sz w:val="14"/>
                <w:szCs w:val="14"/>
                <w:color w:val="auto"/>
              </w:rPr>
              <w:t>Total undistributed net earnings</w:t>
            </w:r>
          </w:p>
        </w:tc>
        <w:tc>
          <w:tcPr>
            <w:tcW w:w="5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696,748</w:t>
            </w:r>
          </w:p>
        </w:tc>
      </w:tr>
      <w:tr>
        <w:trPr>
          <w:trHeight w:val="208"/>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payable and other temporary differences</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(1,777,288)</w:t>
            </w:r>
          </w:p>
        </w:tc>
      </w:tr>
      <w:tr>
        <w:trPr>
          <w:trHeight w:val="197"/>
        </w:trPr>
        <w:tc>
          <w:tcPr>
            <w:tcW w:w="7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unrealized appreciation (depreciation) of investments and credit facility</w:t>
            </w: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(4,105,380)</w:t>
            </w:r>
          </w:p>
        </w:tc>
      </w:tr>
      <w:tr>
        <w:trPr>
          <w:trHeight w:val="196"/>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accumulated deficit</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(5,185,920)</w:t>
            </w:r>
          </w:p>
        </w:tc>
      </w:tr>
      <w:tr>
        <w:trPr>
          <w:trHeight w:val="20"/>
        </w:trPr>
        <w:tc>
          <w:tcPr>
            <w:tcW w:w="7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tax characteristics of dividends during the fiscal year ended September 30, 2011 totaled $1.7 million or $0.25 per share.</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160"/>
          </w:cols>
          <w:pgMar w:left="320" w:top="121" w:right="41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EQUIVALENTS</w:t>
      </w:r>
    </w:p>
    <w:p>
      <w:pPr>
        <w:spacing w:after="0" w:line="86" w:lineRule="exact"/>
        <w:rPr>
          <w:sz w:val="20"/>
          <w:szCs w:val="20"/>
          <w:color w:val="auto"/>
        </w:rPr>
      </w:pPr>
    </w:p>
    <w:p>
      <w:pPr>
        <w:ind w:firstLine="432"/>
        <w:spacing w:after="0" w:line="246" w:lineRule="auto"/>
        <w:rPr>
          <w:sz w:val="20"/>
          <w:szCs w:val="20"/>
          <w:color w:val="auto"/>
        </w:rPr>
      </w:pPr>
      <w:r>
        <w:rPr>
          <w:rFonts w:ascii="Arial" w:cs="Arial" w:eastAsia="Arial" w:hAnsi="Arial"/>
          <w:sz w:val="14"/>
          <w:szCs w:val="14"/>
          <w:color w:val="auto"/>
        </w:rPr>
        <w:t>Cash equivalents represents cash pending investment in longer-term portfolio holdings, PennantPark Floating Rate Capital Ltd. may invest temporarily in U.S. Treasury Bills (of varying maturities), repurchase agreements, money market funds or repo-like treasury securities. These temporary investments with maturities of 90 days or less are deemed cash equivalents and are included in the Consolidated Schedule of Investments. At the end of each fiscal quarter, PennantPark Floating Rate Capital Ltd. could take proactive steps to preserve investment flexibility for the next quarter, which is dependent upon the composition of its total assets at quarter end. PennantPark Floating Rate Capital Ltd.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Floating Rate Capital Ltd.’s valuation policy. As of September 30, 2011, cash equivalents consisted of $7.0 million in money market funds.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bl>
      <w:tblPr>
        <w:tblLayout w:type="fixed"/>
        <w:tblInd w:w="0" w:type="dxa"/>
        <w:tblCellMar>
          <w:top w:w="0" w:type="dxa"/>
          <w:left w:w="0" w:type="dxa"/>
          <w:bottom w:w="0" w:type="dxa"/>
          <w:right w:w="0" w:type="dxa"/>
        </w:tblCellMar>
      </w:tblPr>
      <w:tr>
        <w:trPr>
          <w:trHeight w:val="158"/>
        </w:trPr>
        <w:tc>
          <w:tcPr>
            <w:tcW w:w="7960" w:type="dxa"/>
            <w:vAlign w:val="bottom"/>
            <w:gridSpan w:val="4"/>
          </w:tcPr>
          <w:p>
            <w:pPr>
              <w:jc w:val="center"/>
              <w:ind w:left="3207"/>
              <w:spacing w:after="0" w:line="158" w:lineRule="exact"/>
              <w:rPr>
                <w:sz w:val="20"/>
                <w:szCs w:val="20"/>
                <w:color w:val="auto"/>
              </w:rPr>
            </w:pPr>
            <w:r>
              <w:rPr>
                <w:rFonts w:ascii="Arial" w:cs="Arial" w:eastAsia="Arial" w:hAnsi="Arial"/>
                <w:sz w:val="14"/>
                <w:szCs w:val="14"/>
                <w:b w:val="1"/>
                <w:bCs w:val="1"/>
                <w:color w:val="auto"/>
              </w:rPr>
              <w:t>PENNANTPARK FLOATING RATE CAPITAL LTD. AND SUBSIDIARY</w:t>
            </w:r>
          </w:p>
        </w:tc>
        <w:tc>
          <w:tcPr>
            <w:tcW w:w="0" w:type="dxa"/>
            <w:vAlign w:val="bottom"/>
          </w:tcPr>
          <w:p>
            <w:pPr>
              <w:spacing w:after="0"/>
              <w:rPr>
                <w:sz w:val="1"/>
                <w:szCs w:val="1"/>
                <w:color w:val="auto"/>
              </w:rPr>
            </w:pPr>
          </w:p>
        </w:tc>
      </w:tr>
      <w:tr>
        <w:trPr>
          <w:trHeight w:val="162"/>
        </w:trPr>
        <w:tc>
          <w:tcPr>
            <w:tcW w:w="7960" w:type="dxa"/>
            <w:vAlign w:val="bottom"/>
            <w:gridSpan w:val="4"/>
          </w:tcPr>
          <w:p>
            <w:pPr>
              <w:jc w:val="center"/>
              <w:ind w:left="3227"/>
              <w:spacing w:after="0"/>
              <w:rPr>
                <w:sz w:val="20"/>
                <w:szCs w:val="20"/>
                <w:color w:val="auto"/>
              </w:rPr>
            </w:pPr>
            <w:r>
              <w:rPr>
                <w:rFonts w:ascii="Arial" w:cs="Arial" w:eastAsia="Arial" w:hAnsi="Arial"/>
                <w:sz w:val="14"/>
                <w:szCs w:val="14"/>
                <w:b w:val="1"/>
                <w:bCs w:val="1"/>
                <w:color w:val="auto"/>
              </w:rPr>
              <w:t>NOTES TO CONSOLIDATED FINANCIAL STATEMENTS—(Continued)</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7"/>
              </w:rPr>
              <w:t>SEPTEMBER 30, 2011</w:t>
            </w:r>
          </w:p>
        </w:tc>
        <w:tc>
          <w:tcPr>
            <w:tcW w:w="0" w:type="dxa"/>
            <w:vAlign w:val="bottom"/>
          </w:tcPr>
          <w:p>
            <w:pPr>
              <w:spacing w:after="0"/>
              <w:rPr>
                <w:sz w:val="1"/>
                <w:szCs w:val="1"/>
                <w:color w:val="auto"/>
              </w:rPr>
            </w:pPr>
          </w:p>
        </w:tc>
      </w:tr>
      <w:tr>
        <w:trPr>
          <w:trHeight w:val="783"/>
        </w:trPr>
        <w:tc>
          <w:tcPr>
            <w:tcW w:w="392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440"/>
              <w:spacing w:after="0"/>
              <w:rPr>
                <w:sz w:val="20"/>
                <w:szCs w:val="20"/>
                <w:color w:val="auto"/>
              </w:rPr>
            </w:pPr>
            <w:r>
              <w:rPr>
                <w:rFonts w:ascii="Arial" w:cs="Arial" w:eastAsia="Arial" w:hAnsi="Arial"/>
                <w:sz w:val="14"/>
                <w:szCs w:val="14"/>
                <w:color w:val="auto"/>
                <w:w w:val="98"/>
              </w:rPr>
              <w:t>Below are the financial highlights for the reported period:</w:t>
            </w:r>
          </w:p>
        </w:tc>
        <w:tc>
          <w:tcPr>
            <w:tcW w:w="1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gridSpan w:val="2"/>
          </w:tcPr>
          <w:p>
            <w:pPr>
              <w:jc w:val="center"/>
              <w:ind w:right="2020"/>
              <w:spacing w:after="0"/>
              <w:rPr>
                <w:sz w:val="20"/>
                <w:szCs w:val="20"/>
                <w:color w:val="auto"/>
              </w:rPr>
            </w:pPr>
            <w:r>
              <w:rPr>
                <w:rFonts w:ascii="Arial" w:cs="Arial" w:eastAsia="Arial" w:hAnsi="Arial"/>
                <w:sz w:val="14"/>
                <w:szCs w:val="14"/>
                <w:b w:val="1"/>
                <w:bCs w:val="1"/>
                <w:color w:val="auto"/>
                <w:w w:val="94"/>
              </w:rPr>
              <w:t>For the period March 4, 2011</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4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(commencement of operations) to</w:t>
            </w: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00" w:type="dxa"/>
            <w:vAlign w:val="bottom"/>
            <w:gridSpan w:val="2"/>
          </w:tcPr>
          <w:p>
            <w:pPr>
              <w:jc w:val="center"/>
              <w:ind w:right="202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77"/>
        </w:trPr>
        <w:tc>
          <w:tcPr>
            <w:tcW w:w="3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Per Share Data:</w:t>
            </w:r>
          </w:p>
        </w:tc>
        <w:tc>
          <w:tcPr>
            <w:tcW w:w="140" w:type="dxa"/>
            <w:vAlign w:val="bottom"/>
            <w:tcBorders>
              <w:top w:val="single" w:sz="8" w:color="auto"/>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9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40"/>
              <w:spacing w:after="0"/>
              <w:rPr>
                <w:sz w:val="20"/>
                <w:szCs w:val="20"/>
                <w:color w:val="auto"/>
              </w:rPr>
            </w:pPr>
            <w:r>
              <w:rPr>
                <w:rFonts w:ascii="Arial" w:cs="Arial" w:eastAsia="Arial" w:hAnsi="Arial"/>
                <w:sz w:val="14"/>
                <w:szCs w:val="14"/>
                <w:color w:val="auto"/>
              </w:rPr>
              <w:t>Net asset value, beginning of period</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3900" w:type="dxa"/>
            <w:vAlign w:val="bottom"/>
            <w:gridSpan w:val="2"/>
          </w:tcPr>
          <w:p>
            <w:pPr>
              <w:jc w:val="right"/>
              <w:ind w:right="20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2"/>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investment income</w:t>
            </w:r>
            <w:r>
              <w:rPr>
                <w:rFonts w:ascii="Arial" w:cs="Arial" w:eastAsia="Arial" w:hAnsi="Arial"/>
                <w:sz w:val="8"/>
                <w:szCs w:val="8"/>
                <w:color w:val="auto"/>
              </w:rPr>
              <w:t>(1)</w:t>
            </w:r>
          </w:p>
        </w:tc>
        <w:tc>
          <w:tcPr>
            <w:tcW w:w="140" w:type="dxa"/>
            <w:vAlign w:val="bottom"/>
            <w:shd w:val="clear" w:color="auto" w:fill="CCEEFF"/>
          </w:tcPr>
          <w:p>
            <w:pPr>
              <w:spacing w:after="0"/>
              <w:rPr>
                <w:sz w:val="24"/>
                <w:szCs w:val="24"/>
                <w:color w:val="auto"/>
              </w:rPr>
            </w:pPr>
          </w:p>
        </w:tc>
        <w:tc>
          <w:tcPr>
            <w:tcW w:w="2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0.05</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0" w:type="dxa"/>
            <w:vAlign w:val="bottom"/>
            <w:vMerge w:val="continue"/>
            <w:shd w:val="clear" w:color="auto" w:fill="CCEEFF"/>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3920" w:type="dxa"/>
            <w:vAlign w:val="bottom"/>
          </w:tcPr>
          <w:p>
            <w:pPr>
              <w:ind w:left="40"/>
              <w:spacing w:after="0"/>
              <w:rPr>
                <w:sz w:val="20"/>
                <w:szCs w:val="20"/>
                <w:color w:val="auto"/>
              </w:rPr>
            </w:pPr>
            <w:r>
              <w:rPr>
                <w:rFonts w:ascii="Arial" w:cs="Arial" w:eastAsia="Arial" w:hAnsi="Arial"/>
                <w:sz w:val="14"/>
                <w:szCs w:val="14"/>
                <w:color w:val="auto"/>
              </w:rPr>
              <w:t>Net realized and unrealized losses</w:t>
            </w:r>
            <w:r>
              <w:rPr>
                <w:rFonts w:ascii="Arial" w:cs="Arial" w:eastAsia="Arial" w:hAnsi="Arial"/>
                <w:sz w:val="8"/>
                <w:szCs w:val="8"/>
                <w:color w:val="auto"/>
              </w:rPr>
              <w:t>(1)</w:t>
            </w:r>
          </w:p>
        </w:tc>
        <w:tc>
          <w:tcPr>
            <w:tcW w:w="140" w:type="dxa"/>
            <w:vAlign w:val="bottom"/>
          </w:tcPr>
          <w:p>
            <w:pPr>
              <w:spacing w:after="0"/>
              <w:rPr>
                <w:sz w:val="24"/>
                <w:szCs w:val="24"/>
                <w:color w:val="auto"/>
              </w:rPr>
            </w:pPr>
          </w:p>
        </w:tc>
        <w:tc>
          <w:tcPr>
            <w:tcW w:w="2000" w:type="dxa"/>
            <w:vAlign w:val="bottom"/>
            <w:vMerge w:val="restart"/>
          </w:tcPr>
          <w:p>
            <w:pPr>
              <w:jc w:val="right"/>
              <w:ind w:right="28"/>
              <w:spacing w:after="0"/>
              <w:rPr>
                <w:sz w:val="20"/>
                <w:szCs w:val="20"/>
                <w:color w:val="auto"/>
              </w:rPr>
            </w:pPr>
            <w:r>
              <w:rPr>
                <w:rFonts w:ascii="Arial" w:cs="Arial" w:eastAsia="Arial" w:hAnsi="Arial"/>
                <w:sz w:val="14"/>
                <w:szCs w:val="14"/>
                <w:color w:val="auto"/>
              </w:rPr>
              <w:t>(0.56)</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9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vMerge w:val="continue"/>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Net increase (decrease) in net assets resulting from operations</w:t>
            </w:r>
            <w:r>
              <w:rPr>
                <w:rFonts w:ascii="Arial" w:cs="Arial" w:eastAsia="Arial" w:hAnsi="Arial"/>
                <w:sz w:val="8"/>
                <w:szCs w:val="8"/>
                <w:color w:val="auto"/>
                <w:w w:val="96"/>
              </w:rPr>
              <w:t>(1)</w:t>
            </w:r>
          </w:p>
        </w:tc>
        <w:tc>
          <w:tcPr>
            <w:tcW w:w="140" w:type="dxa"/>
            <w:vAlign w:val="bottom"/>
            <w:shd w:val="clear" w:color="auto" w:fill="CCEEFF"/>
          </w:tcPr>
          <w:p>
            <w:pPr>
              <w:spacing w:after="0"/>
              <w:rPr>
                <w:sz w:val="24"/>
                <w:szCs w:val="24"/>
                <w:color w:val="auto"/>
              </w:rPr>
            </w:pPr>
          </w:p>
        </w:tc>
        <w:tc>
          <w:tcPr>
            <w:tcW w:w="2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(0.51)</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0" w:type="dxa"/>
            <w:vAlign w:val="bottom"/>
            <w:vMerge w:val="continue"/>
            <w:shd w:val="clear" w:color="auto" w:fill="CCEEFF"/>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3920" w:type="dxa"/>
            <w:vAlign w:val="bottom"/>
          </w:tcPr>
          <w:p>
            <w:pPr>
              <w:ind w:left="40"/>
              <w:spacing w:after="0"/>
              <w:rPr>
                <w:sz w:val="20"/>
                <w:szCs w:val="20"/>
                <w:color w:val="auto"/>
              </w:rPr>
            </w:pPr>
            <w:r>
              <w:rPr>
                <w:rFonts w:ascii="Arial" w:cs="Arial" w:eastAsia="Arial" w:hAnsi="Arial"/>
                <w:sz w:val="14"/>
                <w:szCs w:val="14"/>
                <w:color w:val="auto"/>
              </w:rPr>
              <w:t>Dividends and distributions to stockholders</w:t>
            </w:r>
            <w:r>
              <w:rPr>
                <w:rFonts w:ascii="Arial" w:cs="Arial" w:eastAsia="Arial" w:hAnsi="Arial"/>
                <w:sz w:val="8"/>
                <w:szCs w:val="8"/>
                <w:color w:val="auto"/>
              </w:rPr>
              <w:t>(1),(2)</w:t>
            </w:r>
          </w:p>
        </w:tc>
        <w:tc>
          <w:tcPr>
            <w:tcW w:w="140" w:type="dxa"/>
            <w:vAlign w:val="bottom"/>
          </w:tcPr>
          <w:p>
            <w:pPr>
              <w:spacing w:after="0"/>
              <w:rPr>
                <w:sz w:val="24"/>
                <w:szCs w:val="24"/>
                <w:color w:val="auto"/>
              </w:rPr>
            </w:pPr>
          </w:p>
        </w:tc>
        <w:tc>
          <w:tcPr>
            <w:tcW w:w="2000" w:type="dxa"/>
            <w:vAlign w:val="bottom"/>
            <w:vMerge w:val="restart"/>
          </w:tcPr>
          <w:p>
            <w:pPr>
              <w:jc w:val="right"/>
              <w:ind w:right="28"/>
              <w:spacing w:after="0"/>
              <w:rPr>
                <w:sz w:val="20"/>
                <w:szCs w:val="20"/>
                <w:color w:val="auto"/>
              </w:rPr>
            </w:pPr>
            <w:r>
              <w:rPr>
                <w:rFonts w:ascii="Arial" w:cs="Arial" w:eastAsia="Arial" w:hAnsi="Arial"/>
                <w:sz w:val="14"/>
                <w:szCs w:val="14"/>
                <w:color w:val="auto"/>
              </w:rPr>
              <w:t>(0.25)</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Initial issuance of common stock</w:t>
            </w: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15.00</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3920" w:type="dxa"/>
            <w:vAlign w:val="bottom"/>
          </w:tcPr>
          <w:p>
            <w:pPr>
              <w:ind w:left="40"/>
              <w:spacing w:after="0"/>
              <w:rPr>
                <w:sz w:val="20"/>
                <w:szCs w:val="20"/>
                <w:color w:val="auto"/>
              </w:rPr>
            </w:pPr>
            <w:r>
              <w:rPr>
                <w:rFonts w:ascii="Arial" w:cs="Arial" w:eastAsia="Arial" w:hAnsi="Arial"/>
                <w:sz w:val="14"/>
                <w:szCs w:val="14"/>
                <w:color w:val="auto"/>
              </w:rPr>
              <w:t>Offering Costs</w:t>
            </w:r>
            <w:r>
              <w:rPr>
                <w:rFonts w:ascii="Arial" w:cs="Arial" w:eastAsia="Arial" w:hAnsi="Arial"/>
                <w:sz w:val="8"/>
                <w:szCs w:val="8"/>
                <w:color w:val="auto"/>
              </w:rPr>
              <w:t>(1)</w:t>
            </w:r>
          </w:p>
        </w:tc>
        <w:tc>
          <w:tcPr>
            <w:tcW w:w="140" w:type="dxa"/>
            <w:vAlign w:val="bottom"/>
          </w:tcPr>
          <w:p>
            <w:pPr>
              <w:spacing w:after="0"/>
              <w:rPr>
                <w:sz w:val="24"/>
                <w:szCs w:val="24"/>
                <w:color w:val="auto"/>
              </w:rPr>
            </w:pPr>
          </w:p>
        </w:tc>
        <w:tc>
          <w:tcPr>
            <w:tcW w:w="2000" w:type="dxa"/>
            <w:vAlign w:val="bottom"/>
            <w:vMerge w:val="restart"/>
          </w:tcPr>
          <w:p>
            <w:pPr>
              <w:jc w:val="right"/>
              <w:ind w:right="28"/>
              <w:spacing w:after="0"/>
              <w:rPr>
                <w:sz w:val="20"/>
                <w:szCs w:val="20"/>
                <w:color w:val="auto"/>
              </w:rPr>
            </w:pPr>
            <w:r>
              <w:rPr>
                <w:rFonts w:ascii="Arial" w:cs="Arial" w:eastAsia="Arial" w:hAnsi="Arial"/>
                <w:sz w:val="14"/>
                <w:szCs w:val="14"/>
                <w:color w:val="auto"/>
              </w:rPr>
              <w:t>(0.80)</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9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vMerge w:val="continue"/>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asset value, end of period</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13.44</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40"/>
              <w:spacing w:after="0"/>
              <w:rPr>
                <w:sz w:val="20"/>
                <w:szCs w:val="20"/>
                <w:color w:val="auto"/>
              </w:rPr>
            </w:pPr>
            <w:r>
              <w:rPr>
                <w:rFonts w:ascii="Arial" w:cs="Arial" w:eastAsia="Arial" w:hAnsi="Arial"/>
                <w:sz w:val="14"/>
                <w:szCs w:val="14"/>
                <w:color w:val="auto"/>
              </w:rPr>
              <w:t>Per share market value, end of period</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10.55</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return</w:t>
            </w:r>
            <w:r>
              <w:rPr>
                <w:rFonts w:ascii="Arial" w:cs="Arial" w:eastAsia="Arial" w:hAnsi="Arial"/>
                <w:sz w:val="8"/>
                <w:szCs w:val="8"/>
                <w:color w:val="auto"/>
              </w:rPr>
              <w:t>(3)</w:t>
            </w: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28.13%</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0" w:type="dxa"/>
            <w:vAlign w:val="bottom"/>
            <w:vMerge w:val="continue"/>
            <w:shd w:val="clear" w:color="auto" w:fill="CCEEFF"/>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40"/>
              <w:spacing w:after="0"/>
              <w:rPr>
                <w:sz w:val="20"/>
                <w:szCs w:val="20"/>
                <w:color w:val="auto"/>
              </w:rPr>
            </w:pPr>
            <w:r>
              <w:rPr>
                <w:rFonts w:ascii="Arial" w:cs="Arial" w:eastAsia="Arial" w:hAnsi="Arial"/>
                <w:sz w:val="14"/>
                <w:szCs w:val="14"/>
                <w:color w:val="auto"/>
              </w:rPr>
              <w:t>Shares outstanding at end of period</w:t>
            </w:r>
          </w:p>
        </w:tc>
        <w:tc>
          <w:tcPr>
            <w:tcW w:w="140" w:type="dxa"/>
            <w:vAlign w:val="bottom"/>
          </w:tcPr>
          <w:p>
            <w:pPr>
              <w:spacing w:after="0"/>
              <w:rPr>
                <w:sz w:val="18"/>
                <w:szCs w:val="18"/>
                <w:color w:val="auto"/>
              </w:rPr>
            </w:pP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6,850,667</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Ratio/Supplemental Data*:</w:t>
            </w: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920" w:type="dxa"/>
            <w:vAlign w:val="bottom"/>
          </w:tcPr>
          <w:p>
            <w:pPr>
              <w:ind w:left="40"/>
              <w:spacing w:after="0"/>
              <w:rPr>
                <w:sz w:val="20"/>
                <w:szCs w:val="20"/>
                <w:color w:val="auto"/>
              </w:rPr>
            </w:pPr>
            <w:r>
              <w:rPr>
                <w:rFonts w:ascii="Arial" w:cs="Arial" w:eastAsia="Arial" w:hAnsi="Arial"/>
                <w:sz w:val="14"/>
                <w:szCs w:val="14"/>
                <w:color w:val="auto"/>
              </w:rPr>
              <w:t>Ratio of operating expenses to average net assets</w:t>
            </w:r>
          </w:p>
        </w:tc>
        <w:tc>
          <w:tcPr>
            <w:tcW w:w="1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1.16%</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Ratio of credit facility related expenses to average net assets</w:t>
            </w:r>
            <w:r>
              <w:rPr>
                <w:rFonts w:ascii="Arial" w:cs="Arial" w:eastAsia="Arial" w:hAnsi="Arial"/>
                <w:sz w:val="8"/>
                <w:szCs w:val="8"/>
                <w:color w:val="auto"/>
                <w:w w:val="99"/>
              </w:rPr>
              <w:t>(4)</w:t>
            </w: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20"/>
                <w:szCs w:val="20"/>
                <w:color w:val="auto"/>
              </w:rPr>
            </w:pPr>
            <w:r>
              <w:rPr>
                <w:rFonts w:ascii="Arial" w:cs="Arial" w:eastAsia="Arial" w:hAnsi="Arial"/>
                <w:sz w:val="14"/>
                <w:szCs w:val="14"/>
                <w:color w:val="auto"/>
              </w:rPr>
              <w:t>Total expenses to average net assets**</w:t>
            </w:r>
          </w:p>
        </w:tc>
        <w:tc>
          <w:tcPr>
            <w:tcW w:w="1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2.77%</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Ratio of net investment income to average net assets</w:t>
            </w: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40"/>
              <w:spacing w:after="0"/>
              <w:rPr>
                <w:sz w:val="20"/>
                <w:szCs w:val="20"/>
                <w:color w:val="auto"/>
              </w:rPr>
            </w:pPr>
            <w:r>
              <w:rPr>
                <w:rFonts w:ascii="Arial" w:cs="Arial" w:eastAsia="Arial" w:hAnsi="Arial"/>
                <w:sz w:val="14"/>
                <w:szCs w:val="14"/>
                <w:color w:val="auto"/>
              </w:rPr>
              <w:t>Net assets at end of period</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92,072,105</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debt outstanding</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7,550,877</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40"/>
              <w:spacing w:after="0"/>
              <w:rPr>
                <w:sz w:val="20"/>
                <w:szCs w:val="20"/>
                <w:color w:val="auto"/>
              </w:rPr>
            </w:pPr>
            <w:r>
              <w:rPr>
                <w:rFonts w:ascii="Arial" w:cs="Arial" w:eastAsia="Arial" w:hAnsi="Arial"/>
                <w:sz w:val="14"/>
                <w:szCs w:val="14"/>
                <w:color w:val="auto"/>
              </w:rPr>
              <w:t>Weighted average debt per share</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1.11</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Portfolio turnover ratio</w:t>
            </w: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______________________</w:t>
            </w: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Not annualized for a period of less than a year.</w:t>
            </w:r>
          </w:p>
        </w:tc>
        <w:tc>
          <w:tcPr>
            <w:tcW w:w="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240" w:hanging="232"/>
        <w:spacing w:after="0"/>
        <w:tabs>
          <w:tab w:leader="none" w:pos="240" w:val="left"/>
        </w:tabs>
        <w:numPr>
          <w:ilvl w:val="0"/>
          <w:numId w:val="46"/>
        </w:numPr>
        <w:rPr>
          <w:rFonts w:ascii="Arial" w:cs="Arial" w:eastAsia="Arial" w:hAnsi="Arial"/>
          <w:sz w:val="18"/>
          <w:szCs w:val="18"/>
          <w:color w:val="auto"/>
        </w:rPr>
      </w:pPr>
      <w:r>
        <w:rPr>
          <w:rFonts w:ascii="Arial" w:cs="Arial" w:eastAsia="Arial" w:hAnsi="Arial"/>
          <w:sz w:val="14"/>
          <w:szCs w:val="14"/>
          <w:color w:val="auto"/>
        </w:rPr>
        <w:t>Includes both recurring and non-recurring expenses such as debt issuance costs and organizational expenses.</w:t>
      </w:r>
    </w:p>
    <w:p>
      <w:pPr>
        <w:spacing w:after="0" w:line="169"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Per share data are calculated based on the weighted average shares outstanding from the initial public offering date of March 4, 2011 to September 30, 2011.</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Distributions are determined based on taxable income calculated in accordance with income tax regulations which may differ from amounts determined under GAAP.</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Total return is based on the change in market price per share during the period and takes into account distributions, if any, reinvested in accordance with our dividend reinvestment plan.</w:t>
      </w:r>
    </w:p>
    <w:p>
      <w:pPr>
        <w:spacing w:after="0" w:line="24" w:lineRule="exact"/>
        <w:rPr>
          <w:rFonts w:ascii="Arial" w:cs="Arial" w:eastAsia="Arial" w:hAnsi="Arial"/>
          <w:sz w:val="12"/>
          <w:szCs w:val="12"/>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Excluding debt issuance cost the ratio would be 0.16%.</w:t>
      </w:r>
    </w:p>
    <w:p>
      <w:pPr>
        <w:spacing w:after="0" w:line="394"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0940"/>
          </w:cols>
          <w:pgMar w:left="320" w:top="121" w:right="6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167" w:lineRule="exact"/>
        <w:rPr>
          <w:sz w:val="20"/>
          <w:szCs w:val="20"/>
          <w:color w:val="auto"/>
        </w:rPr>
      </w:pPr>
    </w:p>
    <w:p>
      <w:pPr>
        <w:ind w:right="40" w:firstLine="405"/>
        <w:spacing w:after="0" w:line="252" w:lineRule="auto"/>
        <w:rPr>
          <w:sz w:val="20"/>
          <w:szCs w:val="20"/>
          <w:color w:val="auto"/>
        </w:rPr>
      </w:pPr>
      <w:r>
        <w:rPr>
          <w:rFonts w:ascii="Arial" w:cs="Arial" w:eastAsia="Arial" w:hAnsi="Arial"/>
          <w:sz w:val="14"/>
          <w:szCs w:val="14"/>
          <w:color w:val="auto"/>
        </w:rPr>
        <w:t>On June 23, 2011, Funding I entered into a five-year senior secured revolving credit facility with the Lender, an asset-backed commercial paper conduit administered by STRH. The Credit Facility allows Funding I to borrow up to $100.0 million and contains an accordion feature whereby the Credit Facility can be expanded to $600.0 million, subject to satisfaction of certain conditions. As of September 30, 2011, Funding I had $24.7 million of outstanding borrowings under the Credit Facility, carried an interest rate of 2.53% excluding the 0.50% undrawn commitment fee and had $75.3 million available subject to restrictions and covenants.</w:t>
      </w:r>
    </w:p>
    <w:p>
      <w:pPr>
        <w:spacing w:after="0" w:line="80" w:lineRule="exact"/>
        <w:rPr>
          <w:sz w:val="20"/>
          <w:szCs w:val="20"/>
          <w:color w:val="auto"/>
        </w:rPr>
      </w:pPr>
    </w:p>
    <w:p>
      <w:pPr>
        <w:ind w:firstLine="324"/>
        <w:spacing w:after="0" w:line="286" w:lineRule="auto"/>
        <w:rPr>
          <w:sz w:val="20"/>
          <w:szCs w:val="20"/>
          <w:color w:val="auto"/>
        </w:rPr>
      </w:pPr>
      <w:r>
        <w:rPr>
          <w:rFonts w:ascii="Arial" w:cs="Arial" w:eastAsia="Arial" w:hAnsi="Arial"/>
          <w:sz w:val="13"/>
          <w:szCs w:val="13"/>
          <w:color w:val="auto"/>
        </w:rPr>
        <w:t>During the Credit Facility's first three years, or the revolving period, it bears interest at the LIBOR plus 225 basis points, and after the revolving period, the rate sets to LIBOR plus 425 basis points for the remaining or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60" w:lineRule="exact"/>
        <w:rPr>
          <w:sz w:val="20"/>
          <w:szCs w:val="20"/>
          <w:color w:val="auto"/>
        </w:rPr>
      </w:pPr>
    </w:p>
    <w:p>
      <w:pPr>
        <w:ind w:right="100" w:firstLine="324"/>
        <w:spacing w:after="0" w:line="247" w:lineRule="auto"/>
        <w:rPr>
          <w:sz w:val="20"/>
          <w:szCs w:val="20"/>
          <w:color w:val="auto"/>
        </w:rPr>
      </w:pPr>
      <w:r>
        <w:rPr>
          <w:rFonts w:ascii="Arial" w:cs="Arial" w:eastAsia="Arial" w:hAnsi="Arial"/>
          <w:sz w:val="14"/>
          <w:szCs w:val="14"/>
          <w:color w:val="auto"/>
        </w:rPr>
        <w:t>The Credit Facility, as amended, contains covenants including but not limited to restrictions of loan size, industry requirements, average life of loans, geographic and individual portfolio concentrations, minimum portfolio yield and loan payment frequency. For example, we must maintain a weighted average loan life of no more than 6 years and cannot have more than 10% of Funding I's assets in a single portfolio company.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Any violations of these and other covenants could result in the early amortization of the Credit Facility and further limit advances available under it. For a complete list of such covenants, see our report on Form 8-K, filed June 29, 2011.</w:t>
      </w:r>
    </w:p>
    <w:p>
      <w:pPr>
        <w:spacing w:after="0" w:line="86" w:lineRule="exact"/>
        <w:rPr>
          <w:sz w:val="20"/>
          <w:szCs w:val="20"/>
          <w:color w:val="auto"/>
        </w:rPr>
      </w:pPr>
    </w:p>
    <w:p>
      <w:pPr>
        <w:ind w:right="140" w:firstLine="324"/>
        <w:spacing w:after="0" w:line="273" w:lineRule="auto"/>
        <w:rPr>
          <w:sz w:val="20"/>
          <w:szCs w:val="20"/>
          <w:color w:val="auto"/>
        </w:rPr>
      </w:pPr>
      <w:r>
        <w:rPr>
          <w:rFonts w:ascii="Arial" w:cs="Arial" w:eastAsia="Arial" w:hAnsi="Arial"/>
          <w:sz w:val="14"/>
          <w:szCs w:val="14"/>
          <w:color w:val="auto"/>
        </w:rPr>
        <w:t>In accordance with the 1940 Act, with certain limited exceptions, the Company is only allowed to borrow amounts such that its asset coverage, as defined in the 1940 Act, is at least 200% after such borrowing. As of September 30, 2011 our asset coverage for borrowed amounts was 474%.</w:t>
      </w:r>
    </w:p>
    <w:p>
      <w:pPr>
        <w:spacing w:after="0" w:line="66" w:lineRule="exact"/>
        <w:rPr>
          <w:sz w:val="20"/>
          <w:szCs w:val="20"/>
          <w:color w:val="auto"/>
        </w:rPr>
      </w:pPr>
    </w:p>
    <w:p>
      <w:pPr>
        <w:ind w:right="20" w:firstLine="324"/>
        <w:spacing w:after="0" w:line="273" w:lineRule="auto"/>
        <w:rPr>
          <w:sz w:val="20"/>
          <w:szCs w:val="20"/>
          <w:color w:val="auto"/>
        </w:rPr>
      </w:pPr>
      <w:r>
        <w:rPr>
          <w:rFonts w:ascii="Arial" w:cs="Arial" w:eastAsia="Arial" w:hAnsi="Arial"/>
          <w:sz w:val="14"/>
          <w:szCs w:val="14"/>
          <w:color w:val="auto"/>
        </w:rPr>
        <w:t>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w:t>
      </w:r>
    </w:p>
    <w:p>
      <w:pPr>
        <w:spacing w:after="0" w:line="66" w:lineRule="exact"/>
        <w:rPr>
          <w:sz w:val="20"/>
          <w:szCs w:val="20"/>
          <w:color w:val="auto"/>
        </w:rPr>
      </w:pPr>
    </w:p>
    <w:p>
      <w:pPr>
        <w:ind w:right="180" w:firstLine="486"/>
        <w:spacing w:after="0" w:line="249"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We also transfered certain loans and debt securities we originated or acquired and may do so again , to Funding I through a Purchase and Contribution Agreement. Funding I may and has originated or acquired loans, consistent with PenantPark Floating Rate Capital Ltd.'s investment objectives. The structure of the financing, including organizing Funding I as a special purpose, bankruptcy-remote entity and selling assets from PennantPark Floating Rate Capital Ltd. to Funding I renders such assets generally unavailable to creditors of PennantPark Floating Rate Capital Ltd. and is intended to protect the Lender from credit and bankruptcy risks.</w:t>
      </w:r>
    </w:p>
    <w:p>
      <w:pPr>
        <w:spacing w:after="0" w:line="137" w:lineRule="exact"/>
        <w:rPr>
          <w:sz w:val="20"/>
          <w:szCs w:val="20"/>
          <w:color w:val="auto"/>
        </w:rPr>
      </w:pPr>
    </w:p>
    <w:p>
      <w:pPr>
        <w:ind w:right="60" w:firstLine="405"/>
        <w:spacing w:after="0" w:line="252" w:lineRule="auto"/>
        <w:rPr>
          <w:sz w:val="20"/>
          <w:szCs w:val="20"/>
          <w:color w:val="auto"/>
        </w:rPr>
      </w:pPr>
      <w:r>
        <w:rPr>
          <w:rFonts w:ascii="Arial" w:cs="Arial" w:eastAsia="Arial" w:hAnsi="Arial"/>
          <w:sz w:val="14"/>
          <w:szCs w:val="14"/>
          <w:color w:val="auto"/>
        </w:rPr>
        <w:t>Our interest in Funding I (other than the management fees that the Investment Adviser has irrevocably directed to be paid to us) is subordinate in priority of payment to every other obligation of Funding I, and are subject to certain payment restrictions set forth in the Credit Facility.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34" w:lineRule="exact"/>
        <w:rPr>
          <w:sz w:val="20"/>
          <w:szCs w:val="20"/>
          <w:color w:val="auto"/>
        </w:rPr>
      </w:pPr>
    </w:p>
    <w:p>
      <w:pPr>
        <w:ind w:right="120" w:firstLine="405"/>
        <w:spacing w:after="0" w:line="257" w:lineRule="auto"/>
        <w:rPr>
          <w:sz w:val="20"/>
          <w:szCs w:val="20"/>
          <w:color w:val="auto"/>
        </w:rPr>
      </w:pPr>
      <w:r>
        <w:rPr>
          <w:rFonts w:ascii="Arial" w:cs="Arial" w:eastAsia="Arial" w:hAnsi="Arial"/>
          <w:sz w:val="14"/>
          <w:szCs w:val="14"/>
          <w:color w:val="auto"/>
        </w:rPr>
        <w:t>Our equity interest in Funding I is subordinate to the secured and unsecured creditors, known or unknown, of Funding I including the Lender. Consequently, to the extent that the value of Funding I's portfolio of loan investments is reduced as a result of conditions in the credit markets, defaulted loans, capital losses in excess of gains on the underlying assets, prepayments or changes in interest rates, the return on our investment in Funding I could be reduced. Accordingly, our investment in Funding I is subject to loss of principal.</w:t>
      </w:r>
    </w:p>
    <w:p>
      <w:pPr>
        <w:spacing w:after="0" w:line="131" w:lineRule="exact"/>
        <w:rPr>
          <w:sz w:val="20"/>
          <w:szCs w:val="20"/>
          <w:color w:val="auto"/>
        </w:rPr>
      </w:pPr>
    </w:p>
    <w:p>
      <w:pPr>
        <w:ind w:right="80" w:firstLine="405"/>
        <w:spacing w:after="0" w:line="252" w:lineRule="auto"/>
        <w:rPr>
          <w:sz w:val="20"/>
          <w:szCs w:val="20"/>
          <w:color w:val="auto"/>
        </w:rPr>
      </w:pPr>
      <w:r>
        <w:rPr>
          <w:rFonts w:ascii="Arial" w:cs="Arial" w:eastAsia="Arial" w:hAnsi="Arial"/>
          <w:sz w:val="14"/>
          <w:szCs w:val="14"/>
          <w:color w:val="auto"/>
        </w:rPr>
        <w:t>In the event that we fail to receive cash from Funding I, we could be unable to make distributions to our stockholders in amounts sufficient to maintain our status as a RIC, or at all. We also could be forced to sell investments in portfolio companies at less than their fair value in order to continue making such distributions.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86"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subordinated debt investments.</w:t>
      </w: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120"/>
          </w:cols>
          <w:pgMar w:left="320" w:top="121" w:right="45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86"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Evaluation of Disclosure Controls and Procedures</w:t>
      </w:r>
    </w:p>
    <w:p>
      <w:pPr>
        <w:spacing w:after="0" w:line="82" w:lineRule="exact"/>
        <w:rPr>
          <w:sz w:val="20"/>
          <w:szCs w:val="20"/>
          <w:color w:val="auto"/>
        </w:rPr>
      </w:pPr>
    </w:p>
    <w:p>
      <w:pPr>
        <w:ind w:firstLine="432"/>
        <w:spacing w:after="0" w:line="268" w:lineRule="auto"/>
        <w:rPr>
          <w:sz w:val="20"/>
          <w:szCs w:val="20"/>
          <w:color w:val="auto"/>
        </w:rPr>
      </w:pPr>
      <w:r>
        <w:rPr>
          <w:rFonts w:ascii="Arial" w:cs="Arial" w:eastAsia="Arial" w:hAnsi="Arial"/>
          <w:sz w:val="13"/>
          <w:szCs w:val="13"/>
          <w:color w:val="auto"/>
        </w:rPr>
        <w:t>As of September 30, 2011,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208"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Management’s Report on Internal Control Over Financial Reporting</w:t>
      </w:r>
    </w:p>
    <w:p>
      <w:pPr>
        <w:spacing w:after="0" w:line="82" w:lineRule="exact"/>
        <w:rPr>
          <w:sz w:val="20"/>
          <w:szCs w:val="20"/>
          <w:color w:val="auto"/>
        </w:rPr>
      </w:pPr>
    </w:p>
    <w:p>
      <w:pPr>
        <w:ind w:right="300" w:firstLine="405"/>
        <w:spacing w:after="0" w:line="273" w:lineRule="auto"/>
        <w:rPr>
          <w:sz w:val="20"/>
          <w:szCs w:val="20"/>
          <w:color w:val="auto"/>
        </w:rPr>
      </w:pPr>
      <w:r>
        <w:rPr>
          <w:rFonts w:ascii="Arial" w:cs="Arial" w:eastAsia="Arial" w:hAnsi="Arial"/>
          <w:sz w:val="14"/>
          <w:szCs w:val="14"/>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39"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Changes in Internal Controls Over Financial Reporting.</w:t>
      </w:r>
    </w:p>
    <w:p>
      <w:pPr>
        <w:spacing w:after="0" w:line="109" w:lineRule="exact"/>
        <w:rPr>
          <w:sz w:val="20"/>
          <w:szCs w:val="20"/>
          <w:color w:val="auto"/>
        </w:rPr>
      </w:pPr>
    </w:p>
    <w:p>
      <w:pPr>
        <w:ind w:firstLine="405"/>
        <w:spacing w:after="0" w:line="273" w:lineRule="auto"/>
        <w:rPr>
          <w:sz w:val="20"/>
          <w:szCs w:val="20"/>
          <w:color w:val="auto"/>
        </w:rPr>
      </w:pPr>
      <w:r>
        <w:rPr>
          <w:rFonts w:ascii="Arial" w:cs="Arial" w:eastAsia="Arial" w:hAnsi="Arial"/>
          <w:sz w:val="14"/>
          <w:szCs w:val="14"/>
          <w:color w:val="auto"/>
        </w:rPr>
        <w:t>There have been no material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116"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180"/>
          </w:cols>
          <w:pgMar w:left="320" w:top="121" w:right="39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PART III</w:t>
      </w:r>
    </w:p>
    <w:p>
      <w:pPr>
        <w:spacing w:after="0" w:line="167"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We will file a definitive Proxy Statement for our 2012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127"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8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2012 Annual Meeting of Stockholders, to be filed with the SEC within 120 days following the end of our fiscal year.</w:t>
      </w:r>
    </w:p>
    <w:p>
      <w:pPr>
        <w:spacing w:after="0" w:line="116"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8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2012 Annual Meeting of Stockholders, to be filed with the SEC within 120 days following the end of our fiscal year.</w:t>
      </w:r>
    </w:p>
    <w:p>
      <w:pPr>
        <w:spacing w:after="0" w:line="116"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8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2012 Annual Meeting of Stockholders, to be filed with the SEC within 120 days following the end of our fiscal year.</w:t>
      </w:r>
    </w:p>
    <w:p>
      <w:pPr>
        <w:spacing w:after="0" w:line="116"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8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2012 Annual Meeting of Stockholders, to be filed with the SEC within 120 days following the end of our fiscal year.</w:t>
      </w:r>
    </w:p>
    <w:p>
      <w:pPr>
        <w:spacing w:after="0" w:line="116"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8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2012 Annual Meeting of Stockholders, to be filed with the SEC within 120 days following the end of our fiscal year.</w:t>
      </w: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120"/>
          </w:cols>
          <w:pgMar w:left="320" w:top="121" w:right="45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PART IV</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55" w:lineRule="exact"/>
        <w:rPr>
          <w:sz w:val="20"/>
          <w:szCs w:val="20"/>
          <w:color w:val="auto"/>
        </w:rPr>
      </w:pPr>
    </w:p>
    <w:p>
      <w:pPr>
        <w:ind w:left="820" w:hanging="326"/>
        <w:spacing w:after="0"/>
        <w:tabs>
          <w:tab w:leader="none" w:pos="8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Financial Statements—Refer to Item 8 starting on page 59.</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Financial Statement Schedules—None.</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Exhibits</w:t>
      </w:r>
    </w:p>
    <w:p>
      <w:pPr>
        <w:spacing w:after="0" w:line="163"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3"/>
          <w:szCs w:val="13"/>
          <w:color w:val="auto"/>
        </w:rPr>
        <w:t>Articles of Amendment and Restatement of the Registrant (Incorporated by reference to the Registrant's Pre-Effective Amendment No. 3 to the Registration Statement on Form N-</w:t>
      </w:r>
    </w:p>
    <w:p>
      <w:pPr>
        <w:ind w:left="840"/>
        <w:spacing w:after="0"/>
        <w:rPr>
          <w:sz w:val="20"/>
          <w:szCs w:val="20"/>
          <w:color w:val="auto"/>
        </w:rPr>
      </w:pPr>
      <w:r>
        <w:rPr>
          <w:rFonts w:ascii="Arial" w:cs="Arial" w:eastAsia="Arial" w:hAnsi="Arial"/>
          <w:sz w:val="14"/>
          <w:szCs w:val="14"/>
          <w:color w:val="auto"/>
        </w:rPr>
        <w:t>2 (File No. 333-170243), filed on March 29, 2011).</w:t>
      </w:r>
    </w:p>
    <w:p>
      <w:pPr>
        <w:spacing w:after="0" w:line="151" w:lineRule="exact"/>
        <w:rPr>
          <w:sz w:val="20"/>
          <w:szCs w:val="20"/>
          <w:color w:val="auto"/>
        </w:rPr>
      </w:pPr>
    </w:p>
    <w:p>
      <w:pPr>
        <w:ind w:left="320"/>
        <w:spacing w:after="0"/>
        <w:tabs>
          <w:tab w:leader="none" w:pos="820" w:val="left"/>
        </w:tabs>
        <w:rPr>
          <w:sz w:val="20"/>
          <w:szCs w:val="20"/>
          <w:color w:val="auto"/>
        </w:rPr>
      </w:pPr>
      <w:r>
        <w:rPr>
          <w:rFonts w:ascii="Arial" w:cs="Arial" w:eastAsia="Arial" w:hAnsi="Arial"/>
          <w:sz w:val="14"/>
          <w:szCs w:val="14"/>
          <w:color w:val="auto"/>
        </w:rPr>
        <w:t>3.2 *</w:t>
      </w:r>
      <w:r>
        <w:rPr>
          <w:sz w:val="20"/>
          <w:szCs w:val="20"/>
          <w:color w:val="auto"/>
        </w:rPr>
        <w:tab/>
      </w:r>
      <w:r>
        <w:rPr>
          <w:rFonts w:ascii="Arial" w:cs="Arial" w:eastAsia="Arial" w:hAnsi="Arial"/>
          <w:sz w:val="12"/>
          <w:szCs w:val="12"/>
          <w:color w:val="auto"/>
        </w:rPr>
        <w:t>Amended and Restated Bylaws of the Registrant.</w:t>
      </w:r>
    </w:p>
    <w:p>
      <w:pPr>
        <w:spacing w:after="0" w:line="312" w:lineRule="exact"/>
        <w:rPr>
          <w:sz w:val="20"/>
          <w:szCs w:val="20"/>
          <w:color w:val="auto"/>
        </w:rPr>
      </w:pPr>
    </w:p>
    <w:p>
      <w:pPr>
        <w:ind w:left="840" w:hanging="447"/>
        <w:spacing w:after="0" w:line="253" w:lineRule="auto"/>
        <w:tabs>
          <w:tab w:leader="none" w:pos="8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Form of Share Certificate (Incorporated by reference to the Registrant's Pre-Effective Amendment No. 5 to the Registration Statement on Form N-2 (File No. 333-170243), filed on April 5, 2011).</w:t>
      </w:r>
    </w:p>
    <w:p>
      <w:pPr>
        <w:spacing w:after="0" w:line="133" w:lineRule="exact"/>
        <w:rPr>
          <w:sz w:val="20"/>
          <w:szCs w:val="20"/>
          <w:color w:val="auto"/>
        </w:rPr>
      </w:pPr>
    </w:p>
    <w:p>
      <w:pPr>
        <w:ind w:left="840" w:right="60" w:hanging="550"/>
        <w:spacing w:after="0" w:line="233" w:lineRule="auto"/>
        <w:tabs>
          <w:tab w:leader="none" w:pos="82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Revolving Credit and Security Agreement, dated as of June 23, 2011, among PennantPark Floating Rate Funding I, LLC, as the borrower, PennantPark Investment Advisers, LLC, as the collateral manager, the lenders from time to time party thereto, SunTrust Robinson Humphrey, Inc., as administrative agent, U.S. Bank National Association, as collateral agent, U.S. Bank National Association, as backup collateral manager, and U.S. Bank National Association, as custodian (Incorporated by reference to Exhibit 10.1 to the Registrant's Periodic Report on Form 8-K, filed on June 29, 2011).</w:t>
      </w:r>
    </w:p>
    <w:p>
      <w:pPr>
        <w:spacing w:after="0" w:line="293" w:lineRule="exact"/>
        <w:rPr>
          <w:sz w:val="20"/>
          <w:szCs w:val="20"/>
          <w:color w:val="auto"/>
        </w:rPr>
      </w:pPr>
    </w:p>
    <w:p>
      <w:pPr>
        <w:ind w:left="840" w:right="120" w:hanging="550"/>
        <w:spacing w:after="0" w:line="253" w:lineRule="auto"/>
        <w:tabs>
          <w:tab w:leader="none" w:pos="82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color w:val="auto"/>
        </w:rPr>
        <w:t>Purchase and Contribution Agreement, dated as of June 23, 2011, among PennantPark Floating Rate Capital Ltd., as the seller, and PennantPark Floating Rate Funding I, LLC, as the buyer (Incorporated by reference to Exhibit 10.2 to the Registrant's Periodic Report on Form 8-K, filed on June 29, 2011).</w:t>
      </w:r>
    </w:p>
    <w:p>
      <w:pPr>
        <w:spacing w:after="0" w:line="282" w:lineRule="exact"/>
        <w:rPr>
          <w:sz w:val="20"/>
          <w:szCs w:val="20"/>
          <w:color w:val="auto"/>
        </w:rPr>
      </w:pPr>
    </w:p>
    <w:p>
      <w:pPr>
        <w:ind w:left="840" w:right="260" w:hanging="550"/>
        <w:spacing w:after="0" w:line="253" w:lineRule="auto"/>
        <w:tabs>
          <w:tab w:leader="none" w:pos="82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4"/>
          <w:szCs w:val="14"/>
          <w:color w:val="auto"/>
        </w:rPr>
        <w:t>Form of Administration Agreement between the Registrant and PennantPark Investment Administration, LLC (Incorporated by reference to Exhibit 99(k)(2) to the Registrant’s Pre-Effective Amendment No. 3 to the Registration Statement on Form N-2 (File No. 333-170243), filed on March 29, 2011).</w:t>
      </w:r>
    </w:p>
    <w:p>
      <w:pPr>
        <w:spacing w:after="0" w:line="133"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3"/>
          <w:szCs w:val="13"/>
          <w:color w:val="auto"/>
        </w:rPr>
        <w:t>Dividend Reinvestment Plan (Incorporated by reference to Exhibit 99(e) to the Registrant’s Pre-Effective Amendment No. 3 to the Registration Statement on Form N-2 (File No.</w:t>
      </w:r>
    </w:p>
    <w:p>
      <w:pPr>
        <w:ind w:left="840"/>
        <w:spacing w:after="0"/>
        <w:rPr>
          <w:sz w:val="20"/>
          <w:szCs w:val="20"/>
          <w:color w:val="auto"/>
        </w:rPr>
      </w:pPr>
      <w:r>
        <w:rPr>
          <w:rFonts w:ascii="Arial" w:cs="Arial" w:eastAsia="Arial" w:hAnsi="Arial"/>
          <w:sz w:val="14"/>
          <w:szCs w:val="14"/>
          <w:color w:val="auto"/>
        </w:rPr>
        <w:t>333-170243), filed on March 29, 2011).</w:t>
      </w:r>
    </w:p>
    <w:p>
      <w:pPr>
        <w:spacing w:after="0" w:line="151"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3"/>
          <w:szCs w:val="13"/>
          <w:color w:val="auto"/>
        </w:rPr>
        <w:t>Form of Investment Advisory Agreement (Incorporated by reference to Exhibit 99(g) to the Registrant's Pre-Effective Amendment No. 3 to the Registration Statement on Form N-</w:t>
      </w:r>
    </w:p>
    <w:p>
      <w:pPr>
        <w:ind w:left="840"/>
        <w:spacing w:after="0"/>
        <w:rPr>
          <w:sz w:val="20"/>
          <w:szCs w:val="20"/>
          <w:color w:val="auto"/>
        </w:rPr>
      </w:pPr>
      <w:r>
        <w:rPr>
          <w:rFonts w:ascii="Arial" w:cs="Arial" w:eastAsia="Arial" w:hAnsi="Arial"/>
          <w:sz w:val="14"/>
          <w:szCs w:val="14"/>
          <w:color w:val="auto"/>
        </w:rPr>
        <w:t>2 (File No. 333-170243), filed on March 29, 2011.</w:t>
      </w:r>
    </w:p>
    <w:p>
      <w:pPr>
        <w:spacing w:after="0" w:line="151" w:lineRule="exact"/>
        <w:rPr>
          <w:sz w:val="20"/>
          <w:szCs w:val="20"/>
          <w:color w:val="auto"/>
        </w:rPr>
      </w:pPr>
    </w:p>
    <w:p>
      <w:pPr>
        <w:ind w:left="240" w:right="3540" w:firstLine="25"/>
        <w:spacing w:after="0" w:line="482" w:lineRule="auto"/>
        <w:tabs>
          <w:tab w:leader="none" w:pos="827"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audited financial statements contained in this Report). 14.1* Joint Code of Ethics of the Registrant.</w:t>
      </w:r>
    </w:p>
    <w:p>
      <w:pPr>
        <w:spacing w:after="0" w:line="1" w:lineRule="exact"/>
        <w:rPr>
          <w:rFonts w:ascii="Arial" w:cs="Arial" w:eastAsia="Arial" w:hAnsi="Arial"/>
          <w:sz w:val="14"/>
          <w:szCs w:val="14"/>
          <w:color w:val="auto"/>
        </w:rPr>
      </w:pPr>
    </w:p>
    <w:p>
      <w:pPr>
        <w:ind w:left="240"/>
        <w:spacing w:after="0"/>
        <w:rPr>
          <w:rFonts w:ascii="Arial" w:cs="Arial" w:eastAsia="Arial" w:hAnsi="Arial"/>
          <w:sz w:val="14"/>
          <w:szCs w:val="14"/>
          <w:color w:val="auto"/>
        </w:rPr>
      </w:pPr>
      <w:r>
        <w:rPr>
          <w:rFonts w:ascii="Arial" w:cs="Arial" w:eastAsia="Arial" w:hAnsi="Arial"/>
          <w:sz w:val="14"/>
          <w:szCs w:val="14"/>
          <w:color w:val="auto"/>
        </w:rPr>
        <w:t>21.1*    List of Subsidiaries of the Registrant.</w:t>
      </w:r>
    </w:p>
    <w:p>
      <w:pPr>
        <w:spacing w:after="0" w:line="163" w:lineRule="exact"/>
        <w:rPr>
          <w:rFonts w:ascii="Arial" w:cs="Arial" w:eastAsia="Arial" w:hAnsi="Arial"/>
          <w:sz w:val="14"/>
          <w:szCs w:val="14"/>
          <w:color w:val="auto"/>
        </w:rPr>
      </w:pPr>
    </w:p>
    <w:p>
      <w:pPr>
        <w:ind w:left="240"/>
        <w:spacing w:after="0"/>
        <w:rPr>
          <w:rFonts w:ascii="Arial" w:cs="Arial" w:eastAsia="Arial" w:hAnsi="Arial"/>
          <w:sz w:val="14"/>
          <w:szCs w:val="14"/>
          <w:color w:val="auto"/>
        </w:rPr>
      </w:pPr>
      <w:r>
        <w:rPr>
          <w:rFonts w:ascii="Arial" w:cs="Arial" w:eastAsia="Arial" w:hAnsi="Arial"/>
          <w:sz w:val="14"/>
          <w:szCs w:val="14"/>
          <w:color w:val="auto"/>
        </w:rPr>
        <w:t>31.1*    Certification of Chief Executive Officer pursuant to Rule 13a-14 of the Securities Exchange Act of 1934, as amended.</w:t>
      </w:r>
    </w:p>
    <w:p>
      <w:pPr>
        <w:spacing w:after="0" w:line="163" w:lineRule="exact"/>
        <w:rPr>
          <w:rFonts w:ascii="Arial" w:cs="Arial" w:eastAsia="Arial" w:hAnsi="Arial"/>
          <w:sz w:val="14"/>
          <w:szCs w:val="14"/>
          <w:color w:val="auto"/>
        </w:rPr>
      </w:pPr>
    </w:p>
    <w:p>
      <w:pPr>
        <w:ind w:left="240"/>
        <w:spacing w:after="0"/>
        <w:rPr>
          <w:rFonts w:ascii="Arial" w:cs="Arial" w:eastAsia="Arial" w:hAnsi="Arial"/>
          <w:sz w:val="14"/>
          <w:szCs w:val="14"/>
          <w:color w:val="auto"/>
        </w:rPr>
      </w:pPr>
      <w:r>
        <w:rPr>
          <w:rFonts w:ascii="Arial" w:cs="Arial" w:eastAsia="Arial" w:hAnsi="Arial"/>
          <w:sz w:val="14"/>
          <w:szCs w:val="14"/>
          <w:color w:val="auto"/>
        </w:rPr>
        <w:t>31.2*    Certification of Chief Financial Officer pursuant to Rule 13a-14 of the Securities Exchange Act of 1934, as amended.</w:t>
      </w:r>
    </w:p>
    <w:p>
      <w:pPr>
        <w:spacing w:after="0" w:line="163" w:lineRule="exact"/>
        <w:rPr>
          <w:rFonts w:ascii="Arial" w:cs="Arial" w:eastAsia="Arial" w:hAnsi="Arial"/>
          <w:sz w:val="14"/>
          <w:szCs w:val="14"/>
          <w:color w:val="auto"/>
        </w:rPr>
      </w:pPr>
    </w:p>
    <w:p>
      <w:pPr>
        <w:ind w:left="240"/>
        <w:spacing w:after="0"/>
        <w:rPr>
          <w:rFonts w:ascii="Arial" w:cs="Arial" w:eastAsia="Arial" w:hAnsi="Arial"/>
          <w:sz w:val="14"/>
          <w:szCs w:val="14"/>
          <w:color w:val="auto"/>
        </w:rPr>
      </w:pPr>
      <w:r>
        <w:rPr>
          <w:rFonts w:ascii="Arial" w:cs="Arial" w:eastAsia="Arial" w:hAnsi="Arial"/>
          <w:sz w:val="14"/>
          <w:szCs w:val="14"/>
          <w:color w:val="auto"/>
        </w:rPr>
        <w:t>32.1*    Certification of Chief Executive Officer pursuant to section 906 of The Sarbanes-Oxley Act of 2002.</w:t>
      </w:r>
    </w:p>
    <w:p>
      <w:pPr>
        <w:spacing w:after="0" w:line="163" w:lineRule="exact"/>
        <w:rPr>
          <w:rFonts w:ascii="Arial" w:cs="Arial" w:eastAsia="Arial" w:hAnsi="Arial"/>
          <w:sz w:val="14"/>
          <w:szCs w:val="14"/>
          <w:color w:val="auto"/>
        </w:rPr>
      </w:pPr>
    </w:p>
    <w:p>
      <w:pPr>
        <w:ind w:left="240"/>
        <w:spacing w:after="0"/>
        <w:rPr>
          <w:rFonts w:ascii="Arial" w:cs="Arial" w:eastAsia="Arial" w:hAnsi="Arial"/>
          <w:sz w:val="14"/>
          <w:szCs w:val="14"/>
          <w:color w:val="auto"/>
        </w:rPr>
      </w:pPr>
      <w:r>
        <w:rPr>
          <w:rFonts w:ascii="Arial" w:cs="Arial" w:eastAsia="Arial" w:hAnsi="Arial"/>
          <w:sz w:val="14"/>
          <w:szCs w:val="14"/>
          <w:color w:val="auto"/>
        </w:rPr>
        <w:t>32.2*    Certification of Chief Financial Officer pursuant to section 906 of The Sarbanes-Oxley Act of 2002.</w:t>
      </w:r>
    </w:p>
    <w:p>
      <w:pPr>
        <w:spacing w:after="0" w:line="163"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3"/>
          <w:szCs w:val="13"/>
          <w:color w:val="auto"/>
        </w:rPr>
        <w:t>Privacy Policy of the Registrant.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4"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00"/>
          </w:cols>
          <w:pgMar w:left="320" w:top="121" w:right="37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67" w:lineRule="exact"/>
        <w:rPr>
          <w:sz w:val="20"/>
          <w:szCs w:val="20"/>
          <w:color w:val="auto"/>
        </w:rPr>
      </w:pPr>
    </w:p>
    <w:p>
      <w:pPr>
        <w:ind w:right="460" w:firstLine="432"/>
        <w:spacing w:after="0" w:line="27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360" w:type="dxa"/>
            <w:vAlign w:val="bottom"/>
            <w:tcBorders>
              <w:bottom w:val="single" w:sz="8" w:color="auto"/>
            </w:tcBorders>
          </w:tcPr>
          <w:p>
            <w:pPr>
              <w:ind w:left="1800"/>
              <w:spacing w:after="0"/>
              <w:rPr>
                <w:sz w:val="20"/>
                <w:szCs w:val="20"/>
                <w:color w:val="auto"/>
              </w:rPr>
            </w:pPr>
            <w:r>
              <w:rPr>
                <w:rFonts w:ascii="Arial" w:cs="Arial" w:eastAsia="Arial" w:hAnsi="Arial"/>
                <w:sz w:val="14"/>
                <w:szCs w:val="14"/>
                <w:color w:val="auto"/>
              </w:rPr>
              <w:t>/S/  ARTHUR H. PENN</w:t>
            </w:r>
          </w:p>
        </w:tc>
      </w:tr>
      <w:tr>
        <w:trPr>
          <w:trHeight w:val="190"/>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Arthur H. Penn</w:t>
            </w:r>
          </w:p>
        </w:tc>
      </w:tr>
      <w:tr>
        <w:trPr>
          <w:trHeight w:val="203"/>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4"/>
              </w:rPr>
              <w:t>Chief Executive Officer and Chairman of the Board</w:t>
            </w:r>
          </w:p>
        </w:tc>
      </w:tr>
    </w:tbl>
    <w:p>
      <w:pPr>
        <w:spacing w:after="0" w:line="37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00" w:type="dxa"/>
            <w:vAlign w:val="bottom"/>
          </w:tcPr>
          <w:p>
            <w:pPr>
              <w:spacing w:after="0"/>
              <w:rPr>
                <w:sz w:val="20"/>
                <w:szCs w:val="20"/>
                <w:color w:val="auto"/>
              </w:rPr>
            </w:pPr>
            <w:r>
              <w:rPr>
                <w:rFonts w:ascii="Arial" w:cs="Arial" w:eastAsia="Arial" w:hAnsi="Arial"/>
                <w:sz w:val="14"/>
                <w:szCs w:val="14"/>
                <w:color w:val="auto"/>
              </w:rPr>
              <w:t>dates indicated.</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2"/>
              </w:rPr>
              <w:t>Signature</w:t>
            </w:r>
          </w:p>
        </w:tc>
        <w:tc>
          <w:tcPr>
            <w:tcW w:w="460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7"/>
              </w:rPr>
              <w:t>Title</w:t>
            </w:r>
          </w:p>
        </w:tc>
        <w:tc>
          <w:tcPr>
            <w:tcW w:w="900" w:type="dxa"/>
            <w:vAlign w:val="bottom"/>
          </w:tcPr>
          <w:p>
            <w:pPr>
              <w:spacing w:after="0"/>
              <w:rPr>
                <w:sz w:val="24"/>
                <w:szCs w:val="24"/>
                <w:color w:val="auto"/>
              </w:rPr>
            </w:pPr>
          </w:p>
        </w:tc>
        <w:tc>
          <w:tcPr>
            <w:tcW w:w="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00" w:type="dxa"/>
            <w:vAlign w:val="bottom"/>
            <w:gridSpan w:val="3"/>
          </w:tcPr>
          <w:p>
            <w:pPr>
              <w:jc w:val="center"/>
              <w:ind w:left="308"/>
              <w:spacing w:after="0"/>
              <w:rPr>
                <w:sz w:val="20"/>
                <w:szCs w:val="20"/>
                <w:color w:val="auto"/>
              </w:rPr>
            </w:pPr>
            <w:r>
              <w:rPr>
                <w:rFonts w:ascii="Arial" w:cs="Arial" w:eastAsia="Arial" w:hAnsi="Arial"/>
                <w:sz w:val="14"/>
                <w:szCs w:val="14"/>
                <w:color w:val="auto"/>
                <w:w w:val="94"/>
              </w:rPr>
              <w:t>Chairman of the Board of Directors and Chief Executive</w:t>
            </w:r>
          </w:p>
        </w:tc>
        <w:tc>
          <w:tcPr>
            <w:tcW w:w="1600" w:type="dxa"/>
            <w:vAlign w:val="bottom"/>
            <w:gridSpan w:val="3"/>
          </w:tcPr>
          <w:p>
            <w:pPr>
              <w:jc w:val="center"/>
              <w:ind w:left="388"/>
              <w:spacing w:after="0"/>
              <w:rPr>
                <w:sz w:val="20"/>
                <w:szCs w:val="20"/>
                <w:color w:val="auto"/>
              </w:rPr>
            </w:pPr>
            <w:r>
              <w:rPr>
                <w:rFonts w:ascii="Arial" w:cs="Arial" w:eastAsia="Arial" w:hAnsi="Arial"/>
                <w:sz w:val="14"/>
                <w:szCs w:val="14"/>
                <w:color w:val="auto"/>
                <w:w w:val="92"/>
              </w:rPr>
              <w:t>November 17, 2011</w:t>
            </w:r>
          </w:p>
        </w:tc>
        <w:tc>
          <w:tcPr>
            <w:tcW w:w="0" w:type="dxa"/>
            <w:vAlign w:val="bottom"/>
          </w:tcPr>
          <w:p>
            <w:pPr>
              <w:spacing w:after="0"/>
              <w:rPr>
                <w:sz w:val="1"/>
                <w:szCs w:val="1"/>
                <w:color w:val="auto"/>
              </w:rPr>
            </w:pPr>
          </w:p>
        </w:tc>
      </w:tr>
      <w:tr>
        <w:trPr>
          <w:trHeight w:val="202"/>
        </w:trPr>
        <w:tc>
          <w:tcPr>
            <w:tcW w:w="1800" w:type="dxa"/>
            <w:vAlign w:val="bottom"/>
            <w:tcBorders>
              <w:bottom w:val="single" w:sz="8" w:color="auto"/>
            </w:tcBorders>
            <w:gridSpan w:val="2"/>
          </w:tcPr>
          <w:p>
            <w:pPr>
              <w:ind w:left="1540"/>
              <w:spacing w:after="0"/>
              <w:rPr>
                <w:sz w:val="20"/>
                <w:szCs w:val="20"/>
                <w:color w:val="auto"/>
              </w:rPr>
            </w:pPr>
            <w:r>
              <w:rPr>
                <w:rFonts w:ascii="Arial" w:cs="Arial" w:eastAsia="Arial" w:hAnsi="Arial"/>
                <w:sz w:val="14"/>
                <w:szCs w:val="14"/>
                <w:color w:val="auto"/>
              </w:rPr>
              <w:t>/S/</w:t>
            </w:r>
          </w:p>
        </w:tc>
        <w:tc>
          <w:tcPr>
            <w:tcW w:w="30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4"/>
                <w:szCs w:val="14"/>
                <w:color w:val="auto"/>
                <w:w w:val="97"/>
              </w:rPr>
              <w:t>ARTHUR H. PENN</w:t>
            </w:r>
          </w:p>
        </w:tc>
        <w:tc>
          <w:tcPr>
            <w:tcW w:w="4600" w:type="dxa"/>
            <w:vAlign w:val="bottom"/>
            <w:gridSpan w:val="3"/>
          </w:tcPr>
          <w:p>
            <w:pPr>
              <w:jc w:val="center"/>
              <w:ind w:left="328"/>
              <w:spacing w:after="0"/>
              <w:rPr>
                <w:sz w:val="20"/>
                <w:szCs w:val="20"/>
                <w:color w:val="auto"/>
              </w:rPr>
            </w:pPr>
            <w:r>
              <w:rPr>
                <w:rFonts w:ascii="Arial" w:cs="Arial" w:eastAsia="Arial" w:hAnsi="Arial"/>
                <w:sz w:val="14"/>
                <w:szCs w:val="14"/>
                <w:color w:val="auto"/>
                <w:w w:val="97"/>
              </w:rPr>
              <w:t>Officer (Principal Executive Officer)</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7"/>
              </w:rPr>
              <w:t>Arthur H. Penn</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600" w:type="dxa"/>
            <w:vAlign w:val="bottom"/>
            <w:gridSpan w:val="3"/>
          </w:tcPr>
          <w:p>
            <w:pPr>
              <w:jc w:val="center"/>
              <w:ind w:left="328"/>
              <w:spacing w:after="0"/>
              <w:rPr>
                <w:sz w:val="20"/>
                <w:szCs w:val="20"/>
                <w:color w:val="auto"/>
              </w:rPr>
            </w:pPr>
            <w:r>
              <w:rPr>
                <w:rFonts w:ascii="Arial" w:cs="Arial" w:eastAsia="Arial" w:hAnsi="Arial"/>
                <w:sz w:val="14"/>
                <w:szCs w:val="14"/>
                <w:color w:val="auto"/>
                <w:w w:val="94"/>
              </w:rPr>
              <w:t>Chief Financial Officer and Treasurer (Principal</w:t>
            </w:r>
          </w:p>
        </w:tc>
        <w:tc>
          <w:tcPr>
            <w:tcW w:w="1600" w:type="dxa"/>
            <w:vAlign w:val="bottom"/>
            <w:gridSpan w:val="3"/>
            <w:vMerge w:val="restart"/>
          </w:tcPr>
          <w:p>
            <w:pPr>
              <w:jc w:val="center"/>
              <w:ind w:left="388"/>
              <w:spacing w:after="0"/>
              <w:rPr>
                <w:sz w:val="20"/>
                <w:szCs w:val="20"/>
                <w:color w:val="auto"/>
              </w:rPr>
            </w:pPr>
            <w:r>
              <w:rPr>
                <w:rFonts w:ascii="Arial" w:cs="Arial" w:eastAsia="Arial" w:hAnsi="Arial"/>
                <w:sz w:val="14"/>
                <w:szCs w:val="14"/>
                <w:color w:val="auto"/>
                <w:w w:val="92"/>
              </w:rPr>
              <w:t>November 17, 2011</w:t>
            </w:r>
          </w:p>
        </w:tc>
        <w:tc>
          <w:tcPr>
            <w:tcW w:w="0" w:type="dxa"/>
            <w:vAlign w:val="bottom"/>
          </w:tcPr>
          <w:p>
            <w:pPr>
              <w:spacing w:after="0"/>
              <w:rPr>
                <w:sz w:val="1"/>
                <w:szCs w:val="1"/>
                <w:color w:val="auto"/>
              </w:rPr>
            </w:pPr>
          </w:p>
        </w:tc>
      </w:tr>
      <w:tr>
        <w:trPr>
          <w:trHeight w:val="115"/>
        </w:trPr>
        <w:tc>
          <w:tcPr>
            <w:tcW w:w="1600" w:type="dxa"/>
            <w:vAlign w:val="bottom"/>
          </w:tcPr>
          <w:p>
            <w:pPr>
              <w:spacing w:after="0"/>
              <w:rPr>
                <w:sz w:val="9"/>
                <w:szCs w:val="9"/>
                <w:color w:val="auto"/>
              </w:rPr>
            </w:pPr>
          </w:p>
        </w:tc>
        <w:tc>
          <w:tcPr>
            <w:tcW w:w="3220" w:type="dxa"/>
            <w:vAlign w:val="bottom"/>
            <w:gridSpan w:val="4"/>
            <w:vMerge w:val="restart"/>
          </w:tcPr>
          <w:p>
            <w:pPr>
              <w:ind w:left="120"/>
              <w:spacing w:after="0"/>
              <w:rPr>
                <w:sz w:val="20"/>
                <w:szCs w:val="20"/>
                <w:color w:val="auto"/>
              </w:rPr>
            </w:pPr>
            <w:r>
              <w:rPr>
                <w:rFonts w:ascii="Arial" w:cs="Arial" w:eastAsia="Arial" w:hAnsi="Arial"/>
                <w:sz w:val="14"/>
                <w:szCs w:val="14"/>
                <w:color w:val="auto"/>
              </w:rPr>
              <w:t>/S/  AVIV EFRAT</w:t>
            </w:r>
          </w:p>
        </w:tc>
        <w:tc>
          <w:tcPr>
            <w:tcW w:w="4600" w:type="dxa"/>
            <w:vAlign w:val="bottom"/>
            <w:gridSpan w:val="3"/>
            <w:vMerge w:val="restart"/>
          </w:tcPr>
          <w:p>
            <w:pPr>
              <w:jc w:val="center"/>
              <w:ind w:left="308"/>
              <w:spacing w:after="0"/>
              <w:rPr>
                <w:sz w:val="20"/>
                <w:szCs w:val="20"/>
                <w:color w:val="auto"/>
              </w:rPr>
            </w:pPr>
            <w:r>
              <w:rPr>
                <w:rFonts w:ascii="Arial" w:cs="Arial" w:eastAsia="Arial" w:hAnsi="Arial"/>
                <w:sz w:val="14"/>
                <w:szCs w:val="14"/>
                <w:color w:val="auto"/>
                <w:w w:val="96"/>
              </w:rPr>
              <w:t>Financial and Accounting Officer)</w:t>
            </w:r>
          </w:p>
        </w:tc>
        <w:tc>
          <w:tcPr>
            <w:tcW w:w="16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600" w:type="dxa"/>
            <w:vAlign w:val="bottom"/>
            <w:tcBorders>
              <w:bottom w:val="single" w:sz="8" w:color="auto"/>
            </w:tcBorders>
          </w:tcPr>
          <w:p>
            <w:pPr>
              <w:spacing w:after="0"/>
              <w:rPr>
                <w:sz w:val="7"/>
                <w:szCs w:val="7"/>
                <w:color w:val="auto"/>
              </w:rPr>
            </w:pPr>
          </w:p>
        </w:tc>
        <w:tc>
          <w:tcPr>
            <w:tcW w:w="3220" w:type="dxa"/>
            <w:vAlign w:val="bottom"/>
            <w:tcBorders>
              <w:bottom w:val="single" w:sz="8" w:color="auto"/>
            </w:tcBorders>
            <w:gridSpan w:val="4"/>
            <w:vMerge w:val="continue"/>
          </w:tcPr>
          <w:p>
            <w:pPr>
              <w:spacing w:after="0"/>
              <w:rPr>
                <w:sz w:val="7"/>
                <w:szCs w:val="7"/>
                <w:color w:val="auto"/>
              </w:rPr>
            </w:pPr>
          </w:p>
        </w:tc>
        <w:tc>
          <w:tcPr>
            <w:tcW w:w="460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7"/>
              </w:rPr>
              <w:t>Aviv Efrat</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600" w:type="dxa"/>
            <w:vAlign w:val="bottom"/>
            <w:tcBorders>
              <w:bottom w:val="single" w:sz="8" w:color="auto"/>
            </w:tcBorders>
          </w:tcPr>
          <w:p>
            <w:pPr>
              <w:ind w:left="1400"/>
              <w:spacing w:after="0"/>
              <w:rPr>
                <w:sz w:val="20"/>
                <w:szCs w:val="20"/>
                <w:color w:val="auto"/>
              </w:rPr>
            </w:pPr>
            <w:r>
              <w:rPr>
                <w:rFonts w:ascii="Arial" w:cs="Arial" w:eastAsia="Arial" w:hAnsi="Arial"/>
                <w:sz w:val="14"/>
                <w:szCs w:val="14"/>
                <w:color w:val="auto"/>
              </w:rPr>
              <w:t>/S/</w:t>
            </w:r>
          </w:p>
        </w:tc>
        <w:tc>
          <w:tcPr>
            <w:tcW w:w="3220" w:type="dxa"/>
            <w:vAlign w:val="bottom"/>
            <w:tcBorders>
              <w:bottom w:val="single" w:sz="8" w:color="auto"/>
            </w:tcBorders>
            <w:gridSpan w:val="4"/>
          </w:tcPr>
          <w:p>
            <w:pPr>
              <w:jc w:val="center"/>
              <w:ind w:right="1580"/>
              <w:spacing w:after="0"/>
              <w:rPr>
                <w:sz w:val="20"/>
                <w:szCs w:val="20"/>
                <w:color w:val="auto"/>
              </w:rPr>
            </w:pPr>
            <w:r>
              <w:rPr>
                <w:rFonts w:ascii="Arial" w:cs="Arial" w:eastAsia="Arial" w:hAnsi="Arial"/>
                <w:sz w:val="14"/>
                <w:szCs w:val="14"/>
                <w:color w:val="auto"/>
              </w:rPr>
              <w:t>ADAM K. BERNSTEIN</w:t>
            </w:r>
          </w:p>
        </w:tc>
        <w:tc>
          <w:tcPr>
            <w:tcW w:w="4600" w:type="dxa"/>
            <w:vAlign w:val="bottom"/>
            <w:gridSpan w:val="3"/>
          </w:tcPr>
          <w:p>
            <w:pPr>
              <w:jc w:val="center"/>
              <w:ind w:left="328"/>
              <w:spacing w:after="0"/>
              <w:rPr>
                <w:sz w:val="20"/>
                <w:szCs w:val="20"/>
                <w:color w:val="auto"/>
              </w:rPr>
            </w:pPr>
            <w:r>
              <w:rPr>
                <w:rFonts w:ascii="Arial" w:cs="Arial" w:eastAsia="Arial" w:hAnsi="Arial"/>
                <w:sz w:val="14"/>
                <w:szCs w:val="14"/>
                <w:color w:val="auto"/>
                <w:w w:val="97"/>
              </w:rPr>
              <w:t>Director</w:t>
            </w:r>
          </w:p>
        </w:tc>
        <w:tc>
          <w:tcPr>
            <w:tcW w:w="1600" w:type="dxa"/>
            <w:vAlign w:val="bottom"/>
            <w:gridSpan w:val="3"/>
          </w:tcPr>
          <w:p>
            <w:pPr>
              <w:jc w:val="center"/>
              <w:ind w:left="388"/>
              <w:spacing w:after="0"/>
              <w:rPr>
                <w:sz w:val="20"/>
                <w:szCs w:val="20"/>
                <w:color w:val="auto"/>
              </w:rPr>
            </w:pPr>
            <w:r>
              <w:rPr>
                <w:rFonts w:ascii="Arial" w:cs="Arial" w:eastAsia="Arial" w:hAnsi="Arial"/>
                <w:sz w:val="14"/>
                <w:szCs w:val="14"/>
                <w:color w:val="auto"/>
                <w:w w:val="92"/>
              </w:rPr>
              <w:t>November 17, 2011</w:t>
            </w: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5"/>
              </w:rPr>
              <w:t>Adam K. Bernstein</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6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3"/>
              </w:rPr>
              <w:t>/S/</w:t>
            </w:r>
          </w:p>
        </w:tc>
        <w:tc>
          <w:tcPr>
            <w:tcW w:w="30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4"/>
                <w:szCs w:val="14"/>
                <w:color w:val="auto"/>
                <w:w w:val="96"/>
              </w:rPr>
              <w:t>JEFFREY FLUG</w:t>
            </w:r>
          </w:p>
        </w:tc>
        <w:tc>
          <w:tcPr>
            <w:tcW w:w="4600" w:type="dxa"/>
            <w:vAlign w:val="bottom"/>
            <w:gridSpan w:val="3"/>
          </w:tcPr>
          <w:p>
            <w:pPr>
              <w:jc w:val="center"/>
              <w:ind w:left="328"/>
              <w:spacing w:after="0"/>
              <w:rPr>
                <w:sz w:val="20"/>
                <w:szCs w:val="20"/>
                <w:color w:val="auto"/>
              </w:rPr>
            </w:pPr>
            <w:r>
              <w:rPr>
                <w:rFonts w:ascii="Arial" w:cs="Arial" w:eastAsia="Arial" w:hAnsi="Arial"/>
                <w:sz w:val="14"/>
                <w:szCs w:val="14"/>
                <w:color w:val="auto"/>
                <w:w w:val="97"/>
              </w:rPr>
              <w:t>Director</w:t>
            </w:r>
          </w:p>
        </w:tc>
        <w:tc>
          <w:tcPr>
            <w:tcW w:w="1600" w:type="dxa"/>
            <w:vAlign w:val="bottom"/>
            <w:gridSpan w:val="3"/>
          </w:tcPr>
          <w:p>
            <w:pPr>
              <w:jc w:val="center"/>
              <w:ind w:left="388"/>
              <w:spacing w:after="0"/>
              <w:rPr>
                <w:sz w:val="20"/>
                <w:szCs w:val="20"/>
                <w:color w:val="auto"/>
              </w:rPr>
            </w:pPr>
            <w:r>
              <w:rPr>
                <w:rFonts w:ascii="Arial" w:cs="Arial" w:eastAsia="Arial" w:hAnsi="Arial"/>
                <w:sz w:val="14"/>
                <w:szCs w:val="14"/>
                <w:color w:val="auto"/>
                <w:w w:val="92"/>
              </w:rPr>
              <w:t>November 17, 2011</w:t>
            </w: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5"/>
              </w:rPr>
              <w:t>Jeffrey Flug</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60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/S/</w:t>
            </w:r>
          </w:p>
        </w:tc>
        <w:tc>
          <w:tcPr>
            <w:tcW w:w="3220" w:type="dxa"/>
            <w:vAlign w:val="bottom"/>
            <w:tcBorders>
              <w:bottom w:val="single" w:sz="8" w:color="auto"/>
            </w:tcBorders>
            <w:gridSpan w:val="4"/>
          </w:tcPr>
          <w:p>
            <w:pPr>
              <w:jc w:val="center"/>
              <w:ind w:right="1580"/>
              <w:spacing w:after="0"/>
              <w:rPr>
                <w:sz w:val="20"/>
                <w:szCs w:val="20"/>
                <w:color w:val="auto"/>
              </w:rPr>
            </w:pPr>
            <w:r>
              <w:rPr>
                <w:rFonts w:ascii="Arial" w:cs="Arial" w:eastAsia="Arial" w:hAnsi="Arial"/>
                <w:sz w:val="14"/>
                <w:szCs w:val="14"/>
                <w:color w:val="auto"/>
              </w:rPr>
              <w:t>MARSHALL BROZOST</w:t>
            </w:r>
          </w:p>
        </w:tc>
        <w:tc>
          <w:tcPr>
            <w:tcW w:w="4600" w:type="dxa"/>
            <w:vAlign w:val="bottom"/>
            <w:gridSpan w:val="3"/>
          </w:tcPr>
          <w:p>
            <w:pPr>
              <w:jc w:val="center"/>
              <w:ind w:left="328"/>
              <w:spacing w:after="0"/>
              <w:rPr>
                <w:sz w:val="20"/>
                <w:szCs w:val="20"/>
                <w:color w:val="auto"/>
              </w:rPr>
            </w:pPr>
            <w:r>
              <w:rPr>
                <w:rFonts w:ascii="Arial" w:cs="Arial" w:eastAsia="Arial" w:hAnsi="Arial"/>
                <w:sz w:val="14"/>
                <w:szCs w:val="14"/>
                <w:color w:val="auto"/>
                <w:w w:val="97"/>
              </w:rPr>
              <w:t>Director</w:t>
            </w:r>
          </w:p>
        </w:tc>
        <w:tc>
          <w:tcPr>
            <w:tcW w:w="1600" w:type="dxa"/>
            <w:vAlign w:val="bottom"/>
            <w:gridSpan w:val="3"/>
          </w:tcPr>
          <w:p>
            <w:pPr>
              <w:jc w:val="center"/>
              <w:ind w:left="388"/>
              <w:spacing w:after="0"/>
              <w:rPr>
                <w:sz w:val="20"/>
                <w:szCs w:val="20"/>
                <w:color w:val="auto"/>
              </w:rPr>
            </w:pPr>
            <w:r>
              <w:rPr>
                <w:rFonts w:ascii="Arial" w:cs="Arial" w:eastAsia="Arial" w:hAnsi="Arial"/>
                <w:sz w:val="14"/>
                <w:szCs w:val="14"/>
                <w:color w:val="auto"/>
                <w:w w:val="92"/>
              </w:rPr>
              <w:t>November 17, 2011</w:t>
            </w: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3"/>
              </w:rPr>
              <w:t>Marshall Brozost</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gridSpan w:val="2"/>
          </w:tcPr>
          <w:p>
            <w:pPr>
              <w:ind w:left="1540"/>
              <w:spacing w:after="0"/>
              <w:rPr>
                <w:sz w:val="20"/>
                <w:szCs w:val="20"/>
                <w:color w:val="auto"/>
              </w:rPr>
            </w:pPr>
            <w:r>
              <w:rPr>
                <w:rFonts w:ascii="Arial" w:cs="Arial" w:eastAsia="Arial" w:hAnsi="Arial"/>
                <w:sz w:val="14"/>
                <w:szCs w:val="14"/>
                <w:color w:val="auto"/>
              </w:rPr>
              <w:t>/S/</w:t>
            </w:r>
          </w:p>
        </w:tc>
        <w:tc>
          <w:tcPr>
            <w:tcW w:w="30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4"/>
                <w:szCs w:val="14"/>
                <w:color w:val="auto"/>
              </w:rPr>
              <w:t>SAMUEL L. KATZ</w:t>
            </w:r>
          </w:p>
        </w:tc>
        <w:tc>
          <w:tcPr>
            <w:tcW w:w="4600" w:type="dxa"/>
            <w:vAlign w:val="bottom"/>
            <w:gridSpan w:val="3"/>
          </w:tcPr>
          <w:p>
            <w:pPr>
              <w:jc w:val="center"/>
              <w:ind w:left="328"/>
              <w:spacing w:after="0"/>
              <w:rPr>
                <w:sz w:val="20"/>
                <w:szCs w:val="20"/>
                <w:color w:val="auto"/>
              </w:rPr>
            </w:pPr>
            <w:r>
              <w:rPr>
                <w:rFonts w:ascii="Arial" w:cs="Arial" w:eastAsia="Arial" w:hAnsi="Arial"/>
                <w:sz w:val="14"/>
                <w:szCs w:val="14"/>
                <w:color w:val="auto"/>
                <w:w w:val="97"/>
              </w:rPr>
              <w:t>Director</w:t>
            </w:r>
          </w:p>
        </w:tc>
        <w:tc>
          <w:tcPr>
            <w:tcW w:w="1600" w:type="dxa"/>
            <w:vAlign w:val="bottom"/>
            <w:gridSpan w:val="3"/>
          </w:tcPr>
          <w:p>
            <w:pPr>
              <w:jc w:val="center"/>
              <w:ind w:left="388"/>
              <w:spacing w:after="0"/>
              <w:rPr>
                <w:sz w:val="20"/>
                <w:szCs w:val="20"/>
                <w:color w:val="auto"/>
              </w:rPr>
            </w:pPr>
            <w:r>
              <w:rPr>
                <w:rFonts w:ascii="Arial" w:cs="Arial" w:eastAsia="Arial" w:hAnsi="Arial"/>
                <w:sz w:val="14"/>
                <w:szCs w:val="14"/>
                <w:color w:val="auto"/>
                <w:w w:val="92"/>
              </w:rPr>
              <w:t>November 17, 2011</w:t>
            </w: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6"/>
              </w:rPr>
              <w:t>Samuel L. Katz</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3"/>
        </w:trPr>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60" w:type="dxa"/>
            <w:vAlign w:val="bottom"/>
          </w:tcPr>
          <w:p>
            <w:pPr>
              <w:jc w:val="right"/>
              <w:ind w:right="1408"/>
              <w:spacing w:after="0"/>
              <w:rPr>
                <w:sz w:val="20"/>
                <w:szCs w:val="20"/>
                <w:color w:val="auto"/>
              </w:rPr>
            </w:pPr>
            <w:r>
              <w:rPr>
                <w:rFonts w:ascii="Arial" w:cs="Arial" w:eastAsia="Arial" w:hAnsi="Arial"/>
                <w:sz w:val="14"/>
                <w:szCs w:val="14"/>
                <w:color w:val="auto"/>
              </w:rPr>
              <w:t>86</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21" w:right="379" w:bottom="1440" w:gutter="0" w:footer="0" w:header="0"/>
        </w:sectPr>
      </w:pPr>
    </w:p>
    <w:bookmarkStart w:id="86" w:name="page87"/>
    <w:bookmarkEnd w:id="86"/>
    <w:p>
      <w:pPr>
        <w:ind w:left="8760"/>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PENNANTPARK FLOATING RATE CAPITAL LTD.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BYLAWS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OFFICES</w:t>
      </w:r>
    </w:p>
    <w:p>
      <w:pPr>
        <w:spacing w:after="0" w:line="175"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Corporation in the State of Maryland shall be located at such place as the Board of Directors may designate.</w:t>
      </w:r>
    </w:p>
    <w:p>
      <w:pPr>
        <w:spacing w:after="0" w:line="116" w:lineRule="exact"/>
        <w:rPr>
          <w:sz w:val="20"/>
          <w:szCs w:val="20"/>
          <w:color w:val="auto"/>
        </w:rPr>
      </w:pPr>
    </w:p>
    <w:p>
      <w:pPr>
        <w:ind w:right="40" w:firstLine="864"/>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MEETINGS OF STOCKHOLDERS</w:t>
      </w:r>
    </w:p>
    <w:p>
      <w:pPr>
        <w:spacing w:after="0" w:line="175"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by the Board of Directors and stated in the notice of the meeting.</w:t>
      </w:r>
    </w:p>
    <w:p>
      <w:pPr>
        <w:spacing w:after="0" w:line="116"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the stockholders for the election of directors and the transaction of any business within the powers of the Corporation shall be held on a date and at the time set by the Board of Directors.</w:t>
      </w:r>
    </w:p>
    <w:p>
      <w:pPr>
        <w:spacing w:after="0" w:line="116" w:lineRule="exact"/>
        <w:rPr>
          <w:sz w:val="20"/>
          <w:szCs w:val="20"/>
          <w:color w:val="auto"/>
        </w:rPr>
      </w:pPr>
    </w:p>
    <w:p>
      <w:pPr>
        <w:ind w:right="20" w:firstLine="864"/>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 The chairman of the board, president, chief executive officer or Board of Directors may call a special meeting of the stockholders. A special meeting of stockholders shall also be called by the secretary of the Corporation upon the written request of stockholders entitled to cast not less than a majority of all the votes entitled to be cast at such meeting. Such request shall state the purpose of such meeting and the matters proposed to be acted on at such meeting. The secretary shall inform such stockholders of the reasonably estimated cost of preparing and mailing notice of the meeting and, upon payment to the Corporation by such stockholders of such costs, the secretary shall give notice to each stockholder entitled to notice of the meeting.</w:t>
      </w:r>
    </w:p>
    <w:p>
      <w:pPr>
        <w:spacing w:after="0" w:line="138" w:lineRule="exact"/>
        <w:rPr>
          <w:sz w:val="20"/>
          <w:szCs w:val="20"/>
          <w:color w:val="auto"/>
        </w:rPr>
      </w:pPr>
    </w:p>
    <w:p>
      <w:pPr>
        <w:ind w:firstLine="864"/>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NOTICE</w:t>
      </w:r>
      <w:r>
        <w:rPr>
          <w:rFonts w:ascii="Arial" w:cs="Arial" w:eastAsia="Arial" w:hAnsi="Arial"/>
          <w:sz w:val="17"/>
          <w:szCs w:val="17"/>
          <w:color w:val="auto"/>
        </w:rPr>
        <w:t>. Not less than 10 days nor more than 90 days before each meeting of stockholders, the secretary shall give to each stockholder entitled to vote at such meeting and to each stockholder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by presenting it to such stockholder personally, by leaving it at the stockholder's residence or usual place of business or by any other means permitted by Maryland law. If mailed, such notice shall be deemed to be given when deposited in the United States mail addressed to the stockholder at the stockholder's address as it appears on the records of the Corporation, with postage thereon prepaid.</w:t>
      </w:r>
    </w:p>
    <w:p>
      <w:pPr>
        <w:spacing w:after="0" w:line="124"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ectPr>
          <w:pgSz w:w="11900" w:h="16838" w:orient="portrait"/>
          <w:cols w:equalWidth="0" w:num="1">
            <w:col w:w="11200"/>
          </w:cols>
          <w:pgMar w:left="320" w:top="742" w:right="379" w:bottom="1440" w:gutter="0" w:footer="0" w:header="0"/>
        </w:sectPr>
      </w:pPr>
    </w:p>
    <w:bookmarkStart w:id="87" w:name="page88"/>
    <w:bookmarkEnd w:id="87"/>
    <w:p>
      <w:pPr>
        <w:ind w:firstLine="864"/>
        <w:spacing w:after="0" w:line="285"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ORGANIZATION AND CONDUCT</w:t>
      </w:r>
      <w:r>
        <w:rPr>
          <w:rFonts w:ascii="Arial" w:cs="Arial" w:eastAsia="Arial" w:hAnsi="Arial"/>
          <w:sz w:val="16"/>
          <w:szCs w:val="16"/>
          <w:color w:val="auto"/>
        </w:rPr>
        <w:t>. Every meeting of stockholders shall be conducted by an individual appointed by the Board of Directors to be chairman of the meeting or, in the absence of such appointment, by the chairman of the Board of Directors or, in the case of a vacancy in the office or absence of the chairman of the board, by one of the following officers present at the meeting: the vice chairman of the board, if there be one, the president, the vice presidents in their order of rank and seniority,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 person appointed by the Board of Directors or, in the absence of such appointment, a person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 meeting; (b) limiting attendance at the meeting to stockholders of record of the Corporation, their duly authorized proxies and other such individuals as the chairman of the meeting may determine; (c) limiting participation at the meeting on any matter to stockholders of record of the Corporation entitled to vote on such matter, their duly authorized proxies and other such individuals as the chairman of the meeting may determine; (d) limiting the time allotted to questions or comments by participants; (e) maintaining order and security at the meeting; (f) removing any stockholder or any other individual who refuses to comply with meeting procedures, rules or guidelines as set forth by the chairman of the meeting; and (g) recessing or adjourning the meeting to a later date and time and place announced at the meeting. Unless otherwise determined by the chairman of the meeting, meetings of stockholders shall not be required to be held in accordance with the rules of parliamentary procedure.</w:t>
      </w:r>
    </w:p>
    <w:p>
      <w:pPr>
        <w:spacing w:after="0" w:line="117" w:lineRule="exact"/>
        <w:rPr>
          <w:sz w:val="20"/>
          <w:szCs w:val="20"/>
          <w:color w:val="auto"/>
        </w:rPr>
      </w:pPr>
    </w:p>
    <w:p>
      <w:pPr>
        <w:ind w:right="160" w:firstLine="864"/>
        <w:spacing w:after="0" w:line="29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At any meeting of stockholders, the presence in person or by proxy of stockholders entitled to cast a majority of all the votes entitled to be cast at such meeting shall constitute a quorum; but this section shall not affect any requirement under any statute or the charter of the Corporation for the vote necessary for the adoption of any measure. If, however, such quorum shall not be present at any meeting of the stockholders, the chairman of the meeting or the stockholders entitled to vote at such meeting, present in person or by proxy, shall have the power to adjourn the meeting from time to time to a date not more than 120 days after the original record date without notice other than announcement at the meeting.</w:t>
      </w:r>
    </w:p>
    <w:p>
      <w:pPr>
        <w:spacing w:after="0" w:line="9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At such adjourned meeting at which a quorum shall be present, any business may be transacted which might have been transacted at the meeting as originally notified.</w:t>
      </w:r>
    </w:p>
    <w:p>
      <w:pPr>
        <w:spacing w:after="0" w:line="116"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16" w:lineRule="exact"/>
        <w:rPr>
          <w:sz w:val="20"/>
          <w:szCs w:val="20"/>
          <w:color w:val="auto"/>
        </w:rPr>
      </w:pPr>
    </w:p>
    <w:p>
      <w:pPr>
        <w:ind w:right="40" w:firstLine="864"/>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A nominee for director shall be elected by the affirmative vote of the holders of a majority of the shares of stock outstanding and entitled to vote thereon. 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more than a majority of the votes cast is required by statute or by the charter of the Corporation. Unless otherwise provided in the charter, each outstanding share, regardless of class, shall be entitled to one vote on each matter submitted to a vote at a meeting of stockholders.</w:t>
      </w:r>
    </w:p>
    <w:p>
      <w:pPr>
        <w:sectPr>
          <w:pgSz w:w="11900" w:h="16838" w:orient="portrait"/>
          <w:cols w:equalWidth="0" w:num="1">
            <w:col w:w="11240"/>
          </w:cols>
          <w:pgMar w:left="320" w:top="746" w:right="339" w:bottom="1440" w:gutter="0" w:footer="0" w:header="0"/>
        </w:sectPr>
      </w:pPr>
    </w:p>
    <w:bookmarkStart w:id="88" w:name="page89"/>
    <w:bookmarkEnd w:id="88"/>
    <w:p>
      <w:pPr>
        <w:ind w:right="160" w:firstLine="864"/>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PROXIES</w:t>
      </w:r>
      <w:r>
        <w:rPr>
          <w:rFonts w:ascii="Arial" w:cs="Arial" w:eastAsia="Arial" w:hAnsi="Arial"/>
          <w:sz w:val="18"/>
          <w:szCs w:val="18"/>
          <w:color w:val="auto"/>
        </w:rPr>
        <w:t>. A stockholder may cast the votes entitled to be cast by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133" w:lineRule="exact"/>
        <w:rPr>
          <w:sz w:val="20"/>
          <w:szCs w:val="20"/>
          <w:color w:val="auto"/>
        </w:rPr>
      </w:pPr>
    </w:p>
    <w:p>
      <w:pPr>
        <w:ind w:right="20" w:firstLine="864"/>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VOTING OF STOCK BY CERTAIN HOLDERS</w:t>
      </w:r>
      <w:r>
        <w:rPr>
          <w:rFonts w:ascii="Arial" w:cs="Arial" w:eastAsia="Arial" w:hAnsi="Arial"/>
          <w:sz w:val="18"/>
          <w:szCs w:val="18"/>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38" w:lineRule="exact"/>
        <w:rPr>
          <w:sz w:val="20"/>
          <w:szCs w:val="20"/>
          <w:color w:val="auto"/>
        </w:rPr>
      </w:pPr>
    </w:p>
    <w:p>
      <w:pPr>
        <w:jc w:val="both"/>
        <w:ind w:right="160" w:firstLine="864"/>
        <w:spacing w:after="0" w:line="263" w:lineRule="auto"/>
        <w:rPr>
          <w:sz w:val="20"/>
          <w:szCs w:val="20"/>
          <w:color w:val="auto"/>
        </w:rPr>
      </w:pPr>
      <w:r>
        <w:rPr>
          <w:rFonts w:ascii="Arial" w:cs="Arial" w:eastAsia="Arial" w:hAnsi="Arial"/>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30" w:lineRule="exact"/>
        <w:rPr>
          <w:sz w:val="20"/>
          <w:szCs w:val="20"/>
          <w:color w:val="auto"/>
        </w:rPr>
      </w:pPr>
    </w:p>
    <w:p>
      <w:pPr>
        <w:ind w:firstLine="864"/>
        <w:spacing w:after="0" w:line="291" w:lineRule="auto"/>
        <w:rPr>
          <w:sz w:val="20"/>
          <w:szCs w:val="20"/>
          <w:color w:val="auto"/>
        </w:rPr>
      </w:pPr>
      <w:r>
        <w:rPr>
          <w:rFonts w:ascii="Arial" w:cs="Arial" w:eastAsia="Arial" w:hAnsi="Arial"/>
          <w:sz w:val="16"/>
          <w:szCs w:val="16"/>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12" w:lineRule="exact"/>
        <w:rPr>
          <w:sz w:val="20"/>
          <w:szCs w:val="20"/>
          <w:color w:val="auto"/>
        </w:rPr>
      </w:pPr>
    </w:p>
    <w:p>
      <w:pPr>
        <w:ind w:firstLine="864"/>
        <w:spacing w:after="0" w:line="288"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INSPECTORS</w:t>
      </w:r>
      <w:r>
        <w:rPr>
          <w:rFonts w:ascii="Arial" w:cs="Arial" w:eastAsia="Arial" w:hAnsi="Arial"/>
          <w:sz w:val="16"/>
          <w:szCs w:val="16"/>
          <w:color w:val="auto"/>
        </w:rPr>
        <w:t xml:space="preserve">.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 act, the vacancy may be filled by appointment made by the Board of Directors in advance of the 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thereof.</w:t>
      </w:r>
    </w:p>
    <w:p>
      <w:pPr>
        <w:sectPr>
          <w:pgSz w:w="11900" w:h="16838" w:orient="portrait"/>
          <w:cols w:equalWidth="0" w:num="1">
            <w:col w:w="11240"/>
          </w:cols>
          <w:pgMar w:left="320" w:top="746" w:right="339" w:bottom="1440" w:gutter="0" w:footer="0" w:header="0"/>
        </w:sectPr>
      </w:pPr>
    </w:p>
    <w:bookmarkStart w:id="89" w:name="page90"/>
    <w:bookmarkEnd w:id="89"/>
    <w:p>
      <w:pPr>
        <w:ind w:right="100" w:firstLine="864"/>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VOTING BY BALLOT</w:t>
      </w:r>
      <w:r>
        <w:rPr>
          <w:rFonts w:ascii="Arial" w:cs="Arial" w:eastAsia="Arial" w:hAnsi="Arial"/>
          <w:sz w:val="18"/>
          <w:szCs w:val="18"/>
          <w:color w:val="auto"/>
        </w:rPr>
        <w:t xml:space="preserve">. Voting on any question or in any election may be </w:t>
      </w:r>
      <w:r>
        <w:rPr>
          <w:rFonts w:ascii="Arial" w:cs="Arial" w:eastAsia="Arial" w:hAnsi="Arial"/>
          <w:sz w:val="18"/>
          <w:szCs w:val="18"/>
          <w:u w:val="single" w:color="auto"/>
          <w:color w:val="auto"/>
        </w:rPr>
        <w:t>viva voce</w:t>
      </w:r>
      <w:r>
        <w:rPr>
          <w:rFonts w:ascii="Arial" w:cs="Arial" w:eastAsia="Arial" w:hAnsi="Arial"/>
          <w:sz w:val="18"/>
          <w:szCs w:val="18"/>
          <w:color w:val="auto"/>
        </w:rPr>
        <w:t xml:space="preserve"> unless the presiding officer shall order or any stockholder shall demand that voting be by ballot.</w:t>
      </w:r>
    </w:p>
    <w:p>
      <w:pPr>
        <w:spacing w:after="0" w:line="116" w:lineRule="exact"/>
        <w:rPr>
          <w:sz w:val="20"/>
          <w:szCs w:val="20"/>
          <w:color w:val="auto"/>
        </w:rPr>
      </w:pPr>
    </w:p>
    <w:p>
      <w:pPr>
        <w:ind w:right="40" w:firstLine="864"/>
        <w:spacing w:after="0" w:line="27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EXEMPTION FROM CONTROL SHARE ACQUISITION ACT</w:t>
      </w:r>
      <w:r>
        <w:rPr>
          <w:rFonts w:ascii="Arial" w:cs="Arial" w:eastAsia="Arial" w:hAnsi="Arial"/>
          <w:sz w:val="17"/>
          <w:szCs w:val="17"/>
          <w:color w:val="auto"/>
        </w:rPr>
        <w:t>. Notwithstanding any other provision of these Bylaws, Subtitle 7 of Title 3 of the Maryland General Corporation Law, or any successor statute (the “MGCL”), shall not apply to any acquisition by any person of shares of stock of the Corporation.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27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under the direction of its Board of Directors.</w:t>
      </w:r>
    </w:p>
    <w:p>
      <w:pPr>
        <w:spacing w:after="0" w:line="194"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TENURE AND QUALIFICATIONS</w:t>
      </w:r>
      <w:r>
        <w:rPr>
          <w:rFonts w:ascii="Arial" w:cs="Arial" w:eastAsia="Arial" w:hAnsi="Arial"/>
          <w:sz w:val="18"/>
          <w:szCs w:val="18"/>
          <w:color w:val="auto"/>
        </w:rPr>
        <w:t>. At any regular meeting or at any special meeting called for that purpose, a majority of the entire Board of Directors may establish, increase or decrease the number of directors, provided that the number thereof shall never be less than the minimum number required by the MGCL, nor more than 15, and further provided that the tenure of office of a director shall not be affected by any decrease in the number of directors.</w:t>
      </w:r>
    </w:p>
    <w:p>
      <w:pPr>
        <w:spacing w:after="0" w:line="133" w:lineRule="exact"/>
        <w:rPr>
          <w:sz w:val="20"/>
          <w:szCs w:val="20"/>
          <w:color w:val="auto"/>
        </w:rPr>
      </w:pPr>
    </w:p>
    <w:p>
      <w:pPr>
        <w:jc w:val="both"/>
        <w:ind w:right="200" w:firstLine="864"/>
        <w:spacing w:after="0" w:line="31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ANNUAL AND REGULAR MEETINGS</w:t>
      </w:r>
      <w:r>
        <w:rPr>
          <w:rFonts w:ascii="Arial" w:cs="Arial" w:eastAsia="Arial" w:hAnsi="Arial"/>
          <w:sz w:val="16"/>
          <w:szCs w:val="16"/>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w:t>
      </w:r>
    </w:p>
    <w:p>
      <w:pPr>
        <w:spacing w:after="0" w:line="95" w:lineRule="exact"/>
        <w:rPr>
          <w:sz w:val="20"/>
          <w:szCs w:val="20"/>
          <w:color w:val="auto"/>
        </w:rPr>
      </w:pPr>
    </w:p>
    <w:p>
      <w:pPr>
        <w:ind w:right="120" w:firstLine="864"/>
        <w:spacing w:after="0" w:line="30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called by or at the request of the chairman of the board, the chief executive officer,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other notice than such resolution.</w:t>
      </w:r>
    </w:p>
    <w:p>
      <w:pPr>
        <w:spacing w:after="0" w:line="103" w:lineRule="exact"/>
        <w:rPr>
          <w:sz w:val="20"/>
          <w:szCs w:val="20"/>
          <w:color w:val="auto"/>
        </w:rPr>
      </w:pPr>
    </w:p>
    <w:p>
      <w:pPr>
        <w:ind w:firstLine="864"/>
        <w:spacing w:after="0" w:line="26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NOTICE</w:t>
      </w:r>
      <w:r>
        <w:rPr>
          <w:rFonts w:ascii="Arial" w:cs="Arial" w:eastAsia="Arial" w:hAnsi="Arial"/>
          <w:sz w:val="17"/>
          <w:szCs w:val="17"/>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ectPr>
          <w:pgSz w:w="11900" w:h="16838" w:orient="portrait"/>
          <w:cols w:equalWidth="0" w:num="1">
            <w:col w:w="11220"/>
          </w:cols>
          <w:pgMar w:left="320" w:top="746" w:right="359" w:bottom="1440" w:gutter="0" w:footer="0" w:header="0"/>
        </w:sectPr>
      </w:pPr>
    </w:p>
    <w:bookmarkStart w:id="90" w:name="page91"/>
    <w:bookmarkEnd w:id="90"/>
    <w:p>
      <w:pPr>
        <w:ind w:right="60" w:firstLine="864"/>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the charter of the Corporation or these Bylaws, the vote of a majority of a particular group of directors is required for action, a quorum must also include a majority of such group.</w:t>
      </w:r>
    </w:p>
    <w:p>
      <w:pPr>
        <w:spacing w:after="0" w:line="187" w:lineRule="exact"/>
        <w:rPr>
          <w:sz w:val="20"/>
          <w:szCs w:val="20"/>
          <w:color w:val="auto"/>
        </w:rPr>
      </w:pPr>
    </w:p>
    <w:p>
      <w:pPr>
        <w:ind w:right="1040" w:firstLine="864"/>
        <w:spacing w:after="0" w:line="277" w:lineRule="auto"/>
        <w:rPr>
          <w:sz w:val="20"/>
          <w:szCs w:val="20"/>
          <w:color w:val="auto"/>
        </w:rPr>
      </w:pPr>
      <w:r>
        <w:rPr>
          <w:rFonts w:ascii="Arial" w:cs="Arial" w:eastAsia="Arial" w:hAnsi="Arial"/>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116" w:lineRule="exact"/>
        <w:rPr>
          <w:sz w:val="20"/>
          <w:szCs w:val="20"/>
          <w:color w:val="auto"/>
        </w:rPr>
      </w:pPr>
    </w:p>
    <w:p>
      <w:pPr>
        <w:ind w:right="80" w:firstLine="864"/>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The action of the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that number of directors necessary to constitute a quorum at such meeting shall be the action of the Board of Directors, unless the concurrence of a greater proportion is required for such action by applicable statute or the charter.</w:t>
      </w:r>
    </w:p>
    <w:p>
      <w:pPr>
        <w:spacing w:after="0" w:line="134" w:lineRule="exact"/>
        <w:rPr>
          <w:sz w:val="20"/>
          <w:szCs w:val="20"/>
          <w:color w:val="auto"/>
        </w:rPr>
      </w:pPr>
    </w:p>
    <w:p>
      <w:pPr>
        <w:ind w:firstLine="864"/>
        <w:spacing w:after="0" w:line="275"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ORGANIZATION</w:t>
      </w:r>
      <w:r>
        <w:rPr>
          <w:rFonts w:ascii="Arial" w:cs="Arial" w:eastAsia="Arial" w:hAnsi="Arial"/>
          <w:sz w:val="17"/>
          <w:szCs w:val="17"/>
          <w:color w:val="auto"/>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122" w:lineRule="exact"/>
        <w:rPr>
          <w:sz w:val="20"/>
          <w:szCs w:val="20"/>
          <w:color w:val="auto"/>
        </w:rPr>
      </w:pPr>
    </w:p>
    <w:p>
      <w:pPr>
        <w:ind w:right="140" w:firstLine="864"/>
        <w:spacing w:after="0" w:line="263"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30" w:lineRule="exact"/>
        <w:rPr>
          <w:sz w:val="20"/>
          <w:szCs w:val="20"/>
          <w:color w:val="auto"/>
        </w:rPr>
      </w:pPr>
    </w:p>
    <w:p>
      <w:pPr>
        <w:jc w:val="both"/>
        <w:ind w:right="60" w:firstLine="864"/>
        <w:spacing w:after="0" w:line="26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CONSENT BY DIRECTORS</w:t>
      </w:r>
      <w:r>
        <w:rPr>
          <w:rFonts w:ascii="Arial" w:cs="Arial" w:eastAsia="Arial" w:hAnsi="Arial"/>
          <w:sz w:val="18"/>
          <w:szCs w:val="18"/>
          <w:color w:val="auto"/>
        </w:rPr>
        <w:t>. Any action required or permitted to be taken at any meeting of the Board of Directors may be taken without a meeting, if a consent to such action is given in writing or by electronic transmission by each director and is filed with the minutes of proceedings of the Board of Directors.</w:t>
      </w:r>
    </w:p>
    <w:p>
      <w:pPr>
        <w:spacing w:after="0" w:line="130" w:lineRule="exact"/>
        <w:rPr>
          <w:sz w:val="20"/>
          <w:szCs w:val="20"/>
          <w:color w:val="auto"/>
        </w:rPr>
      </w:pPr>
    </w:p>
    <w:p>
      <w:pPr>
        <w:ind w:right="120" w:firstLine="864"/>
        <w:spacing w:after="0" w:line="275"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VACANCIES</w:t>
      </w:r>
      <w:r>
        <w:rPr>
          <w:rFonts w:ascii="Arial" w:cs="Arial" w:eastAsia="Arial" w:hAnsi="Arial"/>
          <w:sz w:val="17"/>
          <w:szCs w:val="17"/>
          <w:color w:val="auto"/>
        </w:rPr>
        <w:t>. If for any reason any or all the directors cease to be directors, such event shall not terminate the Corporation or affect these Bylaws or the powers of the remaining directors hereunder. Any vacancy on the Board of Directors for any cause other than an increase in the number of directors shall be filled by a majority of the remaining directors, even if such majority is less than a quorum. Any vacancy in the number of directors created by an increase in the number of directors may be filled by a majority vote of the entire Board of Directors. Any individual so elected as director shall serve until the next annual meeting of stockholders and until his or her successor is elected and qualifies.</w:t>
      </w:r>
    </w:p>
    <w:p>
      <w:pPr>
        <w:spacing w:after="0" w:line="122" w:lineRule="exact"/>
        <w:rPr>
          <w:sz w:val="20"/>
          <w:szCs w:val="20"/>
          <w:color w:val="auto"/>
        </w:rPr>
      </w:pPr>
    </w:p>
    <w:p>
      <w:pPr>
        <w:ind w:right="20" w:firstLine="864"/>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COMPENSATION</w:t>
      </w:r>
      <w:r>
        <w:rPr>
          <w:rFonts w:ascii="Arial" w:cs="Arial" w:eastAsia="Arial" w:hAnsi="Arial"/>
          <w:sz w:val="17"/>
          <w:szCs w:val="17"/>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w:t>
      </w:r>
    </w:p>
    <w:p>
      <w:pPr>
        <w:sectPr>
          <w:pgSz w:w="11900" w:h="16838" w:orient="portrait"/>
          <w:cols w:equalWidth="0" w:num="1">
            <w:col w:w="11220"/>
          </w:cols>
          <w:pgMar w:left="320" w:top="746" w:right="359" w:bottom="1440" w:gutter="0" w:footer="0" w:header="0"/>
        </w:sectPr>
      </w:pPr>
    </w:p>
    <w:bookmarkStart w:id="91" w:name="page92"/>
    <w:bookmarkEnd w:id="91"/>
    <w:p>
      <w:pPr>
        <w:ind w:right="80" w:firstLine="864"/>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16" w:lineRule="exact"/>
        <w:rPr>
          <w:sz w:val="20"/>
          <w:szCs w:val="20"/>
          <w:color w:val="auto"/>
        </w:rPr>
      </w:pPr>
    </w:p>
    <w:p>
      <w:pPr>
        <w:ind w:right="560" w:firstLine="864"/>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or her duties.</w:t>
      </w:r>
    </w:p>
    <w:p>
      <w:pPr>
        <w:spacing w:after="0" w:line="116" w:lineRule="exact"/>
        <w:rPr>
          <w:sz w:val="20"/>
          <w:szCs w:val="20"/>
          <w:color w:val="auto"/>
        </w:rPr>
      </w:pPr>
    </w:p>
    <w:p>
      <w:pPr>
        <w:ind w:right="60" w:firstLine="864"/>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RELIANCE</w:t>
      </w:r>
      <w:r>
        <w:rPr>
          <w:rFonts w:ascii="Arial" w:cs="Arial" w:eastAsia="Arial" w:hAnsi="Arial"/>
          <w:sz w:val="18"/>
          <w:szCs w:val="18"/>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134" w:lineRule="exact"/>
        <w:rPr>
          <w:sz w:val="20"/>
          <w:szCs w:val="20"/>
          <w:color w:val="auto"/>
        </w:rPr>
      </w:pPr>
    </w:p>
    <w:p>
      <w:pPr>
        <w:ind w:right="40" w:firstLine="864"/>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shall designate a chairman of the board, who shall not, solely by reason of such designation, be an officer of the Corporation. The chairman of the board shall preside over the meetings of the Board of Directors and of the stockholders at which he shall be present. The chairman of the board shall perform such other duties as may be assigned to him or her by the Board of Directors.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175" w:lineRule="exact"/>
        <w:rPr>
          <w:sz w:val="20"/>
          <w:szCs w:val="20"/>
          <w:color w:val="auto"/>
        </w:rPr>
      </w:pPr>
    </w:p>
    <w:p>
      <w:pPr>
        <w:ind w:right="380" w:firstLine="864"/>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 TENURE AND QUALIFICATIONS</w:t>
      </w:r>
      <w:r>
        <w:rPr>
          <w:rFonts w:ascii="Arial" w:cs="Arial" w:eastAsia="Arial" w:hAnsi="Arial"/>
          <w:sz w:val="18"/>
          <w:szCs w:val="18"/>
          <w:color w:val="auto"/>
        </w:rPr>
        <w:t>. The Board of Directors may appoint from among its members an Executive Committee, an Audit Committee, a Compensation Committee and other committees, composed of one or more directors, to serve at the pleasure of the Board of Directors.</w:t>
      </w:r>
    </w:p>
    <w:p>
      <w:pPr>
        <w:spacing w:after="0" w:line="130" w:lineRule="exact"/>
        <w:rPr>
          <w:sz w:val="20"/>
          <w:szCs w:val="20"/>
          <w:color w:val="auto"/>
        </w:rPr>
      </w:pPr>
    </w:p>
    <w:p>
      <w:pPr>
        <w:ind w:right="280" w:firstLine="864"/>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16" w:lineRule="exact"/>
        <w:rPr>
          <w:sz w:val="20"/>
          <w:szCs w:val="20"/>
          <w:color w:val="auto"/>
        </w:rPr>
      </w:pPr>
    </w:p>
    <w:p>
      <w:pPr>
        <w:ind w:firstLine="864"/>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MEETINGS</w:t>
      </w:r>
      <w:r>
        <w:rPr>
          <w:rFonts w:ascii="Arial" w:cs="Arial" w:eastAsia="Arial" w:hAnsi="Arial"/>
          <w:sz w:val="18"/>
          <w:szCs w:val="18"/>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41"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TELEPHONE MEETINGS</w:t>
      </w:r>
      <w:r>
        <w:rPr>
          <w:rFonts w:ascii="Arial" w:cs="Arial" w:eastAsia="Arial" w:hAnsi="Arial"/>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30" w:lineRule="exact"/>
        <w:rPr>
          <w:sz w:val="20"/>
          <w:szCs w:val="20"/>
          <w:color w:val="auto"/>
        </w:rPr>
      </w:pPr>
    </w:p>
    <w:p>
      <w:pPr>
        <w:ind w:right="260" w:firstLine="864"/>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CONSENT BY COMMITTEES</w:t>
      </w:r>
      <w:r>
        <w:rPr>
          <w:rFonts w:ascii="Arial" w:cs="Arial" w:eastAsia="Arial" w:hAnsi="Arial"/>
          <w:sz w:val="18"/>
          <w:szCs w:val="18"/>
          <w:color w:val="auto"/>
        </w:rPr>
        <w:t>. Any action required or permitted to be taken at any meeting of a committee of the Board of Directors may be taken without a meeting, if a consent to such action is given in writing or by electronic transmission by each member of the committee and such consent is filed with the minutes of proceedings of such committee.</w:t>
      </w:r>
    </w:p>
    <w:p>
      <w:pPr>
        <w:spacing w:after="0" w:line="130" w:lineRule="exact"/>
        <w:rPr>
          <w:sz w:val="20"/>
          <w:szCs w:val="20"/>
          <w:color w:val="auto"/>
        </w:rPr>
      </w:pPr>
    </w:p>
    <w:p>
      <w:pPr>
        <w:ind w:firstLine="864"/>
        <w:spacing w:after="0" w:line="34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provisions hereof, the Board of Directors shall have the power at any time to change the membership of any committee, to fill all vacancies, to designate alternate members to replace any absent or disqualified member or to dissolve any such committee.</w:t>
      </w:r>
    </w:p>
    <w:p>
      <w:pPr>
        <w:sectPr>
          <w:pgSz w:w="11900" w:h="16838" w:orient="portrait"/>
          <w:cols w:equalWidth="0" w:num="1">
            <w:col w:w="11240"/>
          </w:cols>
          <w:pgMar w:left="320" w:top="746" w:right="339" w:bottom="1440" w:gutter="0" w:footer="0" w:header="0"/>
        </w:sectPr>
      </w:pPr>
    </w:p>
    <w:bookmarkStart w:id="92" w:name="page93"/>
    <w:bookmarkEnd w:id="92"/>
    <w:p>
      <w:pPr>
        <w:ind w:left="5120"/>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OFFICERS</w:t>
      </w:r>
    </w:p>
    <w:p>
      <w:pPr>
        <w:spacing w:after="0" w:line="175" w:lineRule="exact"/>
        <w:rPr>
          <w:sz w:val="20"/>
          <w:szCs w:val="20"/>
          <w:color w:val="auto"/>
        </w:rPr>
      </w:pPr>
    </w:p>
    <w:p>
      <w:pPr>
        <w:ind w:right="140" w:firstLine="864"/>
        <w:spacing w:after="0" w:line="271"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GENERAL PROVISIONS</w:t>
      </w:r>
      <w:r>
        <w:rPr>
          <w:rFonts w:ascii="Arial" w:cs="Arial" w:eastAsia="Arial" w:hAnsi="Arial"/>
          <w:sz w:val="17"/>
          <w:szCs w:val="17"/>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they shall deem necessary or desirable. The officers of the Corporation shall be elected annually by the Board of Directors, except that the chief executive officer or president may from time to time appoint one or more vice presidents, assistant secretaries and assistant treasurers or other officers. Each officer shall hold office until his or her successor is elected and qualifies or until his or her death, or his or her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24" w:lineRule="exact"/>
        <w:rPr>
          <w:sz w:val="20"/>
          <w:szCs w:val="20"/>
          <w:color w:val="auto"/>
        </w:rPr>
      </w:pPr>
    </w:p>
    <w:p>
      <w:pPr>
        <w:ind w:right="20" w:firstLine="864"/>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REMOVAL AND RESIGNATION</w:t>
      </w:r>
      <w:r>
        <w:rPr>
          <w:rFonts w:ascii="Arial" w:cs="Arial" w:eastAsia="Arial" w:hAnsi="Arial"/>
          <w:sz w:val="17"/>
          <w:szCs w:val="17"/>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may be filled by the Board of Directors for the balance of the term.</w:t>
      </w:r>
    </w:p>
    <w:p>
      <w:pPr>
        <w:spacing w:after="0" w:line="171" w:lineRule="exact"/>
        <w:rPr>
          <w:sz w:val="20"/>
          <w:szCs w:val="20"/>
          <w:color w:val="auto"/>
        </w:rPr>
      </w:pPr>
    </w:p>
    <w:p>
      <w:pPr>
        <w:jc w:val="both"/>
        <w:ind w:right="140" w:firstLine="864"/>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Board of Directors may designate a chief executive officer. The chief executive officer shall have general responsibility for implementation of the policies of the Corporation, as determined by the Board of Directors, and for the management of the business and affairs of the Corporation.</w:t>
      </w:r>
    </w:p>
    <w:p>
      <w:pPr>
        <w:spacing w:after="0" w:line="130" w:lineRule="exact"/>
        <w:rPr>
          <w:sz w:val="20"/>
          <w:szCs w:val="20"/>
          <w:color w:val="auto"/>
        </w:rPr>
      </w:pPr>
    </w:p>
    <w:p>
      <w:pPr>
        <w:ind w:right="220" w:firstLine="864"/>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16" w:lineRule="exact"/>
        <w:rPr>
          <w:sz w:val="20"/>
          <w:szCs w:val="20"/>
          <w:color w:val="auto"/>
        </w:rPr>
      </w:pPr>
    </w:p>
    <w:p>
      <w:pPr>
        <w:ind w:right="360" w:firstLine="864"/>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16" w:lineRule="exact"/>
        <w:rPr>
          <w:sz w:val="20"/>
          <w:szCs w:val="20"/>
          <w:color w:val="auto"/>
        </w:rPr>
      </w:pPr>
    </w:p>
    <w:p>
      <w:pPr>
        <w:ind w:firstLine="864"/>
        <w:spacing w:after="0" w:line="29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PRESIDENT</w:t>
      </w:r>
      <w:r>
        <w:rPr>
          <w:rFonts w:ascii="Arial" w:cs="Arial" w:eastAsia="Arial" w:hAnsi="Arial"/>
          <w:sz w:val="16"/>
          <w:szCs w:val="16"/>
          <w:color w:val="auto"/>
        </w:rPr>
        <w:t>. In the absence of a chief executive officer, the president shall in general supervise and control all of the business and affairs of the Corporation. In the absence of a designation of a chief operating officer by the Board of Directors, the president shall be the chief operating officer. 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ectPr>
          <w:pgSz w:w="11900" w:h="16838" w:orient="portrait"/>
          <w:cols w:equalWidth="0" w:num="1">
            <w:col w:w="11220"/>
          </w:cols>
          <w:pgMar w:left="320" w:top="904" w:right="359" w:bottom="1440" w:gutter="0" w:footer="0" w:header="0"/>
        </w:sectPr>
      </w:pPr>
    </w:p>
    <w:bookmarkStart w:id="93" w:name="page94"/>
    <w:bookmarkEnd w:id="93"/>
    <w:p>
      <w:pPr>
        <w:ind w:right="140" w:firstLine="864"/>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VICE PRESIDENTS</w:t>
      </w:r>
      <w:r>
        <w:rPr>
          <w:rFonts w:ascii="Arial" w:cs="Arial" w:eastAsia="Arial" w:hAnsi="Arial"/>
          <w:sz w:val="18"/>
          <w:szCs w:val="18"/>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38"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38" w:lineRule="exact"/>
        <w:rPr>
          <w:sz w:val="20"/>
          <w:szCs w:val="20"/>
          <w:color w:val="auto"/>
        </w:rPr>
      </w:pPr>
    </w:p>
    <w:p>
      <w:pPr>
        <w:ind w:right="160" w:firstLine="864"/>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133"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30"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133" w:lineRule="exact"/>
        <w:rPr>
          <w:sz w:val="20"/>
          <w:szCs w:val="20"/>
          <w:color w:val="auto"/>
        </w:rPr>
      </w:pPr>
    </w:p>
    <w:p>
      <w:pPr>
        <w:ind w:right="100" w:firstLine="864"/>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SALARIES</w:t>
      </w:r>
      <w:r>
        <w:rPr>
          <w:rFonts w:ascii="Arial" w:cs="Arial" w:eastAsia="Arial" w:hAnsi="Arial"/>
          <w:sz w:val="18"/>
          <w:szCs w:val="18"/>
          <w:color w:val="auto"/>
        </w:rPr>
        <w:t>. The salaries and other compensation of the officers shall be fixed from time to time by the Board of Directors and no officer shall be prevented from receiving such salary or other compensation by reason of the fact that he is also a director.</w:t>
      </w:r>
    </w:p>
    <w:p>
      <w:pPr>
        <w:sectPr>
          <w:pgSz w:w="11900" w:h="16838" w:orient="portrait"/>
          <w:cols w:equalWidth="0" w:num="1">
            <w:col w:w="11200"/>
          </w:cols>
          <w:pgMar w:left="320" w:top="746" w:right="37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CONTRACTS, LOANS, CHECKS AND DEPOSITS</w:t>
      </w:r>
    </w:p>
    <w:p>
      <w:pPr>
        <w:spacing w:after="0" w:line="175" w:lineRule="exact"/>
        <w:rPr>
          <w:sz w:val="20"/>
          <w:szCs w:val="20"/>
          <w:color w:val="auto"/>
        </w:rPr>
      </w:pPr>
    </w:p>
    <w:p>
      <w:pPr>
        <w:ind w:right="260" w:firstLine="864"/>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CONTRACTS</w:t>
      </w:r>
      <w:r>
        <w:rPr>
          <w:rFonts w:ascii="Arial" w:cs="Arial" w:eastAsia="Arial" w:hAnsi="Arial"/>
          <w:sz w:val="18"/>
          <w:szCs w:val="18"/>
          <w:color w:val="auto"/>
        </w:rPr>
        <w:t>. The Board of Directors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and executed by an authorized person.</w:t>
      </w:r>
    </w:p>
    <w:p>
      <w:pPr>
        <w:spacing w:after="0" w:line="133" w:lineRule="exact"/>
        <w:rPr>
          <w:sz w:val="20"/>
          <w:szCs w:val="20"/>
          <w:color w:val="auto"/>
        </w:rPr>
      </w:pPr>
    </w:p>
    <w:p>
      <w:pPr>
        <w:ind w:right="160" w:firstLine="864"/>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CHECKS AND DRAFTS</w:t>
      </w:r>
      <w:r>
        <w:rPr>
          <w:rFonts w:ascii="Arial" w:cs="Arial" w:eastAsia="Arial" w:hAnsi="Arial"/>
          <w:sz w:val="18"/>
          <w:szCs w:val="18"/>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30" w:lineRule="exact"/>
        <w:rPr>
          <w:sz w:val="20"/>
          <w:szCs w:val="20"/>
          <w:color w:val="auto"/>
        </w:rPr>
      </w:pPr>
    </w:p>
    <w:p>
      <w:pPr>
        <w:ind w:right="820" w:firstLine="864"/>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w:t>
      </w:r>
    </w:p>
    <w:p>
      <w:pPr>
        <w:spacing w:after="0" w:line="175" w:lineRule="exact"/>
        <w:rPr>
          <w:sz w:val="20"/>
          <w:szCs w:val="20"/>
          <w:color w:val="auto"/>
        </w:rPr>
      </w:pPr>
    </w:p>
    <w:p>
      <w:pPr>
        <w:ind w:right="20" w:firstLine="864"/>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CERTIFICATES; REQUIRED INFORMATION</w:t>
      </w:r>
      <w:r>
        <w:rPr>
          <w:rFonts w:ascii="Arial" w:cs="Arial" w:eastAsia="Arial" w:hAnsi="Arial"/>
          <w:sz w:val="18"/>
          <w:szCs w:val="18"/>
          <w:color w:val="auto"/>
        </w:rPr>
        <w:t>. Except as may be otherwise provided by the Board of Directors, stockholders of the Corporation are not entitled to certificates representing the shares of stock held by them. In the event that the Corporation issues shares of stock represented by certificates, such certificates shall be signed by the officers of the Corporation in the manner permitted by the MGCL and contain the statements and information required by the MGCL. There shall be no differences in the rights and obligations of stockholders based on whether or not their shares are represented by certificates.</w:t>
      </w:r>
    </w:p>
    <w:p>
      <w:pPr>
        <w:spacing w:after="0" w:line="134" w:lineRule="exact"/>
        <w:rPr>
          <w:sz w:val="20"/>
          <w:szCs w:val="20"/>
          <w:color w:val="auto"/>
        </w:rPr>
      </w:pPr>
    </w:p>
    <w:p>
      <w:pPr>
        <w:ind w:right="260" w:firstLine="864"/>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TRANSFERS WHEN CERTIFICATES ISSUED</w:t>
      </w:r>
      <w:r>
        <w:rPr>
          <w:rFonts w:ascii="Arial" w:cs="Arial" w:eastAsia="Arial" w:hAnsi="Arial"/>
          <w:sz w:val="18"/>
          <w:szCs w:val="18"/>
          <w:color w:val="auto"/>
        </w:rPr>
        <w:t>. Subject to any determination of the Board of Directors pursuant to Section 1 of this Article,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w:t>
      </w:r>
    </w:p>
    <w:p>
      <w:pPr>
        <w:spacing w:after="0" w:line="133"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Notwithstanding the foregoing, transfers of shares of any class of stock will be subject in all respects to the charter of the Corporation and all of the terms and conditions contained therein.</w:t>
      </w:r>
    </w:p>
    <w:p>
      <w:pPr>
        <w:spacing w:after="0" w:line="116" w:lineRule="exact"/>
        <w:rPr>
          <w:sz w:val="20"/>
          <w:szCs w:val="20"/>
          <w:color w:val="auto"/>
        </w:rPr>
      </w:pPr>
    </w:p>
    <w:p>
      <w:pPr>
        <w:ind w:right="20" w:firstLine="864"/>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REPLACEMENT CERTIFICATE</w:t>
      </w:r>
      <w:r>
        <w:rPr>
          <w:rFonts w:ascii="Arial" w:cs="Arial" w:eastAsia="Arial" w:hAnsi="Arial"/>
          <w:sz w:val="18"/>
          <w:szCs w:val="18"/>
          <w:color w:val="auto"/>
        </w:rPr>
        <w:t>. Subject to any determination of the Board of Directors pursuant to Section 1 of this Article,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shall require and/or to give bond, with sufficient surety, to the Corporation to indemnify it against any loss or claim which may arise as a result of the issuance of a new certificate.</w:t>
      </w:r>
    </w:p>
    <w:p>
      <w:pPr>
        <w:sectPr>
          <w:pgSz w:w="11900" w:h="16838" w:orient="portrait"/>
          <w:cols w:equalWidth="0" w:num="1">
            <w:col w:w="11220"/>
          </w:cols>
          <w:pgMar w:left="320" w:top="904" w:right="359" w:bottom="1440" w:gutter="0" w:footer="0" w:header="0"/>
        </w:sectPr>
      </w:pPr>
    </w:p>
    <w:bookmarkStart w:id="95" w:name="page96"/>
    <w:bookmarkEnd w:id="95"/>
    <w:p>
      <w:pPr>
        <w:ind w:right="100" w:firstLine="864"/>
        <w:spacing w:after="0" w:line="29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FIXING OF RECORD DATE</w:t>
      </w:r>
      <w:r>
        <w:rPr>
          <w:rFonts w:ascii="Arial" w:cs="Arial" w:eastAsia="Arial" w:hAnsi="Arial"/>
          <w:sz w:val="16"/>
          <w:szCs w:val="16"/>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07" w:lineRule="exact"/>
        <w:rPr>
          <w:sz w:val="20"/>
          <w:szCs w:val="20"/>
          <w:color w:val="auto"/>
        </w:rPr>
      </w:pPr>
    </w:p>
    <w:p>
      <w:pPr>
        <w:jc w:val="both"/>
        <w:ind w:right="120" w:firstLine="864"/>
        <w:spacing w:after="0" w:line="301" w:lineRule="auto"/>
        <w:rPr>
          <w:sz w:val="20"/>
          <w:szCs w:val="20"/>
          <w:color w:val="auto"/>
        </w:rPr>
      </w:pPr>
      <w:r>
        <w:rPr>
          <w:rFonts w:ascii="Arial" w:cs="Arial" w:eastAsia="Arial" w:hAnsi="Arial"/>
          <w:sz w:val="16"/>
          <w:szCs w:val="16"/>
          <w:color w:val="auto"/>
        </w:rPr>
        <w:t>If no record date is fixed, (a) the record date for the determination of stockholders entitled to notice of or to vote at a meeting of stockholders shall be at the close of business on the day on which the notice of meeting is mailed or the 30th day before the meeting, whichever is the closer date to the meeting; and (b) the record date for the determination of stockholders entitled to receive payment of a dividend or an allotment of any other rights shall be the close of business on the day on which the resolution of the directors, declaring the dividend or allotment of rights, is adopted.</w:t>
      </w:r>
    </w:p>
    <w:p>
      <w:pPr>
        <w:spacing w:after="0" w:line="103"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When a determination of stockholders entitled to vote at any meeting of stockholders has been made as provided in this section, such determination shall apply to any adjournment thereof, except when the meeting is adjourned to a date more than 120 days after the record date fixed for the original meeting, in which case a new record date shall be determined as set forth herein.</w:t>
      </w:r>
    </w:p>
    <w:p>
      <w:pPr>
        <w:spacing w:after="0" w:line="130" w:lineRule="exact"/>
        <w:rPr>
          <w:sz w:val="20"/>
          <w:szCs w:val="20"/>
          <w:color w:val="auto"/>
        </w:rPr>
      </w:pPr>
    </w:p>
    <w:p>
      <w:pPr>
        <w:jc w:val="both"/>
        <w:ind w:right="80" w:firstLine="864"/>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 LEDGER</w:t>
      </w:r>
      <w:r>
        <w:rPr>
          <w:rFonts w:ascii="Arial" w:cs="Arial" w:eastAsia="Arial" w:hAnsi="Arial"/>
          <w:sz w:val="16"/>
          <w:szCs w:val="16"/>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70" w:lineRule="exact"/>
        <w:rPr>
          <w:sz w:val="20"/>
          <w:szCs w:val="20"/>
          <w:color w:val="auto"/>
        </w:rPr>
      </w:pPr>
    </w:p>
    <w:p>
      <w:pPr>
        <w:ind w:right="20" w:firstLine="864"/>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FRACTIONAL STOCK; ISSUANCE OF UNITS</w:t>
      </w:r>
      <w:r>
        <w:rPr>
          <w:rFonts w:ascii="Arial" w:cs="Arial" w:eastAsia="Arial" w:hAnsi="Arial"/>
          <w:sz w:val="18"/>
          <w:szCs w:val="18"/>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YEAR</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Board of Directors shall have the power, from time to time, to fix the fiscal year of the Corporation by a duly adopted resolution.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5" w:lineRule="exact"/>
        <w:rPr>
          <w:sz w:val="20"/>
          <w:szCs w:val="20"/>
          <w:color w:val="auto"/>
        </w:rPr>
      </w:pPr>
    </w:p>
    <w:p>
      <w:pPr>
        <w:ind w:right="240" w:firstLine="864"/>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AUTHORIZATION</w:t>
      </w:r>
      <w:r>
        <w:rPr>
          <w:rFonts w:ascii="Arial" w:cs="Arial" w:eastAsia="Arial" w:hAnsi="Arial"/>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w:t>
      </w:r>
    </w:p>
    <w:p>
      <w:pPr>
        <w:spacing w:after="0" w:line="130"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CONTINGENCIES</w:t>
      </w:r>
      <w:r>
        <w:rPr>
          <w:rFonts w:ascii="Arial" w:cs="Arial" w:eastAsia="Arial" w:hAnsi="Arial"/>
          <w:sz w:val="18"/>
          <w:szCs w:val="18"/>
          <w:color w:val="auto"/>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 reserve fund for contingencies, for equalizing dividends or other distributions, for repairing or maintaining any property of the Corporation or for such other purpose as the Board of Directors shall determine to be in the best interest of the Corporation, and the Board of Directors may modify or abolish any such reserve.</w:t>
      </w:r>
    </w:p>
    <w:p>
      <w:pPr>
        <w:sectPr>
          <w:pgSz w:w="11900" w:h="16838" w:orient="portrait"/>
          <w:cols w:equalWidth="0" w:num="1">
            <w:col w:w="11240"/>
          </w:cols>
          <w:pgMar w:left="320" w:top="746"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POLICY</w:t>
      </w:r>
    </w:p>
    <w:p>
      <w:pPr>
        <w:spacing w:after="0" w:line="175" w:lineRule="exact"/>
        <w:rPr>
          <w:sz w:val="20"/>
          <w:szCs w:val="20"/>
          <w:color w:val="auto"/>
        </w:rPr>
      </w:pPr>
    </w:p>
    <w:p>
      <w:pPr>
        <w:ind w:right="380" w:firstLine="864"/>
        <w:spacing w:after="0" w:line="342" w:lineRule="auto"/>
        <w:rPr>
          <w:sz w:val="20"/>
          <w:szCs w:val="20"/>
          <w:color w:val="auto"/>
        </w:rPr>
      </w:pPr>
      <w:r>
        <w:rPr>
          <w:rFonts w:ascii="Arial" w:cs="Arial" w:eastAsia="Arial" w:hAnsi="Arial"/>
          <w:sz w:val="16"/>
          <w:szCs w:val="16"/>
          <w:color w:val="auto"/>
        </w:rPr>
        <w:t>Subject to applicable law and the provisions of the charter of the Corporation, the Board of Directors may from time to time adopt, amend, revise or terminate any policy or policies with respect to investments by the Corporation as it shall deem appropriate in its sole discretion.</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SEAL</w:t>
      </w:r>
    </w:p>
    <w:p>
      <w:pPr>
        <w:spacing w:after="0" w:line="175" w:lineRule="exact"/>
        <w:rPr>
          <w:sz w:val="20"/>
          <w:szCs w:val="20"/>
          <w:color w:val="auto"/>
        </w:rPr>
      </w:pPr>
    </w:p>
    <w:p>
      <w:pPr>
        <w:ind w:right="240" w:firstLine="864"/>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30" w:lineRule="exact"/>
        <w:rPr>
          <w:sz w:val="20"/>
          <w:szCs w:val="20"/>
          <w:color w:val="auto"/>
        </w:rPr>
      </w:pPr>
    </w:p>
    <w:p>
      <w:pPr>
        <w:jc w:val="both"/>
        <w:ind w:right="240" w:firstLine="864"/>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AND ADVANCE OF EXPENSES</w:t>
      </w:r>
    </w:p>
    <w:p>
      <w:pPr>
        <w:spacing w:after="0" w:line="175" w:lineRule="exact"/>
        <w:rPr>
          <w:sz w:val="20"/>
          <w:szCs w:val="20"/>
          <w:color w:val="auto"/>
        </w:rPr>
      </w:pPr>
    </w:p>
    <w:p>
      <w:pPr>
        <w:ind w:firstLine="864"/>
        <w:spacing w:after="0" w:line="288" w:lineRule="auto"/>
        <w:rPr>
          <w:sz w:val="20"/>
          <w:szCs w:val="20"/>
          <w:color w:val="auto"/>
        </w:rPr>
      </w:pPr>
      <w:r>
        <w:rPr>
          <w:rFonts w:ascii="Arial" w:cs="Arial" w:eastAsia="Arial" w:hAnsi="Arial"/>
          <w:sz w:val="16"/>
          <w:szCs w:val="16"/>
          <w:color w:val="auto"/>
        </w:rPr>
        <w:t>To the maximum extent permitted by Maryland law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a party to the proceeding by reason of his or her service in that capacity or (b) any individual who, while a director of the Corporation and at the request of the Corporation, serves or has served as a director, officer, partner or trustee of such corporation, real estate investment trust, partnership, joint venture, trust, employee benefit plan or other enterprise and who is made a party to the proceeding by reason of his or her service in that capacity. The rights to indemnification and advance of expenses provided by the charter of the Corporation and these bylaws shall vest immediately upon the election of a director or officer. The Corporation may, with the approval of its Board of Directors, provide such indemnification and advance for expenses to a person who served a predecessor of the Corporation in any of the capacities described in (a) or (b) above and to any employee or agent of the Corporation or a predecessor of the Corporation. Any indemnification or advance of expenses made pursuant to this Article XII shall be subject to applicable requirements of the Investment Company Act of 1940, as amended.</w:t>
      </w:r>
    </w:p>
    <w:p>
      <w:pPr>
        <w:spacing w:after="0" w:line="114" w:lineRule="exact"/>
        <w:rPr>
          <w:sz w:val="20"/>
          <w:szCs w:val="20"/>
          <w:color w:val="auto"/>
        </w:rPr>
      </w:pPr>
    </w:p>
    <w:p>
      <w:pPr>
        <w:ind w:right="440" w:firstLine="864"/>
        <w:spacing w:after="0" w:line="263" w:lineRule="auto"/>
        <w:rPr>
          <w:sz w:val="20"/>
          <w:szCs w:val="20"/>
          <w:color w:val="auto"/>
        </w:rPr>
      </w:pPr>
      <w:r>
        <w:rPr>
          <w:rFonts w:ascii="Arial" w:cs="Arial" w:eastAsia="Arial" w:hAnsi="Arial"/>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ectPr>
          <w:pgSz w:w="11900" w:h="16838" w:orient="portrait"/>
          <w:cols w:equalWidth="0" w:num="1">
            <w:col w:w="11240"/>
          </w:cols>
          <w:pgMar w:left="320" w:top="904" w:right="339" w:bottom="1440" w:gutter="0" w:footer="0" w:header="0"/>
        </w:sectPr>
      </w:pPr>
    </w:p>
    <w:bookmarkStart w:id="97" w:name="page98"/>
    <w:bookmarkEnd w:id="97"/>
    <w:p>
      <w:pPr>
        <w:jc w:val="center"/>
        <w:ind w:right="-119"/>
        <w:spacing w:after="0"/>
        <w:rPr>
          <w:sz w:val="20"/>
          <w:szCs w:val="20"/>
          <w:color w:val="auto"/>
        </w:rPr>
      </w:pPr>
      <w:r>
        <w:rPr>
          <w:rFonts w:ascii="Arial" w:cs="Arial" w:eastAsia="Arial" w:hAnsi="Arial"/>
          <w:sz w:val="18"/>
          <w:szCs w:val="18"/>
          <w:b w:val="1"/>
          <w:bCs w:val="1"/>
          <w:color w:val="auto"/>
        </w:rPr>
        <w:t>ARTICLE XIII</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WAIVER OF NOTICE</w:t>
      </w:r>
    </w:p>
    <w:p>
      <w:pPr>
        <w:spacing w:after="0" w:line="175" w:lineRule="exact"/>
        <w:rPr>
          <w:sz w:val="20"/>
          <w:szCs w:val="20"/>
          <w:color w:val="auto"/>
        </w:rPr>
      </w:pPr>
    </w:p>
    <w:p>
      <w:pPr>
        <w:ind w:firstLine="864"/>
        <w:spacing w:after="0" w:line="296" w:lineRule="auto"/>
        <w:rPr>
          <w:sz w:val="20"/>
          <w:szCs w:val="20"/>
          <w:color w:val="auto"/>
        </w:rPr>
      </w:pPr>
      <w:r>
        <w:rPr>
          <w:rFonts w:ascii="Arial" w:cs="Arial" w:eastAsia="Arial" w:hAnsi="Arial"/>
          <w:sz w:val="16"/>
          <w:szCs w:val="16"/>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9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XIV</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AMENDMENT OF BYLAWS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Board of Directors shall have the exclusive power, at any time, to adopt, alter or repeal any provision of these bylaws and to make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bylaws.</w:t>
      </w:r>
    </w:p>
    <w:p>
      <w:pPr>
        <w:sectPr>
          <w:pgSz w:w="11900" w:h="16838" w:orient="portrait"/>
          <w:cols w:equalWidth="0" w:num="1">
            <w:col w:w="11140"/>
          </w:cols>
          <w:pgMar w:left="320" w:top="904" w:right="439" w:bottom="1440" w:gutter="0" w:footer="0" w:header="0"/>
        </w:sectPr>
      </w:pPr>
    </w:p>
    <w:bookmarkStart w:id="98" w:name="page99"/>
    <w:bookmarkEnd w:id="98"/>
    <w:p>
      <w:pPr>
        <w:ind w:left="7780"/>
        <w:spacing w:after="0"/>
        <w:rPr>
          <w:sz w:val="20"/>
          <w:szCs w:val="20"/>
          <w:color w:val="auto"/>
        </w:rPr>
      </w:pPr>
      <w:r>
        <w:rPr>
          <w:rFonts w:ascii="Arial" w:cs="Arial" w:eastAsia="Arial" w:hAnsi="Arial"/>
          <w:sz w:val="18"/>
          <w:szCs w:val="18"/>
          <w:b w:val="1"/>
          <w:bCs w:val="1"/>
          <w:color w:val="auto"/>
        </w:rPr>
        <w:t>Exhibit 14.1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CODE OF ETHICS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ADVISERS, LLC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Statement of General Fiduciary Principles</w:t>
      </w:r>
    </w:p>
    <w:p>
      <w:pPr>
        <w:spacing w:after="0" w:line="6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This Joint Code of Ethics (the “Code”) has been adopted by each of PennantPark Floating Rate Capital Ltd.(the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 may abuse their fiduciary duty to the Corporation,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84"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The Code is based on the principle that the directors and officers of the Corporation, and the managers, partners, officers and employees of the Adviser, who provide services to the Corporation, owe a fiduciary duty to the Corporation to conduct their personal securities transactions in a manner that does not interfere with the Corporation's transactions or otherwise take unfair advantage of their relationship with the Corporation. All directors, managers, partners, officers and employees of the Corporation,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8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Covered Personnel must read and retain this Code.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 Definitions</w:t>
      </w:r>
    </w:p>
    <w:p>
      <w:pPr>
        <w:spacing w:after="0" w:line="229" w:lineRule="exact"/>
        <w:rPr>
          <w:sz w:val="20"/>
          <w:szCs w:val="20"/>
          <w:color w:val="auto"/>
        </w:rPr>
      </w:pPr>
    </w:p>
    <w:p>
      <w:pPr>
        <w:ind w:left="1420" w:right="480" w:hanging="535"/>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“Access Person” means any director, officer, general partner or Advisory Person (as defined below) of the Corporation or the Adviser.</w:t>
      </w:r>
    </w:p>
    <w:p>
      <w:pPr>
        <w:spacing w:after="0" w:line="8" w:lineRule="exact"/>
        <w:rPr>
          <w:rFonts w:ascii="Arial" w:cs="Arial" w:eastAsia="Arial" w:hAnsi="Arial"/>
          <w:sz w:val="18"/>
          <w:szCs w:val="18"/>
          <w:color w:val="auto"/>
        </w:rPr>
      </w:pPr>
    </w:p>
    <w:p>
      <w:pPr>
        <w:jc w:val="both"/>
        <w:ind w:left="1420" w:right="460" w:hanging="535"/>
        <w:spacing w:after="0" w:line="254"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ectPr>
          <w:pgSz w:w="11900" w:h="16838" w:orient="portrait"/>
          <w:cols w:equalWidth="0" w:num="1">
            <w:col w:w="11240"/>
          </w:cols>
          <w:pgMar w:left="320" w:top="796" w:right="339" w:bottom="1440" w:gutter="0" w:footer="0" w:header="0"/>
        </w:sectPr>
      </w:pPr>
    </w:p>
    <w:bookmarkStart w:id="99" w:name="page100"/>
    <w:bookmarkEnd w:id="99"/>
    <w:p>
      <w:pPr>
        <w:jc w:val="both"/>
        <w:ind w:left="535" w:hanging="528"/>
        <w:spacing w:after="0" w:line="263" w:lineRule="auto"/>
        <w:tabs>
          <w:tab w:leader="none" w:pos="5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210" w:lineRule="exact"/>
        <w:rPr>
          <w:rFonts w:ascii="Arial" w:cs="Arial" w:eastAsia="Arial" w:hAnsi="Arial"/>
          <w:sz w:val="18"/>
          <w:szCs w:val="18"/>
          <w:color w:val="auto"/>
        </w:rPr>
      </w:pPr>
    </w:p>
    <w:p>
      <w:pPr>
        <w:ind w:left="535" w:hanging="528"/>
        <w:spacing w:after="0" w:line="277" w:lineRule="auto"/>
        <w:tabs>
          <w:tab w:leader="none" w:pos="5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“Chief Compliance Officer” means the Chief Compliance Officer of the Corporation (who also may serve as the compliance officer of the Adviser and/or one or more affiliates of the Adviser).</w:t>
      </w:r>
    </w:p>
    <w:p>
      <w:pPr>
        <w:spacing w:after="0" w:line="197" w:lineRule="exact"/>
        <w:rPr>
          <w:rFonts w:ascii="Arial" w:cs="Arial" w:eastAsia="Arial" w:hAnsi="Arial"/>
          <w:sz w:val="18"/>
          <w:szCs w:val="18"/>
          <w:color w:val="auto"/>
        </w:rPr>
      </w:pPr>
    </w:p>
    <w:p>
      <w:pPr>
        <w:ind w:left="535" w:hanging="535"/>
        <w:spacing w:after="0"/>
        <w:tabs>
          <w:tab w:leader="none" w:pos="535"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“Control” shall have the same meaning as that set forth in Section 2(a)(9) of the Act.</w:t>
      </w:r>
    </w:p>
    <w:p>
      <w:pPr>
        <w:spacing w:after="0" w:line="306" w:lineRule="exact"/>
        <w:rPr>
          <w:rFonts w:ascii="Arial" w:cs="Arial" w:eastAsia="Arial" w:hAnsi="Arial"/>
          <w:sz w:val="18"/>
          <w:szCs w:val="18"/>
          <w:color w:val="auto"/>
        </w:rPr>
      </w:pPr>
    </w:p>
    <w:p>
      <w:pPr>
        <w:jc w:val="both"/>
        <w:ind w:left="475" w:right="80" w:hanging="401"/>
        <w:spacing w:after="0" w:line="227" w:lineRule="auto"/>
        <w:tabs>
          <w:tab w:leader="none" w:pos="475" w:val="left"/>
        </w:tabs>
        <w:numPr>
          <w:ilvl w:val="3"/>
          <w:numId w:val="55"/>
        </w:numPr>
        <w:rPr>
          <w:rFonts w:ascii="Arial" w:cs="Arial" w:eastAsia="Arial" w:hAnsi="Arial"/>
          <w:sz w:val="36"/>
          <w:szCs w:val="36"/>
          <w:color w:val="auto"/>
          <w:vertAlign w:val="superscript"/>
        </w:rPr>
      </w:pPr>
      <w:r>
        <w:rPr>
          <w:rFonts w:ascii="Arial" w:cs="Arial" w:eastAsia="Arial" w:hAnsi="Arial"/>
          <w:sz w:val="18"/>
          <w:szCs w:val="18"/>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40" w:lineRule="exact"/>
        <w:rPr>
          <w:rFonts w:ascii="Arial" w:cs="Arial" w:eastAsia="Arial" w:hAnsi="Arial"/>
          <w:sz w:val="36"/>
          <w:szCs w:val="36"/>
          <w:color w:val="auto"/>
          <w:vertAlign w:val="superscript"/>
        </w:rPr>
      </w:pPr>
    </w:p>
    <w:p>
      <w:pPr>
        <w:jc w:val="both"/>
        <w:ind w:left="475" w:right="80"/>
        <w:spacing w:after="0" w:line="288" w:lineRule="auto"/>
        <w:rPr>
          <w:rFonts w:ascii="Arial" w:cs="Arial" w:eastAsia="Arial" w:hAnsi="Arial"/>
          <w:sz w:val="36"/>
          <w:szCs w:val="36"/>
          <w:color w:val="auto"/>
          <w:vertAlign w:val="superscript"/>
        </w:rPr>
      </w:pPr>
      <w:r>
        <w:rPr>
          <w:rFonts w:ascii="Arial" w:cs="Arial" w:eastAsia="Arial" w:hAnsi="Arial"/>
          <w:sz w:val="16"/>
          <w:szCs w:val="16"/>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95" w:lineRule="exact"/>
        <w:rPr>
          <w:rFonts w:ascii="Arial" w:cs="Arial" w:eastAsia="Arial" w:hAnsi="Arial"/>
          <w:sz w:val="36"/>
          <w:szCs w:val="36"/>
          <w:color w:val="auto"/>
          <w:vertAlign w:val="superscript"/>
        </w:rPr>
      </w:pPr>
    </w:p>
    <w:p>
      <w:pPr>
        <w:ind w:left="535" w:right="20" w:hanging="535"/>
        <w:spacing w:after="0" w:line="277" w:lineRule="auto"/>
        <w:tabs>
          <w:tab w:leader="none" w:pos="535"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“Independent Director” means a director of the Corporation who is not an “interested person” of the Corporation within the meaning of Section 2(a)(19) of the Act.</w:t>
      </w:r>
    </w:p>
    <w:p>
      <w:pPr>
        <w:spacing w:after="0" w:line="197" w:lineRule="exact"/>
        <w:rPr>
          <w:rFonts w:ascii="Arial" w:cs="Arial" w:eastAsia="Arial" w:hAnsi="Arial"/>
          <w:sz w:val="18"/>
          <w:szCs w:val="18"/>
          <w:color w:val="auto"/>
        </w:rPr>
      </w:pPr>
    </w:p>
    <w:p>
      <w:pPr>
        <w:ind w:left="535" w:right="20" w:hanging="528"/>
        <w:spacing w:after="0" w:line="342" w:lineRule="auto"/>
        <w:tabs>
          <w:tab w:leader="none" w:pos="535" w:val="left"/>
        </w:tabs>
        <w:numPr>
          <w:ilvl w:val="1"/>
          <w:numId w:val="56"/>
        </w:numPr>
        <w:rPr>
          <w:rFonts w:ascii="Arial" w:cs="Arial" w:eastAsia="Arial" w:hAnsi="Arial"/>
          <w:sz w:val="16"/>
          <w:szCs w:val="16"/>
          <w:color w:val="auto"/>
        </w:rPr>
      </w:pPr>
      <w:r>
        <w:rPr>
          <w:rFonts w:ascii="Arial" w:cs="Arial" w:eastAsia="Arial" w:hAnsi="Arial"/>
          <w:sz w:val="16"/>
          <w:szCs w:val="16"/>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150" w:lineRule="exact"/>
        <w:rPr>
          <w:rFonts w:ascii="Arial" w:cs="Arial" w:eastAsia="Arial" w:hAnsi="Arial"/>
          <w:sz w:val="16"/>
          <w:szCs w:val="16"/>
          <w:color w:val="auto"/>
        </w:rPr>
      </w:pPr>
    </w:p>
    <w:p>
      <w:pPr>
        <w:ind w:left="475" w:right="80" w:hanging="401"/>
        <w:spacing w:after="0" w:line="277" w:lineRule="auto"/>
        <w:tabs>
          <w:tab w:leader="none" w:pos="475" w:val="left"/>
        </w:tabs>
        <w:numPr>
          <w:ilvl w:val="3"/>
          <w:numId w:val="56"/>
        </w:numPr>
        <w:rPr>
          <w:rFonts w:ascii="Arial" w:cs="Arial" w:eastAsia="Arial" w:hAnsi="Arial"/>
          <w:sz w:val="18"/>
          <w:szCs w:val="18"/>
          <w:color w:val="auto"/>
        </w:rPr>
      </w:pPr>
      <w:r>
        <w:rPr>
          <w:rFonts w:ascii="Arial" w:cs="Arial" w:eastAsia="Arial" w:hAnsi="Arial"/>
          <w:sz w:val="18"/>
          <w:szCs w:val="18"/>
          <w:color w:val="auto"/>
        </w:rPr>
        <w:t>“Limited Offering” means an offering that is exempt from registration under the 1933 Act pursuant to Section 4(2) or Section 4(6) thereof or pursuant to Rule 504, Rule 505, or Rule 506 thereunder.</w:t>
      </w:r>
    </w:p>
    <w:p>
      <w:pPr>
        <w:spacing w:after="0" w:line="197" w:lineRule="exact"/>
        <w:rPr>
          <w:rFonts w:ascii="Arial" w:cs="Arial" w:eastAsia="Arial" w:hAnsi="Arial"/>
          <w:sz w:val="18"/>
          <w:szCs w:val="18"/>
          <w:color w:val="auto"/>
        </w:rPr>
      </w:pPr>
    </w:p>
    <w:p>
      <w:pPr>
        <w:ind w:left="475" w:hanging="401"/>
        <w:spacing w:after="0"/>
        <w:tabs>
          <w:tab w:leader="none" w:pos="475" w:val="left"/>
        </w:tabs>
        <w:numPr>
          <w:ilvl w:val="3"/>
          <w:numId w:val="56"/>
        </w:numPr>
        <w:rPr>
          <w:rFonts w:ascii="Arial" w:cs="Arial" w:eastAsia="Arial" w:hAnsi="Arial"/>
          <w:sz w:val="17"/>
          <w:szCs w:val="17"/>
          <w:color w:val="auto"/>
        </w:rPr>
      </w:pPr>
      <w:r>
        <w:rPr>
          <w:rFonts w:ascii="Arial" w:cs="Arial" w:eastAsia="Arial" w:hAnsi="Arial"/>
          <w:sz w:val="17"/>
          <w:szCs w:val="17"/>
          <w:color w:val="auto"/>
        </w:rPr>
        <w:t>“Security Held or to be Acquired” by the Corporation means: (i) any Covered Security which, within the most recent 15 days:</w:t>
      </w:r>
    </w:p>
    <w:p>
      <w:pPr>
        <w:spacing w:after="0" w:line="34" w:lineRule="exact"/>
        <w:rPr>
          <w:rFonts w:ascii="Arial" w:cs="Arial" w:eastAsia="Arial" w:hAnsi="Arial"/>
          <w:sz w:val="17"/>
          <w:szCs w:val="17"/>
          <w:color w:val="auto"/>
        </w:rPr>
      </w:pPr>
    </w:p>
    <w:p>
      <w:pPr>
        <w:jc w:val="both"/>
        <w:ind w:left="475" w:right="80" w:firstLine="4"/>
        <w:spacing w:after="0" w:line="255" w:lineRule="auto"/>
        <w:tabs>
          <w:tab w:leader="none" w:pos="774" w:val="left"/>
        </w:tabs>
        <w:numPr>
          <w:ilvl w:val="4"/>
          <w:numId w:val="56"/>
        </w:numPr>
        <w:rPr>
          <w:rFonts w:ascii="Arial" w:cs="Arial" w:eastAsia="Arial" w:hAnsi="Arial"/>
          <w:sz w:val="18"/>
          <w:szCs w:val="18"/>
          <w:color w:val="auto"/>
        </w:rPr>
      </w:pPr>
      <w:r>
        <w:rPr>
          <w:rFonts w:ascii="Arial" w:cs="Arial" w:eastAsia="Arial" w:hAnsi="Arial"/>
          <w:sz w:val="18"/>
          <w:szCs w:val="18"/>
          <w:color w:val="auto"/>
        </w:rPr>
        <w:t>is or has been held by the Corporation; or (B) is being or has been considered by the Corporation or the Adviser for purchase by the Corporation; and (ii) any option to purchase or sell, and any security convertible into or exchangeable for, a Covered Security described in Section II (K)(i).</w:t>
      </w:r>
    </w:p>
    <w:p>
      <w:pPr>
        <w:spacing w:after="0" w:line="216" w:lineRule="exact"/>
        <w:rPr>
          <w:rFonts w:ascii="Arial" w:cs="Arial" w:eastAsia="Arial" w:hAnsi="Arial"/>
          <w:sz w:val="18"/>
          <w:szCs w:val="18"/>
          <w:color w:val="auto"/>
        </w:rPr>
      </w:pPr>
    </w:p>
    <w:p>
      <w:pPr>
        <w:ind w:left="555" w:hanging="535"/>
        <w:spacing w:after="0"/>
        <w:tabs>
          <w:tab w:leader="none" w:pos="555" w:val="left"/>
        </w:tabs>
        <w:numPr>
          <w:ilvl w:val="2"/>
          <w:numId w:val="56"/>
        </w:numPr>
        <w:rPr>
          <w:rFonts w:ascii="Arial" w:cs="Arial" w:eastAsia="Arial" w:hAnsi="Arial"/>
          <w:sz w:val="18"/>
          <w:szCs w:val="18"/>
          <w:color w:val="auto"/>
        </w:rPr>
      </w:pPr>
      <w:r>
        <w:rPr>
          <w:rFonts w:ascii="Arial" w:cs="Arial" w:eastAsia="Arial" w:hAnsi="Arial"/>
          <w:sz w:val="18"/>
          <w:szCs w:val="18"/>
          <w:color w:val="auto"/>
        </w:rPr>
        <w:t>“17j-1 Organization” means the Corporation or the Adviser, as the context requires.</w:t>
      </w:r>
    </w:p>
    <w:p>
      <w:pPr>
        <w:sectPr>
          <w:pgSz w:w="11900" w:h="16838" w:orient="portrait"/>
          <w:cols w:equalWidth="0" w:num="1">
            <w:col w:w="9935"/>
          </w:cols>
          <w:pgMar w:left="1185" w:top="746" w:right="7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Section III Objective and General Prohibitions</w:t>
      </w:r>
    </w:p>
    <w:p>
      <w:pPr>
        <w:spacing w:after="0" w:line="6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87"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171" w:lineRule="exact"/>
        <w:rPr>
          <w:sz w:val="20"/>
          <w:szCs w:val="20"/>
          <w:color w:val="auto"/>
        </w:rPr>
      </w:pPr>
    </w:p>
    <w:p>
      <w:pPr>
        <w:ind w:left="1860" w:hanging="516"/>
        <w:spacing w:after="0"/>
        <w:tabs>
          <w:tab w:leader="none" w:pos="1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employ any device, scheme or artifice to defraud the Corporation;</w:t>
      </w:r>
    </w:p>
    <w:p>
      <w:pPr>
        <w:spacing w:after="0" w:line="252"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make any untrue statement of a material fact to the Corporation or omit to state to the Corporation a material fact</w:t>
      </w:r>
    </w:p>
    <w:p>
      <w:pPr>
        <w:spacing w:after="0" w:line="23" w:lineRule="exact"/>
        <w:rPr>
          <w:rFonts w:ascii="Arial" w:cs="Arial" w:eastAsia="Arial" w:hAnsi="Arial"/>
          <w:sz w:val="18"/>
          <w:szCs w:val="18"/>
          <w:color w:val="auto"/>
        </w:rPr>
      </w:pPr>
    </w:p>
    <w:p>
      <w:pPr>
        <w:ind w:left="1860" w:right="520" w:hanging="516"/>
        <w:spacing w:after="0" w:line="440" w:lineRule="auto"/>
        <w:tabs>
          <w:tab w:leader="none" w:pos="1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necessary in order to make the statements made, in light of the circumstances under which they are made, not misleading; engage in any act, practice or course of business that operates or would operate as a fraud or deceit upon the Corporation;</w:t>
      </w:r>
    </w:p>
    <w:p>
      <w:pPr>
        <w:ind w:left="1860" w:hanging="516"/>
        <w:spacing w:after="0"/>
        <w:tabs>
          <w:tab w:leader="none" w:pos="1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or</w:t>
      </w:r>
    </w:p>
    <w:p>
      <w:pPr>
        <w:spacing w:after="0" w:line="237" w:lineRule="exact"/>
        <w:rPr>
          <w:rFonts w:ascii="Arial" w:cs="Arial" w:eastAsia="Arial" w:hAnsi="Arial"/>
          <w:sz w:val="18"/>
          <w:szCs w:val="18"/>
          <w:color w:val="auto"/>
        </w:rPr>
      </w:pPr>
    </w:p>
    <w:p>
      <w:pPr>
        <w:ind w:left="1860" w:hanging="516"/>
        <w:spacing w:after="0"/>
        <w:tabs>
          <w:tab w:leader="none" w:pos="1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engage in any manipulative practice with respect to the Corporation.</w:t>
      </w:r>
    </w:p>
    <w:p>
      <w:pPr>
        <w:spacing w:after="0" w:line="144"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IV Prohibited Transactions</w:t>
      </w:r>
    </w:p>
    <w:p>
      <w:pPr>
        <w:spacing w:after="0" w:line="229" w:lineRule="exact"/>
        <w:rPr>
          <w:sz w:val="20"/>
          <w:szCs w:val="20"/>
          <w:color w:val="auto"/>
        </w:rPr>
      </w:pPr>
    </w:p>
    <w:p>
      <w:pPr>
        <w:jc w:val="both"/>
        <w:ind w:left="1400" w:right="440"/>
        <w:spacing w:after="0" w:line="284" w:lineRule="auto"/>
        <w:rPr>
          <w:sz w:val="20"/>
          <w:szCs w:val="20"/>
          <w:color w:val="auto"/>
        </w:rPr>
      </w:pPr>
      <w:r>
        <w:rPr>
          <w:rFonts w:ascii="Arial" w:cs="Arial" w:eastAsia="Arial" w:hAnsi="Arial"/>
          <w:sz w:val="16"/>
          <w:szCs w:val="16"/>
          <w:color w:val="auto"/>
        </w:rPr>
        <w:t>An Access Person may not purchase or otherwise acquire direct or indirect Beneficial Ownership of any Covered Security, and may not sell or otherwise dispose of any Covered Security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w:t>
      </w:r>
    </w:p>
    <w:p>
      <w:pPr>
        <w:spacing w:after="0" w:line="4" w:lineRule="exact"/>
        <w:rPr>
          <w:sz w:val="20"/>
          <w:szCs w:val="20"/>
          <w:color w:val="auto"/>
        </w:rPr>
      </w:pPr>
    </w:p>
    <w:p>
      <w:pPr>
        <w:ind w:left="1400" w:hanging="535"/>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Corporation.</w:t>
      </w:r>
    </w:p>
    <w:p>
      <w:pPr>
        <w:spacing w:after="0" w:line="237" w:lineRule="exact"/>
        <w:rPr>
          <w:rFonts w:ascii="Arial" w:cs="Arial" w:eastAsia="Arial" w:hAnsi="Arial"/>
          <w:sz w:val="18"/>
          <w:szCs w:val="18"/>
          <w:color w:val="auto"/>
        </w:rPr>
      </w:pPr>
    </w:p>
    <w:p>
      <w:pPr>
        <w:jc w:val="both"/>
        <w:ind w:left="1400" w:right="440"/>
        <w:spacing w:after="0" w:line="287" w:lineRule="auto"/>
        <w:rPr>
          <w:rFonts w:ascii="Arial" w:cs="Arial" w:eastAsia="Arial" w:hAnsi="Arial"/>
          <w:sz w:val="18"/>
          <w:szCs w:val="18"/>
          <w:color w:val="auto"/>
        </w:rPr>
      </w:pPr>
      <w:r>
        <w:rPr>
          <w:rFonts w:ascii="Arial" w:cs="Arial" w:eastAsia="Arial" w:hAnsi="Arial"/>
          <w:sz w:val="16"/>
          <w:szCs w:val="16"/>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w:t>
      </w:r>
    </w:p>
    <w:p>
      <w:pPr>
        <w:spacing w:after="0" w:line="2" w:lineRule="exact"/>
        <w:rPr>
          <w:rFonts w:ascii="Arial" w:cs="Arial" w:eastAsia="Arial" w:hAnsi="Arial"/>
          <w:sz w:val="18"/>
          <w:szCs w:val="18"/>
          <w:color w:val="auto"/>
        </w:rPr>
      </w:pPr>
    </w:p>
    <w:p>
      <w:pPr>
        <w:ind w:left="1400" w:hanging="528"/>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which case it must be obtained from the President of the 17j-1 Organization.</w:t>
      </w:r>
    </w:p>
    <w:p>
      <w:pPr>
        <w:spacing w:after="0" w:line="237" w:lineRule="exact"/>
        <w:rPr>
          <w:rFonts w:ascii="Arial" w:cs="Arial" w:eastAsia="Arial" w:hAnsi="Arial"/>
          <w:sz w:val="18"/>
          <w:szCs w:val="18"/>
          <w:color w:val="auto"/>
        </w:rPr>
      </w:pPr>
    </w:p>
    <w:p>
      <w:pPr>
        <w:jc w:val="both"/>
        <w:ind w:left="1400" w:right="440"/>
        <w:spacing w:after="0" w:line="286" w:lineRule="auto"/>
        <w:rPr>
          <w:rFonts w:ascii="Arial" w:cs="Arial" w:eastAsia="Arial" w:hAnsi="Arial"/>
          <w:sz w:val="18"/>
          <w:szCs w:val="18"/>
          <w:color w:val="auto"/>
        </w:rPr>
      </w:pPr>
      <w:r>
        <w:rPr>
          <w:rFonts w:ascii="Arial" w:cs="Arial" w:eastAsia="Arial" w:hAnsi="Arial"/>
          <w:sz w:val="16"/>
          <w:szCs w:val="16"/>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w:t>
      </w:r>
    </w:p>
    <w:p>
      <w:pPr>
        <w:spacing w:after="0" w:line="1" w:lineRule="exact"/>
        <w:rPr>
          <w:rFonts w:ascii="Arial" w:cs="Arial" w:eastAsia="Arial" w:hAnsi="Arial"/>
          <w:sz w:val="18"/>
          <w:szCs w:val="18"/>
          <w:color w:val="auto"/>
        </w:rPr>
      </w:pPr>
    </w:p>
    <w:p>
      <w:pPr>
        <w:ind w:left="1400" w:hanging="535"/>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between such issuer and the Access Person (or a party which the Access Person has a significant interest).</w:t>
      </w:r>
    </w:p>
    <w:p>
      <w:pPr>
        <w:sectPr>
          <w:pgSz w:w="11900" w:h="16838" w:orient="portrait"/>
          <w:cols w:equalWidth="0" w:num="1">
            <w:col w:w="11240"/>
          </w:cols>
          <w:pgMar w:left="320" w:top="742"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Section V Reports by Access Persons</w:t>
      </w:r>
    </w:p>
    <w:p>
      <w:pPr>
        <w:spacing w:after="0" w:line="229" w:lineRule="exact"/>
        <w:rPr>
          <w:sz w:val="20"/>
          <w:szCs w:val="20"/>
          <w:color w:val="auto"/>
        </w:rPr>
      </w:pPr>
    </w:p>
    <w:p>
      <w:pPr>
        <w:ind w:left="1400" w:hanging="528"/>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Personal Securities Holdings Reports.</w:t>
      </w:r>
    </w:p>
    <w:p>
      <w:pPr>
        <w:spacing w:after="0" w:line="9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312" w:lineRule="exact"/>
        <w:rPr>
          <w:sz w:val="20"/>
          <w:szCs w:val="20"/>
          <w:color w:val="auto"/>
        </w:rPr>
      </w:pPr>
    </w:p>
    <w:p>
      <w:pPr>
        <w:ind w:left="1400" w:hanging="528"/>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Quarterly Transaction Reports.</w:t>
      </w:r>
    </w:p>
    <w:p>
      <w:pPr>
        <w:spacing w:after="0" w:line="9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Within 10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7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8" w:lineRule="exact"/>
        <w:rPr>
          <w:sz w:val="20"/>
          <w:szCs w:val="20"/>
          <w:color w:val="auto"/>
        </w:rPr>
      </w:pPr>
    </w:p>
    <w:p>
      <w:pPr>
        <w:ind w:left="1120" w:hanging="248"/>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Date and nature of the transaction (purchase, sale or any other type of acquisition or disposition);</w:t>
      </w:r>
    </w:p>
    <w:p>
      <w:pPr>
        <w:spacing w:after="0" w:line="117" w:lineRule="exact"/>
        <w:rPr>
          <w:rFonts w:ascii="Arial" w:cs="Arial" w:eastAsia="Arial" w:hAnsi="Arial"/>
          <w:sz w:val="18"/>
          <w:szCs w:val="18"/>
          <w:color w:val="auto"/>
        </w:rPr>
      </w:pPr>
    </w:p>
    <w:p>
      <w:pPr>
        <w:ind w:firstLine="872"/>
        <w:spacing w:after="0" w:line="277" w:lineRule="auto"/>
        <w:tabs>
          <w:tab w:leader="none" w:pos="1121" w:val="left"/>
        </w:tabs>
        <w:numPr>
          <w:ilvl w:val="1"/>
          <w:numId w:val="61"/>
        </w:numPr>
        <w:rPr>
          <w:rFonts w:ascii="Arial" w:cs="Arial" w:eastAsia="Arial" w:hAnsi="Arial"/>
          <w:sz w:val="18"/>
          <w:szCs w:val="18"/>
          <w:color w:val="auto"/>
        </w:rPr>
      </w:pPr>
      <w:r>
        <w:rPr>
          <w:rFonts w:ascii="Arial" w:cs="Arial" w:eastAsia="Arial" w:hAnsi="Arial"/>
          <w:sz w:val="18"/>
          <w:szCs w:val="18"/>
          <w:color w:val="auto"/>
        </w:rPr>
        <w:t>Title, interest rate and maturity date (if applicable), number of shares and principal amount of each Covered Security involved and the price of the Covered Security at which the transaction was effected;</w:t>
      </w:r>
    </w:p>
    <w:p>
      <w:pPr>
        <w:spacing w:after="0" w:line="62" w:lineRule="exact"/>
        <w:rPr>
          <w:rFonts w:ascii="Arial" w:cs="Arial" w:eastAsia="Arial" w:hAnsi="Arial"/>
          <w:sz w:val="18"/>
          <w:szCs w:val="18"/>
          <w:color w:val="auto"/>
        </w:rPr>
      </w:pPr>
    </w:p>
    <w:p>
      <w:pPr>
        <w:ind w:left="1120" w:hanging="248"/>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Name of the broker, dealer or bank with or through whom the transaction was effected; and</w:t>
      </w:r>
    </w:p>
    <w:p>
      <w:pPr>
        <w:spacing w:after="0" w:line="157" w:lineRule="exact"/>
        <w:rPr>
          <w:rFonts w:ascii="Arial" w:cs="Arial" w:eastAsia="Arial" w:hAnsi="Arial"/>
          <w:sz w:val="18"/>
          <w:szCs w:val="18"/>
          <w:color w:val="auto"/>
        </w:rPr>
      </w:pPr>
    </w:p>
    <w:p>
      <w:pPr>
        <w:ind w:left="1120" w:hanging="248"/>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date the report is submitted by the Access Person.</w:t>
      </w:r>
    </w:p>
    <w:p>
      <w:pPr>
        <w:spacing w:after="0" w:line="360" w:lineRule="exact"/>
        <w:rPr>
          <w:rFonts w:ascii="Arial" w:cs="Arial" w:eastAsia="Arial" w:hAnsi="Arial"/>
          <w:sz w:val="18"/>
          <w:szCs w:val="18"/>
          <w:color w:val="auto"/>
        </w:rPr>
      </w:pPr>
    </w:p>
    <w:p>
      <w:pPr>
        <w:ind w:left="1320" w:hanging="522"/>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Independent Directors.</w:t>
      </w:r>
    </w:p>
    <w:p>
      <w:pPr>
        <w:spacing w:after="0" w:line="90"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299"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Access Persons of the Adviser.</w:t>
      </w:r>
    </w:p>
    <w:p>
      <w:pPr>
        <w:spacing w:after="0" w:line="90"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ectPr>
          <w:pgSz w:w="11900" w:h="16838" w:orient="portrait"/>
          <w:cols w:equalWidth="0" w:num="1">
            <w:col w:w="11240"/>
          </w:cols>
          <w:pgMar w:left="320" w:top="742" w:right="339" w:bottom="1440" w:gutter="0" w:footer="0" w:header="0"/>
        </w:sectPr>
      </w:pPr>
    </w:p>
    <w:bookmarkStart w:id="102" w:name="page103"/>
    <w:bookmarkEnd w:id="102"/>
    <w:p>
      <w:pPr>
        <w:ind w:left="940"/>
        <w:spacing w:after="0"/>
        <w:tabs>
          <w:tab w:leader="none" w:pos="132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Brokerage Accounts and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Access Persons, except Independent Directors, shall:</w:t>
      </w:r>
    </w:p>
    <w:p>
      <w:pPr>
        <w:spacing w:after="0" w:line="63" w:lineRule="exact"/>
        <w:rPr>
          <w:sz w:val="20"/>
          <w:szCs w:val="20"/>
          <w:color w:val="auto"/>
        </w:rPr>
      </w:pPr>
    </w:p>
    <w:p>
      <w:pPr>
        <w:jc w:val="both"/>
        <w:ind w:firstLine="872"/>
        <w:spacing w:after="0" w:line="311" w:lineRule="auto"/>
        <w:tabs>
          <w:tab w:leader="none" w:pos="11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40" w:lineRule="exact"/>
        <w:rPr>
          <w:rFonts w:ascii="Arial" w:cs="Arial" w:eastAsia="Arial" w:hAnsi="Arial"/>
          <w:sz w:val="16"/>
          <w:szCs w:val="16"/>
          <w:color w:val="auto"/>
        </w:rPr>
      </w:pPr>
    </w:p>
    <w:p>
      <w:pPr>
        <w:ind w:firstLine="872"/>
        <w:spacing w:after="0" w:line="277"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instruct the brokers, dealers or banks with whom they maintain such an account to provide duplicate account statements to the Chief Compliance Officer.</w:t>
      </w:r>
    </w:p>
    <w:p>
      <w:pPr>
        <w:spacing w:after="0" w:line="62" w:lineRule="exact"/>
        <w:rPr>
          <w:rFonts w:ascii="Arial" w:cs="Arial" w:eastAsia="Arial" w:hAnsi="Arial"/>
          <w:sz w:val="18"/>
          <w:szCs w:val="18"/>
          <w:color w:val="auto"/>
        </w:rPr>
      </w:pPr>
    </w:p>
    <w:p>
      <w:pPr>
        <w:ind w:left="1120" w:hanging="248"/>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an annual basis, certify that they have complied with the requirements of (1) and (2) above.</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340" w:hanging="401"/>
        <w:spacing w:after="0"/>
        <w:tabs>
          <w:tab w:leader="none" w:pos="13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Form of Reports.</w:t>
      </w:r>
    </w:p>
    <w:p>
      <w:pPr>
        <w:spacing w:after="0" w:line="9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278"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Responsibility to Report.</w:t>
      </w:r>
    </w:p>
    <w:p>
      <w:pPr>
        <w:spacing w:after="0" w:line="9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322"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6"/>
          <w:szCs w:val="16"/>
          <w:color w:val="auto"/>
        </w:rPr>
        <w:t>Where to File Reports.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All Quarterly Securities Transaction Reports and Personal Securities Holdings Reports must be filed with the Chief Compliance Officer.</w:t>
      </w:r>
    </w:p>
    <w:p>
      <w:pPr>
        <w:spacing w:after="0" w:line="3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 Disclaimers.</w:t>
      </w:r>
    </w:p>
    <w:p>
      <w:pPr>
        <w:spacing w:after="0" w:line="9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ectPr>
          <w:pgSz w:w="11900" w:h="16838" w:orient="portrait"/>
          <w:cols w:equalWidth="0" w:num="1">
            <w:col w:w="11240"/>
          </w:cols>
          <w:pgMar w:left="320" w:top="93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Section VI Additional Prohibitions</w:t>
      </w:r>
    </w:p>
    <w:p>
      <w:pPr>
        <w:spacing w:after="0" w:line="229"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Confidentiality of the Corporation's Transactions.</w:t>
      </w:r>
    </w:p>
    <w:p>
      <w:pPr>
        <w:spacing w:after="0" w:line="9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322"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Outside Business Activities and Directorships.</w:t>
      </w:r>
    </w:p>
    <w:p>
      <w:pPr>
        <w:spacing w:after="0" w:line="9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319"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Gratuities.</w:t>
      </w:r>
    </w:p>
    <w:p>
      <w:pPr>
        <w:spacing w:after="0" w:line="9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 Prohibition Against Insider Trading</w:t>
      </w:r>
    </w:p>
    <w:p>
      <w:pPr>
        <w:spacing w:after="0" w:line="6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195" w:lineRule="exact"/>
        <w:rPr>
          <w:sz w:val="20"/>
          <w:szCs w:val="20"/>
          <w:color w:val="auto"/>
        </w:rPr>
      </w:pPr>
    </w:p>
    <w:p>
      <w:pPr>
        <w:jc w:val="both"/>
        <w:ind w:left="1340" w:right="500" w:hanging="414"/>
        <w:spacing w:after="0" w:line="263" w:lineRule="auto"/>
        <w:tabs>
          <w:tab w:leader="none" w:pos="1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210" w:lineRule="exact"/>
        <w:rPr>
          <w:rFonts w:ascii="Arial" w:cs="Arial" w:eastAsia="Arial" w:hAnsi="Arial"/>
          <w:sz w:val="18"/>
          <w:szCs w:val="18"/>
          <w:color w:val="auto"/>
        </w:rPr>
      </w:pPr>
    </w:p>
    <w:p>
      <w:pPr>
        <w:jc w:val="both"/>
        <w:ind w:left="1340" w:right="500" w:hanging="414"/>
        <w:spacing w:after="0" w:line="289" w:lineRule="auto"/>
        <w:tabs>
          <w:tab w:leader="none" w:pos="1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ectPr>
          <w:pgSz w:w="11900" w:h="16838" w:orient="portrait"/>
          <w:cols w:equalWidth="0" w:num="1">
            <w:col w:w="11240"/>
          </w:cols>
          <w:pgMar w:left="320" w:top="742" w:right="339" w:bottom="1440" w:gutter="0" w:footer="0" w:header="0"/>
        </w:sectPr>
      </w:pPr>
    </w:p>
    <w:bookmarkStart w:id="104" w:name="page105"/>
    <w:bookmarkEnd w:id="104"/>
    <w:p>
      <w:pPr>
        <w:jc w:val="both"/>
        <w:ind w:left="1340" w:right="500" w:hanging="414"/>
        <w:spacing w:after="0" w:line="259" w:lineRule="auto"/>
        <w:tabs>
          <w:tab w:leader="none" w:pos="1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some other publication of general circulation, and after sufficient time has passed so that the information has been disseminated widely.</w:t>
      </w:r>
    </w:p>
    <w:p>
      <w:pPr>
        <w:spacing w:after="0" w:line="213" w:lineRule="exact"/>
        <w:rPr>
          <w:rFonts w:ascii="Arial" w:cs="Arial" w:eastAsia="Arial" w:hAnsi="Arial"/>
          <w:sz w:val="18"/>
          <w:szCs w:val="18"/>
          <w:color w:val="auto"/>
        </w:rPr>
      </w:pPr>
    </w:p>
    <w:p>
      <w:pPr>
        <w:jc w:val="both"/>
        <w:ind w:left="1340" w:right="500" w:hanging="414"/>
        <w:spacing w:after="0" w:line="259" w:lineRule="auto"/>
        <w:tabs>
          <w:tab w:leader="none" w:pos="1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362" w:lineRule="exact"/>
        <w:rPr>
          <w:rFonts w:ascii="Arial" w:cs="Arial" w:eastAsia="Arial" w:hAnsi="Arial"/>
          <w:sz w:val="18"/>
          <w:szCs w:val="18"/>
          <w:color w:val="auto"/>
        </w:rPr>
      </w:pPr>
    </w:p>
    <w:p>
      <w:pPr>
        <w:ind w:left="1860" w:hanging="516"/>
        <w:spacing w:after="0"/>
        <w:tabs>
          <w:tab w:leader="none" w:pos="18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Report the information and proposed trade immediately to the Chief Compliance Officer.</w:t>
      </w:r>
    </w:p>
    <w:p>
      <w:pPr>
        <w:spacing w:after="0" w:line="252" w:lineRule="exact"/>
        <w:rPr>
          <w:rFonts w:ascii="Arial" w:cs="Arial" w:eastAsia="Arial" w:hAnsi="Arial"/>
          <w:sz w:val="18"/>
          <w:szCs w:val="18"/>
          <w:color w:val="auto"/>
        </w:rPr>
      </w:pPr>
    </w:p>
    <w:p>
      <w:pPr>
        <w:ind w:left="1860" w:hanging="516"/>
        <w:spacing w:after="0"/>
        <w:tabs>
          <w:tab w:leader="none" w:pos="18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Do not purchase or sell the securities on behalf of anyone, including Client Accounts.</w:t>
      </w:r>
    </w:p>
    <w:p>
      <w:pPr>
        <w:spacing w:after="0" w:line="252" w:lineRule="exact"/>
        <w:rPr>
          <w:rFonts w:ascii="Arial" w:cs="Arial" w:eastAsia="Arial" w:hAnsi="Arial"/>
          <w:sz w:val="18"/>
          <w:szCs w:val="18"/>
          <w:color w:val="auto"/>
        </w:rPr>
      </w:pPr>
    </w:p>
    <w:p>
      <w:pPr>
        <w:ind w:left="1860" w:hanging="516"/>
        <w:spacing w:after="0"/>
        <w:tabs>
          <w:tab w:leader="none" w:pos="18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Do not communicate the information to any person, other than to the Chief Compliance Officer.</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184" w:lineRule="exact"/>
        <w:rPr>
          <w:sz w:val="20"/>
          <w:szCs w:val="20"/>
          <w:color w:val="auto"/>
        </w:rPr>
      </w:pPr>
    </w:p>
    <w:p>
      <w:pPr>
        <w:jc w:val="both"/>
        <w:ind w:left="1340" w:right="520" w:hanging="401"/>
        <w:spacing w:after="0" w:line="253" w:lineRule="auto"/>
        <w:tabs>
          <w:tab w:leader="none" w:pos="1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221" w:lineRule="exact"/>
        <w:rPr>
          <w:rFonts w:ascii="Arial" w:cs="Arial" w:eastAsia="Arial" w:hAnsi="Arial"/>
          <w:sz w:val="18"/>
          <w:szCs w:val="18"/>
          <w:color w:val="auto"/>
        </w:rPr>
      </w:pPr>
    </w:p>
    <w:p>
      <w:pPr>
        <w:jc w:val="both"/>
        <w:ind w:left="1340" w:right="520" w:hanging="401"/>
        <w:spacing w:after="0" w:line="271" w:lineRule="auto"/>
        <w:tabs>
          <w:tab w:leader="none" w:pos="1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ectPr>
          <w:pgSz w:w="11900" w:h="16838" w:orient="portrait"/>
          <w:cols w:equalWidth="0" w:num="1">
            <w:col w:w="11240"/>
          </w:cols>
          <w:pgMar w:left="320" w:top="746"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Section VIII Annual Certification</w:t>
      </w:r>
    </w:p>
    <w:p>
      <w:pPr>
        <w:spacing w:after="0" w:line="229"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Access Persons.</w:t>
      </w:r>
    </w:p>
    <w:p>
      <w:pPr>
        <w:spacing w:after="0" w:line="9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319"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Board Review.</w:t>
      </w:r>
    </w:p>
    <w:p>
      <w:pPr>
        <w:spacing w:after="0" w:line="90"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IX Sanctions</w:t>
      </w:r>
    </w:p>
    <w:p>
      <w:pPr>
        <w:spacing w:after="0" w:line="67"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 Administration and Construction</w:t>
      </w:r>
    </w:p>
    <w:p>
      <w:pPr>
        <w:spacing w:after="0" w:line="229" w:lineRule="exact"/>
        <w:rPr>
          <w:sz w:val="20"/>
          <w:szCs w:val="20"/>
          <w:color w:val="auto"/>
        </w:rPr>
      </w:pPr>
    </w:p>
    <w:p>
      <w:pPr>
        <w:ind w:left="1340" w:hanging="414"/>
        <w:spacing w:after="0"/>
        <w:tabs>
          <w:tab w:leader="none" w:pos="13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administration of this Code shall be the responsibility of the Chief Compliance Officer.</w:t>
      </w:r>
    </w:p>
    <w:p>
      <w:pPr>
        <w:spacing w:after="0" w:line="252" w:lineRule="exact"/>
        <w:rPr>
          <w:rFonts w:ascii="Arial" w:cs="Arial" w:eastAsia="Arial" w:hAnsi="Arial"/>
          <w:sz w:val="18"/>
          <w:szCs w:val="18"/>
          <w:color w:val="auto"/>
        </w:rPr>
      </w:pPr>
    </w:p>
    <w:p>
      <w:pPr>
        <w:ind w:left="1340" w:hanging="414"/>
        <w:spacing w:after="0"/>
        <w:tabs>
          <w:tab w:leader="none" w:pos="13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duties of the Chief Compliance Officer are as follows:</w:t>
      </w:r>
    </w:p>
    <w:p>
      <w:pPr>
        <w:spacing w:after="0" w:line="90" w:lineRule="exact"/>
        <w:rPr>
          <w:rFonts w:ascii="Arial" w:cs="Arial" w:eastAsia="Arial" w:hAnsi="Arial"/>
          <w:sz w:val="18"/>
          <w:szCs w:val="18"/>
          <w:color w:val="auto"/>
        </w:rPr>
      </w:pPr>
    </w:p>
    <w:p>
      <w:pPr>
        <w:jc w:val="both"/>
        <w:ind w:firstLine="872"/>
        <w:spacing w:after="0" w:line="263" w:lineRule="auto"/>
        <w:tabs>
          <w:tab w:leader="none" w:pos="11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75" w:lineRule="exact"/>
        <w:rPr>
          <w:rFonts w:ascii="Arial" w:cs="Arial" w:eastAsia="Arial" w:hAnsi="Arial"/>
          <w:sz w:val="18"/>
          <w:szCs w:val="18"/>
          <w:color w:val="auto"/>
        </w:rPr>
      </w:pPr>
    </w:p>
    <w:p>
      <w:pPr>
        <w:ind w:firstLine="872"/>
        <w:spacing w:after="0" w:line="277" w:lineRule="auto"/>
        <w:tabs>
          <w:tab w:leader="none" w:pos="11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an annual basis, providing all Covered Personnel a copy of this Code and informing such persons of their duties and obligations hereunder including any supplemental training that may be required from time to time;</w:t>
      </w:r>
    </w:p>
    <w:p>
      <w:pPr>
        <w:spacing w:after="0" w:line="62" w:lineRule="exact"/>
        <w:rPr>
          <w:rFonts w:ascii="Arial" w:cs="Arial" w:eastAsia="Arial" w:hAnsi="Arial"/>
          <w:sz w:val="18"/>
          <w:szCs w:val="18"/>
          <w:color w:val="auto"/>
        </w:rPr>
      </w:pPr>
    </w:p>
    <w:p>
      <w:pPr>
        <w:ind w:left="1120" w:hanging="248"/>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Maintaining or supervising the maintenance of all records and reports required by this Code;</w:t>
      </w:r>
    </w:p>
    <w:p>
      <w:pPr>
        <w:spacing w:after="0" w:line="117" w:lineRule="exact"/>
        <w:rPr>
          <w:rFonts w:ascii="Arial" w:cs="Arial" w:eastAsia="Arial" w:hAnsi="Arial"/>
          <w:sz w:val="18"/>
          <w:szCs w:val="18"/>
          <w:color w:val="auto"/>
        </w:rPr>
      </w:pPr>
    </w:p>
    <w:p>
      <w:pPr>
        <w:ind w:firstLine="872"/>
        <w:spacing w:after="0" w:line="277" w:lineRule="auto"/>
        <w:tabs>
          <w:tab w:leader="none" w:pos="11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62" w:lineRule="exact"/>
        <w:rPr>
          <w:rFonts w:ascii="Arial" w:cs="Arial" w:eastAsia="Arial" w:hAnsi="Arial"/>
          <w:sz w:val="18"/>
          <w:szCs w:val="18"/>
          <w:color w:val="auto"/>
        </w:rPr>
      </w:pPr>
    </w:p>
    <w:p>
      <w:pPr>
        <w:ind w:firstLine="872"/>
        <w:spacing w:after="0" w:line="277" w:lineRule="auto"/>
        <w:tabs>
          <w:tab w:leader="none" w:pos="11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Issuance either personally or with the assistance of counsel as may be appropriate, of any interpretation of this Code that may appear consistent with the objectives of Rule 17j-1 and this Code;</w:t>
      </w:r>
    </w:p>
    <w:p>
      <w:pPr>
        <w:sectPr>
          <w:pgSz w:w="11900" w:h="16838" w:orient="portrait"/>
          <w:cols w:equalWidth="0" w:num="1">
            <w:col w:w="11240"/>
          </w:cols>
          <w:pgMar w:left="320" w:top="580" w:right="339" w:bottom="1440" w:gutter="0" w:footer="0" w:header="0"/>
        </w:sectPr>
      </w:pPr>
    </w:p>
    <w:bookmarkStart w:id="106" w:name="page107"/>
    <w:bookmarkEnd w:id="106"/>
    <w:p>
      <w:pPr>
        <w:ind w:firstLine="872"/>
        <w:spacing w:after="0" w:line="277" w:lineRule="auto"/>
        <w:tabs>
          <w:tab w:leader="none" w:pos="11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Conduct such inspections or investigations as shall reasonably be required to detect and report, with recommendations, any apparent violations of this Code to the board of directors of the Corporation;</w:t>
      </w:r>
    </w:p>
    <w:p>
      <w:pPr>
        <w:spacing w:after="0" w:line="62" w:lineRule="exact"/>
        <w:rPr>
          <w:rFonts w:ascii="Arial" w:cs="Arial" w:eastAsia="Arial" w:hAnsi="Arial"/>
          <w:sz w:val="18"/>
          <w:szCs w:val="18"/>
          <w:color w:val="auto"/>
        </w:rPr>
      </w:pPr>
    </w:p>
    <w:p>
      <w:pPr>
        <w:ind w:firstLine="872"/>
        <w:spacing w:after="0" w:line="308" w:lineRule="auto"/>
        <w:tabs>
          <w:tab w:leader="none" w:pos="1137" w:val="left"/>
        </w:tabs>
        <w:numPr>
          <w:ilvl w:val="0"/>
          <w:numId w:val="69"/>
        </w:numPr>
        <w:rPr>
          <w:rFonts w:ascii="Arial" w:cs="Arial" w:eastAsia="Arial" w:hAnsi="Arial"/>
          <w:sz w:val="17"/>
          <w:szCs w:val="17"/>
          <w:color w:val="auto"/>
        </w:rPr>
      </w:pPr>
      <w:r>
        <w:rPr>
          <w:rFonts w:ascii="Arial" w:cs="Arial" w:eastAsia="Arial" w:hAnsi="Arial"/>
          <w:sz w:val="17"/>
          <w:szCs w:val="17"/>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4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Chief Financial Officer shall maintain and cause to be maintained in an easily accessible place at the principal place of</w:t>
      </w:r>
    </w:p>
    <w:p>
      <w:pPr>
        <w:spacing w:after="0" w:line="23" w:lineRule="exact"/>
        <w:rPr>
          <w:sz w:val="20"/>
          <w:szCs w:val="20"/>
          <w:color w:val="auto"/>
        </w:rPr>
      </w:pPr>
    </w:p>
    <w:p>
      <w:pPr>
        <w:ind w:left="1340" w:hanging="414"/>
        <w:spacing w:after="0"/>
        <w:tabs>
          <w:tab w:leader="none" w:pos="13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business of the 17j-1 Organization, the following records:</w:t>
      </w:r>
    </w:p>
    <w:p>
      <w:pPr>
        <w:spacing w:after="0" w:line="75" w:lineRule="exact"/>
        <w:rPr>
          <w:rFonts w:ascii="Arial" w:cs="Arial" w:eastAsia="Arial" w:hAnsi="Arial"/>
          <w:sz w:val="18"/>
          <w:szCs w:val="18"/>
          <w:color w:val="auto"/>
        </w:rPr>
      </w:pPr>
    </w:p>
    <w:p>
      <w:pPr>
        <w:ind w:right="20" w:firstLine="872"/>
        <w:spacing w:after="0" w:line="277" w:lineRule="auto"/>
        <w:tabs>
          <w:tab w:leader="none" w:pos="11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copy of all codes of ethics adopted by the Corporation or the Adviser and its affiliates, as the case may be, pursuant to Rule 17j-1 that have been in effect at any time during the past five (5) years;</w:t>
      </w:r>
    </w:p>
    <w:p>
      <w:pPr>
        <w:spacing w:after="0" w:line="62" w:lineRule="exact"/>
        <w:rPr>
          <w:rFonts w:ascii="Arial" w:cs="Arial" w:eastAsia="Arial" w:hAnsi="Arial"/>
          <w:sz w:val="18"/>
          <w:szCs w:val="18"/>
          <w:color w:val="auto"/>
        </w:rPr>
      </w:pPr>
    </w:p>
    <w:p>
      <w:pPr>
        <w:ind w:firstLine="872"/>
        <w:spacing w:after="0" w:line="277" w:lineRule="auto"/>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record of each violation of such codes of ethics and of any action taken as a result of such violation for at least five (5) years after the end of the fiscal year in which the violation occurs;</w:t>
      </w:r>
    </w:p>
    <w:p>
      <w:pPr>
        <w:spacing w:after="0" w:line="62" w:lineRule="exact"/>
        <w:rPr>
          <w:rFonts w:ascii="Arial" w:cs="Arial" w:eastAsia="Arial" w:hAnsi="Arial"/>
          <w:sz w:val="18"/>
          <w:szCs w:val="18"/>
          <w:color w:val="auto"/>
        </w:rPr>
      </w:pPr>
    </w:p>
    <w:p>
      <w:pPr>
        <w:ind w:firstLine="872"/>
        <w:spacing w:after="0" w:line="277" w:lineRule="auto"/>
        <w:tabs>
          <w:tab w:leader="none" w:pos="11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copy of each report made by an Access Person for at least two (2) years after the end of the fiscal year in which the report is made, and for an additional three (3) years in a place that need not be easily accessible;</w:t>
      </w:r>
    </w:p>
    <w:p>
      <w:pPr>
        <w:spacing w:after="0" w:line="62" w:lineRule="exact"/>
        <w:rPr>
          <w:rFonts w:ascii="Arial" w:cs="Arial" w:eastAsia="Arial" w:hAnsi="Arial"/>
          <w:sz w:val="18"/>
          <w:szCs w:val="18"/>
          <w:color w:val="auto"/>
        </w:rPr>
      </w:pPr>
    </w:p>
    <w:p>
      <w:pPr>
        <w:ind w:firstLine="872"/>
        <w:spacing w:after="0" w:line="308" w:lineRule="auto"/>
        <w:tabs>
          <w:tab w:leader="none" w:pos="1119"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38" w:lineRule="exact"/>
        <w:rPr>
          <w:rFonts w:ascii="Arial" w:cs="Arial" w:eastAsia="Arial" w:hAnsi="Arial"/>
          <w:sz w:val="17"/>
          <w:szCs w:val="17"/>
          <w:color w:val="auto"/>
        </w:rPr>
      </w:pPr>
    </w:p>
    <w:p>
      <w:pPr>
        <w:ind w:firstLine="872"/>
        <w:spacing w:after="0" w:line="277" w:lineRule="auto"/>
        <w:tabs>
          <w:tab w:leader="none" w:pos="11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list of all persons who are, or within the past five (5) years have been, required to make reports pursuant to the Rule and this Code of Ethics, or who are or were responsible for reviewing such reports;</w:t>
      </w:r>
    </w:p>
    <w:p>
      <w:pPr>
        <w:spacing w:after="0" w:line="62" w:lineRule="exact"/>
        <w:rPr>
          <w:rFonts w:ascii="Arial" w:cs="Arial" w:eastAsia="Arial" w:hAnsi="Arial"/>
          <w:sz w:val="18"/>
          <w:szCs w:val="18"/>
          <w:color w:val="auto"/>
        </w:rPr>
      </w:pPr>
    </w:p>
    <w:p>
      <w:pPr>
        <w:ind w:firstLine="872"/>
        <w:spacing w:after="0" w:line="277" w:lineRule="auto"/>
        <w:tabs>
          <w:tab w:leader="none" w:pos="11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copy of each report required by Section VII (B) for at least two (2) years after the end of the fiscal year in which it is made, and for an additional three (3) years in a place that need not be easily accessible; and</w:t>
      </w:r>
    </w:p>
    <w:p>
      <w:pPr>
        <w:spacing w:after="0" w:line="62" w:lineRule="exact"/>
        <w:rPr>
          <w:rFonts w:ascii="Arial" w:cs="Arial" w:eastAsia="Arial" w:hAnsi="Arial"/>
          <w:sz w:val="18"/>
          <w:szCs w:val="18"/>
          <w:color w:val="auto"/>
        </w:rPr>
      </w:pPr>
    </w:p>
    <w:p>
      <w:pPr>
        <w:ind w:firstLine="872"/>
        <w:spacing w:after="0" w:line="308" w:lineRule="auto"/>
        <w:tabs>
          <w:tab w:leader="none" w:pos="1138"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46" w:lineRule="exact"/>
        <w:rPr>
          <w:rFonts w:ascii="Arial" w:cs="Arial" w:eastAsia="Arial" w:hAnsi="Arial"/>
          <w:sz w:val="17"/>
          <w:szCs w:val="17"/>
          <w:color w:val="auto"/>
        </w:rPr>
      </w:pPr>
    </w:p>
    <w:p>
      <w:pPr>
        <w:ind w:left="1340" w:right="520" w:hanging="414"/>
        <w:spacing w:after="0" w:line="277" w:lineRule="auto"/>
        <w:tabs>
          <w:tab w:leader="none" w:pos="13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This Code may not be amended or modified except in a written form that is specifically approved by majority vote of the Independent Directors.</w:t>
      </w:r>
    </w:p>
    <w:p>
      <w:pPr>
        <w:spacing w:after="0" w:line="89"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This Joint Code of Ethics, originally adopted March 10, 2011, is annually reviewed and approved by the Board of Directors of the Corporation, including a majority of the Independent Directors.</w:t>
      </w:r>
    </w:p>
    <w:p>
      <w:pPr>
        <w:sectPr>
          <w:pgSz w:w="11900" w:h="16838" w:orient="portrait"/>
          <w:cols w:equalWidth="0" w:num="1">
            <w:col w:w="11240"/>
          </w:cols>
          <w:pgMar w:left="320" w:top="692" w:right="339" w:bottom="1440" w:gutter="0" w:footer="0" w:header="0"/>
        </w:sectPr>
      </w:pPr>
    </w:p>
    <w:bookmarkStart w:id="107" w:name="page108"/>
    <w:bookmarkEnd w:id="107"/>
    <w:tbl>
      <w:tblPr>
        <w:tblLayout w:type="fixed"/>
        <w:tblInd w:w="42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840" w:type="dxa"/>
            <w:vAlign w:val="bottom"/>
          </w:tcPr>
          <w:p>
            <w:pPr>
              <w:jc w:val="right"/>
              <w:ind w:right="814"/>
              <w:spacing w:after="0"/>
              <w:rPr>
                <w:sz w:val="20"/>
                <w:szCs w:val="20"/>
                <w:color w:val="auto"/>
              </w:rPr>
            </w:pPr>
            <w:r>
              <w:rPr>
                <w:rFonts w:ascii="Arial" w:cs="Arial" w:eastAsia="Arial" w:hAnsi="Arial"/>
                <w:sz w:val="14"/>
                <w:szCs w:val="14"/>
                <w:b w:val="1"/>
                <w:bCs w:val="1"/>
                <w:color w:val="auto"/>
              </w:rPr>
              <w:t>Exhibit 21.1</w:t>
            </w:r>
          </w:p>
        </w:tc>
        <w:tc>
          <w:tcPr>
            <w:tcW w:w="1620" w:type="dxa"/>
            <w:vAlign w:val="bottom"/>
          </w:tcPr>
          <w:p>
            <w:pPr>
              <w:spacing w:after="0"/>
              <w:rPr>
                <w:sz w:val="16"/>
                <w:szCs w:val="16"/>
                <w:color w:val="auto"/>
              </w:rPr>
            </w:pPr>
          </w:p>
        </w:tc>
      </w:tr>
      <w:tr>
        <w:trPr>
          <w:trHeight w:val="257"/>
        </w:trPr>
        <w:tc>
          <w:tcPr>
            <w:tcW w:w="5500" w:type="dxa"/>
            <w:vAlign w:val="bottom"/>
            <w:gridSpan w:val="2"/>
          </w:tcPr>
          <w:p>
            <w:pPr>
              <w:spacing w:after="0"/>
              <w:rPr>
                <w:sz w:val="20"/>
                <w:szCs w:val="20"/>
                <w:color w:val="auto"/>
              </w:rPr>
            </w:pPr>
            <w:r>
              <w:rPr>
                <w:rFonts w:ascii="Arial" w:cs="Arial" w:eastAsia="Arial" w:hAnsi="Arial"/>
                <w:sz w:val="14"/>
                <w:szCs w:val="14"/>
                <w:color w:val="auto"/>
              </w:rPr>
              <w:t>PNNT</w:t>
            </w:r>
          </w:p>
        </w:tc>
        <w:tc>
          <w:tcPr>
            <w:tcW w:w="284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4"/>
                <w:szCs w:val="14"/>
                <w:color w:val="auto"/>
              </w:rPr>
              <w:t>The following lists sets forth each of our subsidiaries.</w:t>
            </w:r>
          </w:p>
        </w:tc>
        <w:tc>
          <w:tcPr>
            <w:tcW w:w="28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60"/>
        </w:trPr>
        <w:tc>
          <w:tcPr>
            <w:tcW w:w="4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840" w:type="dxa"/>
            <w:vAlign w:val="bottom"/>
          </w:tcPr>
          <w:p>
            <w:pPr>
              <w:jc w:val="right"/>
              <w:ind w:right="954"/>
              <w:spacing w:after="0"/>
              <w:rPr>
                <w:sz w:val="20"/>
                <w:szCs w:val="20"/>
                <w:color w:val="auto"/>
              </w:rPr>
            </w:pPr>
            <w:r>
              <w:rPr>
                <w:rFonts w:ascii="Arial" w:cs="Arial" w:eastAsia="Arial" w:hAnsi="Arial"/>
                <w:sz w:val="11"/>
                <w:szCs w:val="11"/>
                <w:b w:val="1"/>
                <w:bCs w:val="1"/>
                <w:color w:val="auto"/>
              </w:rPr>
              <w:t>Voting Securities</w:t>
            </w:r>
          </w:p>
        </w:tc>
        <w:tc>
          <w:tcPr>
            <w:tcW w:w="1620" w:type="dxa"/>
            <w:vAlign w:val="bottom"/>
          </w:tcPr>
          <w:p>
            <w:pPr>
              <w:spacing w:after="0"/>
              <w:rPr>
                <w:sz w:val="24"/>
                <w:szCs w:val="24"/>
                <w:color w:val="auto"/>
              </w:rPr>
            </w:pPr>
          </w:p>
        </w:tc>
      </w:tr>
      <w:tr>
        <w:trPr>
          <w:trHeight w:val="140"/>
        </w:trPr>
        <w:tc>
          <w:tcPr>
            <w:tcW w:w="440" w:type="dxa"/>
            <w:vAlign w:val="bottom"/>
          </w:tcPr>
          <w:p>
            <w:pPr>
              <w:spacing w:after="0"/>
              <w:rPr>
                <w:sz w:val="12"/>
                <w:szCs w:val="12"/>
                <w:color w:val="auto"/>
              </w:rPr>
            </w:pPr>
          </w:p>
        </w:tc>
        <w:tc>
          <w:tcPr>
            <w:tcW w:w="5060" w:type="dxa"/>
            <w:vAlign w:val="bottom"/>
          </w:tcPr>
          <w:p>
            <w:pPr>
              <w:ind w:left="20"/>
              <w:spacing w:after="0"/>
              <w:rPr>
                <w:sz w:val="20"/>
                <w:szCs w:val="20"/>
                <w:color w:val="auto"/>
              </w:rPr>
            </w:pPr>
            <w:r>
              <w:rPr>
                <w:rFonts w:ascii="Arial" w:cs="Arial" w:eastAsia="Arial" w:hAnsi="Arial"/>
                <w:sz w:val="11"/>
                <w:szCs w:val="11"/>
                <w:b w:val="1"/>
                <w:bCs w:val="1"/>
                <w:color w:val="auto"/>
              </w:rPr>
              <w:t>Name of entity and place of jurisdiction</w:t>
            </w:r>
          </w:p>
        </w:tc>
        <w:tc>
          <w:tcPr>
            <w:tcW w:w="2840" w:type="dxa"/>
            <w:vAlign w:val="bottom"/>
          </w:tcPr>
          <w:p>
            <w:pPr>
              <w:jc w:val="right"/>
              <w:ind w:right="894"/>
              <w:spacing w:after="0"/>
              <w:rPr>
                <w:sz w:val="20"/>
                <w:szCs w:val="20"/>
                <w:color w:val="auto"/>
              </w:rPr>
            </w:pPr>
            <w:r>
              <w:rPr>
                <w:rFonts w:ascii="Arial" w:cs="Arial" w:eastAsia="Arial" w:hAnsi="Arial"/>
                <w:sz w:val="11"/>
                <w:szCs w:val="11"/>
                <w:b w:val="1"/>
                <w:bCs w:val="1"/>
                <w:color w:val="auto"/>
              </w:rPr>
              <w:t>Owned Percentage</w:t>
            </w:r>
          </w:p>
        </w:tc>
        <w:tc>
          <w:tcPr>
            <w:tcW w:w="1620" w:type="dxa"/>
            <w:vAlign w:val="bottom"/>
          </w:tcPr>
          <w:p>
            <w:pPr>
              <w:spacing w:after="0"/>
              <w:rPr>
                <w:sz w:val="12"/>
                <w:szCs w:val="12"/>
                <w:color w:val="auto"/>
              </w:rPr>
            </w:pPr>
          </w:p>
        </w:tc>
      </w:tr>
      <w:tr>
        <w:trPr>
          <w:trHeight w:val="22"/>
        </w:trPr>
        <w:tc>
          <w:tcPr>
            <w:tcW w:w="440" w:type="dxa"/>
            <w:vAlign w:val="bottom"/>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PennantPark SBIC LP (Delaware)</w:t>
            </w:r>
          </w:p>
        </w:tc>
        <w:tc>
          <w:tcPr>
            <w:tcW w:w="28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100</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7"/>
                <w:szCs w:val="7"/>
                <w:color w:val="auto"/>
              </w:rPr>
              <w:t>(1)</w:t>
            </w:r>
          </w:p>
        </w:tc>
      </w:tr>
      <w:tr>
        <w:trPr>
          <w:trHeight w:val="210"/>
        </w:trPr>
        <w:tc>
          <w:tcPr>
            <w:tcW w:w="4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4"/>
                <w:szCs w:val="14"/>
                <w:color w:val="auto"/>
              </w:rPr>
              <w:t>PennantPark GP, LLC (Delaware)</w:t>
            </w:r>
          </w:p>
        </w:tc>
        <w:tc>
          <w:tcPr>
            <w:tcW w:w="2840" w:type="dxa"/>
            <w:vAlign w:val="bottom"/>
          </w:tcPr>
          <w:p>
            <w:pPr>
              <w:jc w:val="right"/>
              <w:ind w:right="14"/>
              <w:spacing w:after="0"/>
              <w:rPr>
                <w:sz w:val="20"/>
                <w:szCs w:val="20"/>
                <w:color w:val="auto"/>
              </w:rPr>
            </w:pPr>
            <w:r>
              <w:rPr>
                <w:rFonts w:ascii="Arial" w:cs="Arial" w:eastAsia="Arial" w:hAnsi="Arial"/>
                <w:sz w:val="14"/>
                <w:szCs w:val="14"/>
                <w:color w:val="auto"/>
              </w:rPr>
              <w:t>100</w:t>
            </w:r>
          </w:p>
        </w:tc>
        <w:tc>
          <w:tcPr>
            <w:tcW w:w="1620" w:type="dxa"/>
            <w:vAlign w:val="bottom"/>
          </w:tcPr>
          <w:p>
            <w:pPr>
              <w:ind w:left="40"/>
              <w:spacing w:after="0"/>
              <w:rPr>
                <w:sz w:val="20"/>
                <w:szCs w:val="20"/>
                <w:color w:val="auto"/>
              </w:rPr>
            </w:pPr>
            <w:r>
              <w:rPr>
                <w:rFonts w:ascii="Arial" w:cs="Arial" w:eastAsia="Arial" w:hAnsi="Arial"/>
                <w:sz w:val="14"/>
                <w:szCs w:val="14"/>
                <w:color w:val="auto"/>
              </w:rPr>
              <w:t>%</w:t>
            </w:r>
          </w:p>
        </w:tc>
      </w:tr>
      <w:tr>
        <w:trPr>
          <w:trHeight w:val="222"/>
        </w:trPr>
        <w:tc>
          <w:tcPr>
            <w:tcW w:w="44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PNNT Alabama Holdings Inc. (Delaware)</w:t>
            </w:r>
          </w:p>
        </w:tc>
        <w:tc>
          <w:tcPr>
            <w:tcW w:w="28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100</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7"/>
                <w:szCs w:val="7"/>
                <w:color w:val="auto"/>
              </w:rPr>
              <w:t>(2)</w:t>
            </w:r>
          </w:p>
        </w:tc>
      </w:tr>
    </w:tbl>
    <w:p>
      <w:pPr>
        <w:spacing w:after="0" w:line="373" w:lineRule="exact"/>
        <w:rPr>
          <w:sz w:val="20"/>
          <w:szCs w:val="20"/>
          <w:color w:val="auto"/>
        </w:rPr>
      </w:pPr>
    </w:p>
    <w:p>
      <w:pPr>
        <w:ind w:left="1380" w:hanging="362"/>
        <w:spacing w:after="0"/>
        <w:tabs>
          <w:tab w:leader="none" w:pos="13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entity is directly owned 99% by us and 1% by PennantPark GP, LLC, which is effectively wholly-owned by us.</w:t>
      </w:r>
    </w:p>
    <w:p>
      <w:pPr>
        <w:spacing w:after="0" w:line="109" w:lineRule="exact"/>
        <w:rPr>
          <w:rFonts w:ascii="Arial" w:cs="Arial" w:eastAsia="Arial" w:hAnsi="Arial"/>
          <w:sz w:val="14"/>
          <w:szCs w:val="14"/>
          <w:color w:val="auto"/>
        </w:rPr>
      </w:pPr>
    </w:p>
    <w:p>
      <w:pPr>
        <w:ind w:left="1380" w:hanging="362"/>
        <w:spacing w:after="0"/>
        <w:tabs>
          <w:tab w:leader="none" w:pos="13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This entity is non-operational.</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PFLT</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following lists sets forth each of our subsidiaries.</w:t>
      </w:r>
    </w:p>
    <w:p>
      <w:pPr>
        <w:spacing w:after="0" w:line="200" w:lineRule="exact"/>
        <w:rPr>
          <w:sz w:val="20"/>
          <w:szCs w:val="20"/>
          <w:color w:val="auto"/>
        </w:rPr>
      </w:pPr>
    </w:p>
    <w:p>
      <w:pPr>
        <w:spacing w:after="0" w:line="355" w:lineRule="exact"/>
        <w:rPr>
          <w:sz w:val="20"/>
          <w:szCs w:val="20"/>
          <w:color w:val="auto"/>
        </w:rPr>
      </w:pPr>
    </w:p>
    <w:tbl>
      <w:tblPr>
        <w:tblLayout w:type="fixed"/>
        <w:tblInd w:w="860" w:type="dxa"/>
        <w:tblCellMar>
          <w:top w:w="0" w:type="dxa"/>
          <w:left w:w="0" w:type="dxa"/>
          <w:bottom w:w="0" w:type="dxa"/>
          <w:right w:w="0" w:type="dxa"/>
        </w:tblCellMar>
      </w:tblPr>
      <w:tr>
        <w:trPr>
          <w:trHeight w:val="126"/>
        </w:trPr>
        <w:tc>
          <w:tcPr>
            <w:tcW w:w="5160" w:type="dxa"/>
            <w:vAlign w:val="bottom"/>
          </w:tcPr>
          <w:p>
            <w:pPr>
              <w:spacing w:after="0"/>
              <w:rPr>
                <w:sz w:val="10"/>
                <w:szCs w:val="10"/>
                <w:color w:val="auto"/>
              </w:rPr>
            </w:pPr>
          </w:p>
        </w:tc>
        <w:tc>
          <w:tcPr>
            <w:tcW w:w="4360" w:type="dxa"/>
            <w:vAlign w:val="bottom"/>
            <w:gridSpan w:val="2"/>
          </w:tcPr>
          <w:p>
            <w:pPr>
              <w:jc w:val="center"/>
              <w:ind w:right="1620"/>
              <w:spacing w:after="0"/>
              <w:rPr>
                <w:sz w:val="20"/>
                <w:szCs w:val="20"/>
                <w:color w:val="auto"/>
              </w:rPr>
            </w:pPr>
            <w:r>
              <w:rPr>
                <w:rFonts w:ascii="Arial" w:cs="Arial" w:eastAsia="Arial" w:hAnsi="Arial"/>
                <w:sz w:val="11"/>
                <w:szCs w:val="11"/>
                <w:b w:val="1"/>
                <w:bCs w:val="1"/>
                <w:color w:val="auto"/>
                <w:w w:val="86"/>
              </w:rPr>
              <w:t>Voting Securities</w:t>
            </w:r>
          </w:p>
        </w:tc>
      </w:tr>
      <w:tr>
        <w:trPr>
          <w:trHeight w:val="140"/>
        </w:trPr>
        <w:tc>
          <w:tcPr>
            <w:tcW w:w="5160" w:type="dxa"/>
            <w:vAlign w:val="bottom"/>
          </w:tcPr>
          <w:p>
            <w:pPr>
              <w:ind w:left="20"/>
              <w:spacing w:after="0"/>
              <w:rPr>
                <w:sz w:val="20"/>
                <w:szCs w:val="20"/>
                <w:color w:val="auto"/>
              </w:rPr>
            </w:pPr>
            <w:r>
              <w:rPr>
                <w:rFonts w:ascii="Arial" w:cs="Arial" w:eastAsia="Arial" w:hAnsi="Arial"/>
                <w:sz w:val="11"/>
                <w:szCs w:val="11"/>
                <w:b w:val="1"/>
                <w:bCs w:val="1"/>
                <w:color w:val="auto"/>
              </w:rPr>
              <w:t>Name of entity and place of jurisdiction</w:t>
            </w:r>
          </w:p>
        </w:tc>
        <w:tc>
          <w:tcPr>
            <w:tcW w:w="4360" w:type="dxa"/>
            <w:vAlign w:val="bottom"/>
            <w:gridSpan w:val="2"/>
          </w:tcPr>
          <w:p>
            <w:pPr>
              <w:jc w:val="center"/>
              <w:ind w:right="1580"/>
              <w:spacing w:after="0"/>
              <w:rPr>
                <w:sz w:val="20"/>
                <w:szCs w:val="20"/>
                <w:color w:val="auto"/>
              </w:rPr>
            </w:pPr>
            <w:r>
              <w:rPr>
                <w:rFonts w:ascii="Arial" w:cs="Arial" w:eastAsia="Arial" w:hAnsi="Arial"/>
                <w:sz w:val="11"/>
                <w:szCs w:val="11"/>
                <w:b w:val="1"/>
                <w:bCs w:val="1"/>
                <w:color w:val="auto"/>
                <w:w w:val="86"/>
              </w:rPr>
              <w:t>Owned Percentage</w:t>
            </w:r>
          </w:p>
        </w:tc>
      </w:tr>
      <w:tr>
        <w:trPr>
          <w:trHeight w:val="22"/>
        </w:trPr>
        <w:tc>
          <w:tcPr>
            <w:tcW w:w="516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PennantPark Floating Rate Funding, I LLC (Delaware)</w:t>
            </w:r>
          </w:p>
        </w:tc>
        <w:tc>
          <w:tcPr>
            <w:tcW w:w="4360" w:type="dxa"/>
            <w:vAlign w:val="bottom"/>
            <w:gridSpan w:val="2"/>
            <w:shd w:val="clear" w:color="auto" w:fill="CCEEFF"/>
          </w:tcPr>
          <w:p>
            <w:pPr>
              <w:jc w:val="right"/>
              <w:ind w:right="1460"/>
              <w:spacing w:after="0"/>
              <w:rPr>
                <w:sz w:val="20"/>
                <w:szCs w:val="20"/>
                <w:color w:val="auto"/>
              </w:rPr>
            </w:pPr>
            <w:r>
              <w:rPr>
                <w:rFonts w:ascii="Arial" w:cs="Arial" w:eastAsia="Arial" w:hAnsi="Arial"/>
                <w:sz w:val="14"/>
                <w:szCs w:val="14"/>
                <w:color w:val="auto"/>
              </w:rPr>
              <w:t>100  %</w:t>
            </w:r>
          </w:p>
        </w:tc>
      </w:tr>
    </w:tbl>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w:t>
      </w:r>
    </w:p>
    <w:p>
      <w:pPr>
        <w:sectPr>
          <w:pgSz w:w="11900" w:h="16838" w:orient="portrait"/>
          <w:cols w:equalWidth="0" w:num="1">
            <w:col w:w="10380"/>
          </w:cols>
          <w:pgMar w:left="320" w:top="670" w:right="11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4"/>
          <w:szCs w:val="14"/>
          <w:b w:val="1"/>
          <w:bCs w:val="1"/>
          <w:color w:val="auto"/>
        </w:rPr>
        <w:t>EXHIBIT 31.1</w:t>
      </w:r>
    </w:p>
    <w:p>
      <w:pPr>
        <w:spacing w:after="0" w:line="16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Chairman of the Board and Chief Executive Officer of PennantPark Floating Rate Capital Ltd., certify that:</w:t>
      </w:r>
    </w:p>
    <w:p>
      <w:pPr>
        <w:spacing w:after="0" w:line="163" w:lineRule="exact"/>
        <w:rPr>
          <w:sz w:val="20"/>
          <w:szCs w:val="20"/>
          <w:color w:val="auto"/>
        </w:rPr>
      </w:pPr>
    </w:p>
    <w:p>
      <w:pPr>
        <w:ind w:left="580" w:hanging="140"/>
        <w:spacing w:after="0"/>
        <w:tabs>
          <w:tab w:leader="none" w:pos="5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Floating Rate Capital Ltd.;</w:t>
      </w:r>
    </w:p>
    <w:p>
      <w:pPr>
        <w:spacing w:after="0" w:line="163" w:lineRule="exact"/>
        <w:rPr>
          <w:rFonts w:ascii="Arial" w:cs="Arial" w:eastAsia="Arial" w:hAnsi="Arial"/>
          <w:sz w:val="14"/>
          <w:szCs w:val="14"/>
          <w:color w:val="auto"/>
        </w:rPr>
      </w:pPr>
    </w:p>
    <w:p>
      <w:pPr>
        <w:ind w:right="440" w:firstLine="440"/>
        <w:spacing w:after="0" w:line="273" w:lineRule="auto"/>
        <w:tabs>
          <w:tab w:leader="none" w:pos="576" w:val="left"/>
        </w:tabs>
        <w:numPr>
          <w:ilvl w:val="0"/>
          <w:numId w:val="7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right="540" w:firstLine="440"/>
        <w:spacing w:after="0" w:line="273" w:lineRule="auto"/>
        <w:tabs>
          <w:tab w:leader="none" w:pos="576" w:val="left"/>
        </w:tabs>
        <w:numPr>
          <w:ilvl w:val="0"/>
          <w:numId w:val="7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right="100" w:firstLine="440"/>
        <w:spacing w:after="0" w:line="273" w:lineRule="auto"/>
        <w:tabs>
          <w:tab w:leader="none" w:pos="576"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4"/>
          <w:szCs w:val="14"/>
          <w:color w:val="auto"/>
        </w:rPr>
      </w:pPr>
    </w:p>
    <w:p>
      <w:pPr>
        <w:jc w:val="both"/>
        <w:ind w:left="440" w:right="160" w:firstLine="432"/>
        <w:spacing w:after="0" w:line="257" w:lineRule="auto"/>
        <w:tabs>
          <w:tab w:leader="none" w:pos="1020" w:val="left"/>
        </w:tabs>
        <w:numPr>
          <w:ilvl w:val="1"/>
          <w:numId w:val="7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9" w:lineRule="exact"/>
        <w:rPr>
          <w:rFonts w:ascii="Arial" w:cs="Arial" w:eastAsia="Arial" w:hAnsi="Arial"/>
          <w:sz w:val="14"/>
          <w:szCs w:val="14"/>
          <w:color w:val="auto"/>
        </w:rPr>
      </w:pPr>
    </w:p>
    <w:p>
      <w:pPr>
        <w:ind w:left="440" w:right="60" w:firstLine="432"/>
        <w:spacing w:after="0" w:line="312" w:lineRule="auto"/>
        <w:tabs>
          <w:tab w:leader="none" w:pos="1028" w:val="left"/>
        </w:tabs>
        <w:numPr>
          <w:ilvl w:val="1"/>
          <w:numId w:val="7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6" w:lineRule="exact"/>
        <w:rPr>
          <w:rFonts w:ascii="Arial" w:cs="Arial" w:eastAsia="Arial" w:hAnsi="Arial"/>
          <w:sz w:val="13"/>
          <w:szCs w:val="13"/>
          <w:color w:val="auto"/>
        </w:rPr>
      </w:pPr>
    </w:p>
    <w:p>
      <w:pPr>
        <w:ind w:left="440" w:right="200" w:firstLine="432"/>
        <w:spacing w:after="0" w:line="273" w:lineRule="auto"/>
        <w:tabs>
          <w:tab w:leader="none" w:pos="1020" w:val="left"/>
        </w:tabs>
        <w:numPr>
          <w:ilvl w:val="1"/>
          <w:numId w:val="7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4"/>
          <w:szCs w:val="14"/>
          <w:color w:val="auto"/>
        </w:rPr>
      </w:pPr>
    </w:p>
    <w:p>
      <w:pPr>
        <w:ind w:left="440" w:right="260" w:firstLine="432"/>
        <w:spacing w:after="0" w:line="312" w:lineRule="auto"/>
        <w:tabs>
          <w:tab w:leader="none" w:pos="1028" w:val="left"/>
        </w:tabs>
        <w:numPr>
          <w:ilvl w:val="1"/>
          <w:numId w:val="7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280" w:firstLine="440"/>
        <w:spacing w:after="0" w:line="273" w:lineRule="auto"/>
        <w:tabs>
          <w:tab w:leader="none" w:pos="576"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left="440" w:right="300" w:firstLine="432"/>
        <w:spacing w:after="0" w:line="273" w:lineRule="auto"/>
        <w:tabs>
          <w:tab w:leader="none" w:pos="1020" w:val="left"/>
        </w:tabs>
        <w:numPr>
          <w:ilvl w:val="1"/>
          <w:numId w:val="7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4"/>
          <w:szCs w:val="14"/>
          <w:color w:val="auto"/>
        </w:rPr>
      </w:pPr>
    </w:p>
    <w:p>
      <w:pPr>
        <w:ind w:left="1020" w:hanging="148"/>
        <w:spacing w:after="0"/>
        <w:tabs>
          <w:tab w:leader="none" w:pos="102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17, 2011</w:t>
      </w:r>
    </w:p>
    <w:p>
      <w:pPr>
        <w:spacing w:after="0" w:line="97" w:lineRule="exact"/>
        <w:rPr>
          <w:sz w:val="20"/>
          <w:szCs w:val="20"/>
          <w:color w:val="auto"/>
        </w:rPr>
      </w:pPr>
    </w:p>
    <w:p>
      <w:pPr>
        <w:ind w:left="40"/>
        <w:spacing w:after="0"/>
        <w:tabs>
          <w:tab w:leader="none" w:pos="2160" w:val="left"/>
          <w:tab w:leader="none" w:pos="2500" w:val="left"/>
        </w:tabs>
        <w:rPr>
          <w:sz w:val="20"/>
          <w:szCs w:val="20"/>
          <w:color w:val="auto"/>
        </w:rPr>
      </w:pPr>
      <w:r>
        <w:rPr>
          <w:rFonts w:ascii="Arial" w:cs="Arial" w:eastAsia="Arial" w:hAnsi="Arial"/>
          <w:sz w:val="29"/>
          <w:szCs w:val="29"/>
          <w:color w:val="auto"/>
          <w:vertAlign w:val="subscript"/>
        </w:rPr>
        <w:t>By:</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1"/>
          <w:szCs w:val="11"/>
          <w:color w:val="auto"/>
        </w:rPr>
        <w:t>RTHUR</w:t>
      </w:r>
      <w:r>
        <w:rPr>
          <w:rFonts w:ascii="Arial" w:cs="Arial" w:eastAsia="Arial" w:hAnsi="Arial"/>
          <w:sz w:val="17"/>
          <w:szCs w:val="17"/>
          <w:color w:val="auto"/>
        </w:rPr>
        <w:t xml:space="preserve"> H. P</w:t>
      </w:r>
      <w:r>
        <w:rPr>
          <w:rFonts w:ascii="Arial" w:cs="Arial" w:eastAsia="Arial" w:hAnsi="Arial"/>
          <w:sz w:val="11"/>
          <w:szCs w:val="11"/>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99060</wp:posOffset>
            </wp:positionV>
            <wp:extent cx="33604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26" w:lineRule="exact"/>
        <w:rPr>
          <w:sz w:val="20"/>
          <w:szCs w:val="20"/>
          <w:color w:val="auto"/>
        </w:rPr>
      </w:pPr>
    </w:p>
    <w:p>
      <w:pPr>
        <w:ind w:left="2640"/>
        <w:spacing w:after="0"/>
        <w:rPr>
          <w:sz w:val="20"/>
          <w:szCs w:val="20"/>
          <w:color w:val="auto"/>
        </w:rPr>
      </w:pPr>
      <w:r>
        <w:rPr>
          <w:rFonts w:ascii="Arial" w:cs="Arial" w:eastAsia="Arial" w:hAnsi="Arial"/>
          <w:sz w:val="13"/>
          <w:szCs w:val="13"/>
          <w:b w:val="1"/>
          <w:bCs w:val="1"/>
          <w:color w:val="auto"/>
        </w:rPr>
        <w:t>Arthur H. Penn</w:t>
      </w:r>
    </w:p>
    <w:p>
      <w:pPr>
        <w:spacing w:after="0" w:line="39" w:lineRule="exact"/>
        <w:rPr>
          <w:sz w:val="20"/>
          <w:szCs w:val="20"/>
          <w:color w:val="auto"/>
        </w:rPr>
      </w:pPr>
    </w:p>
    <w:p>
      <w:pPr>
        <w:ind w:left="2320"/>
        <w:spacing w:after="0"/>
        <w:rPr>
          <w:sz w:val="20"/>
          <w:szCs w:val="20"/>
          <w:color w:val="auto"/>
        </w:rPr>
      </w:pPr>
      <w:r>
        <w:rPr>
          <w:rFonts w:ascii="Arial" w:cs="Arial" w:eastAsia="Arial" w:hAnsi="Arial"/>
          <w:sz w:val="13"/>
          <w:szCs w:val="13"/>
          <w:b w:val="1"/>
          <w:bCs w:val="1"/>
          <w:color w:val="auto"/>
        </w:rPr>
        <w:t>Chairman of the Board and</w:t>
      </w:r>
    </w:p>
    <w:p>
      <w:pPr>
        <w:ind w:left="2420"/>
        <w:spacing w:after="0"/>
        <w:rPr>
          <w:sz w:val="20"/>
          <w:szCs w:val="20"/>
          <w:color w:val="auto"/>
        </w:rPr>
      </w:pPr>
      <w:r>
        <w:rPr>
          <w:rFonts w:ascii="Arial" w:cs="Arial" w:eastAsia="Arial" w:hAnsi="Arial"/>
          <w:sz w:val="13"/>
          <w:szCs w:val="13"/>
          <w:b w:val="1"/>
          <w:bCs w:val="1"/>
          <w:color w:val="auto"/>
        </w:rPr>
        <w:t>Chief Executive Officer</w:t>
      </w:r>
    </w:p>
    <w:p>
      <w:pPr>
        <w:sectPr>
          <w:pgSz w:w="11900" w:h="16838" w:orient="portrait"/>
          <w:cols w:equalWidth="0" w:num="1">
            <w:col w:w="11240"/>
          </w:cols>
          <w:pgMar w:left="320" w:top="75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4"/>
          <w:szCs w:val="14"/>
          <w:b w:val="1"/>
          <w:bCs w:val="1"/>
          <w:color w:val="auto"/>
        </w:rPr>
        <w:t>EXHIBIT 31.2</w:t>
      </w:r>
    </w:p>
    <w:p>
      <w:pPr>
        <w:spacing w:after="0" w:line="16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and Treasurer of PennantPark Floating Rate Capital Ltd., certify that:</w:t>
      </w:r>
    </w:p>
    <w:p>
      <w:pPr>
        <w:spacing w:after="0" w:line="163" w:lineRule="exact"/>
        <w:rPr>
          <w:sz w:val="20"/>
          <w:szCs w:val="20"/>
          <w:color w:val="auto"/>
        </w:rPr>
      </w:pPr>
    </w:p>
    <w:p>
      <w:pPr>
        <w:ind w:left="580" w:hanging="140"/>
        <w:spacing w:after="0"/>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Floating Rate Capital Ltd.;</w:t>
      </w:r>
    </w:p>
    <w:p>
      <w:pPr>
        <w:spacing w:after="0" w:line="163" w:lineRule="exact"/>
        <w:rPr>
          <w:rFonts w:ascii="Arial" w:cs="Arial" w:eastAsia="Arial" w:hAnsi="Arial"/>
          <w:sz w:val="14"/>
          <w:szCs w:val="14"/>
          <w:color w:val="auto"/>
        </w:rPr>
      </w:pPr>
    </w:p>
    <w:p>
      <w:pPr>
        <w:ind w:right="440" w:firstLine="440"/>
        <w:spacing w:after="0" w:line="273" w:lineRule="auto"/>
        <w:tabs>
          <w:tab w:leader="none" w:pos="576"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right="540" w:firstLine="440"/>
        <w:spacing w:after="0" w:line="273" w:lineRule="auto"/>
        <w:tabs>
          <w:tab w:leader="none" w:pos="576"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right="100" w:firstLine="440"/>
        <w:spacing w:after="0" w:line="273" w:lineRule="auto"/>
        <w:tabs>
          <w:tab w:leader="none" w:pos="576"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4"/>
          <w:szCs w:val="14"/>
          <w:color w:val="auto"/>
        </w:rPr>
      </w:pPr>
    </w:p>
    <w:p>
      <w:pPr>
        <w:jc w:val="both"/>
        <w:ind w:left="440" w:right="160" w:firstLine="432"/>
        <w:spacing w:after="0" w:line="257" w:lineRule="auto"/>
        <w:tabs>
          <w:tab w:leader="none" w:pos="1020" w:val="left"/>
        </w:tabs>
        <w:numPr>
          <w:ilvl w:val="1"/>
          <w:numId w:val="7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9" w:lineRule="exact"/>
        <w:rPr>
          <w:rFonts w:ascii="Arial" w:cs="Arial" w:eastAsia="Arial" w:hAnsi="Arial"/>
          <w:sz w:val="14"/>
          <w:szCs w:val="14"/>
          <w:color w:val="auto"/>
        </w:rPr>
      </w:pPr>
    </w:p>
    <w:p>
      <w:pPr>
        <w:ind w:left="440" w:right="60" w:firstLine="432"/>
        <w:spacing w:after="0" w:line="312" w:lineRule="auto"/>
        <w:tabs>
          <w:tab w:leader="none" w:pos="1028" w:val="left"/>
        </w:tabs>
        <w:numPr>
          <w:ilvl w:val="1"/>
          <w:numId w:val="7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6" w:lineRule="exact"/>
        <w:rPr>
          <w:rFonts w:ascii="Arial" w:cs="Arial" w:eastAsia="Arial" w:hAnsi="Arial"/>
          <w:sz w:val="13"/>
          <w:szCs w:val="13"/>
          <w:color w:val="auto"/>
        </w:rPr>
      </w:pPr>
    </w:p>
    <w:p>
      <w:pPr>
        <w:ind w:left="440" w:right="200" w:firstLine="432"/>
        <w:spacing w:after="0" w:line="273" w:lineRule="auto"/>
        <w:tabs>
          <w:tab w:leader="none" w:pos="1020" w:val="left"/>
        </w:tabs>
        <w:numPr>
          <w:ilvl w:val="1"/>
          <w:numId w:val="7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4"/>
          <w:szCs w:val="14"/>
          <w:color w:val="auto"/>
        </w:rPr>
      </w:pPr>
    </w:p>
    <w:p>
      <w:pPr>
        <w:ind w:left="440" w:right="260" w:firstLine="432"/>
        <w:spacing w:after="0" w:line="312" w:lineRule="auto"/>
        <w:tabs>
          <w:tab w:leader="none" w:pos="1028" w:val="left"/>
        </w:tabs>
        <w:numPr>
          <w:ilvl w:val="1"/>
          <w:numId w:val="7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280" w:firstLine="440"/>
        <w:spacing w:after="0" w:line="273" w:lineRule="auto"/>
        <w:tabs>
          <w:tab w:leader="none" w:pos="576"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left="440" w:right="300" w:firstLine="432"/>
        <w:spacing w:after="0" w:line="273" w:lineRule="auto"/>
        <w:tabs>
          <w:tab w:leader="none" w:pos="1020" w:val="left"/>
        </w:tabs>
        <w:numPr>
          <w:ilvl w:val="1"/>
          <w:numId w:val="7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4"/>
          <w:szCs w:val="14"/>
          <w:color w:val="auto"/>
        </w:rPr>
      </w:pPr>
    </w:p>
    <w:p>
      <w:pPr>
        <w:ind w:left="1020" w:hanging="148"/>
        <w:spacing w:after="0"/>
        <w:tabs>
          <w:tab w:leader="none" w:pos="1020" w:val="left"/>
        </w:tabs>
        <w:numPr>
          <w:ilvl w:val="1"/>
          <w:numId w:val="7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17, 2011</w:t>
      </w:r>
    </w:p>
    <w:p>
      <w:pPr>
        <w:spacing w:after="0" w:line="325" w:lineRule="exact"/>
        <w:rPr>
          <w:sz w:val="20"/>
          <w:szCs w:val="20"/>
          <w:color w:val="auto"/>
        </w:rPr>
      </w:pPr>
    </w:p>
    <w:p>
      <w:pPr>
        <w:ind w:left="40"/>
        <w:spacing w:after="0"/>
        <w:tabs>
          <w:tab w:leader="none" w:pos="2340" w:val="left"/>
          <w:tab w:leader="none" w:pos="26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w:t>
        <w:tab/>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20955</wp:posOffset>
            </wp:positionV>
            <wp:extent cx="33604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85" w:lineRule="exact"/>
        <w:rPr>
          <w:sz w:val="20"/>
          <w:szCs w:val="20"/>
          <w:color w:val="auto"/>
        </w:rPr>
      </w:pPr>
    </w:p>
    <w:p>
      <w:pPr>
        <w:jc w:val="center"/>
        <w:ind w:right="5120"/>
        <w:spacing w:after="0"/>
        <w:rPr>
          <w:sz w:val="20"/>
          <w:szCs w:val="20"/>
          <w:color w:val="auto"/>
        </w:rPr>
      </w:pPr>
      <w:r>
        <w:rPr>
          <w:rFonts w:ascii="Arial" w:cs="Arial" w:eastAsia="Arial" w:hAnsi="Arial"/>
          <w:sz w:val="14"/>
          <w:szCs w:val="14"/>
          <w:b w:val="1"/>
          <w:bCs w:val="1"/>
          <w:color w:val="auto"/>
        </w:rPr>
        <w:t>Aviv Efrat</w:t>
      </w:r>
    </w:p>
    <w:p>
      <w:pPr>
        <w:spacing w:after="0" w:line="109" w:lineRule="exact"/>
        <w:rPr>
          <w:sz w:val="20"/>
          <w:szCs w:val="20"/>
          <w:color w:val="auto"/>
        </w:rPr>
      </w:pPr>
    </w:p>
    <w:p>
      <w:pPr>
        <w:jc w:val="center"/>
        <w:ind w:right="5120"/>
        <w:spacing w:after="0"/>
        <w:rPr>
          <w:sz w:val="20"/>
          <w:szCs w:val="20"/>
          <w:color w:val="auto"/>
        </w:rPr>
      </w:pPr>
      <w:r>
        <w:rPr>
          <w:rFonts w:ascii="Arial" w:cs="Arial" w:eastAsia="Arial" w:hAnsi="Arial"/>
          <w:sz w:val="14"/>
          <w:szCs w:val="14"/>
          <w:b w:val="1"/>
          <w:bCs w:val="1"/>
          <w:color w:val="auto"/>
        </w:rPr>
        <w:t>Chief Financial Officer and Treasurer</w:t>
      </w:r>
    </w:p>
    <w:p>
      <w:pPr>
        <w:sectPr>
          <w:pgSz w:w="11900" w:h="16838" w:orient="portrait"/>
          <w:cols w:equalWidth="0" w:num="1">
            <w:col w:w="11240"/>
          </w:cols>
          <w:pgMar w:left="320" w:top="900"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4"/>
          <w:szCs w:val="14"/>
          <w:b w:val="1"/>
          <w:bCs w:val="1"/>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51" w:lineRule="exact"/>
        <w:rPr>
          <w:sz w:val="20"/>
          <w:szCs w:val="20"/>
          <w:color w:val="auto"/>
        </w:rPr>
      </w:pPr>
    </w:p>
    <w:p>
      <w:pPr>
        <w:jc w:val="both"/>
        <w:ind w:right="280" w:firstLine="432"/>
        <w:spacing w:after="0" w:line="257" w:lineRule="auto"/>
        <w:rPr>
          <w:sz w:val="20"/>
          <w:szCs w:val="20"/>
          <w:color w:val="auto"/>
        </w:rPr>
      </w:pPr>
      <w:r>
        <w:rPr>
          <w:rFonts w:ascii="Arial" w:cs="Arial" w:eastAsia="Arial" w:hAnsi="Arial"/>
          <w:sz w:val="14"/>
          <w:szCs w:val="14"/>
          <w:color w:val="auto"/>
        </w:rPr>
        <w:t>In connection with the Annual Report on Form 10-K of PennantPark Floating Rate Capital Ltd. (the “Company”) for the period from March 4, 2011 (commencement of operations) to September 30, 2011 as filed with the Securities and Exchange Commission on the date hereof (the “Report”), I, Arthur H. Penn, as Chairman of the Board and Chief Executive Officer of the Registrant hereby certify, to the best of my knowledge that:</w:t>
      </w:r>
    </w:p>
    <w:p>
      <w:pPr>
        <w:spacing w:after="0" w:line="50" w:lineRule="exact"/>
        <w:rPr>
          <w:sz w:val="20"/>
          <w:szCs w:val="20"/>
          <w:color w:val="auto"/>
        </w:rPr>
      </w:pPr>
    </w:p>
    <w:p>
      <w:pPr>
        <w:ind w:left="640" w:hanging="200"/>
        <w:spacing w:after="0"/>
        <w:tabs>
          <w:tab w:leader="none" w:pos="6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82" w:lineRule="exact"/>
        <w:rPr>
          <w:rFonts w:ascii="Arial" w:cs="Arial" w:eastAsia="Arial" w:hAnsi="Arial"/>
          <w:sz w:val="14"/>
          <w:szCs w:val="14"/>
          <w:color w:val="auto"/>
        </w:rPr>
      </w:pPr>
    </w:p>
    <w:p>
      <w:pPr>
        <w:ind w:left="640" w:hanging="200"/>
        <w:spacing w:after="0"/>
        <w:tabs>
          <w:tab w:leader="none" w:pos="6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auto"/>
            </w:tcBorders>
          </w:tcPr>
          <w:p>
            <w:pPr>
              <w:ind w:left="1560"/>
              <w:spacing w:after="0"/>
              <w:rPr>
                <w:sz w:val="20"/>
                <w:szCs w:val="20"/>
                <w:color w:val="auto"/>
              </w:rPr>
            </w:pPr>
            <w:r>
              <w:rPr>
                <w:rFonts w:ascii="Arial" w:cs="Arial" w:eastAsia="Arial" w:hAnsi="Arial"/>
                <w:sz w:val="14"/>
                <w:szCs w:val="14"/>
                <w:color w:val="auto"/>
              </w:rPr>
              <w:t>/S/  ARTHUR H. PENN</w:t>
            </w:r>
          </w:p>
        </w:tc>
      </w:tr>
      <w:tr>
        <w:trPr>
          <w:trHeight w:val="190"/>
        </w:trPr>
        <w:tc>
          <w:tcPr>
            <w:tcW w:w="440" w:type="dxa"/>
            <w:vAlign w:val="bottom"/>
          </w:tcPr>
          <w:p>
            <w:pPr>
              <w:spacing w:after="0"/>
              <w:rPr>
                <w:sz w:val="20"/>
                <w:szCs w:val="20"/>
                <w:color w:val="auto"/>
              </w:rPr>
            </w:pPr>
            <w:r>
              <w:rPr>
                <w:rFonts w:ascii="Arial" w:cs="Arial" w:eastAsia="Arial" w:hAnsi="Arial"/>
                <w:sz w:val="14"/>
                <w:szCs w:val="14"/>
                <w:color w:val="auto"/>
              </w:rPr>
              <w:t>Name:</w:t>
            </w:r>
          </w:p>
        </w:tc>
        <w:tc>
          <w:tcPr>
            <w:tcW w:w="400" w:type="dxa"/>
            <w:vAlign w:val="bottom"/>
          </w:tcPr>
          <w:p>
            <w:pPr>
              <w:spacing w:after="0"/>
              <w:rPr>
                <w:sz w:val="16"/>
                <w:szCs w:val="16"/>
                <w:color w:val="auto"/>
              </w:rPr>
            </w:pPr>
          </w:p>
        </w:tc>
        <w:tc>
          <w:tcPr>
            <w:tcW w:w="4860" w:type="dxa"/>
            <w:vAlign w:val="bottom"/>
          </w:tcPr>
          <w:p>
            <w:pPr>
              <w:jc w:val="center"/>
              <w:spacing w:after="0"/>
              <w:rPr>
                <w:sz w:val="20"/>
                <w:szCs w:val="20"/>
                <w:color w:val="auto"/>
              </w:rPr>
            </w:pPr>
            <w:r>
              <w:rPr>
                <w:rFonts w:ascii="Arial" w:cs="Arial" w:eastAsia="Arial" w:hAnsi="Arial"/>
                <w:sz w:val="14"/>
                <w:szCs w:val="14"/>
                <w:b w:val="1"/>
                <w:bCs w:val="1"/>
                <w:color w:val="auto"/>
                <w:w w:val="99"/>
              </w:rPr>
              <w:t>Arthur H. Penn</w:t>
            </w:r>
          </w:p>
        </w:tc>
      </w:tr>
      <w:tr>
        <w:trPr>
          <w:trHeight w:val="203"/>
        </w:trPr>
        <w:tc>
          <w:tcPr>
            <w:tcW w:w="440" w:type="dxa"/>
            <w:vAlign w:val="bottom"/>
          </w:tcPr>
          <w:p>
            <w:pPr>
              <w:spacing w:after="0"/>
              <w:rPr>
                <w:sz w:val="20"/>
                <w:szCs w:val="20"/>
                <w:color w:val="auto"/>
              </w:rPr>
            </w:pPr>
            <w:r>
              <w:rPr>
                <w:rFonts w:ascii="Arial" w:cs="Arial" w:eastAsia="Arial" w:hAnsi="Arial"/>
                <w:sz w:val="14"/>
                <w:szCs w:val="14"/>
                <w:color w:val="auto"/>
              </w:rPr>
              <w:t>Title:</w:t>
            </w:r>
          </w:p>
        </w:tc>
        <w:tc>
          <w:tcPr>
            <w:tcW w:w="400" w:type="dxa"/>
            <w:vAlign w:val="bottom"/>
          </w:tcPr>
          <w:p>
            <w:pPr>
              <w:spacing w:after="0"/>
              <w:rPr>
                <w:sz w:val="17"/>
                <w:szCs w:val="17"/>
                <w:color w:val="auto"/>
              </w:rPr>
            </w:pPr>
          </w:p>
        </w:tc>
        <w:tc>
          <w:tcPr>
            <w:tcW w:w="4860" w:type="dxa"/>
            <w:vAlign w:val="bottom"/>
          </w:tcPr>
          <w:p>
            <w:pPr>
              <w:jc w:val="center"/>
              <w:spacing w:after="0"/>
              <w:rPr>
                <w:sz w:val="20"/>
                <w:szCs w:val="20"/>
                <w:color w:val="auto"/>
              </w:rPr>
            </w:pPr>
            <w:r>
              <w:rPr>
                <w:rFonts w:ascii="Arial" w:cs="Arial" w:eastAsia="Arial" w:hAnsi="Arial"/>
                <w:sz w:val="14"/>
                <w:szCs w:val="14"/>
                <w:b w:val="1"/>
                <w:bCs w:val="1"/>
                <w:color w:val="auto"/>
                <w:w w:val="94"/>
              </w:rPr>
              <w:t>Chairman of the Board and Chief Executive Officer</w:t>
            </w:r>
          </w:p>
        </w:tc>
      </w:tr>
      <w:tr>
        <w:trPr>
          <w:trHeight w:val="473"/>
        </w:trPr>
        <w:tc>
          <w:tcPr>
            <w:tcW w:w="440" w:type="dxa"/>
            <w:vAlign w:val="bottom"/>
          </w:tcPr>
          <w:p>
            <w:pPr>
              <w:spacing w:after="0"/>
              <w:rPr>
                <w:sz w:val="24"/>
                <w:szCs w:val="24"/>
                <w:color w:val="auto"/>
              </w:rPr>
            </w:pPr>
          </w:p>
        </w:tc>
        <w:tc>
          <w:tcPr>
            <w:tcW w:w="5260" w:type="dxa"/>
            <w:vAlign w:val="bottom"/>
            <w:gridSpan w:val="2"/>
          </w:tcPr>
          <w:p>
            <w:pPr>
              <w:ind w:left="60"/>
              <w:spacing w:after="0"/>
              <w:rPr>
                <w:sz w:val="20"/>
                <w:szCs w:val="20"/>
                <w:color w:val="auto"/>
              </w:rPr>
            </w:pPr>
            <w:r>
              <w:rPr>
                <w:rFonts w:ascii="Arial" w:cs="Arial" w:eastAsia="Arial" w:hAnsi="Arial"/>
                <w:sz w:val="14"/>
                <w:szCs w:val="14"/>
                <w:color w:val="auto"/>
              </w:rPr>
              <w:t>Date: 11/17/2011</w:t>
            </w:r>
          </w:p>
        </w:tc>
      </w:tr>
    </w:tbl>
    <w:p>
      <w:pPr>
        <w:sectPr>
          <w:pgSz w:w="11900" w:h="16838" w:orient="portrait"/>
          <w:cols w:equalWidth="0" w:num="1">
            <w:col w:w="11240"/>
          </w:cols>
          <w:pgMar w:left="320" w:top="90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b w:val="1"/>
          <w:bCs w:val="1"/>
          <w:color w:val="auto"/>
        </w:rPr>
        <w:t>EXHIBIT 32.2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51" w:lineRule="exact"/>
        <w:rPr>
          <w:sz w:val="20"/>
          <w:szCs w:val="20"/>
          <w:color w:val="auto"/>
        </w:rPr>
      </w:pPr>
    </w:p>
    <w:p>
      <w:pPr>
        <w:ind w:right="280" w:firstLine="432"/>
        <w:spacing w:after="0" w:line="257" w:lineRule="auto"/>
        <w:rPr>
          <w:sz w:val="20"/>
          <w:szCs w:val="20"/>
          <w:color w:val="auto"/>
        </w:rPr>
      </w:pPr>
      <w:r>
        <w:rPr>
          <w:rFonts w:ascii="Arial" w:cs="Arial" w:eastAsia="Arial" w:hAnsi="Arial"/>
          <w:sz w:val="14"/>
          <w:szCs w:val="14"/>
          <w:color w:val="auto"/>
        </w:rPr>
        <w:t>In connection with the Annual Report on Form 10-K of PennantPark Floating Rate Capital Ltd. (the “Company”) for the period from March 4, 2011 (commencement of operations) to September 30, 2011 as filed with the Securities and Exchange Commission on the date hereof (the “Report”), I, Aviv Efrat, as Chief Financial Officer and Treasurer of the Registrant hereby certify, to the best of my knowledge that:</w:t>
      </w:r>
    </w:p>
    <w:p>
      <w:pPr>
        <w:spacing w:after="0" w:line="50" w:lineRule="exact"/>
        <w:rPr>
          <w:sz w:val="20"/>
          <w:szCs w:val="20"/>
          <w:color w:val="auto"/>
        </w:rPr>
      </w:pPr>
    </w:p>
    <w:p>
      <w:pPr>
        <w:ind w:left="640" w:hanging="200"/>
        <w:spacing w:after="0"/>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82" w:lineRule="exact"/>
        <w:rPr>
          <w:rFonts w:ascii="Arial" w:cs="Arial" w:eastAsia="Arial" w:hAnsi="Arial"/>
          <w:sz w:val="14"/>
          <w:szCs w:val="14"/>
          <w:color w:val="auto"/>
        </w:rPr>
      </w:pPr>
    </w:p>
    <w:p>
      <w:pPr>
        <w:ind w:left="640" w:hanging="200"/>
        <w:spacing w:after="0"/>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auto"/>
            </w:tcBorders>
          </w:tcPr>
          <w:p>
            <w:pPr>
              <w:ind w:left="1760"/>
              <w:spacing w:after="0"/>
              <w:rPr>
                <w:sz w:val="20"/>
                <w:szCs w:val="20"/>
                <w:color w:val="auto"/>
              </w:rPr>
            </w:pPr>
            <w:r>
              <w:rPr>
                <w:rFonts w:ascii="Arial" w:cs="Arial" w:eastAsia="Arial" w:hAnsi="Arial"/>
                <w:sz w:val="14"/>
                <w:szCs w:val="14"/>
                <w:color w:val="auto"/>
              </w:rPr>
              <w:t>/S/  AVIV EFRAT</w:t>
            </w:r>
          </w:p>
        </w:tc>
      </w:tr>
      <w:tr>
        <w:trPr>
          <w:trHeight w:val="190"/>
        </w:trPr>
        <w:tc>
          <w:tcPr>
            <w:tcW w:w="440" w:type="dxa"/>
            <w:vAlign w:val="bottom"/>
          </w:tcPr>
          <w:p>
            <w:pPr>
              <w:spacing w:after="0"/>
              <w:rPr>
                <w:sz w:val="20"/>
                <w:szCs w:val="20"/>
                <w:color w:val="auto"/>
              </w:rPr>
            </w:pPr>
            <w:r>
              <w:rPr>
                <w:rFonts w:ascii="Arial" w:cs="Arial" w:eastAsia="Arial" w:hAnsi="Arial"/>
                <w:sz w:val="14"/>
                <w:szCs w:val="14"/>
                <w:color w:val="auto"/>
              </w:rPr>
              <w:t>Name:</w:t>
            </w:r>
          </w:p>
        </w:tc>
        <w:tc>
          <w:tcPr>
            <w:tcW w:w="400" w:type="dxa"/>
            <w:vAlign w:val="bottom"/>
          </w:tcPr>
          <w:p>
            <w:pPr>
              <w:spacing w:after="0"/>
              <w:rPr>
                <w:sz w:val="16"/>
                <w:szCs w:val="16"/>
                <w:color w:val="auto"/>
              </w:rPr>
            </w:pPr>
          </w:p>
        </w:tc>
        <w:tc>
          <w:tcPr>
            <w:tcW w:w="4860" w:type="dxa"/>
            <w:vAlign w:val="bottom"/>
          </w:tcPr>
          <w:p>
            <w:pPr>
              <w:jc w:val="center"/>
              <w:spacing w:after="0"/>
              <w:rPr>
                <w:sz w:val="20"/>
                <w:szCs w:val="20"/>
                <w:color w:val="auto"/>
              </w:rPr>
            </w:pPr>
            <w:r>
              <w:rPr>
                <w:rFonts w:ascii="Arial" w:cs="Arial" w:eastAsia="Arial" w:hAnsi="Arial"/>
                <w:sz w:val="14"/>
                <w:szCs w:val="14"/>
                <w:b w:val="1"/>
                <w:bCs w:val="1"/>
                <w:color w:val="auto"/>
                <w:w w:val="97"/>
              </w:rPr>
              <w:t>Aviv Efrat</w:t>
            </w:r>
          </w:p>
        </w:tc>
      </w:tr>
      <w:tr>
        <w:trPr>
          <w:trHeight w:val="203"/>
        </w:trPr>
        <w:tc>
          <w:tcPr>
            <w:tcW w:w="440" w:type="dxa"/>
            <w:vAlign w:val="bottom"/>
          </w:tcPr>
          <w:p>
            <w:pPr>
              <w:spacing w:after="0"/>
              <w:rPr>
                <w:sz w:val="20"/>
                <w:szCs w:val="20"/>
                <w:color w:val="auto"/>
              </w:rPr>
            </w:pPr>
            <w:r>
              <w:rPr>
                <w:rFonts w:ascii="Arial" w:cs="Arial" w:eastAsia="Arial" w:hAnsi="Arial"/>
                <w:sz w:val="14"/>
                <w:szCs w:val="14"/>
                <w:color w:val="auto"/>
              </w:rPr>
              <w:t>Title:</w:t>
            </w:r>
          </w:p>
        </w:tc>
        <w:tc>
          <w:tcPr>
            <w:tcW w:w="400" w:type="dxa"/>
            <w:vAlign w:val="bottom"/>
          </w:tcPr>
          <w:p>
            <w:pPr>
              <w:spacing w:after="0"/>
              <w:rPr>
                <w:sz w:val="17"/>
                <w:szCs w:val="17"/>
                <w:color w:val="auto"/>
              </w:rPr>
            </w:pPr>
          </w:p>
        </w:tc>
        <w:tc>
          <w:tcPr>
            <w:tcW w:w="4860" w:type="dxa"/>
            <w:vAlign w:val="bottom"/>
          </w:tcPr>
          <w:p>
            <w:pPr>
              <w:jc w:val="center"/>
              <w:spacing w:after="0"/>
              <w:rPr>
                <w:sz w:val="20"/>
                <w:szCs w:val="20"/>
                <w:color w:val="auto"/>
              </w:rPr>
            </w:pPr>
            <w:r>
              <w:rPr>
                <w:rFonts w:ascii="Arial" w:cs="Arial" w:eastAsia="Arial" w:hAnsi="Arial"/>
                <w:sz w:val="14"/>
                <w:szCs w:val="14"/>
                <w:b w:val="1"/>
                <w:bCs w:val="1"/>
                <w:color w:val="auto"/>
                <w:w w:val="95"/>
              </w:rPr>
              <w:t>Chief Financial Officer and Treasurer</w:t>
            </w:r>
          </w:p>
        </w:tc>
      </w:tr>
      <w:tr>
        <w:trPr>
          <w:trHeight w:val="473"/>
        </w:trPr>
        <w:tc>
          <w:tcPr>
            <w:tcW w:w="440" w:type="dxa"/>
            <w:vAlign w:val="bottom"/>
          </w:tcPr>
          <w:p>
            <w:pPr>
              <w:spacing w:after="0"/>
              <w:rPr>
                <w:sz w:val="24"/>
                <w:szCs w:val="24"/>
                <w:color w:val="auto"/>
              </w:rPr>
            </w:pPr>
          </w:p>
        </w:tc>
        <w:tc>
          <w:tcPr>
            <w:tcW w:w="5260" w:type="dxa"/>
            <w:vAlign w:val="bottom"/>
            <w:gridSpan w:val="2"/>
          </w:tcPr>
          <w:p>
            <w:pPr>
              <w:ind w:left="60"/>
              <w:spacing w:after="0"/>
              <w:rPr>
                <w:sz w:val="20"/>
                <w:szCs w:val="20"/>
                <w:color w:val="auto"/>
              </w:rPr>
            </w:pPr>
            <w:r>
              <w:rPr>
                <w:rFonts w:ascii="Arial" w:cs="Arial" w:eastAsia="Arial" w:hAnsi="Arial"/>
                <w:sz w:val="14"/>
                <w:szCs w:val="14"/>
                <w:color w:val="auto"/>
              </w:rPr>
              <w:t>Date: 11/17/2011</w:t>
            </w:r>
          </w:p>
        </w:tc>
      </w:tr>
    </w:tbl>
    <w:p>
      <w:pPr>
        <w:sectPr>
          <w:pgSz w:w="11900" w:h="16838" w:orient="portrait"/>
          <w:cols w:equalWidth="0" w:num="1">
            <w:col w:w="11240"/>
          </w:cols>
          <w:pgMar w:left="320" w:top="900"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99.1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PRIVACY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PennantPark Floating Rate Captial Ltd. Investors:</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take precautions to maintain the privacy of personal information concerning our investors. These precautions include the adoption of certain procedures designed to maintain and secure your nonpublic personal information from inappropriate disclosure to unaffiliated third parties. We are sending this notice in accordance with applicable federal regulations. This notice applies to investors in PennantPark Floating Rate Captial Ltd. (the “Corporation”).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kind of personal information do we have about you and where did we get it?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 collect nonpublic personal information about you from the following sources: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Information we may receive from you in subscription agreements or other related documents or forms; and</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Information about your transactions with our affiliates and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we protect your personal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any nonpublic personal information about our investors or former investors to anyone, except as permitted by law.</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restrict access to nonpublic personal information about you to those employees and agents of PennantPark Investment Advisers, LLC, its affiliates and unaffiliated third party service providers (which may include a custodian, transfer agent or printer) who need to know that information in order to provide services to you or to the Corporation. In that regard, we note that we maintain physical, electronic, and procedural safeguards that comply with federal standards to safeguard your nonpublic personal information and which we believe is adequate to prevent unauthorized disclosure of such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we do with personal information about our former investors?</w:t>
      </w:r>
    </w:p>
    <w:p>
      <w:pPr>
        <w:spacing w:after="0" w:line="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an investor decides to no longer do business with us, we will continue to follow this privacy policy with respect to the information we have in our possession about such investor and his/her account.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concerning our privacy policies, please contact our Chief Financial Officer at (212) 905-1000.</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lowerLetter"/>
      <w:start w:val="1"/>
    </w:lvl>
  </w:abstractNum>
  <w:abstractNum w:abstractNumId="3">
    <w:nsid w:val="2D517796"/>
    <w:multiLevelType w:val="hybridMultilevel"/>
    <w:lvl w:ilvl="0">
      <w:lvlJc w:val="left"/>
      <w:lvlText w:val="%1."/>
      <w:numFmt w:val="lowerLetter"/>
      <w:start w:val="2"/>
    </w:lvl>
  </w:abstractNum>
  <w:abstractNum w:abstractNumId="4">
    <w:nsid w:val="580BD78F"/>
    <w:multiLevelType w:val="hybridMultilevel"/>
    <w:lvl w:ilvl="0">
      <w:lvlJc w:val="left"/>
      <w:lvlText w:val="%1"/>
      <w:numFmt w:val="lowerLetter"/>
      <w:start w:val="1"/>
    </w:lvl>
    <w:lvl w:ilvl="1">
      <w:lvlJc w:val="left"/>
      <w:lvlText w:val="•"/>
      <w:numFmt w:val="bullet"/>
      <w:start w:val="1"/>
    </w:lvl>
  </w:abstractNum>
  <w:abstractNum w:abstractNumId="5">
    <w:nsid w:val="153EA438"/>
    <w:multiLevelType w:val="hybridMultilevel"/>
    <w:lvl w:ilvl="0">
      <w:lvlJc w:val="left"/>
      <w:lvlText w:val="%1."/>
      <w:numFmt w:val="lowerLetter"/>
      <w:start w:val="4"/>
    </w:lvl>
  </w:abstractNum>
  <w:abstractNum w:abstractNumId="6">
    <w:nsid w:val="3855585C"/>
    <w:multiLevelType w:val="hybridMultilevel"/>
    <w:lvl w:ilvl="0">
      <w:lvlJc w:val="left"/>
      <w:lvlText w:val="%1."/>
      <w:numFmt w:val="lowerLetter"/>
      <w:start w:val="5"/>
    </w:lvl>
  </w:abstractNum>
  <w:abstractNum w:abstractNumId="7">
    <w:nsid w:val="70A64E2A"/>
    <w:multiLevelType w:val="hybridMultilevel"/>
    <w:lvl w:ilvl="0">
      <w:lvlJc w:val="left"/>
      <w:lvlText w:val="Ÿ"/>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1)"/>
      <w:numFmt w:val="decimal"/>
      <w:start w:val="2"/>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1)"/>
      <w:numFmt w:val="decimal"/>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1)"/>
      <w:numFmt w:val="decimal"/>
      <w:start w:val="1"/>
    </w:lvl>
    <w:lvl w:ilvl="1">
      <w:lvlJc w:val="left"/>
      <w:lvlText w:val="(%2)"/>
      <w:numFmt w:val="lowerLetter"/>
      <w:start w:val="1"/>
    </w:lvl>
  </w:abstractNum>
  <w:abstractNum w:abstractNumId="19">
    <w:nsid w:val="7644A45C"/>
    <w:multiLevelType w:val="hybridMultilevel"/>
    <w:lvl w:ilvl="0">
      <w:lvlJc w:val="left"/>
      <w:lvlText w:val="Ÿ"/>
      <w:numFmt w:val="bullet"/>
      <w:start w:val="1"/>
    </w:lvl>
  </w:abstractNum>
  <w:abstractNum w:abstractNumId="20">
    <w:nsid w:val="32FFF902"/>
    <w:multiLevelType w:val="hybridMultilevel"/>
    <w:lvl w:ilvl="0">
      <w:lvlJc w:val="left"/>
      <w:lvlText w:val="(%1)"/>
      <w:numFmt w:val="decimal"/>
      <w:start w:val="2"/>
    </w:lvl>
  </w:abstractNum>
  <w:abstractNum w:abstractNumId="21">
    <w:nsid w:val="684A481A"/>
    <w:multiLevelType w:val="hybridMultilevel"/>
    <w:lvl w:ilvl="0">
      <w:lvlJc w:val="left"/>
      <w:lvlText w:val="Ÿ"/>
      <w:numFmt w:val="bullet"/>
      <w:start w:val="1"/>
    </w:lvl>
    <w:lvl w:ilvl="1">
      <w:lvlJc w:val="left"/>
      <w:lvlText w:val="%2)"/>
      <w:numFmt w:val="decimal"/>
      <w:start w:val="1"/>
    </w:lvl>
  </w:abstractNum>
  <w:abstractNum w:abstractNumId="22">
    <w:nsid w:val="579478FE"/>
    <w:multiLevelType w:val="hybridMultilevel"/>
    <w:lvl w:ilvl="0">
      <w:lvlJc w:val="left"/>
      <w:lvlText w:val="(%1)"/>
      <w:numFmt w:val="decimal"/>
      <w:start w:val="2"/>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1)"/>
      <w:numFmt w:val="decimal"/>
      <w:start w:val="2"/>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2"/>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lowerLetter"/>
      <w:start w:val="2"/>
    </w:lvl>
  </w:abstractNum>
  <w:abstractNum w:abstractNumId="49">
    <w:nsid w:val="77AE35EB"/>
    <w:multiLevelType w:val="hybridMultilevel"/>
    <w:lvl w:ilvl="0">
      <w:lvlJc w:val="left"/>
      <w:lvlText w:val="(%1)"/>
      <w:numFmt w:val="lowerLetter"/>
      <w:start w:val="3"/>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1"/>
      <w:numFmt w:val="decimal"/>
      <w:start w:val="1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1)"/>
      <w:numFmt w:val="upperLetter"/>
      <w:start w:val="1"/>
    </w:lvl>
  </w:abstractNum>
  <w:abstractNum w:abstractNumId="54">
    <w:nsid w:val="25A70BF7"/>
    <w:multiLevelType w:val="hybridMultilevel"/>
    <w:lvl w:ilvl="0">
      <w:lvlJc w:val="left"/>
      <w:lvlText w:val="(%1)"/>
      <w:numFmt w:val="upperLetter"/>
      <w:start w:val="3"/>
    </w:lvl>
    <w:lvl w:ilvl="1">
      <w:lvlJc w:val="left"/>
      <w:lvlText w:val="(%2)"/>
      <w:numFmt w:val="upperLetter"/>
      <w:start w:val="5"/>
    </w:lvl>
    <w:lvl w:ilvl="2">
      <w:lvlJc w:val="left"/>
      <w:lvlText w:val="%3"/>
      <w:numFmt w:val="upperLetter"/>
      <w:start w:val="1"/>
    </w:lvl>
    <w:lvl w:ilvl="3">
      <w:lvlJc w:val="left"/>
      <w:lvlText w:val="(%4)"/>
      <w:numFmt w:val="upperLetter"/>
      <w:start w:val="6"/>
    </w:lvl>
    <w:lvl w:ilvl="4">
      <w:lvlJc w:val="left"/>
      <w:lvlText w:val="%5"/>
      <w:numFmt w:val="upperLetter"/>
      <w:start w:val="1"/>
    </w:lvl>
  </w:abstractNum>
  <w:abstractNum w:abstractNumId="55">
    <w:nsid w:val="1DBABF00"/>
    <w:multiLevelType w:val="hybridMultilevel"/>
    <w:lvl w:ilvl="0">
      <w:lvlJc w:val="left"/>
      <w:lvlText w:val="%1"/>
      <w:numFmt w:val="upperLetter"/>
      <w:start w:val="1"/>
    </w:lvl>
    <w:lvl w:ilvl="1">
      <w:lvlJc w:val="left"/>
      <w:lvlText w:val="(%2)"/>
      <w:numFmt w:val="upperLetter"/>
      <w:start w:val="7"/>
    </w:lvl>
    <w:lvl w:ilvl="2">
      <w:lvlJc w:val="left"/>
      <w:lvlText w:val="(%3)"/>
      <w:numFmt w:val="upperLetter"/>
      <w:start w:val="10"/>
    </w:lvl>
    <w:lvl w:ilvl="3">
      <w:lvlJc w:val="left"/>
      <w:lvlText w:val="(%4)"/>
      <w:numFmt w:val="upperLetter"/>
      <w:start w:val="9"/>
    </w:lvl>
    <w:lvl w:ilvl="4">
      <w:lvlJc w:val="left"/>
      <w:lvlText w:val="(%5)"/>
      <w:numFmt w:val="upperLetter"/>
      <w:start w:val="1"/>
    </w:lvl>
  </w:abstractNum>
  <w:abstractNum w:abstractNumId="56">
    <w:nsid w:val="4AD084E9"/>
    <w:multiLevelType w:val="hybridMultilevel"/>
    <w:lvl w:ilvl="0">
      <w:lvlJc w:val="left"/>
      <w:lvlText w:val="(%1)"/>
      <w:numFmt w:val="lowerRoman"/>
      <w:start w:val="1"/>
    </w:lvl>
  </w:abstractNum>
  <w:abstractNum w:abstractNumId="57">
    <w:nsid w:val="1F48EAA1"/>
    <w:multiLevelType w:val="hybridMultilevel"/>
    <w:lvl w:ilvl="0">
      <w:lvlJc w:val="left"/>
      <w:lvlText w:val="(%1)"/>
      <w:numFmt w:val="upperLetter"/>
      <w:start w:val="1"/>
    </w:lvl>
  </w:abstractNum>
  <w:abstractNum w:abstractNumId="58">
    <w:nsid w:val="1381823A"/>
    <w:multiLevelType w:val="hybridMultilevel"/>
    <w:lvl w:ilvl="0">
      <w:lvlJc w:val="left"/>
      <w:lvlText w:val="(%1)"/>
      <w:numFmt w:val="upperLetter"/>
      <w:start w:val="1"/>
    </w:lvl>
  </w:abstractNum>
  <w:abstractNum w:abstractNumId="59">
    <w:nsid w:val="5DB70AE5"/>
    <w:multiLevelType w:val="hybridMultilevel"/>
    <w:lvl w:ilvl="0">
      <w:lvlJc w:val="left"/>
      <w:lvlText w:val="(%1)"/>
      <w:numFmt w:val="upperLetter"/>
      <w:start w:val="2"/>
    </w:lvl>
  </w:abstractNum>
  <w:abstractNum w:abstractNumId="60">
    <w:nsid w:val="100F8FCA"/>
    <w:multiLevelType w:val="hybridMultilevel"/>
    <w:lvl w:ilvl="0">
      <w:lvlJc w:val="left"/>
      <w:lvlText w:val="%1"/>
      <w:numFmt w:val="upperLetter"/>
      <w:start w:val="1"/>
    </w:lvl>
    <w:lvl w:ilvl="1">
      <w:lvlJc w:val="left"/>
      <w:lvlText w:val="(%2)"/>
      <w:numFmt w:val="decimal"/>
      <w:start w:val="1"/>
    </w:lvl>
  </w:abstractNum>
  <w:abstractNum w:abstractNumId="61">
    <w:nsid w:val="6590700B"/>
    <w:multiLevelType w:val="hybridMultilevel"/>
    <w:lvl w:ilvl="0">
      <w:lvlJc w:val="left"/>
      <w:lvlText w:val="(%1)"/>
      <w:numFmt w:val="upperLetter"/>
      <w:start w:val="3"/>
    </w:lvl>
    <w:lvl w:ilvl="1">
      <w:lvlJc w:val="left"/>
      <w:lvlText w:val="%2"/>
      <w:numFmt w:val="decimal"/>
      <w:start w:val="1"/>
    </w:lvl>
  </w:abstractNum>
  <w:abstractNum w:abstractNumId="62">
    <w:nsid w:val="15014ACB"/>
    <w:multiLevelType w:val="hybridMultilevel"/>
    <w:lvl w:ilvl="0">
      <w:lvlJc w:val="left"/>
      <w:lvlText w:val="(%1)"/>
      <w:numFmt w:val="decimal"/>
      <w:start w:val="1"/>
    </w:lvl>
    <w:lvl w:ilvl="1">
      <w:lvlJc w:val="left"/>
      <w:lvlText w:val="(%2)"/>
      <w:numFmt w:val="upperLetter"/>
      <w:start w:val="6"/>
    </w:lvl>
  </w:abstractNum>
  <w:abstractNum w:abstractNumId="63">
    <w:nsid w:val="5F5E7FD0"/>
    <w:multiLevelType w:val="hybridMultilevel"/>
    <w:lvl w:ilvl="0">
      <w:lvlJc w:val="left"/>
      <w:lvlText w:val="(%1)"/>
      <w:numFmt w:val="upperLetter"/>
      <w:start w:val="1"/>
    </w:lvl>
  </w:abstractNum>
  <w:abstractNum w:abstractNumId="64">
    <w:nsid w:val="98A3148"/>
    <w:multiLevelType w:val="hybridMultilevel"/>
    <w:lvl w:ilvl="0">
      <w:lvlJc w:val="left"/>
      <w:lvlText w:val="(%1)"/>
      <w:numFmt w:val="upperLetter"/>
      <w:start w:val="3"/>
    </w:lvl>
    <w:lvl w:ilvl="1">
      <w:lvlJc w:val="left"/>
      <w:lvlText w:val="(%2)"/>
      <w:numFmt w:val="decimal"/>
      <w:start w:val="1"/>
    </w:lvl>
  </w:abstractNum>
  <w:abstractNum w:abstractNumId="65">
    <w:nsid w:val="799D0247"/>
    <w:multiLevelType w:val="hybridMultilevel"/>
    <w:lvl w:ilvl="0">
      <w:lvlJc w:val="left"/>
      <w:lvlText w:val="(%1)"/>
      <w:numFmt w:val="upperLetter"/>
      <w:start w:val="5"/>
    </w:lvl>
  </w:abstractNum>
  <w:abstractNum w:abstractNumId="66">
    <w:nsid w:val="6B94764"/>
    <w:multiLevelType w:val="hybridMultilevel"/>
    <w:lvl w:ilvl="0">
      <w:lvlJc w:val="left"/>
      <w:lvlText w:val="%1"/>
      <w:numFmt w:val="decimal"/>
      <w:start w:val="1"/>
    </w:lvl>
    <w:lvl w:ilvl="1">
      <w:lvlJc w:val="left"/>
      <w:lvlText w:val="(%2)"/>
      <w:numFmt w:val="upperLetter"/>
      <w:start w:val="1"/>
    </w:lvl>
  </w:abstractNum>
  <w:abstractNum w:abstractNumId="67">
    <w:nsid w:val="42C296BD"/>
    <w:multiLevelType w:val="hybridMultilevel"/>
    <w:lvl w:ilvl="0">
      <w:lvlJc w:val="left"/>
      <w:lvlText w:val="(%1)"/>
      <w:numFmt w:val="decimal"/>
      <w:start w:val="1"/>
    </w:lvl>
    <w:lvl w:ilvl="1">
      <w:lvlJc w:val="left"/>
      <w:lvlText w:val="%2"/>
      <w:numFmt w:val="upperLetter"/>
      <w:start w:val="1"/>
    </w:lvl>
  </w:abstractNum>
  <w:abstractNum w:abstractNumId="68">
    <w:nsid w:val="168E121F"/>
    <w:multiLevelType w:val="hybridMultilevel"/>
    <w:lvl w:ilvl="0">
      <w:lvlJc w:val="left"/>
      <w:lvlText w:val="(%1)"/>
      <w:numFmt w:val="decimal"/>
      <w:start w:val="6"/>
    </w:lvl>
  </w:abstractNum>
  <w:abstractNum w:abstractNumId="69">
    <w:nsid w:val="1EBA5D23"/>
    <w:multiLevelType w:val="hybridMultilevel"/>
    <w:lvl w:ilvl="0">
      <w:lvlJc w:val="left"/>
      <w:lvlText w:val="%1"/>
      <w:numFmt w:val="decimal"/>
      <w:start w:val="1"/>
    </w:lvl>
    <w:lvl w:ilvl="1">
      <w:lvlJc w:val="left"/>
      <w:lvlText w:val="(%2)"/>
      <w:numFmt w:val="upperLetter"/>
      <w:start w:val="3"/>
    </w:lvl>
  </w:abstractNum>
  <w:abstractNum w:abstractNumId="70">
    <w:nsid w:val="661E3F1E"/>
    <w:multiLevelType w:val="hybridMultilevel"/>
    <w:lvl w:ilvl="0">
      <w:lvlJc w:val="left"/>
      <w:lvlText w:val="(%1)"/>
      <w:numFmt w:val="decimal"/>
      <w:start w:val="1"/>
    </w:lvl>
    <w:lvl w:ilvl="1">
      <w:lvlJc w:val="left"/>
      <w:lvlText w:val="(%2)"/>
      <w:numFmt w:val="upperLetter"/>
      <w:start w:val="4"/>
    </w:lvl>
  </w:abstractNum>
  <w:abstractNum w:abstractNumId="71">
    <w:nsid w:val="5DC79EA8"/>
    <w:multiLevelType w:val="hybridMultilevel"/>
    <w:lvl w:ilvl="0">
      <w:lvlJc w:val="left"/>
      <w:lvlText w:val="(%1)"/>
      <w:numFmt w:val="decimal"/>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2020-05-05T12:11:22Z</dcterms:created>
  <dcterms:modified xsi:type="dcterms:W3CDTF">2020-05-05T12:11:22Z</dcterms:modified>
</cp:coreProperties>
</file>