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1300d8k.htm"/>
      <w:bookmarkStart w:id="1" w:name="ksd1013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w:t>
      </w:r>
    </w:p>
    <w:p>
      <w:pPr>
        <w:pStyle w:val="TextBody"/>
        <w:bidi w:val="0"/>
        <w:spacing w:before="16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February 25,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PennantPark Floating Rate Capital Ltd.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814-00891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27-3794690</w:t>
            </w:r>
          </w:p>
        </w:tc>
      </w:tr>
      <w:tr>
        <w:trPr/>
        <w:tc>
          <w:tcPr>
            <w:tcW w:w="2825" w:type="dxa"/>
            <w:tcBorders/>
            <w:vAlign w:val="center"/>
          </w:tcPr>
          <w:p>
            <w:pPr>
              <w:pStyle w:val="TableContents"/>
              <w:bidi w:val="0"/>
              <w:spacing w:before="0" w:after="0"/>
              <w:jc w:val="center"/>
              <w:rPr>
                <w:b/>
                <w:spacing w:val="0"/>
              </w:rPr>
            </w:pPr>
            <w:r>
              <w:rPr>
                <w:b/>
                <w:spacing w:val="0"/>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1691 Michigan Avenue </w:t>
      </w:r>
    </w:p>
    <w:p>
      <w:pPr>
        <w:pStyle w:val="TextBody"/>
        <w:bidi w:val="0"/>
        <w:spacing w:before="0" w:after="0"/>
        <w:jc w:val="center"/>
        <w:rPr>
          <w:rFonts w:ascii="Times New Roman" w:hAnsi="Times New Roman"/>
          <w:b/>
          <w:sz w:val="20"/>
        </w:rPr>
      </w:pPr>
      <w:r>
        <w:rPr>
          <w:rFonts w:ascii="Times New Roman" w:hAnsi="Times New Roman"/>
          <w:b/>
          <w:sz w:val="20"/>
        </w:rPr>
        <w:t xml:space="preserve">Miami Beach, Florida 33139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160" w:after="0"/>
        <w:jc w:val="center"/>
        <w:rPr>
          <w:rFonts w:ascii="Times New Roman" w:hAnsi="Times New Roman"/>
          <w:b/>
          <w:sz w:val="20"/>
        </w:rPr>
      </w:pPr>
      <w:r>
        <w:rPr>
          <w:rFonts w:ascii="Times New Roman" w:hAnsi="Times New Roman"/>
          <w:b/>
          <w:sz w:val="20"/>
        </w:rPr>
        <w:t xml:space="preserve">(786) </w:t>
      </w:r>
    </w:p>
    <w:p>
      <w:pPr>
        <w:pStyle w:val="TextBody"/>
        <w:bidi w:val="0"/>
        <w:spacing w:before="160" w:after="0"/>
        <w:jc w:val="center"/>
        <w:rPr>
          <w:rFonts w:ascii="Times New Roman" w:hAnsi="Times New Roman"/>
          <w:b/>
          <w:spacing w:val="0"/>
          <w:sz w:val="20"/>
        </w:rPr>
      </w:pPr>
      <w:r>
        <w:rPr>
          <w:rFonts w:ascii="Times New Roman" w:hAnsi="Times New Roman"/>
          <w:b/>
          <w:spacing w:val="0"/>
          <w:sz w:val="20"/>
        </w:rPr>
        <w:t>297-9500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16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160" w:after="0"/>
        <w:jc w:val="left"/>
        <w:rPr>
          <w:rFonts w:ascii="Times New Roman" w:hAnsi="Times New Roman"/>
          <w:spacing w:val="0"/>
          <w:sz w:val="20"/>
        </w:rPr>
      </w:pPr>
      <w:r>
        <w:rPr>
          <w:rFonts w:ascii="Times New Roman" w:hAnsi="Times New Roman"/>
          <w:spacing w:val="0"/>
          <w:sz w:val="20"/>
        </w:rPr>
        <w:t>8-K</w:t>
      </w:r>
    </w:p>
    <w:p>
      <w:pPr>
        <w:pStyle w:val="TextBody"/>
        <w:bidi w:val="0"/>
        <w:spacing w:before="16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0"/>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8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160" w:after="0"/>
        <w:jc w:val="left"/>
        <w:rPr>
          <w:rFonts w:ascii="Times New Roman" w:hAnsi="Times New Roman"/>
          <w:spacing w:val="0"/>
          <w:sz w:val="20"/>
        </w:rPr>
      </w:pPr>
      <w:r>
        <w:rPr>
          <w:rFonts w:ascii="Times New Roman" w:hAnsi="Times New Roman"/>
          <w:spacing w:val="0"/>
          <w:sz w:val="20"/>
        </w:rPr>
        <w:t>12b-2</w:t>
      </w:r>
    </w:p>
    <w:p>
      <w:pPr>
        <w:pStyle w:val="TextBody"/>
        <w:bidi w:val="0"/>
        <w:spacing w:before="16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16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160" w:after="0"/>
        <w:jc w:val="left"/>
        <w:rPr>
          <w:rFonts w:ascii="Times New Roman" w:hAnsi="Times New Roman"/>
          <w:sz w:val="20"/>
        </w:rPr>
      </w:pPr>
      <w:r>
        <w:rPr>
          <w:rFonts w:ascii="Times New Roman" w:hAnsi="Times New Roman"/>
          <w:sz w:val="20"/>
        </w:rPr>
        <w:t xml:space="preserve">of this chapter). </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pPr>
      <w:r>
        <w:rPr/>
        <w:t>☐</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0"/>
              <w:jc w:val="left"/>
              <w:rPr>
                <w:b/>
                <w:spacing w:val="0"/>
              </w:rPr>
            </w:pPr>
            <w:r>
              <w:rPr>
                <w:b/>
                <w:spacing w:val="0"/>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25, 2026, PennantPark Floating Rate Capital Ltd. (the “Company”) entered into an underwriting agreement (the “Underwriting Agreement”) by and among the Company, PennantPark Investment Advisers, LLC (the “Adviser”) and Raymond James &amp; Associates, Inc., as representative of the several underwriters, in connection with the issuance and sale of $200 million aggregate principal amount of the Company’s 6.75% Notes due 2029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includes customary representations, warranties, and covenants by the Company and the Adviser. It also provides for customary indemnification by each of the Company, the Adviser, and the underwriters against certain liabilities and customary contribution provisions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The Offering is being made pursuant to the Company’s effective shelf registration stat</w:t>
      </w:r>
    </w:p>
    <w:p>
      <w:pPr>
        <w:pStyle w:val="TextBody"/>
        <w:bidi w:val="0"/>
        <w:spacing w:before="240" w:after="0"/>
        <w:jc w:val="left"/>
        <w:rPr>
          <w:rFonts w:ascii="Times New Roman" w:hAnsi="Times New Roman"/>
          <w:sz w:val="20"/>
        </w:rPr>
      </w:pPr>
      <w:r>
        <w:rPr>
          <w:rFonts w:ascii="Times New Roman" w:hAnsi="Times New Roman"/>
          <w:sz w:val="20"/>
        </w:rPr>
        <w:t xml:space="preserve">ement </w:t>
      </w:r>
    </w:p>
    <w:p>
      <w:pPr>
        <w:pStyle w:val="TextBody"/>
        <w:bidi w:val="0"/>
        <w:spacing w:before="240" w:after="0"/>
        <w:jc w:val="left"/>
        <w:rPr>
          <w:rFonts w:ascii="Times New Roman" w:hAnsi="Times New Roman"/>
          <w:sz w:val="20"/>
        </w:rPr>
      </w:pPr>
      <w:r>
        <w:rPr>
          <w:rFonts w:ascii="Times New Roman" w:hAnsi="Times New Roman"/>
          <w:sz w:val="20"/>
        </w:rPr>
        <w:t xml:space="preserve">on Form </w:t>
      </w:r>
    </w:p>
    <w:p>
      <w:pPr>
        <w:pStyle w:val="TextBody"/>
        <w:bidi w:val="0"/>
        <w:spacing w:before="240" w:after="0"/>
        <w:jc w:val="left"/>
        <w:rPr>
          <w:rFonts w:ascii="Times New Roman" w:hAnsi="Times New Roman"/>
          <w:sz w:val="20"/>
        </w:rPr>
      </w:pPr>
      <w:r>
        <w:rPr>
          <w:rFonts w:ascii="Times New Roman" w:hAnsi="Times New Roman"/>
          <w:sz w:val="20"/>
        </w:rPr>
        <w:t>N-2</w:t>
      </w:r>
    </w:p>
    <w:p>
      <w:pPr>
        <w:pStyle w:val="TextBody"/>
        <w:bidi w:val="0"/>
        <w:spacing w:before="240" w:after="0"/>
        <w:jc w:val="left"/>
        <w:rPr>
          <w:rFonts w:ascii="Times New Roman" w:hAnsi="Times New Roman"/>
          <w:sz w:val="20"/>
        </w:rPr>
      </w:pPr>
      <w:r>
        <w:rPr>
          <w:rFonts w:ascii="Times New Roman" w:hAnsi="Times New Roman"/>
          <w:sz w:val="20"/>
        </w:rPr>
        <w:t xml:space="preserve">(Registration </w:t>
      </w:r>
    </w:p>
    <w:p>
      <w:pPr>
        <w:pStyle w:val="TextBody"/>
        <w:bidi w:val="0"/>
        <w:spacing w:before="240" w:after="0"/>
        <w:jc w:val="left"/>
        <w:rPr>
          <w:rFonts w:ascii="Times New Roman" w:hAnsi="Times New Roman"/>
          <w:sz w:val="20"/>
        </w:rPr>
      </w:pPr>
      <w:r>
        <w:rPr>
          <w:rFonts w:ascii="Times New Roman" w:hAnsi="Times New Roman"/>
          <w:sz w:val="20"/>
        </w:rPr>
        <w:t>No. 333-279726)</w:t>
      </w:r>
    </w:p>
    <w:p>
      <w:pPr>
        <w:pStyle w:val="TextBody"/>
        <w:bidi w:val="0"/>
        <w:spacing w:before="240" w:after="0"/>
        <w:jc w:val="left"/>
        <w:rPr>
          <w:rFonts w:ascii="Times New Roman" w:hAnsi="Times New Roman"/>
          <w:sz w:val="20"/>
        </w:rPr>
      </w:pPr>
      <w:r>
        <w:rPr>
          <w:rFonts w:ascii="Times New Roman" w:hAnsi="Times New Roman"/>
          <w:sz w:val="20"/>
        </w:rPr>
        <w:t xml:space="preserve">previously filed with the Securities and Exchange Commission, as supplemented by a preliminary prospectus supplement dated February 25, 2026 and a final prospectus supplement dated February 25,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full text of the Underwriting Agreement filed with this report as Exhibit 1.1 and which is incorporated herein by reference.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1025"/>
        <w:gridCol w:w="1670"/>
      </w:tblGrid>
      <w:tr>
        <w:trPr/>
        <w:tc>
          <w:tcPr>
            <w:tcW w:w="1025" w:type="dxa"/>
            <w:tcBorders/>
            <w:vAlign w:val="center"/>
          </w:tcPr>
          <w:p>
            <w:pPr>
              <w:pStyle w:val="TableContents"/>
              <w:bidi w:val="0"/>
              <w:spacing w:before="0" w:after="0"/>
              <w:jc w:val="left"/>
              <w:rPr>
                <w:b/>
                <w:spacing w:val="0"/>
              </w:rPr>
            </w:pPr>
            <w:r>
              <w:rPr>
                <w:b/>
                <w:spacing w:val="0"/>
              </w:rPr>
              <w:t>Item 9.01.</w:t>
            </w:r>
          </w:p>
        </w:tc>
        <w:tc>
          <w:tcPr>
            <w:tcW w:w="1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w:t>
            </w:r>
          </w:p>
          <w:p>
            <w:pPr>
              <w:pStyle w:val="TableContents"/>
              <w:bidi w:val="0"/>
              <w:spacing w:before="0" w:after="0"/>
              <w:jc w:val="left"/>
              <w:rPr>
                <w:rFonts w:ascii="Times New Roman" w:hAnsi="Times New Roman"/>
                <w:b/>
                <w:sz w:val="20"/>
              </w:rPr>
            </w:pPr>
            <w:r>
              <w:rPr>
                <w:rFonts w:ascii="Times New Roman" w:hAnsi="Times New Roman"/>
                <w:b/>
                <w:sz w:val="20"/>
              </w:rPr>
              <w:t>ts a</w:t>
            </w:r>
          </w:p>
          <w:p>
            <w:pPr>
              <w:pStyle w:val="TableContents"/>
              <w:bidi w:val="0"/>
              <w:spacing w:before="0" w:after="0"/>
              <w:jc w:val="left"/>
              <w:rPr>
                <w:rFonts w:ascii="Times New Roman" w:hAnsi="Times New Roman"/>
                <w:b/>
                <w:sz w:val="20"/>
              </w:rPr>
            </w:pPr>
            <w:r>
              <w:rPr>
                <w:rFonts w:ascii="Times New Roman" w:hAnsi="Times New Roman"/>
                <w:b/>
                <w:sz w:val="20"/>
              </w:rPr>
              <w:t xml:space="preserve">nd Exhibits. </w:t>
            </w:r>
          </w:p>
        </w:tc>
      </w:tr>
    </w:tbl>
    <w:p>
      <w:pPr>
        <w:pStyle w:val="TextBody"/>
        <w:bidi w:val="0"/>
        <w:spacing w:before="120" w:after="0"/>
        <w:jc w:val="left"/>
        <w:rPr>
          <w:rFonts w:ascii="Times New Roman" w:hAnsi="Times New Roman"/>
          <w:sz w:val="20"/>
        </w:rPr>
      </w:pPr>
      <w:r>
        <w:rPr>
          <w:rFonts w:ascii="Times New Roman" w:hAnsi="Times New Roman"/>
          <w:sz w:val="20"/>
        </w:rPr>
        <w:t>(d)</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120"/>
        <w:gridCol w:w="9690"/>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9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101300dex11.htm">
              <w:r>
                <w:rPr>
                  <w:rStyle w:val="InternetLink"/>
                </w:rPr>
                <w:t xml:space="preserve">Underwriting Agreement, dated February 25, 2026, by and among PennantPark Floating Rate Capital Ltd., PennantPark Investment Advisers, LLC and Raymond James &amp; Associates, Inc., as representative of the several underwriters.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9810"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w:t>
      </w:r>
    </w:p>
    <w:p>
      <w:pPr>
        <w:pStyle w:val="TextBody"/>
        <w:bidi w:val="0"/>
        <w:spacing w:before="240" w:after="0"/>
        <w:jc w:val="left"/>
        <w:rPr>
          <w:rFonts w:ascii="Times New Roman" w:hAnsi="Times New Roman"/>
          <w:sz w:val="20"/>
        </w:rPr>
      </w:pPr>
      <w:r>
        <w:rPr>
          <w:rFonts w:ascii="Times New Roman" w:hAnsi="Times New Roman"/>
          <w:sz w:val="20"/>
        </w:rPr>
        <w:t xml:space="preserve">behalf </w:t>
      </w:r>
    </w:p>
    <w:p>
      <w:pPr>
        <w:pStyle w:val="TextBody"/>
        <w:bidi w:val="0"/>
        <w:spacing w:before="240" w:after="0"/>
        <w:jc w:val="left"/>
        <w:rPr>
          <w:rFonts w:ascii="Times New Roman" w:hAnsi="Times New Roman"/>
          <w:sz w:val="20"/>
        </w:rPr>
      </w:pPr>
      <w:r>
        <w:rPr>
          <w:rFonts w:ascii="Times New Roman" w:hAnsi="Times New Roman"/>
          <w:sz w:val="20"/>
        </w:rPr>
        <w:t xml:space="preserve">by the undersigned hereunto duly authorized. </w:t>
      </w:r>
    </w:p>
    <w:p>
      <w:pPr>
        <w:pStyle w:val="TextBody"/>
        <w:bidi w:val="0"/>
        <w:spacing w:before="0" w:after="0"/>
        <w:jc w:val="left"/>
        <w:rPr/>
      </w:pPr>
      <w:r>
        <w:rPr/>
        <w:t> </w:t>
      </w:r>
    </w:p>
    <w:tbl>
      <w:tblPr>
        <w:tblW w:w="6647" w:type="dxa"/>
        <w:jc w:val="left"/>
        <w:tblInd w:w="0" w:type="dxa"/>
        <w:tblLayout w:type="fixed"/>
        <w:tblCellMar>
          <w:top w:w="0" w:type="dxa"/>
          <w:left w:w="0" w:type="dxa"/>
          <w:bottom w:w="0" w:type="dxa"/>
          <w:right w:w="0" w:type="dxa"/>
        </w:tblCellMar>
      </w:tblPr>
      <w:tblGrid>
        <w:gridCol w:w="2360"/>
        <w:gridCol w:w="60"/>
        <w:gridCol w:w="23"/>
        <w:gridCol w:w="60"/>
        <w:gridCol w:w="651"/>
        <w:gridCol w:w="60"/>
        <w:gridCol w:w="3433"/>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44" w:type="dxa"/>
            <w:gridSpan w:val="3"/>
            <w:tcBorders/>
            <w:vAlign w:val="center"/>
          </w:tcPr>
          <w:p>
            <w:pPr>
              <w:pStyle w:val="TableContents"/>
              <w:bidi w:val="0"/>
              <w:spacing w:before="0" w:after="0"/>
              <w:jc w:val="left"/>
              <w:rPr>
                <w:b/>
                <w:spacing w:val="0"/>
              </w:rPr>
            </w:pPr>
            <w:r>
              <w:rPr>
                <w:b/>
                <w:spacing w:val="0"/>
              </w:rPr>
              <w:t>PennantPark Floating Rate Capital Ltd.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1" w:type="dxa"/>
            <w:gridSpan w:val="2"/>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Richard T. Allorto, Jr.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83"/>
              <w:jc w:val="left"/>
              <w:rPr/>
            </w:pPr>
            <w:r>
              <w:rPr/>
              <w:t>Richard T. Allorto, Jr.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83"/>
              <w:jc w:val="left"/>
              <w:rPr/>
            </w:pPr>
            <w:r>
              <w:rPr/>
              <w:t>Chief Financial Officer &amp; Treasurer</w:t>
            </w:r>
          </w:p>
        </w:tc>
      </w:tr>
    </w:tbl>
    <w:p>
      <w:pPr>
        <w:pStyle w:val="TextBody"/>
        <w:bidi w:val="0"/>
        <w:spacing w:before="0" w:after="0"/>
        <w:jc w:val="right"/>
        <w:rPr>
          <w:rFonts w:ascii="Times New Roman" w:hAnsi="Times New Roman"/>
          <w:b/>
          <w:sz w:val="20"/>
        </w:rPr>
      </w:pPr>
      <w:bookmarkStart w:id="2" w:name="d101300dex11.htm"/>
      <w:bookmarkStart w:id="3" w:name="ksd101300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240" w:after="0"/>
        <w:jc w:val="center"/>
        <w:rPr>
          <w:rFonts w:ascii="Times New Roman" w:hAnsi="Times New Roman"/>
          <w:sz w:val="20"/>
        </w:rPr>
      </w:pPr>
      <w:r>
        <w:rPr>
          <w:rFonts w:ascii="Times New Roman" w:hAnsi="Times New Roman"/>
          <w:sz w:val="20"/>
        </w:rPr>
        <w:t xml:space="preserve">$200,000,000 6.75% Notes due 2029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February 25, 2026 </w:t>
      </w:r>
    </w:p>
    <w:p>
      <w:pPr>
        <w:pStyle w:val="TextBody"/>
        <w:bidi w:val="0"/>
        <w:spacing w:before="240" w:after="0"/>
        <w:jc w:val="left"/>
        <w:rPr>
          <w:rFonts w:ascii="Times New Roman" w:hAnsi="Times New Roman"/>
          <w:sz w:val="20"/>
        </w:rPr>
      </w:pPr>
      <w:r>
        <w:rPr>
          <w:rFonts w:ascii="Times New Roman" w:hAnsi="Times New Roman"/>
          <w:sz w:val="20"/>
        </w:rPr>
        <w:t xml:space="preserve">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w:t>
      </w:r>
    </w:p>
    <w:p>
      <w:pPr>
        <w:pStyle w:val="TextBody"/>
        <w:bidi w:val="0"/>
        <w:spacing w:before="240" w:after="0"/>
        <w:jc w:val="left"/>
        <w:rPr>
          <w:rFonts w:ascii="Times New Roman" w:hAnsi="Times New Roman"/>
          <w:sz w:val="20"/>
        </w:rPr>
      </w:pPr>
      <w:r>
        <w:rPr>
          <w:rFonts w:ascii="Times New Roman" w:hAnsi="Times New Roman"/>
          <w:sz w:val="20"/>
        </w:rPr>
        <w:t xml:space="preserve">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880 Carillon Parkway </w:t>
      </w:r>
    </w:p>
    <w:p>
      <w:pPr>
        <w:pStyle w:val="TextBody"/>
        <w:bidi w:val="0"/>
        <w:spacing w:before="0" w:after="0"/>
        <w:jc w:val="left"/>
        <w:rPr>
          <w:rFonts w:ascii="Times New Roman" w:hAnsi="Times New Roman"/>
          <w:sz w:val="20"/>
        </w:rPr>
      </w:pPr>
      <w:r>
        <w:rPr>
          <w:rFonts w:ascii="Times New Roman" w:hAnsi="Times New Roman"/>
          <w:sz w:val="20"/>
        </w:rPr>
        <w:t xml:space="preserve">St. Petersburg, FL 33716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and PennantPark Investment Advisers, LLC, a Delaware limited liability company (the “Adviser”), each confirms its agreement with Raymond James &amp; Associates, Inc. (“Raymond James”) and each of the other underwriters named in Schedule A hereto (collectively, the “Underwriters,” which term shall also include any underwriter substituted as hereinafter provided in Section 8 hereof), for whom Raymond James is acting as representative (in such capacity, the “Representative”), with respect to the sale by the Company and the purchase by the Underwriters, acting severally and not jointly, of $200,000,000 aggregate principal amount of 6.75% Notes due 2029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will be issued under an indenture, dated as of March 23, 2021 (the “Base Indenture”), as supplemented by the Second Supplemental Indenture, to be dated as of the Closing Time (the “Supplemental Indenture” and, together with the Base Indenture, the “Indenture”), between the Company and Equiniti Trust Company, LLC (f/k/a American Stock Transfer &amp; Trust Company, LLC), as trustee (the “Trustee”). The Securities will be issued to Cede &amp; Co. as nominee of The Depository Trust Company (“DTC”) pursuant to that certain blanket letter of representations (the “DTC Agreement”) between the Company and DTC. The Indenture has been qualified under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 deem advisable after this Underwriting Agreement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333-279726), relating to the registration of the Securities and certain of the Company’s other securities under the Securities Act of 1933, as amended (the “1933 Act”), which registration statement was declared effective by the Commission on July 17, 2024. The Company has also filed with the Commission a preliminary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dated February 25, 2026, as such prospectus supplement may be amended (the “Preliminary Prospectus Supplement”), which contains a base prospectus, dated July 17, 2024 (the “Base Prospectus” and, together with the Preliminary Prospectus Supplement, the “Preliminary Prospectus”). Promptly after execution and delivery of this Agreement, the Company will prepare and file a prospectus in accordance with the provisions of Rule 430B (“Rule 430B”) of the rules and regulations of the Commission promulgated under the 1933 Act (such provisions, the “1933 Act Regulations”) and Rule 424(b) of the 1933 Act Regulations (“Rule 424(b)”).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is herein called the “Prospectus.” All references in this Agreement to amendments or supplements to the Registration Statement or the Prospectus, including those made pursuant to Rule 424(b)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that certain Third Amended and Restated Investment Advisory Management Agreement, dated as of May 20, 2024 (as re-approved by the board of directors of the Company at a meeting on May 6, 2025) (the “Investment Management Agreement”),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814-00891) (the “Notification of Election”)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pPr>
      <w:r>
        <w:rPr/>
        <w:t>“</w:t>
      </w:r>
      <w:r>
        <w:rPr>
          <w:rFonts w:ascii="Times New Roman" w:hAnsi="Times New Roman"/>
          <w:sz w:val="20"/>
        </w:rPr>
        <w:t xml:space="preserve">Applicable Time” means 4:00 P.M. New York City time, on February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General Disclosure Package” means the Preliminary Prospectus as of the Applicable Time and the information included on </w:t>
      </w:r>
      <w:r>
        <w:rPr>
          <w:rFonts w:ascii="Times New Roman" w:hAnsi="Times New Roman"/>
          <w:sz w:val="20"/>
          <w:u w:val="single"/>
        </w:rPr>
        <w:t>Annex A</w:t>
      </w:r>
      <w:r>
        <w:rPr>
          <w:rFonts w:ascii="Times New Roman" w:hAnsi="Times New Roman"/>
          <w:sz w:val="20"/>
        </w:rPr>
        <w:t xml:space="preserve"> hereto, all considered together.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Adviser and the Underwriters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Sale and Purchase</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(the “Purchase Price”) set forth in Schedule A, the aggregate principal amount of Securities set forth in Schedule A opposite the name of such Underwriter, plus any additional aggregate principal amount of Securities which such Underwriter may become obligated to purchase pursuant to the provisions of Section 8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 and Delivery</w:t>
      </w:r>
      <w:r>
        <w:rPr>
          <w:rFonts w:ascii="Times New Roman" w:hAnsi="Times New Roman"/>
          <w:sz w:val="20"/>
        </w:rPr>
        <w:t xml:space="preserve">. Payment of the price for the Securities and delivery of the Securities, shall be made at the offices of Kirkland &amp; Ellis LLP, 1301 Pennsylvania Avenue, NW, Washington, DC 20004, or at such other place as shall be agreed upon by the Representative and the Company, at 10:00 A.M. (New York City time) on the fifth business day after the date hereof (unless postponed in accordance with the provisions of Section 8), or such other time not later than ten business days after such date as shall be agreed upon by the Representative and the Company (such time and date of payment and delivery being herein called “Closing Time”).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of the Securities shall be made to the Company by wire transfer of immediately available funds to a bank account designated by the Company against delivery to the Representative through the facilities of DTC for the respective accounts of the Underwriters of the Securities to be purchased by them. It is understood that each Underwriter has authorized the Representative, for its account, to accept delivery of, receipt for, and make payment of the purchase price for, the Securities that it has agreed to purchase. The Representative may (but shall not be obligated to) make payment of the purchase price for the Securities to be purchased by any Underwriter whose funds have not been received by the Closing Time, but such payment shall not relieve such Underwriter from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Offering Materials</w:t>
      </w:r>
      <w:r>
        <w:rPr>
          <w:rFonts w:ascii="Times New Roman" w:hAnsi="Times New Roman"/>
          <w:sz w:val="20"/>
        </w:rPr>
        <w:t xml:space="preserve">. The Company (including its agents and representatives, other than the Underwriters in their capacity as such) has not prepared, made, used, authorized, approved or referred to and, without the prior written consent of the Representative will not prepare, make, use, authorize, approve or refer to any “written communication” (as defined in Rule 405 under the 1933 Act) that constitutes an offer to sell or solicitation of an offer to buy the Securities other than (i) any document not constituting a prospectus pursuant to Section 2(a)(10)(a) of the 1933 Act or Rule 134 under the 1933 Act, (ii) any “advertisement” as defined in Rule 482 under the 1933 Act or (iii) any advertising, sales literature, press releases or other promotional material (including “prospectus wrappers,” “broker kits,” “road show scripts” and “electronic road show presentations”) authorized in writing by or prepared by the Company to be used in connection with the offering of the Securities and approved for use by the Representative (collectively, the “Offering Materials”). The Offering Materials (as amended or supplemented), at the time first used, at the Applicable Time and the Closing Time, complied and will comply in all material respects with the 1933 Act, have been or will be (within the time period specified in Rule 424, Rule 433 and/or Rule 497) filed in accordance with the 1933 Act (to the extent required thereby) and, when taken together with the General Disclosure Package, at the Applicable Time did not and at the Closing Time will not contain any untrue statement of a material fact or omit to state a material fact necessary in order to make the statements therein, in the light of the circumstances under which they were made, not misleading; provided the representations and warranties in this subsection shall not apply to statements in or omissions from the Offering Materials made in reliance upon and in conformity with written information furnished to the Company by any Underwriter through the Representative expressly for use therein.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Preliminary Prospectus and the Prospectus, when they were filed or when they will be filed with the Commission, as the case may be, conformed or will conform in all material respects to the requirements of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Testing the Waters Communications</w:t>
      </w:r>
      <w:r>
        <w:rPr>
          <w:rFonts w:ascii="Times New Roman" w:hAnsi="Times New Roman"/>
          <w:sz w:val="20"/>
        </w:rPr>
        <w:t xml:space="preserve">. The Company (i) has not alone engaged in any Testing-the-Waters Communication other than Testing-the-Waters Communications with the consent of the Representative with entities that are qualified institutional buyers within the meaning of Rule 144A under the 1933 Act or institutions that are accredited investors within the meaning of Rule 501 under the 1933 Act and (ii) 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at the Closing Time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 expressly for use therein, it being understood and agreed that the only such information is that set forth in Section 10.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the General Disclosure 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the General Disclosure Package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Indenture, the Securities and the DTC Agreement; and the Company is duly qualified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Subsidiaries of the Company; Portfolio Companies</w:t>
      </w:r>
      <w:r>
        <w:rPr>
          <w:rFonts w:ascii="Times New Roman" w:hAnsi="Times New Roman"/>
          <w:sz w:val="20"/>
        </w:rPr>
        <w:t xml:space="preserve">. The Company’s only subsidiaries that were consolidated with the Company for financial reporting purposes under GAAP as of December 31, 2025 are those listed on </w:t>
      </w:r>
      <w:r>
        <w:rPr>
          <w:rFonts w:ascii="Times New Roman" w:hAnsi="Times New Roman"/>
          <w:sz w:val="20"/>
          <w:u w:val="single"/>
        </w:rPr>
        <w:t>Schedule C</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the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Capitalization</w:t>
      </w:r>
      <w:r>
        <w:rPr>
          <w:rFonts w:ascii="Times New Roman" w:hAnsi="Times New Roman"/>
          <w:sz w:val="20"/>
        </w:rPr>
        <w:t xml:space="preserve">.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of Agreements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has been duly authorized,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Base Indenture has been duly authorized, executed and delivered by the Company and constitutes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Supplemental Indenture has been duly authorized, and, at the Closing Time, will be duly executed and delivered by the Company and, when duly executed and delivered by the Trustee, will constitute the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 </w:t>
            </w:r>
          </w:p>
        </w:tc>
      </w:tr>
    </w:tbl>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Authorization and Description of Securities</w:t>
      </w:r>
      <w:r>
        <w:rPr>
          <w:rFonts w:ascii="Times New Roman" w:hAnsi="Times New Roman"/>
          <w:sz w:val="20"/>
        </w:rPr>
        <w:t xml:space="preserve">. The Securities have been duly authorized and, when issued and delivered by the Company and authenticated by the Trustee pursuant to this Agreement and the Indenture relating thereto, against payment of the purchase price set forth herein, will be valid and legally binding obligations of the Company enforceable in accordance with their terms, except as the enforcement thereof may be subject to the effect of (i) bankruptcy, insolvency, reorganization, moratorium or other similar laws now or thereafter in effect relating to creditors’ rights generally and (ii) general principles of equity and the discretion of the court before which any proceeding therefor may be brought, and will be entitled to the benefits of the Indenture relating thereto; and the Securities and the Indenture conform to all statements relating thereto contained in the General Disclosure Package and the Prospectus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description conforms to the rights set forth in the instruments defining the same. The information under the caption “Description of the Notes” in the General Disclosure Package and the Prospectus, insofar as such statements purport to summarize certain provisions of the Indenture or the Securities, fairly and accurately summarize such provisions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as of the date of this Agreement and the Closing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Supplemental Indenture and the Securities, the performance of the Investment Management Agreement, the Base Indenture and the DTC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Employees</w:t>
      </w:r>
      <w:r>
        <w:rPr>
          <w:rFonts w:ascii="Times New Roman" w:hAnsi="Times New Roman"/>
          <w:sz w:val="20"/>
        </w:rPr>
        <w:t xml:space="preserve">. As of the date hereof, neither the Company nor any of the Subsidiaries has, and as of the Closing Time, neither the Company nor any of the Subsidiaries will have, any employees.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Absence of Proceedings</w:t>
      </w:r>
      <w:r>
        <w:rPr>
          <w:rFonts w:ascii="Times New Roman" w:hAnsi="Times New Roman"/>
          <w:sz w:val="20"/>
        </w:rPr>
        <w:t xml:space="preserve">.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Indenture, the Securities or the DTC Agreement or the performance by the Company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the General Disclosure Package or the Prospectus or to be filed as exhibits to the Registration Statement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Indenture, the Securities, the DTC Agreement or the General Disclosure Package and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1940 Act, the 1940 Act Regulations, the Trust Indenture Act,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2024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Securities, other than activity permitted pursuant to Rule 10b-18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Anti-Bribery</w:t>
      </w:r>
      <w:r>
        <w:rPr>
          <w:rFonts w:ascii="Times New Roman" w:hAnsi="Times New Roman"/>
          <w:sz w:val="20"/>
        </w:rPr>
        <w:t xml:space="preserve">. (i) Neither the Company nor any Subsidiary, or to the Company’s knowledge, any director, officer, employee or any agent or representative of the Company in its capacity as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in order to influence official action, or to any person in violation of any applicable anti-corruption laws, (ii) the Company and its Subsidiaries have conducted their businesses in material compliance with applicable anti-corruption laws and have instituted and maintained and will continue to maintain policies and procedures designed to promote and achieve compliance with such laws and with the representation and warranty contained herein; and (iii) neither the Company nor any of the Company’s Subsidiaries will use, directly or indirectly, the proceeds of the offering in furtherance of an offer, payment, promise to pay, or authorization of the payment or giving of money, or anything else of value, to any person in violation of any applicable anti- 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Anti-Money Laundering</w:t>
      </w:r>
      <w:r>
        <w:rPr>
          <w:rFonts w:ascii="Times New Roman" w:hAnsi="Times New Roman"/>
          <w:sz w:val="20"/>
        </w:rPr>
        <w:t xml:space="preserve">.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Currency and Foreign Transactions Reporting Act of 1970, as amended,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best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Sanctions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Company nor any of the Company’s Subsidiaries (collectively, the “Company Entity”) or, to the Company’s knowledge, any director or officer of the Company Entity or any employee of the Company Entity or any agent or representative of the Company Entity in its capacity as an agent or representative of the Company Entity is an individual or entity (“Person”) that is, or is owned or controlled by a Person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subject of any sanctions administered or enforced by the U.S. Department of Treasury’s Office of Foreign Assets Control (“OFAC”), the United Nations Security Council, the European Union, His Majesty’s Treasury, or other relevant sanctions authority (collectively, “Sanctions”), nor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organized or resident in a country or territory that is the subject of Sanctions (including, without limitation, Cuba, Iran, North Korea, the Crimea, Zaporizhzhia and Kherson Regions of Ukraine, the so-called Donetsk People’s Republic and so-called Luhansk People’s Republic regions of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Entity represents and covenants that it will not, directly or indirectly, use the proceeds of the offering, or lend, contribute or otherwise make available such proceeds to any subsidiary, joint venture partner or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fund or facilitate any activities or business of or with any Person or in any country or territory that, at the time of such funding or facilitation, is the subject of Sanctions;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7"/>
        <w:gridCol w:w="7963"/>
      </w:tblGrid>
      <w:tr>
        <w:trPr/>
        <w:tc>
          <w:tcPr>
            <w:tcW w:w="183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manner that will result in a violation of Sanctions by any Person (including any Person participating in the offering, whether as underwriter, advisor, investor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Lending Relationship</w:t>
      </w:r>
      <w:r>
        <w:rPr>
          <w:rFonts w:ascii="Times New Roman" w:hAnsi="Times New Roman"/>
          <w:sz w:val="20"/>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the General Disclosure Package or the Prospectus which have not been described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Investment Management Agreement</w:t>
      </w:r>
      <w:r>
        <w:rPr>
          <w:rFonts w:ascii="Times New Roman" w:hAnsi="Times New Roman"/>
          <w:sz w:val="20"/>
        </w:rPr>
        <w:t xml:space="preserve">. (A) The terms of the Investment Management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have been made in accordance with the requirements of Section 15(a) and (c) of the 1940 Act and the 1940 Act Regulations applicable to companies that have elected to be regulated as business development companies under the 1940 Act. The Investment Management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Interested Persons</w:t>
      </w:r>
      <w:r>
        <w:rPr>
          <w:rFonts w:ascii="Times New Roman" w:hAnsi="Times New Roman"/>
          <w:sz w:val="20"/>
        </w:rPr>
        <w:t xml:space="preserve">. Except as disclosed in the Registration Statement, the General Disclosure Package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(xliv)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(xlv) </w:t>
      </w:r>
      <w:r>
        <w:rPr>
          <w:rFonts w:ascii="Times New Roman" w:hAnsi="Times New Roman"/>
          <w:sz w:val="20"/>
          <w:u w:val="single"/>
        </w:rPr>
        <w:t>Officer’s Certificates</w:t>
      </w:r>
      <w:r>
        <w:rPr>
          <w:rFonts w:ascii="Times New Roman" w:hAnsi="Times New Roman"/>
          <w:sz w:val="20"/>
        </w:rPr>
        <w:t xml:space="preserve">. Any certificate signed by any officer of the Company or any of the Subsidiaries delivered to the Underwriters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Adviser</w:t>
      </w:r>
      <w:r>
        <w:rPr>
          <w:rFonts w:ascii="Times New Roman" w:hAnsi="Times New Roman"/>
          <w:sz w:val="20"/>
        </w:rPr>
        <w:t xml:space="preserve">. The Adviser represents to each Underwriter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whether or not arising in the ordinary course of business, or on the ability of the Adviser to carry out its obligations under this Agreement or the Investment Management Agreement (collectively,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The Adviser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the Adviser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the General Disclosure Package and the Prospectus, there is no action, suit, proceeding or, to the knowledge of the Adviser, inquiry or investigation before or brought by any arbitrator, court, governmental body, regulatory body, administrative agency or other authority, body or agency having jurisdiction over the Adviser or any of its properties, assets or operations now pending or, to the knowledge of the Adviser, threatened, against or affecting the Adviser, which is required to be disclosed in the Registration Statement (other than as disclosed therein) or which would reasonably be expected to result in an Adviser Material Adverse Effect, or which would reasonably be expected to materially and adversely affect the consummation of the transactions contemplated in this Agreement, the Indenture, the Securities, the Investment Management Agreement or the performance by the Adviser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The Adviser is not (A) in violation of its limited liability company agreement, (B) in default under any contract, indenture, mortgage, deed of trust, loan or credit agreement, note, lease or other agreement or instrument to which the Adviser is a party or by which it may be bound or to which any of its properties or assets is subject (collectively, the “Adviser Agreements and Instruments”), except for such defaults that would not reasonably be expected, singly or in the aggregate, to result in an Adviser Material Adverse Effect, or (C) in violation of any applicable law, statute, rule, regulation, judgment, order, writ or decree of any arbitrator, court, governmental body, regulatory body, administrative agency or other authority, body or agency having jurisdiction over the Adviser or any of its properties, assets or operations, except for such violations that would not reasonably be expected, singly or in the aggregate, to result in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with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pursuant to, the Adviser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liens, charges or encumbrances that would not reasonably be expected, singly or in the aggregate, to result in an Adviser Material Adverse Effect), nor will such action result in any violation of the provisions of (a) the limited liability company agreement of the Adviser, or (b) any applicable law, statute, rule, regulation, judgment, order, writ or decree of any arbitrator, court, governmental body, regulatory body, administrative agency or other authority, body or agency having jurisdiction over the Adviser or any of its properties, assets or operations except, in the case of (b) above, for any violation that would not reasonably be expected, singly or in the aggregate, to result in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the Adviser.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w:t>
      </w:r>
      <w:r>
        <w:rPr>
          <w:rFonts w:ascii="Times New Roman" w:hAnsi="Times New Roman"/>
          <w:sz w:val="20"/>
        </w:rPr>
        <w:t xml:space="preserve">. The Investment Management Agreement has been duly authorized, executed and delivered by the Adviser and is a valid and binding obligation of the Adviser,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of its obligations hereunder or, in connection with the offering, the issuance or sale of the Securities hereunder or the consummation of the transactions contemplated by this Agreement, the Indenture, the DTC Agreement, the Investment Management Agreement, the General Disclosure Package or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Trust Indenture Act, state securities laws or the rules of FINRA and (B) where the failure to obtain any such filing, authorization, approval, consent, license, order, registration, qualification or decree would not reasonably be expected, singly or in the aggregate, to result in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w:t>
      </w:r>
      <w:r>
        <w:rPr>
          <w:rFonts w:ascii="Times New Roman" w:hAnsi="Times New Roman"/>
          <w:sz w:val="20"/>
        </w:rPr>
        <w:t xml:space="preserve">. The descriptions of the Adviser contained in the Registration Statement, the General Disclosure Package and the Prospectus do not contain any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The Adviser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 Material Adverse Effect. The Adviser is in compliance with the terms and conditions of all such Governmental Licenses, except where the failure so to comply would not reasonably be expected, singly or in the aggregate, to result in an Adviser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 Material Adverse Effect. The Adviser has not received any notice of proceedings relating to the revocation or modification of any such Governmental Licenses which, singly or in the aggregate, if the subject of an unfavorable decision, ruling or finding, would reasonably be expected to result in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The Adviser has not taken and will not take, directly or indirectly, without giving effect to any activities by the Underwriters, any action designed, or that would reasonably be expected, to cause or result in, or which constitutes, the stabilization or manipulation of the price of the Securities, other than activity permitted pursuant to Rule 10b-18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Anti-Bribery</w:t>
      </w:r>
      <w:r>
        <w:rPr>
          <w:rFonts w:ascii="Times New Roman" w:hAnsi="Times New Roman"/>
          <w:sz w:val="20"/>
        </w:rPr>
        <w:t xml:space="preserve">. None of the Adviser, any of its subsidiaries, nor, to the knowledge of the Adviser, any director or officer or any employee of the Adviser, or any agent or representative of the Adviser in its capacity as agent or representative of the Adviser or of any of its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Adviser and its Subsidiaries have conducted their businesses in material compliance with applicable anti-corruption laws and have instituted and maintain and will continue to maintain policies and procedures designed to promote and achieve compliance with such laws and with the representation and warranty contained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 xml:space="preserve">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Adviser, nor any of its Subsidiaries (collectively, the “Adviser Entity”), nor to the knowledge of the Adviser, any director or officer of the Adviser Entity, or any employee, or any agent or representative of the Adviser Entity in its capacity as agent or representative of the Adviser Entity, is a Person that is, or is owned or controlled by a Person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subject of any Sanctions,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organized or resident in a country or territory that is the subject of Sanctions (including, without limitation, Cuba, Iran, North Korea, the Crimea, Zaporizhzhia and Kherson Regions of Ukraine, the so-called Donetsk People’s Republic and so-called Luhansk People’s Republic regions of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Adviser Entity represents and covenants that it will not, directly or indirectly, use the proceeds of the offering, or lend, contribute or otherwise make available such proceeds to any subsidiary, joint venture partner or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fund or facilitate any activities or business of or with any Person or in any country or territory that, at the time of such funding or facilitation, is the subject of Sanctions;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7"/>
        <w:gridCol w:w="7963"/>
      </w:tblGrid>
      <w:tr>
        <w:trPr/>
        <w:tc>
          <w:tcPr>
            <w:tcW w:w="183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manner that will result in a violation of Sanctions by any Person (including any Person participating in the offering, whether as underwriter, advisor, investor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Adviser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Anti-Money Laundering</w:t>
      </w:r>
      <w:r>
        <w:rPr>
          <w:rFonts w:ascii="Times New Roman" w:hAnsi="Times New Roman"/>
          <w:sz w:val="20"/>
        </w:rPr>
        <w:t xml:space="preserve">. The operations of the Adviser Entity are and have been conducted at all times in material compliance with all applicable financial recordkeeping and reporting requirements, including the Anti-Money Laundering Laws, and no action, suit or proceeding by or before any court or governmental agency, authority or body or any arbitrator involving the Adviser with respect to the Anti-Money Laundering Laws is pending or, to the best knowledge of the Adviser, threatened.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the Adviser’s present or proposed business activities, except, in each case, as would not reasonably be expected, singly or in the aggregate, to result in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result in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maintains systems of internal accounting controls sufficient to provide reasonable assurance that (A) transactions effectuated by it under the Investment Management Agreement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The Adviser has the financial resources available to it necessary for the performance of its services and obligations as contemplated by the Registration Statement, the General Disclosure Package, the Prospectus and the Investment Management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Officer’s Certificates</w:t>
      </w:r>
      <w:r>
        <w:rPr>
          <w:rFonts w:ascii="Times New Roman" w:hAnsi="Times New Roman"/>
          <w:sz w:val="20"/>
        </w:rPr>
        <w:t xml:space="preserve">. Any certificate signed by any officer of the Adviser delivered to the Underwriters or to counsel for the Underwriters shall be deemed a representation and warranty by the Adviser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Covenants of the Company and the Adviser</w:t>
      </w:r>
      <w:r>
        <w:rPr>
          <w:rFonts w:ascii="Times New Roman" w:hAnsi="Times New Roman"/>
          <w:sz w:val="20"/>
        </w:rPr>
        <w:t xml:space="preserve">. Each of the Company and the Adviser agrees: </w:t>
      </w:r>
    </w:p>
    <w:p>
      <w:pPr>
        <w:pStyle w:val="TextBody"/>
        <w:bidi w:val="0"/>
        <w:spacing w:before="120" w:after="0"/>
        <w:jc w:val="left"/>
        <w:rPr>
          <w:rFonts w:ascii="Times New Roman" w:hAnsi="Times New Roman"/>
          <w:sz w:val="20"/>
        </w:rPr>
      </w:pPr>
      <w:r>
        <w:rPr>
          <w:rFonts w:ascii="Times New Roman" w:hAnsi="Times New Roman"/>
          <w:sz w:val="20"/>
        </w:rPr>
        <w:t xml:space="preserve">(a) to furnish such information as may be required and otherwise to cooperate in qualifying the Securities for offering and sale under the securities or blue sky laws of such states or other jurisdictions as you may designate and to use its commercially reasonable efforts to maintain such qualifications in effect so long as you may reasonably request for the distribution of the Securities;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Securities); and to advise you promptly of the receipt by the Company of any notification with respect to the suspension of the qualification of the Securities for sale in any jurisdiction or the initiation or threatening of any proceeding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furnish to the Underwriters as many copies of the Preliminary Prospectus and the Prospectus (or of the Preliminary Prospectus and the Prospectus as amended or supplemented if the Company shall have made any amendments or supplements thereto) as the Underwriters may reasonably request for the purposes contemplated by the 1933 Act; in case any Underwriter is required to deliver a prospectus after the nine-month period referred to in Section 10(a)(3) of the 1933 Act in connection with the sale of the Securities, the Company will prepare, at the requesting Underwriter’s expense, promptly upon request such amendment or amendments to the Registration Statement and the Prospectus as may be necessary to permit compliance with the requirements of Section 10(a)(3)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(c) that if, at the time of this Agreement is executed and delivered, it is necessary for any post-effective amendment to the Registration Statement to be declared effective before the Securities may be sold, the Company will endeavor to cause such post-effective amendment to become effective as soon as possible, and the Company will advise you promptly and, if requested by you, will confirm such advice in writing, when such post-effective amendment has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(d)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commercially reasonable efforts to obtain the lifting or removal of such order as soon as possible; to advise you promptly of any proposal to amend or supplement the Registration Statement, the Preliminary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1933 Act or the 1940 Act), and to file with the Commission within the applicable period specified in Rule 424 under the 1933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sz w:val="20"/>
        </w:rPr>
        <w:t xml:space="preserve">(e) without the prior consent of the Representative, (i) to not distribute any offering material related to the offering of the Securities other than the Registration Statement, the General Disclosure Package, the Prospectus or the information set forth on Schedule B hereto, and (ii) to not make any offer relating to the Securities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(g) to furnish to you as early as practicable prior to the Closing Time,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if necessary or appropriate, to file a registration statement pursuant to Rule 462(b)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(i) to advise the Underwriters promptly of the happening of any event within the time during which a prospectus relating to the Securities is required to be delivered under the 1933 Act which could require the making of any change in the Preliminary Prospectus (prior to availability of the Prospectus) or the Prospectus then being used so that the General Disclosure Package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preliminary prospectus (prior to availability of the Prospectus) or Prospectus as may be necessary to reflect any such change; </w:t>
      </w:r>
    </w:p>
    <w:p>
      <w:pPr>
        <w:pStyle w:val="TextBody"/>
        <w:bidi w:val="0"/>
        <w:spacing w:before="240" w:after="0"/>
        <w:jc w:val="left"/>
        <w:rPr>
          <w:rFonts w:ascii="Times New Roman" w:hAnsi="Times New Roman"/>
          <w:sz w:val="20"/>
        </w:rPr>
      </w:pPr>
      <w:r>
        <w:rPr>
          <w:rFonts w:ascii="Times New Roman" w:hAnsi="Times New Roman"/>
          <w:sz w:val="20"/>
        </w:rPr>
        <w:t xml:space="preserve">(j) that, as soon as practicable, the Company will make generally available to its security holders an earnings statement or statements of the Company which will satisfy the provisions of Section 11(a) of the 1933 Act and Rule 158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(k) upon request, the Company will promptly deliver to each Underwriter and Kirkland &amp; Ellis LLP, counsel for the Underwriters, a signed copy of the Registration Statement, as initially filed and all amendments thereto, including all consents and exhibits filed therewith; </w:t>
      </w:r>
    </w:p>
    <w:p>
      <w:pPr>
        <w:pStyle w:val="TextBody"/>
        <w:bidi w:val="0"/>
        <w:spacing w:before="240" w:after="0"/>
        <w:jc w:val="left"/>
        <w:rPr>
          <w:rFonts w:ascii="Times New Roman" w:hAnsi="Times New Roman"/>
          <w:sz w:val="20"/>
        </w:rPr>
      </w:pPr>
      <w:r>
        <w:rPr>
          <w:rFonts w:ascii="Times New Roman" w:hAnsi="Times New Roman"/>
          <w:sz w:val="20"/>
        </w:rPr>
        <w:t xml:space="preserve">(l) to apply the net proceeds from the sale of the Securities in the manner set forth under the caption “Use of Proceeds” in the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will use its commercially reasonable efforts to maintain its status as a business development company; provided, however, the Company may change the nature of its business so as to cease to be, or to withdraw its election as, a business development company, with the approval of the board of directors and a vote of stockholders as required by Section 58 of the 1940 Act or any successor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that the Company will use its commercially reasonably efforts to maintain its qualification and election as a regulated investment company under Subchapter M of the Code for each full fiscal year during which it is a business development company under the 1940 Act; provided that, at the discretion of the Company’s board of directors, the Company may elect not to be so treated; </w:t>
      </w:r>
    </w:p>
    <w:p>
      <w:pPr>
        <w:pStyle w:val="TextBody"/>
        <w:bidi w:val="0"/>
        <w:spacing w:before="240" w:after="0"/>
        <w:jc w:val="left"/>
        <w:rPr>
          <w:rFonts w:ascii="Times New Roman" w:hAnsi="Times New Roman"/>
          <w:sz w:val="20"/>
        </w:rPr>
      </w:pPr>
      <w:r>
        <w:rPr>
          <w:rFonts w:ascii="Times New Roman" w:hAnsi="Times New Roman"/>
          <w:sz w:val="20"/>
        </w:rPr>
        <w:t xml:space="preserve">(o) to pay all costs, expenses, fees and taxes incident to the performance of its obligations hereunder, including (i) the preparation and filing of the Registration Statement, the Preliminary Prospectus, the Prospectus, and any amendments or supplements thereto, and the printing and furnishing of copies of the Preliminary Prospectus and Prospectus to the Underwriters and to dealers (including costs of mailing and shipment), (ii) the registration, issue, sale and delivery of the Securities, including the fees, disbursements and expenses of the Company’s counsel and accountants incurred in connection therewith, and any stock or transfer taxes and stamp or similar duties payable upon the sale, issuance or delivery of the Securities to the Underwriters, (iii) the qualification of the Securities for offering and sale under state or foreign laws and the determination of their eligibility for investment under state or foreign law as aforesaid (including the reasonable and documented out-of-pocket legal fees and filing fees and other disbursements of counsel for the Underwriters) and the furnishing of copies of any blue sky surveys or legal investment surveys to the Underwriters and to dealers, (iv) the fees and expenses of the Trustee for the Securities, (v) any filing for review of the public offering of the Securities by FINRA, including the reasonable and documented out-of-pocket legal fees and filing fees and other disbursements of counsel to the Underwriters, (vi) attending or hosting meetings with prospective purchasers of the Securities, including all travel expenses of the Company’s officers, directors, employees and affiliates and any other expense of the Company incurred in connection therewith; (vii) the fees and disbursements of any transfer agent or registrar for the Securities,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Securities and any advertising expenses connected with any offers they may make. It is further understood that, in the event that this agreement is terminated prior to payment for and delivery of the Securities, the Underwriters will be reimbursed, subject to Section 8, only for actual, accountable out-of-pocket expenses which they have incurred in connection with the transactions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(p) until the Closing Time, the Company will not, without the prior written consent of the Representative, (i) directly or indirectly, offer, pledge, sell, contract to sell, sell any option or contract to purchase, purchase any option or contract to sell, grant any option, right or warrant to purchase or otherwise transfer or dispose of any debt securities issued or guaranteed by the Company or any securities convertible into or exercisable or exchangeable for debt securities issued or guaranteed by the Company or file any registration statement under the 1933 Act with respect to any of the foregoing or (ii) enter into any swap or any other agreement or any transaction that transfers, in whole or in part, directly or indirectly, the economic consequence of ownership of debt securities issued or guaranteed by the Company or any such other securities, without the prior written consent of the Representative on behalf of the Underwriters, other than the Securities to be sold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the Underwriters’ Obligations</w:t>
      </w:r>
      <w:r>
        <w:rPr>
          <w:rFonts w:ascii="Times New Roman" w:hAnsi="Times New Roman"/>
          <w:sz w:val="20"/>
        </w:rPr>
        <w:t xml:space="preserve">. The several obligations of the Underwriters hereunder are subject to the accuracy of the representations and warranties on the part of the Company and the Adviser on the date hereof and at the Closing Time, the performance by the Company and the Adviser of each of its obligations hereunder and to the following additional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Representative shall have received at the Closing Time, an opinion and negative assurance letter of Dechert LLP, outside counsel for the Company and the Adviser addressed to the Underwriters, and dated the Closing Time, in form and substance reasonably satisfactory to counsel for the Underwriters. The opinion of Dechert LLP described in this Section 6(a) shall be rendered to the Underwriters at the request of the Company and shall so state therein.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Representative shall have received an opinion of Venable LLP, special counsel for the Company, addressed to the Underwriters, and dated the Closing Time, in form and substance reasonably satisfactory to counsel for the Underwriters. The opinion of Venable LLP described in this Section 6(b) shall be rendered to the Underwriters at the request of the Company and shall so state therein.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Representative shall have received from RSM US LLP letters dated, respectively, the Applicable Time and the Closing Time, and addressed to the Underwriters in the forms heretofore approved by the Representative containing statements and information of the type ordinarily included in accountants’ “comfort letters” to underwriters with respect to the financial statements and certain financial information contained in the Registration Statement, the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(d) The Representative shall have received at the Closing Time the favorable opinion and negative assurance letter of Kirkland &amp; Ellis LLP, counsel for the Underwriters, dated the Closing Time with respect to the sale of the Securities and other related matters as the Underwriters may require. </w:t>
      </w:r>
    </w:p>
    <w:p>
      <w:pPr>
        <w:pStyle w:val="TextBody"/>
        <w:bidi w:val="0"/>
        <w:spacing w:before="240" w:after="0"/>
        <w:jc w:val="left"/>
        <w:rPr>
          <w:rFonts w:ascii="Times New Roman" w:hAnsi="Times New Roman"/>
          <w:sz w:val="20"/>
        </w:rPr>
      </w:pPr>
      <w:r>
        <w:rPr>
          <w:rFonts w:ascii="Times New Roman" w:hAnsi="Times New Roman"/>
          <w:sz w:val="20"/>
        </w:rPr>
        <w:t xml:space="preserve">(e) At or prior to the Closing Time, the Company and the Trustee shall have executed and delivered the Supplemental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(f) Prior to the Closing Time, (i) no stop order with respect to the effectiveness of the Registration Statement shall have been issued under the 1933 Act or, to the Company’s knowledge, proceedings initiated under Section 8(d) or 8(e) of the 1933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Between the time of execution of this Agreement and the Closing Time, no material adverse change or any development involving a prospective material adverse change in the business, properties, management, financial condition or results of operations of the Company, the Subsidiary or the Adviser, taken as a whole, shall occur or become known. </w:t>
      </w:r>
    </w:p>
    <w:p>
      <w:pPr>
        <w:pStyle w:val="TextBody"/>
        <w:bidi w:val="0"/>
        <w:spacing w:before="240" w:after="0"/>
        <w:jc w:val="left"/>
        <w:rPr>
          <w:rFonts w:ascii="Times New Roman" w:hAnsi="Times New Roman"/>
          <w:sz w:val="20"/>
        </w:rPr>
      </w:pPr>
      <w:r>
        <w:rPr>
          <w:rFonts w:ascii="Times New Roman" w:hAnsi="Times New Roman"/>
          <w:sz w:val="20"/>
        </w:rPr>
        <w:t xml:space="preserve">(h) Between the time of execution of this Agreement and the Closing Time, there shall not have been any decrease in or withdrawal of the rating of any securities of the Company or any of its Subsidiaries by any “nationally recognized statistical rating organization” (as defined in Section 3(a)(62) of the 1934 Act) or any notice given of any intended or potential decrease in or withdrawal of any such rating or of a possible change in any such rating that does not indicate the direction of the possible change. </w:t>
      </w:r>
    </w:p>
    <w:p>
      <w:pPr>
        <w:pStyle w:val="TextBody"/>
        <w:bidi w:val="0"/>
        <w:spacing w:before="240" w:after="0"/>
        <w:jc w:val="left"/>
        <w:rPr>
          <w:rFonts w:ascii="Times New Roman" w:hAnsi="Times New Roman"/>
          <w:sz w:val="20"/>
        </w:rPr>
      </w:pPr>
      <w:r>
        <w:rPr>
          <w:rFonts w:ascii="Times New Roman" w:hAnsi="Times New Roman"/>
          <w:sz w:val="20"/>
        </w:rPr>
        <w:t xml:space="preserve">(i) Each of the Company and the Adviser will, at the Closing Time, deliver to you a certificate of its Chief Executive Officer and Chief Financial Officer in the form attached as </w:t>
      </w:r>
      <w:r>
        <w:rPr>
          <w:rFonts w:ascii="Times New Roman" w:hAnsi="Times New Roman"/>
          <w:sz w:val="20"/>
          <w:u w:val="single"/>
        </w:rPr>
        <w:t>Annex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furnished to you such other documents and certificates as to the accuracy and completeness of any statement in the Registration Statement, the General Disclosure Package and the Prospectus as of the Closing Time,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The obligations of the several Underwriters hereunder shall be subject to termination in the absolute discretion of the Representative, if (x) since the time of execution of this Agreement or the earlier respective dates as of which information is given in the Registration Statement, the Preliminary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the Representative’s judgment or in the judgment of such group of Underwriters, make it impracticable or inadvisable to proceed with the public offering or the delivery of the Securities on the terms and in the manner contemplated in the Registration Statement, the Preliminary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New York Stock Exchange;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the Representative’s judgment or in the judgment of such group of Underwriters makes it impracticable or inadvisable to proceed with the public offering or the delivery of the Securities on the terms and in the manner contemplated in the Registration Statement, the Preliminary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sale to the Underwriters of the Securities,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5(o) and Section 9 hereof), and the Underwriters shall be under no obligation or liability to the Company under this Agreement (except to the extent provided in Section 9 hereof) or to one another hereunder.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Increase in Underwriters’ Commitments</w:t>
      </w:r>
      <w:r>
        <w:rPr>
          <w:rFonts w:ascii="Times New Roman" w:hAnsi="Times New Roman"/>
          <w:sz w:val="20"/>
        </w:rPr>
        <w:t xml:space="preserve">. Subject to Sections 6 and 7 hereof, if any Underwriter shall default in its obligation to take up and pay for the Securities to be purchased by it hereunder (otherwise than for a failure of a condition set forth in Section 6 hereof or a reason sufficient to justify the termination of this Agreement under the provisions of Section 7 hereof) and if the aggregate principal amount of Securities which all Underwriters so defaulting shall have agreed but failed to take up and pay for does not exceed 10% of the aggregate principal amount of Securities to be purchased, the non-defaulting Underwriters shall take up and pay for (in addition to the aggregate principal amount of Securities they are obligated to purchase pursuant to Section 1 hereof) the aggregate principal amount of Securities agreed to be purchased by all such defaulting Underwriters, as hereinafter provided. Such aggregate principal amount of Securities shall be taken up and paid for by such non-defaulting Underwriters in such amount or amounts as the Representative may designate with the consent of each Underwriter so designated or, in the event no such designation is made, such aggregate principal amount of Securities shall be taken up and paid for by all non-defaulting Underwriters pro rata in proportion to the aggregate principal amount of Securities set opposite the names of such non-defaulting Underwriters in Schedule A. </w:t>
      </w:r>
    </w:p>
    <w:p>
      <w:pPr>
        <w:pStyle w:val="TextBody"/>
        <w:bidi w:val="0"/>
        <w:spacing w:before="240" w:after="0"/>
        <w:jc w:val="left"/>
        <w:rPr>
          <w:rFonts w:ascii="Times New Roman" w:hAnsi="Times New Roman"/>
          <w:sz w:val="20"/>
        </w:rPr>
      </w:pPr>
      <w:r>
        <w:rPr>
          <w:rFonts w:ascii="Times New Roman" w:hAnsi="Times New Roman"/>
          <w:sz w:val="20"/>
        </w:rPr>
        <w:t xml:space="preserve">Without relieving any defaulting Underwriter from its obligations hereunder, the Company agrees with the non-defaulting Underwriters that it will not sell any Securities hereunder unless all of the Securities are purchased by the Underwriters (or by substituted Underwriters selected by you with the approval of the Company or selected by the Company with your approval). </w:t>
      </w:r>
    </w:p>
    <w:p>
      <w:pPr>
        <w:pStyle w:val="TextBody"/>
        <w:bidi w:val="0"/>
        <w:spacing w:before="240" w:after="0"/>
        <w:jc w:val="left"/>
        <w:rPr>
          <w:rFonts w:ascii="Times New Roman" w:hAnsi="Times New Roman"/>
          <w:sz w:val="20"/>
        </w:rPr>
      </w:pPr>
      <w:r>
        <w:rPr>
          <w:rFonts w:ascii="Times New Roman" w:hAnsi="Times New Roman"/>
          <w:sz w:val="20"/>
        </w:rPr>
        <w:t xml:space="preserve">If a new Underwriter or Underwriters are substituted by the Underwriters or by the Company for a defaulting Underwriter or Underwriters in accordance with the foregoing provision, the Company or you shall have the right to postpone the Closing Time for a period not exceeding five business days in order that any necessary changes in the Registration Statement and the Prospectus and other documents may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term Underwriter as used in this Agreement shall refer to and include any Underwriter substituted under this Section 8 with like effect as if such substituted Underwriter had originally been named in </w:t>
      </w:r>
      <w:r>
        <w:rPr>
          <w:rFonts w:ascii="Times New Roman" w:hAnsi="Times New Roman"/>
          <w:sz w:val="20"/>
          <w:u w:val="single"/>
        </w:rPr>
        <w:t>Schedule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aggregate principal amount of Securities which the defaulting Underwriter or Underwriters agreed to purchase exceeds 10% of the total aggregate principal amount of Securities which all Underwriters agreed to purchase hereunder, and if neither the non-defaulting Underwriters nor the Company shall make arrangements within the five business day-period stated above for the purchase of all the Securities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Indemnity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indemnify, defend and hold harmless each Underwriter, its partners, directors and officers, and any person who controls any Underwriter within the meaning of Section 15 of the 1933 Act or Section 20 of the 1934 Act, each affiliate of any Underwriter within the meaning of Rule 405 under the 1933 Act that is involved in the offering of the Securities,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1933 Act, the 1934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based upon any omission or alleged omission to state a material fact required to be stated in either the Registration Statement, the General Disclosure Package, any Offering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Representative to the Company expressly for use in the Registration Statement, the General Disclosure Package, any Offering Materials or the Prospectus, it being understood and agreed that the only such information is that set forth in Section 10, or arising out of or based upon any omission or alleged omission to state a material fact in connection with such information required to be stated in the Registration Statement, the General Disclosure Package, any Offering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(b) The Adviser agrees to indemnify, defend and hold harmless each Underwriter and each other person specified in subsection (a)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(or in the Registration Statement as amended by any post-effective amendment thereof by the Company), the General Disclosure Package, any Offering Materials or the Prospectus (as amended or supplemented by the Company) or arising out of or is based upon any omission or alleged omission to state a material fact required to be stated in either the Registration Statement, the General Disclosure Package, any Offering Materials or the Prospectus or necessary to make the statements made therein not misleading or (y) any untrue statement or alleged untrue statement made by the Adviser in Section 4 hereof. </w:t>
      </w:r>
    </w:p>
    <w:p>
      <w:pPr>
        <w:pStyle w:val="TextBody"/>
        <w:bidi w:val="0"/>
        <w:spacing w:before="240" w:after="0"/>
        <w:jc w:val="left"/>
        <w:rPr>
          <w:rFonts w:ascii="Times New Roman" w:hAnsi="Times New Roman"/>
          <w:sz w:val="20"/>
        </w:rPr>
      </w:pPr>
      <w:r>
        <w:rPr>
          <w:rFonts w:ascii="Times New Roman" w:hAnsi="Times New Roman"/>
          <w:sz w:val="20"/>
        </w:rPr>
        <w:t xml:space="preserve">(c) Each Underwriter severally and not jointly agrees to indemnify, defend and hold harmless the Company and the Adviser, their directors, partners and officers, and any person who controls the Company or the Adviser within the meaning of Section 15 of the 1933 Act or Section 20 of the 1934 Act, and the successors and assigns of all of the foregoing persons, from and against any loss, damage, expense, liability or claim (including the reasonable cost of any investigation incurred in connection therewith) which, jointly or severally, the Company or the Adviser, or any such person may incur under the 1933 Act, the 1934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Representative to the Company expressly for use in the Registration Statement (or in the Registration Statement as amended by any post-effective amendment thereof by the Company), the General Disclosure Package or the Prospectus, or arises out of or is based upon any omission or alleged omission to state a material fact in connection with such information required to be stated in the Registration Statement, the General Disclosure Package or the Prospectus or necessary to make such information not misleading, it being understood and agreed that the only such information is that set forth in Section 10. </w:t>
      </w:r>
    </w:p>
    <w:p>
      <w:pPr>
        <w:pStyle w:val="TextBody"/>
        <w:bidi w:val="0"/>
        <w:spacing w:before="240" w:after="0"/>
        <w:jc w:val="left"/>
        <w:rPr>
          <w:rFonts w:ascii="Times New Roman" w:hAnsi="Times New Roman"/>
          <w:sz w:val="20"/>
        </w:rPr>
      </w:pPr>
      <w:r>
        <w:rPr>
          <w:rFonts w:ascii="Times New Roman" w:hAnsi="Times New Roman"/>
          <w:sz w:val="20"/>
        </w:rPr>
        <w:t xml:space="preserve">(d) In case any proceeding (including any governmental investigation) shall be instituted involving any person in respect of which indemnity may be sought pursuant to Section 9(a), 9(b) or 9(c),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 in the case of parties indemnified pursuant to Section 9(a) or 9(b), and by the Company,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parties indemnified pursuant to Section 9(c).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(i) such settlement includes an unconditional release of such indemnified party from all liability on claims that are the subject matter of such proceeding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(a) If the indemnification provided for in this Section 9 is unavailable to an indemnified party under subsections (a), (b) and (c)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and the Adviser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Adviser on the one hand and of the Underwriters on the other in connection with the statements or omissions which resulted in such losses, damages, expenses, liabilities or claims, as well as any other relevant equitable considerations. The relative benefits received by the Company and the Adviser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Securities. The relative fault of the Company and the Adviser on the one hand and of the Underwriters on the other shall be determined by reference to, among other things, whether the untrue statement or alleged untrue statement of a material fact or omission or alleged omission to state a material fact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and the Adviser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(d) above. Notwithstanding the provisions of this Section 9, no Underwriter shall be required to contribute any amount in excess of the amount by which the total price at which the Securities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1933 Act) shall be entitled to contribution from any person who was not guilty of such fraudulent misrepresentation. The Underwriters’ obligations to contribute pursuant to this Section 9 are several in proportion to their respective underwriting commitments and not joint. </w:t>
      </w:r>
    </w:p>
    <w:p>
      <w:pPr>
        <w:pStyle w:val="TextBody"/>
        <w:bidi w:val="0"/>
        <w:spacing w:before="240" w:after="0"/>
        <w:jc w:val="left"/>
        <w:rPr>
          <w:rFonts w:ascii="Times New Roman" w:hAnsi="Times New Roman"/>
          <w:sz w:val="20"/>
        </w:rPr>
      </w:pPr>
      <w:r>
        <w:rPr>
          <w:rFonts w:ascii="Times New Roman" w:hAnsi="Times New Roman"/>
          <w:sz w:val="20"/>
        </w:rPr>
        <w:t xml:space="preserve">(c) The indemnity and contribution agreements contained in this Section 9 and the covenants, warranties and representations of the Company and the Adviser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1933 Act or Section 20 of the 1934 Act, or any affiliate of any Underwriter within the meaning of Rule 405 under the 1933 Act that is involved in the Offering, or any successors or assigns of all of the foregoing persons, or by or on behalf of the Company, its directors or officers or any person who controls the Company within the meaning of Section 15 of the 1933 Act or Section 20 of the 1934 Act, and shall survive any termination of this Agreement or the issuance and delivery of the Securities. The Company and the Adviser agree promptly to notify each Underwriter of the commencement of any proceeding against it and, in the case of the Company or the Adviser, against any of the Company’s officers or directors or the Adviser or its partners or officers in connection with the issuance and sale of the Securities or in connection with the Registration Statement, the Preliminary Prospectus or the Prospectus; provided, however, that the omission to so notify such Underwriter shall not relieve such Underwriter from any liability which such Underwriter may have to the Company or the Adviser, or any such person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Information Furnished by the Underwriters</w:t>
      </w:r>
      <w:r>
        <w:rPr>
          <w:rFonts w:ascii="Times New Roman" w:hAnsi="Times New Roman"/>
          <w:sz w:val="20"/>
        </w:rPr>
        <w:t xml:space="preserve">. The Company acknowledges that, for purposes of this Agreement, (i) the names of the underwriters set forth in the table following the first paragraph under the heading “Underwriting”, (ii) the sentences relating to concessions, and (iii) the first, second, fifth and seventh sentences under the heading “Underwriting—Price Stabilization, Short Positions” in the Preliminary Prospectus and the Prospectus constitute the only information furnished by or on behalf of the several Underwriters for inclusion in the Preliminary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Except as otherwise herein provided, all statements, requests, notices and agreements shall be in writing or by telegram and, if to the Underwriters, shall be sufficient in all respects if delivered or sent to Raymond James &amp; Associates, Inc. at 880 Carillon Parkway, St. Petersburg, Florida 33716, Attention: Larry M. Herman, Managing Director/Financial Services Investment Banking, with copy via email to GEIBLegal@raymondjames.com, and a copy, which shall not constitute notice, to Kirkland &amp; Ellis LLP, 1301 Pennsylvania Avenue NW, Washington, DC 20004, attention of William J. Tuttle, P.C. and Erin M. Lett; and, if to the Company or the Adviser shall be sufficient in all respects if delivered or sent to the Company at the offices of the Company at 1691 Michigan Avenue, Suite 500, Miami Beach, Florida 33139, facsimile no. (212) 905-1075, Attention: Arthur Penn, Chief Executive Officer, and a copy, which shall not constitute notice to Dechert LLP, One International Place, 40th Floor, 100 Oliver Street, Boston, MA 02110-2605, attention of Thomas J. Friedmann and Ross MacConnell.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Governing Law; Construction</w:t>
      </w:r>
      <w:r>
        <w:rPr>
          <w:rFonts w:ascii="Times New Roman" w:hAnsi="Times New Roman"/>
          <w:sz w:val="20"/>
        </w:rPr>
        <w:t xml:space="preserve">. This Agreement and any claim, counterclaim or dispute of any kind or nature whatsoever arising out of or in any way relating to this Agreement (“Claim”),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Submission to Jurisdiction</w:t>
      </w:r>
      <w:r>
        <w:rPr>
          <w:rFonts w:ascii="Times New Roman" w:hAnsi="Times New Roman"/>
          <w:sz w:val="20"/>
        </w:rPr>
        <w:t xml:space="preserve">.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and the Adviser consents to the jurisdiction of such courts and personal service with respect thereto. Each of the Company and the Adviser hereby consents to personal jurisdiction, service and venue in any court in which any Claim arising out of or in any way relating to this Agreement is brought by any third party against the Representative or any indemnified party. Each of the Representative, the Company (on its behalf and, to the extent permitted by applicable law, on behalf of its stockholders and affiliates) and the Adviser waives all right to trial by jury in any action, proceeding or counterclaim (whether based upon contract, tort or otherwise) in any way arising out of or relating to this Agreement. Each of the Company and the Adviser agrees that a final judgment in any such action, proceeding or counterclaim brought in any such court shall be conclusive and binding upon the Company and the Adviser, as appropriate, and may be enforced in any other courts to the jurisdiction of which the Company and the Adviser, as appropriate, is or may be subject, by suit upon such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Parties at Interes</w:t>
      </w:r>
      <w:r>
        <w:rPr>
          <w:rFonts w:ascii="Times New Roman" w:hAnsi="Times New Roman"/>
          <w:sz w:val="20"/>
        </w:rPr>
        <w:t xml:space="preserve">t. The Agreement herein set forth has been and is made solely for the benefit of the Underwriters and the Company and to the extent provided in Section 9 hereof the controlling persons, partners, directors, officers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Counterparts</w:t>
      </w:r>
      <w:r>
        <w:rPr>
          <w:rFonts w:ascii="Times New Roman" w:hAnsi="Times New Roman"/>
          <w:sz w:val="20"/>
        </w:rPr>
        <w:t xml:space="preserve">. This Agreement may be signed by the parties in one or more counterparts which together shall constitute one and the same agreement among the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Successors and Assigns</w:t>
      </w:r>
      <w:r>
        <w:rPr>
          <w:rFonts w:ascii="Times New Roman" w:hAnsi="Times New Roman"/>
          <w:sz w:val="20"/>
        </w:rPr>
        <w:t xml:space="preserve">. This Agreement shall be binding upon the Underwriters, the Company and the Adviser and their successors and assigns and any successor or assign of any substantial portion of the Company’s and the Adviser’s and any of the Underwriters’ respective businesses and/or assets.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Acknowledgement</w:t>
      </w:r>
      <w:r>
        <w:rPr>
          <w:rFonts w:ascii="Times New Roman" w:hAnsi="Times New Roman"/>
          <w:sz w:val="20"/>
        </w:rPr>
        <w:t xml:space="preserve">. Each of the Company and the Adviser acknowledges and agrees that (i) the sale through the Underwriters of the Securities pursuant to this Agreement, including the determination of the public offering price of the Securities and any related compensation, discounts or commissions, is an arm’s-length commercial transaction between the Company and the Adviser, on the one hand, and the Underwriters, on the other hand, (ii) in connection with the offering of the Securities and the process leading to such transactions each Underwriter will act solely as an agent and not as a fiduciary of the Company or the Adviser, or any of their respective stockholders, members, creditors or employees, or any other party, (iii) no Underwriter will assume an advisory or fiduciary responsibility in favor of the Company or the Adviser with respect to the offering of Securities contemplated hereby or the process leading thereto (irrespective of whether such Underwriter has advised or is currently advising the Company or the Adviser on other matters) and no Underwriter will have any obligation to the Company or the Adviser with respect to the offering of Securities except the obligations expressly set forth herein, (iv) each Underwriter and its respective affiliates may be engaged in a broad range of transactions that involve interests that differ from those of the Company and the Adviser, (v) no Underwriter has provided and will provide any legal, accounting, regulatory or tax advice with respect to the offering of the Securities and each of the Company and the Adviser has consulted and will consult its own legal, accounting, regulatory and tax advisors to the extent it deems appropriate and (vi)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18</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the Adviser and the several Underwriters, please so indicate in the space provided below for that purpose, whereupon this agreement and your acceptance shall constitute a binding agreement between the Company, the Adviser and the Underwriters, severally.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 RATE CAPITAL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Arthur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ADVISERS,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Arthur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 to as of the date first above written:</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bidi w:val="0"/>
              <w:spacing w:before="0" w:after="283"/>
              <w:jc w:val="left"/>
              <w:rPr/>
            </w:pPr>
            <w:r>
              <w:rPr/>
              <w:t>RAYMOND JAMES &amp; ASSOCIATES, INC.</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Larry Herman</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bidi w:val="0"/>
              <w:spacing w:before="0" w:after="283"/>
              <w:jc w:val="left"/>
              <w:rPr/>
            </w:pPr>
            <w:r>
              <w:rPr/>
              <w:t>Name: Larry Herman</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the Securities to be paid by the several Underwriters shall be 98.134% of the aggregate principal amount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1"/>
        <w:gridCol w:w="234"/>
        <w:gridCol w:w="140"/>
        <w:gridCol w:w="1227"/>
        <w:gridCol w:w="63"/>
      </w:tblGrid>
      <w:tr>
        <w:trPr/>
        <w:tc>
          <w:tcPr>
            <w:tcW w:w="854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5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234"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Securities to be</w:t>
              <w:br/>
              <w:t>Purchased</w:t>
            </w:r>
          </w:p>
        </w:tc>
        <w:tc>
          <w:tcPr>
            <w:tcW w:w="63" w:type="dxa"/>
            <w:tcBorders/>
            <w:vAlign w:val="bottom"/>
          </w:tcPr>
          <w:p>
            <w:pPr>
              <w:pStyle w:val="TableContents"/>
              <w:bidi w:val="0"/>
              <w:spacing w:before="0" w:after="283"/>
              <w:jc w:val="left"/>
              <w:rPr/>
            </w:pPr>
            <w:r>
              <w:rPr/>
              <w:t> </w:t>
            </w:r>
          </w:p>
        </w:tc>
      </w:tr>
      <w:tr>
        <w:trPr/>
        <w:tc>
          <w:tcPr>
            <w:tcW w:w="8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120,000,000</w:t>
            </w:r>
          </w:p>
        </w:tc>
        <w:tc>
          <w:tcPr>
            <w:tcW w:w="63" w:type="dxa"/>
            <w:tcBorders/>
            <w:shd w:fill="CCEEFF" w:val="clear"/>
            <w:vAlign w:val="bottom"/>
          </w:tcPr>
          <w:p>
            <w:pPr>
              <w:pStyle w:val="TableContents"/>
              <w:bidi w:val="0"/>
              <w:spacing w:before="0" w:after="283"/>
              <w:jc w:val="left"/>
              <w:rPr/>
            </w:pPr>
            <w:r>
              <w:rPr/>
              <w:t> </w:t>
            </w:r>
          </w:p>
        </w:tc>
      </w:tr>
      <w:tr>
        <w:trPr/>
        <w:tc>
          <w:tcPr>
            <w:tcW w:w="8541" w:type="dxa"/>
            <w:tcBorders/>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22,000,000</w:t>
            </w:r>
          </w:p>
        </w:tc>
        <w:tc>
          <w:tcPr>
            <w:tcW w:w="63" w:type="dxa"/>
            <w:tcBorders/>
            <w:vAlign w:val="bottom"/>
          </w:tcPr>
          <w:p>
            <w:pPr>
              <w:pStyle w:val="TableContents"/>
              <w:bidi w:val="0"/>
              <w:spacing w:before="0" w:after="283"/>
              <w:jc w:val="left"/>
              <w:rPr/>
            </w:pPr>
            <w:r>
              <w:rPr/>
              <w:t> </w:t>
            </w:r>
          </w:p>
        </w:tc>
      </w:tr>
      <w:tr>
        <w:trPr/>
        <w:tc>
          <w:tcPr>
            <w:tcW w:w="8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22,000,000</w:t>
            </w:r>
          </w:p>
        </w:tc>
        <w:tc>
          <w:tcPr>
            <w:tcW w:w="63" w:type="dxa"/>
            <w:tcBorders/>
            <w:shd w:fill="CCEEFF" w:val="clear"/>
            <w:vAlign w:val="bottom"/>
          </w:tcPr>
          <w:p>
            <w:pPr>
              <w:pStyle w:val="TableContents"/>
              <w:bidi w:val="0"/>
              <w:spacing w:before="0" w:after="283"/>
              <w:jc w:val="left"/>
              <w:rPr/>
            </w:pPr>
            <w:r>
              <w:rPr/>
              <w:t> </w:t>
            </w:r>
          </w:p>
        </w:tc>
      </w:tr>
      <w:tr>
        <w:trPr/>
        <w:tc>
          <w:tcPr>
            <w:tcW w:w="8541"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22,000,000</w:t>
            </w:r>
          </w:p>
        </w:tc>
        <w:tc>
          <w:tcPr>
            <w:tcW w:w="63" w:type="dxa"/>
            <w:tcBorders/>
            <w:vAlign w:val="bottom"/>
          </w:tcPr>
          <w:p>
            <w:pPr>
              <w:pStyle w:val="TableContents"/>
              <w:bidi w:val="0"/>
              <w:spacing w:before="0" w:after="283"/>
              <w:jc w:val="left"/>
              <w:rPr/>
            </w:pPr>
            <w:r>
              <w:rPr/>
              <w:t> </w:t>
            </w:r>
          </w:p>
        </w:tc>
      </w:tr>
      <w:tr>
        <w:trPr/>
        <w:tc>
          <w:tcPr>
            <w:tcW w:w="8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6,000,000</w:t>
            </w:r>
          </w:p>
        </w:tc>
        <w:tc>
          <w:tcPr>
            <w:tcW w:w="63" w:type="dxa"/>
            <w:tcBorders/>
            <w:shd w:fill="CCEEFF" w:val="clear"/>
            <w:vAlign w:val="bottom"/>
          </w:tcPr>
          <w:p>
            <w:pPr>
              <w:pStyle w:val="TableContents"/>
              <w:bidi w:val="0"/>
              <w:spacing w:before="0" w:after="283"/>
              <w:jc w:val="left"/>
              <w:rPr/>
            </w:pPr>
            <w:r>
              <w:rPr/>
              <w:t> </w:t>
            </w:r>
          </w:p>
        </w:tc>
      </w:tr>
      <w:tr>
        <w:trPr/>
        <w:tc>
          <w:tcPr>
            <w:tcW w:w="8541"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4,000,000</w:t>
            </w:r>
          </w:p>
        </w:tc>
        <w:tc>
          <w:tcPr>
            <w:tcW w:w="63" w:type="dxa"/>
            <w:tcBorders/>
            <w:vAlign w:val="bottom"/>
          </w:tcPr>
          <w:p>
            <w:pPr>
              <w:pStyle w:val="TableContents"/>
              <w:bidi w:val="0"/>
              <w:spacing w:before="0" w:after="283"/>
              <w:jc w:val="left"/>
              <w:rPr/>
            </w:pPr>
            <w:r>
              <w:rPr/>
              <w:t> </w:t>
            </w:r>
          </w:p>
        </w:tc>
      </w:tr>
      <w:tr>
        <w:trPr/>
        <w:tc>
          <w:tcPr>
            <w:tcW w:w="8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4,000,000</w:t>
            </w:r>
          </w:p>
        </w:tc>
        <w:tc>
          <w:tcPr>
            <w:tcW w:w="63" w:type="dxa"/>
            <w:tcBorders/>
            <w:shd w:fill="CCEEFF" w:val="clear"/>
            <w:vAlign w:val="bottom"/>
          </w:tcPr>
          <w:p>
            <w:pPr>
              <w:pStyle w:val="TableContents"/>
              <w:bidi w:val="0"/>
              <w:spacing w:before="0" w:after="283"/>
              <w:jc w:val="left"/>
              <w:rPr/>
            </w:pPr>
            <w:r>
              <w:rPr/>
              <w:t> </w:t>
            </w:r>
          </w:p>
        </w:tc>
      </w:tr>
      <w:tr>
        <w:trPr/>
        <w:tc>
          <w:tcPr>
            <w:tcW w:w="8541"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54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7" w:type="dxa"/>
            <w:tcBorders/>
            <w:vAlign w:val="bottom"/>
          </w:tcPr>
          <w:p>
            <w:pPr>
              <w:pStyle w:val="TableContents"/>
              <w:bidi w:val="0"/>
              <w:spacing w:before="0" w:after="283"/>
              <w:jc w:val="right"/>
              <w:rPr>
                <w:b/>
              </w:rPr>
            </w:pPr>
            <w:r>
              <w:rPr>
                <w:b/>
              </w:rPr>
              <w:t>200,000,000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left"/>
        <w:rPr>
          <w:rFonts w:ascii="Times New Roman" w:hAnsi="Times New Roman"/>
          <w:sz w:val="20"/>
        </w:rPr>
      </w:pPr>
      <w:r>
        <w:rPr>
          <w:rFonts w:ascii="Times New Roman" w:hAnsi="Times New Roman"/>
          <w:sz w:val="20"/>
        </w:rPr>
        <w:t xml:space="preserve">Term sheet containing the terms of the Securities, substantially in the form of Annex A hereto.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C </w:t>
      </w:r>
    </w:p>
    <w:p>
      <w:pPr>
        <w:pStyle w:val="TextBody"/>
        <w:bidi w:val="0"/>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Ltd.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11, LLC </w:t>
      </w:r>
    </w:p>
    <w:p>
      <w:pPr>
        <w:pStyle w:val="TextBody"/>
        <w:bidi w:val="0"/>
        <w:spacing w:before="0" w:after="0"/>
        <w:jc w:val="left"/>
        <w:rPr>
          <w:rFonts w:ascii="Times New Roman" w:hAnsi="Times New Roman"/>
          <w:sz w:val="20"/>
        </w:rPr>
      </w:pPr>
      <w:r>
        <w:rPr>
          <w:rFonts w:ascii="Times New Roman" w:hAnsi="Times New Roman"/>
          <w:sz w:val="20"/>
        </w:rPr>
        <w:t xml:space="preserve">PennantPark-TSO Senior Loan Fund, LP </w:t>
      </w:r>
    </w:p>
    <w:p>
      <w:pPr>
        <w:pStyle w:val="TextBody"/>
        <w:bidi w:val="0"/>
        <w:spacing w:before="0" w:after="0"/>
        <w:jc w:val="left"/>
        <w:rPr>
          <w:rFonts w:ascii="Times New Roman" w:hAnsi="Times New Roman"/>
          <w:sz w:val="20"/>
        </w:rPr>
      </w:pPr>
      <w:r>
        <w:rPr>
          <w:rFonts w:ascii="Times New Roman" w:hAnsi="Times New Roman"/>
          <w:sz w:val="20"/>
        </w:rPr>
        <w:t xml:space="preserve">PFLT Investment Holdings, LLC </w:t>
      </w:r>
    </w:p>
    <w:p>
      <w:pPr>
        <w:pStyle w:val="TextBody"/>
        <w:bidi w:val="0"/>
        <w:spacing w:before="0" w:after="0"/>
        <w:jc w:val="left"/>
        <w:rPr>
          <w:rFonts w:ascii="Times New Roman" w:hAnsi="Times New Roman"/>
          <w:sz w:val="20"/>
        </w:rPr>
      </w:pPr>
      <w:r>
        <w:rPr>
          <w:rFonts w:ascii="Times New Roman" w:hAnsi="Times New Roman"/>
          <w:sz w:val="20"/>
        </w:rPr>
        <w:t xml:space="preserve">PFLT Investment Holdings II,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Form of Certificate Required by Section 6(i)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the Registration Statement, the General Disclosure Package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each of the Company and the Adviser as set forth in the Underwriting Agreement are true and correct as of the time of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Adviser has performed all of its obligations under the Underwriting Agreement as are to be performed at or before the Closing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set forth in paragraphs (f) and (g) of Section 6 of the Underwriting Agreement have been met.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19373</Words>
  <Characters>103414</Characters>
  <CharactersWithSpaces>122834</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