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560" w:right="1860" w:hanging="3552"/>
        <w:spacing w:after="0" w:line="470" w:lineRule="auto"/>
        <w:tabs>
          <w:tab w:leader="none" w:pos="2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9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ind w:left="34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1240" w:type="dxa"/>
            <w:vAlign w:val="bottom"/>
            <w:gridSpan w:val="6"/>
          </w:tcPr>
          <w:p>
            <w:pPr>
              <w:jc w:val="center"/>
              <w:spacing w:after="0"/>
              <w:rPr>
                <w:sz w:val="20"/>
                <w:szCs w:val="20"/>
                <w:color w:val="auto"/>
              </w:rPr>
            </w:pPr>
            <w:r>
              <w:rPr>
                <w:rFonts w:ascii="Arial" w:cs="Arial" w:eastAsia="Arial" w:hAnsi="Arial"/>
                <w:sz w:val="31"/>
                <w:szCs w:val="31"/>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rPr>
              <w:t>MARYLAND</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3"/>
          </w:tcPr>
          <w:p>
            <w:pPr>
              <w:jc w:val="right"/>
              <w:ind w:right="22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7400" w:type="dxa"/>
            <w:vAlign w:val="bottom"/>
            <w:gridSpan w:val="3"/>
          </w:tcPr>
          <w:p>
            <w:pPr>
              <w:jc w:val="center"/>
              <w:ind w:right="17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40" w:type="dxa"/>
            <w:vAlign w:val="bottom"/>
            <w:gridSpan w:val="3"/>
          </w:tcPr>
          <w:p>
            <w:pPr>
              <w:jc w:val="center"/>
              <w:ind w:right="14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7"/>
              </w:rPr>
              <w:t>New York, N.Y.</w:t>
            </w:r>
          </w:p>
        </w:tc>
        <w:tc>
          <w:tcPr>
            <w:tcW w:w="3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gridSpan w:val="3"/>
            <w:vMerge w:val="restart"/>
          </w:tcPr>
          <w:p>
            <w:pPr>
              <w:jc w:val="right"/>
              <w:ind w:right="24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860" w:type="dxa"/>
            <w:vAlign w:val="bottom"/>
          </w:tcPr>
          <w:p>
            <w:pPr>
              <w:jc w:val="center"/>
              <w:ind w:left="170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jc w:val="center"/>
              <w:ind w:right="231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82"/>
        </w:trPr>
        <w:tc>
          <w:tcPr>
            <w:tcW w:w="3860" w:type="dxa"/>
            <w:vAlign w:val="bottom"/>
          </w:tcPr>
          <w:p>
            <w:pPr>
              <w:spacing w:after="0"/>
              <w:rPr>
                <w:sz w:val="24"/>
                <w:szCs w:val="24"/>
                <w:color w:val="auto"/>
              </w:rPr>
            </w:pPr>
          </w:p>
        </w:tc>
        <w:tc>
          <w:tcPr>
            <w:tcW w:w="3000" w:type="dxa"/>
            <w:vAlign w:val="bottom"/>
          </w:tcPr>
          <w:p>
            <w:pPr>
              <w:jc w:val="center"/>
              <w:ind w:left="467"/>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480"/>
              <w:spacing w:after="0"/>
              <w:rPr>
                <w:sz w:val="20"/>
                <w:szCs w:val="20"/>
                <w:color w:val="auto"/>
              </w:rPr>
            </w:pPr>
            <w:r>
              <w:rPr>
                <w:rFonts w:ascii="Arial" w:cs="Arial" w:eastAsia="Arial" w:hAnsi="Arial"/>
                <w:sz w:val="14"/>
                <w:szCs w:val="14"/>
                <w:color w:val="auto"/>
                <w:w w:val="94"/>
              </w:rPr>
              <w:t>Securities registered pursuant to Section 12(b) of the Act:</w:t>
            </w: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Title of Each Class</w:t>
            </w:r>
          </w:p>
        </w:tc>
        <w:tc>
          <w:tcPr>
            <w:tcW w:w="3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Trading Symbol(s)</w:t>
            </w:r>
          </w:p>
        </w:tc>
        <w:tc>
          <w:tcPr>
            <w:tcW w:w="300" w:type="dxa"/>
            <w:vAlign w:val="bottom"/>
          </w:tcPr>
          <w:p>
            <w:pPr>
              <w:spacing w:after="0"/>
              <w:rPr>
                <w:sz w:val="22"/>
                <w:szCs w:val="22"/>
                <w:color w:val="auto"/>
              </w:rPr>
            </w:pPr>
          </w:p>
        </w:tc>
        <w:tc>
          <w:tcPr>
            <w:tcW w:w="354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3860" w:type="dxa"/>
            <w:vAlign w:val="bottom"/>
          </w:tcPr>
          <w:p>
            <w:pPr>
              <w:jc w:val="center"/>
              <w:ind w:right="41"/>
              <w:spacing w:after="0"/>
              <w:rPr>
                <w:sz w:val="20"/>
                <w:szCs w:val="20"/>
                <w:color w:val="auto"/>
              </w:rPr>
            </w:pPr>
            <w:r>
              <w:rPr>
                <w:rFonts w:ascii="Arial" w:cs="Arial" w:eastAsia="Arial" w:hAnsi="Arial"/>
                <w:sz w:val="14"/>
                <w:szCs w:val="14"/>
                <w:color w:val="auto"/>
                <w:w w:val="92"/>
              </w:rPr>
              <w:t>Common Stock, par value $0.001 per share</w:t>
            </w:r>
          </w:p>
        </w:tc>
        <w:tc>
          <w:tcPr>
            <w:tcW w:w="35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PFLT</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Pr>
          <w:p>
            <w:pPr>
              <w:jc w:val="center"/>
              <w:ind w:right="715"/>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8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12" w:lineRule="exact"/>
        <w:rPr>
          <w:sz w:val="24"/>
          <w:szCs w:val="24"/>
          <w:color w:val="auto"/>
        </w:rPr>
      </w:pPr>
    </w:p>
    <w:p>
      <w:pPr>
        <w:jc w:val="both"/>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80" w:right="304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August 4, 2021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6" w:lineRule="auto"/>
        <w:rPr>
          <w:sz w:val="20"/>
          <w:szCs w:val="20"/>
          <w:color w:val="auto"/>
        </w:rPr>
      </w:pPr>
      <w:r>
        <w:rPr>
          <w:rFonts w:ascii="Arial" w:cs="Arial" w:eastAsia="Arial" w:hAnsi="Arial"/>
          <w:sz w:val="14"/>
          <w:szCs w:val="14"/>
          <w:b w:val="1"/>
          <w:bCs w:val="1"/>
          <w:color w:val="auto"/>
        </w:rPr>
        <w:t>FORM 10-Q FOR THE QUARTER ENDED JUNE 30, 2021</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700" w:type="dxa"/>
            <w:vAlign w:val="bottom"/>
            <w:gridSpan w:val="14"/>
          </w:tcPr>
          <w:p>
            <w:pPr>
              <w:jc w:val="center"/>
              <w:ind w:right="106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CONSOLIDATED FINANCIAL INFORMATION</w:t>
              </w:r>
            </w:hyperlink>
          </w:p>
        </w:tc>
        <w:tc>
          <w:tcPr>
            <w:tcW w:w="1940" w:type="dxa"/>
            <w:vAlign w:val="bottom"/>
          </w:tcPr>
          <w:p>
            <w:pPr>
              <w:spacing w:after="0"/>
              <w:rPr>
                <w:sz w:val="14"/>
                <w:szCs w:val="14"/>
                <w:color w:val="auto"/>
              </w:rPr>
            </w:pPr>
          </w:p>
        </w:tc>
      </w:tr>
      <w:tr>
        <w:trPr>
          <w:trHeight w:val="277"/>
        </w:trPr>
        <w:tc>
          <w:tcPr>
            <w:tcW w:w="3600" w:type="dxa"/>
            <w:vAlign w:val="bottom"/>
            <w:gridSpan w:val="1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Item 1. Consolidated Financial Statements</w:t>
              </w:r>
            </w:hyperlink>
          </w:p>
        </w:tc>
        <w:tc>
          <w:tcPr>
            <w:tcW w:w="3640" w:type="dxa"/>
            <w:vAlign w:val="bottom"/>
            <w:tcBorders>
              <w:top w:val="single" w:sz="8" w:color="0000EE"/>
            </w:tcBorders>
            <w:gridSpan w:val="11"/>
          </w:tcPr>
          <w:p>
            <w:pPr>
              <w:spacing w:after="0"/>
              <w:rPr>
                <w:sz w:val="24"/>
                <w:szCs w:val="24"/>
                <w:color w:val="auto"/>
              </w:rPr>
            </w:pPr>
          </w:p>
        </w:tc>
        <w:tc>
          <w:tcPr>
            <w:tcW w:w="206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Consolidated Statements of Assets and Liabilities as of June 30, 2021 (unaudited) and September 30, 2020</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3"/>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Statements of Operations for the three and nine months ended June 30, 2021 and 2020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tcBorders>
              <w:bottom w:val="single" w:sz="8" w:color="0000EE"/>
            </w:tcBorders>
            <w:gridSpan w:val="22"/>
          </w:tcPr>
          <w:p>
            <w:pPr>
              <w:spacing w:after="0"/>
              <w:rPr>
                <w:rFonts w:ascii="Arial" w:cs="Arial" w:eastAsia="Arial" w:hAnsi="Arial"/>
                <w:sz w:val="14"/>
                <w:szCs w:val="14"/>
                <w:color w:val="0000EE"/>
                <w:w w:val="91"/>
              </w:rPr>
            </w:pPr>
            <w:hyperlink w:anchor="page6">
              <w:r>
                <w:rPr>
                  <w:rFonts w:ascii="Arial" w:cs="Arial" w:eastAsia="Arial" w:hAnsi="Arial"/>
                  <w:sz w:val="14"/>
                  <w:szCs w:val="14"/>
                  <w:color w:val="0000EE"/>
                  <w:w w:val="91"/>
                </w:rPr>
                <w:t>Consolidated Statements of Changes in Net Assets for the three and nine months ended June 30, 2021 and 2020 (unaudited)</w:t>
              </w:r>
            </w:hyperlink>
          </w:p>
        </w:tc>
        <w:tc>
          <w:tcPr>
            <w:tcW w:w="17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3"/>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Cash Flows for the nine months ended June 30, 2021 and 2020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tcBorders>
              <w:top w:val="single" w:sz="8" w:color="0000EE"/>
              <w:bottom w:val="single" w:sz="8" w:color="0000EE"/>
            </w:tcBorders>
            <w:gridSpan w:val="16"/>
          </w:tcPr>
          <w:p>
            <w:pPr>
              <w:spacing w:after="0"/>
              <w:rPr>
                <w:rFonts w:ascii="Arial" w:cs="Arial" w:eastAsia="Arial" w:hAnsi="Arial"/>
                <w:sz w:val="14"/>
                <w:szCs w:val="14"/>
                <w:color w:val="0000EE"/>
                <w:w w:val="91"/>
              </w:rPr>
            </w:pPr>
            <w:hyperlink w:anchor="page8">
              <w:r>
                <w:rPr>
                  <w:rFonts w:ascii="Arial" w:cs="Arial" w:eastAsia="Arial" w:hAnsi="Arial"/>
                  <w:sz w:val="14"/>
                  <w:szCs w:val="14"/>
                  <w:color w:val="0000EE"/>
                  <w:w w:val="91"/>
                </w:rPr>
                <w:t>Consolidated Schedules of Investments as of June 30, 2021 (unaudited) and September 30, 2020</w:t>
              </w:r>
            </w:hyperlink>
          </w:p>
        </w:tc>
        <w:tc>
          <w:tcPr>
            <w:tcW w:w="380" w:type="dxa"/>
            <w:vAlign w:val="bottom"/>
            <w:tcBorders>
              <w:top w:val="single" w:sz="8" w:color="0000EE"/>
            </w:tcBorders>
            <w:gridSpan w:val="2"/>
          </w:tcPr>
          <w:p>
            <w:pPr>
              <w:spacing w:after="0"/>
              <w:rPr>
                <w:sz w:val="24"/>
                <w:szCs w:val="24"/>
                <w:color w:val="auto"/>
              </w:rPr>
            </w:pPr>
          </w:p>
        </w:tc>
        <w:tc>
          <w:tcPr>
            <w:tcW w:w="298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Borders>
              <w:bottom w:val="single" w:sz="8" w:color="0000EE"/>
            </w:tcBorders>
            <w:gridSpan w:val="11"/>
          </w:tcPr>
          <w:p>
            <w:pPr>
              <w:spacing w:after="0"/>
              <w:rPr>
                <w:rFonts w:ascii="Arial" w:cs="Arial" w:eastAsia="Arial" w:hAnsi="Arial"/>
                <w:sz w:val="14"/>
                <w:szCs w:val="14"/>
                <w:color w:val="0000EE"/>
                <w:w w:val="92"/>
              </w:rPr>
            </w:pPr>
            <w:hyperlink w:anchor="page16">
              <w:r>
                <w:rPr>
                  <w:rFonts w:ascii="Arial" w:cs="Arial" w:eastAsia="Arial" w:hAnsi="Arial"/>
                  <w:sz w:val="14"/>
                  <w:szCs w:val="14"/>
                  <w:color w:val="0000EE"/>
                  <w:w w:val="92"/>
                </w:rPr>
                <w:t>Notes to Consolidated Financial Statements (unaudited)</w:t>
              </w:r>
            </w:hyperlink>
          </w:p>
        </w:tc>
        <w:tc>
          <w:tcPr>
            <w:tcW w:w="5680" w:type="dxa"/>
            <w:vAlign w:val="bottom"/>
            <w:gridSpan w:val="1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tcBorders>
              <w:bottom w:val="single" w:sz="8" w:color="0000EE"/>
            </w:tcBorders>
            <w:gridSpan w:val="12"/>
          </w:tcPr>
          <w:p>
            <w:pPr>
              <w:spacing w:after="0"/>
              <w:rPr>
                <w:rFonts w:ascii="Arial" w:cs="Arial" w:eastAsia="Arial" w:hAnsi="Arial"/>
                <w:sz w:val="14"/>
                <w:szCs w:val="14"/>
                <w:color w:val="0000EE"/>
                <w:w w:val="93"/>
              </w:rPr>
            </w:pPr>
            <w:hyperlink w:anchor="page33">
              <w:r>
                <w:rPr>
                  <w:rFonts w:ascii="Arial" w:cs="Arial" w:eastAsia="Arial" w:hAnsi="Arial"/>
                  <w:sz w:val="14"/>
                  <w:szCs w:val="14"/>
                  <w:color w:val="0000EE"/>
                  <w:w w:val="93"/>
                </w:rPr>
                <w:t>Report of Independent Registered Public Accounting Firm</w:t>
              </w:r>
            </w:hyperlink>
          </w:p>
        </w:tc>
        <w:tc>
          <w:tcPr>
            <w:tcW w:w="554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7"/>
        </w:trPr>
        <w:tc>
          <w:tcPr>
            <w:tcW w:w="20" w:type="dxa"/>
            <w:vAlign w:val="bottom"/>
          </w:tcPr>
          <w:p>
            <w:pPr>
              <w:spacing w:after="0"/>
              <w:rPr>
                <w:sz w:val="24"/>
                <w:szCs w:val="24"/>
                <w:color w:val="auto"/>
              </w:rPr>
            </w:pPr>
          </w:p>
        </w:tc>
        <w:tc>
          <w:tcPr>
            <w:tcW w:w="5940" w:type="dxa"/>
            <w:vAlign w:val="bottom"/>
            <w:tcBorders>
              <w:bottom w:val="single" w:sz="8" w:color="0000EE"/>
            </w:tcBorders>
            <w:gridSpan w:val="18"/>
          </w:tcPr>
          <w:p>
            <w:pPr>
              <w:spacing w:after="0"/>
              <w:rPr>
                <w:rFonts w:ascii="Arial" w:cs="Arial" w:eastAsia="Arial" w:hAnsi="Arial"/>
                <w:sz w:val="14"/>
                <w:szCs w:val="14"/>
                <w:b w:val="1"/>
                <w:bCs w:val="1"/>
                <w:color w:val="0000EE"/>
                <w:w w:val="92"/>
              </w:rPr>
            </w:pPr>
            <w:hyperlink w:anchor="page34">
              <w:r>
                <w:rPr>
                  <w:rFonts w:ascii="Arial" w:cs="Arial" w:eastAsia="Arial" w:hAnsi="Arial"/>
                  <w:sz w:val="14"/>
                  <w:szCs w:val="14"/>
                  <w:b w:val="1"/>
                  <w:bCs w:val="1"/>
                  <w:color w:val="0000EE"/>
                  <w:w w:val="92"/>
                </w:rPr>
                <w:t>Item 2. Management’s Discussion and Analysis of Financial Condition and Results of Operations</w:t>
              </w:r>
            </w:hyperlink>
          </w:p>
        </w:tc>
        <w:tc>
          <w:tcPr>
            <w:tcW w:w="3340" w:type="dxa"/>
            <w:vAlign w:val="bottom"/>
            <w:gridSpan w:val="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7"/>
        </w:trPr>
        <w:tc>
          <w:tcPr>
            <w:tcW w:w="20" w:type="dxa"/>
            <w:vAlign w:val="bottom"/>
          </w:tcPr>
          <w:p>
            <w:pPr>
              <w:spacing w:after="0"/>
              <w:rPr>
                <w:sz w:val="24"/>
                <w:szCs w:val="24"/>
                <w:color w:val="auto"/>
              </w:rPr>
            </w:pPr>
          </w:p>
        </w:tc>
        <w:tc>
          <w:tcPr>
            <w:tcW w:w="9280" w:type="dxa"/>
            <w:vAlign w:val="bottom"/>
            <w:gridSpan w:val="24"/>
          </w:tcPr>
          <w:p>
            <w:pPr>
              <w:spacing w:after="0"/>
              <w:rPr>
                <w:rFonts w:ascii="Arial" w:cs="Arial" w:eastAsia="Arial" w:hAnsi="Arial"/>
                <w:sz w:val="14"/>
                <w:szCs w:val="14"/>
                <w:b w:val="1"/>
                <w:bCs w:val="1"/>
                <w:color w:val="0000EE"/>
              </w:rPr>
            </w:pPr>
            <w:hyperlink w:anchor="page46">
              <w:r>
                <w:rPr>
                  <w:rFonts w:ascii="Arial" w:cs="Arial" w:eastAsia="Arial" w:hAnsi="Arial"/>
                  <w:sz w:val="14"/>
                  <w:szCs w:val="14"/>
                  <w:b w:val="1"/>
                  <w:bCs w:val="1"/>
                  <w:color w:val="0000EE"/>
                </w:rPr>
                <w:t>Item 3. 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7"/>
        </w:trPr>
        <w:tc>
          <w:tcPr>
            <w:tcW w:w="20" w:type="dxa"/>
            <w:vAlign w:val="bottom"/>
          </w:tcPr>
          <w:p>
            <w:pPr>
              <w:spacing w:after="0"/>
              <w:rPr>
                <w:sz w:val="24"/>
                <w:szCs w:val="24"/>
                <w:color w:val="auto"/>
              </w:rPr>
            </w:pPr>
          </w:p>
        </w:tc>
        <w:tc>
          <w:tcPr>
            <w:tcW w:w="4200" w:type="dxa"/>
            <w:vAlign w:val="bottom"/>
            <w:tcBorders>
              <w:top w:val="single" w:sz="8" w:color="0000EE"/>
            </w:tcBorders>
            <w:gridSpan w:val="15"/>
          </w:tcPr>
          <w:p>
            <w:pPr>
              <w:spacing w:after="0"/>
              <w:rPr>
                <w:rFonts w:ascii="Arial" w:cs="Arial" w:eastAsia="Arial" w:hAnsi="Arial"/>
                <w:sz w:val="14"/>
                <w:szCs w:val="14"/>
                <w:b w:val="1"/>
                <w:bCs w:val="1"/>
                <w:color w:val="0000EE"/>
              </w:rPr>
            </w:pPr>
            <w:hyperlink w:anchor="page47">
              <w:r>
                <w:rPr>
                  <w:rFonts w:ascii="Arial" w:cs="Arial" w:eastAsia="Arial" w:hAnsi="Arial"/>
                  <w:sz w:val="14"/>
                  <w:szCs w:val="14"/>
                  <w:b w:val="1"/>
                  <w:bCs w:val="1"/>
                  <w:color w:val="0000EE"/>
                </w:rPr>
                <w:t>Item 4. Controls and Procedures</w:t>
              </w:r>
            </w:hyperlink>
          </w:p>
        </w:tc>
        <w:tc>
          <w:tcPr>
            <w:tcW w:w="5080" w:type="dxa"/>
            <w:vAlign w:val="bottom"/>
            <w:gridSpan w:val="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77"/>
        </w:trPr>
        <w:tc>
          <w:tcPr>
            <w:tcW w:w="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8"/>
          </w:tcPr>
          <w:p>
            <w:pPr>
              <w:jc w:val="center"/>
              <w:ind w:right="2780"/>
              <w:spacing w:after="0"/>
              <w:rPr>
                <w:rFonts w:ascii="Arial" w:cs="Arial" w:eastAsia="Arial" w:hAnsi="Arial"/>
                <w:sz w:val="14"/>
                <w:szCs w:val="14"/>
                <w:b w:val="1"/>
                <w:bCs w:val="1"/>
                <w:color w:val="0000EE"/>
              </w:rPr>
            </w:pPr>
            <w:hyperlink w:anchor="page48">
              <w:r>
                <w:rPr>
                  <w:rFonts w:ascii="Arial" w:cs="Arial" w:eastAsia="Arial" w:hAnsi="Arial"/>
                  <w:sz w:val="14"/>
                  <w:szCs w:val="14"/>
                  <w:b w:val="1"/>
                  <w:bCs w:val="1"/>
                  <w:color w:val="0000EE"/>
                </w:rPr>
                <w:t>PART II. OTHER INFORMATION</w:t>
              </w:r>
            </w:hyperlink>
          </w:p>
        </w:tc>
        <w:tc>
          <w:tcPr>
            <w:tcW w:w="194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4"/>
                <w:szCs w:val="14"/>
                <w:b w:val="1"/>
                <w:bCs w:val="1"/>
                <w:color w:val="0000EE"/>
                <w:w w:val="91"/>
              </w:rPr>
            </w:pPr>
            <w:hyperlink w:anchor="page48">
              <w:r>
                <w:rPr>
                  <w:rFonts w:ascii="Arial" w:cs="Arial" w:eastAsia="Arial" w:hAnsi="Arial"/>
                  <w:sz w:val="14"/>
                  <w:szCs w:val="14"/>
                  <w:b w:val="1"/>
                  <w:bCs w:val="1"/>
                  <w:color w:val="0000EE"/>
                  <w:w w:val="91"/>
                </w:rPr>
                <w:t>Item 1. Legal Proceedings</w:t>
              </w:r>
            </w:hyperlink>
          </w:p>
        </w:tc>
        <w:tc>
          <w:tcPr>
            <w:tcW w:w="2700" w:type="dxa"/>
            <w:vAlign w:val="bottom"/>
            <w:gridSpan w:val="11"/>
          </w:tcPr>
          <w:p>
            <w:pPr>
              <w:spacing w:after="0"/>
              <w:rPr>
                <w:sz w:val="24"/>
                <w:szCs w:val="24"/>
                <w:color w:val="auto"/>
              </w:rPr>
            </w:pPr>
          </w:p>
        </w:tc>
        <w:tc>
          <w:tcPr>
            <w:tcW w:w="2200" w:type="dxa"/>
            <w:vAlign w:val="bottom"/>
            <w:tcBorders>
              <w:top w:val="single" w:sz="8" w:color="0000EE"/>
            </w:tcBorders>
            <w:gridSpan w:val="4"/>
          </w:tcPr>
          <w:p>
            <w:pPr>
              <w:spacing w:after="0"/>
              <w:rPr>
                <w:sz w:val="24"/>
                <w:szCs w:val="24"/>
                <w:color w:val="auto"/>
              </w:rPr>
            </w:pPr>
          </w:p>
        </w:tc>
        <w:tc>
          <w:tcPr>
            <w:tcW w:w="278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7"/>
        </w:trPr>
        <w:tc>
          <w:tcPr>
            <w:tcW w:w="20" w:type="dxa"/>
            <w:vAlign w:val="bottom"/>
          </w:tcPr>
          <w:p>
            <w:pPr>
              <w:spacing w:after="0"/>
              <w:rPr>
                <w:sz w:val="24"/>
                <w:szCs w:val="24"/>
                <w:color w:val="auto"/>
              </w:rPr>
            </w:pPr>
          </w:p>
        </w:tc>
        <w:tc>
          <w:tcPr>
            <w:tcW w:w="1360" w:type="dxa"/>
            <w:vAlign w:val="bottom"/>
            <w:tcBorders>
              <w:bottom w:val="single" w:sz="8" w:color="0000EE"/>
            </w:tcBorders>
            <w:gridSpan w:val="4"/>
          </w:tcPr>
          <w:p>
            <w:pPr>
              <w:spacing w:after="0"/>
              <w:rPr>
                <w:rFonts w:ascii="Arial" w:cs="Arial" w:eastAsia="Arial" w:hAnsi="Arial"/>
                <w:sz w:val="14"/>
                <w:szCs w:val="14"/>
                <w:b w:val="1"/>
                <w:bCs w:val="1"/>
                <w:color w:val="0000EE"/>
                <w:w w:val="94"/>
              </w:rPr>
            </w:pPr>
            <w:hyperlink w:anchor="page48">
              <w:r>
                <w:rPr>
                  <w:rFonts w:ascii="Arial" w:cs="Arial" w:eastAsia="Arial" w:hAnsi="Arial"/>
                  <w:sz w:val="14"/>
                  <w:szCs w:val="14"/>
                  <w:b w:val="1"/>
                  <w:bCs w:val="1"/>
                  <w:color w:val="0000EE"/>
                  <w:w w:val="94"/>
                </w:rPr>
                <w:t>Item 1A. Risk Factors</w:t>
              </w:r>
            </w:hyperlink>
          </w:p>
        </w:tc>
        <w:tc>
          <w:tcPr>
            <w:tcW w:w="792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7"/>
        </w:trPr>
        <w:tc>
          <w:tcPr>
            <w:tcW w:w="20" w:type="dxa"/>
            <w:vAlign w:val="bottom"/>
          </w:tcPr>
          <w:p>
            <w:pPr>
              <w:spacing w:after="0"/>
              <w:rPr>
                <w:sz w:val="24"/>
                <w:szCs w:val="24"/>
                <w:color w:val="auto"/>
              </w:rPr>
            </w:pPr>
          </w:p>
        </w:tc>
        <w:tc>
          <w:tcPr>
            <w:tcW w:w="9280" w:type="dxa"/>
            <w:vAlign w:val="bottom"/>
            <w:gridSpan w:val="24"/>
          </w:tcPr>
          <w:p>
            <w:pPr>
              <w:spacing w:after="0"/>
              <w:rPr>
                <w:rFonts w:ascii="Arial" w:cs="Arial" w:eastAsia="Arial" w:hAnsi="Arial"/>
                <w:sz w:val="14"/>
                <w:szCs w:val="14"/>
                <w:b w:val="1"/>
                <w:bCs w:val="1"/>
                <w:color w:val="0000EE"/>
              </w:rPr>
            </w:pPr>
            <w:hyperlink w:anchor="page48">
              <w:r>
                <w:rPr>
                  <w:rFonts w:ascii="Arial" w:cs="Arial" w:eastAsia="Arial" w:hAnsi="Arial"/>
                  <w:sz w:val="14"/>
                  <w:szCs w:val="14"/>
                  <w:b w:val="1"/>
                  <w:bCs w:val="1"/>
                  <w:color w:val="0000EE"/>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7"/>
        </w:trPr>
        <w:tc>
          <w:tcPr>
            <w:tcW w:w="20" w:type="dxa"/>
            <w:vAlign w:val="bottom"/>
          </w:tcPr>
          <w:p>
            <w:pPr>
              <w:spacing w:after="0"/>
              <w:rPr>
                <w:sz w:val="24"/>
                <w:szCs w:val="24"/>
                <w:color w:val="auto"/>
              </w:rPr>
            </w:pPr>
          </w:p>
        </w:tc>
        <w:tc>
          <w:tcPr>
            <w:tcW w:w="4120" w:type="dxa"/>
            <w:vAlign w:val="bottom"/>
            <w:tcBorders>
              <w:top w:val="single" w:sz="8" w:color="0000EE"/>
            </w:tcBorders>
            <w:gridSpan w:val="14"/>
          </w:tcPr>
          <w:p>
            <w:pPr>
              <w:spacing w:after="0"/>
              <w:rPr>
                <w:rFonts w:ascii="Arial" w:cs="Arial" w:eastAsia="Arial" w:hAnsi="Arial"/>
                <w:sz w:val="14"/>
                <w:szCs w:val="14"/>
                <w:b w:val="1"/>
                <w:bCs w:val="1"/>
                <w:color w:val="0000EE"/>
              </w:rPr>
            </w:pPr>
            <w:hyperlink w:anchor="page48">
              <w:r>
                <w:rPr>
                  <w:rFonts w:ascii="Arial" w:cs="Arial" w:eastAsia="Arial" w:hAnsi="Arial"/>
                  <w:sz w:val="14"/>
                  <w:szCs w:val="14"/>
                  <w:b w:val="1"/>
                  <w:bCs w:val="1"/>
                  <w:color w:val="0000EE"/>
                </w:rPr>
                <w:t>Item 3. Defaults Upon Senior Securities</w:t>
              </w:r>
            </w:hyperlink>
          </w:p>
        </w:tc>
        <w:tc>
          <w:tcPr>
            <w:tcW w:w="5160" w:type="dxa"/>
            <w:vAlign w:val="bottom"/>
            <w:gridSpan w:val="1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7"/>
        </w:trPr>
        <w:tc>
          <w:tcPr>
            <w:tcW w:w="20" w:type="dxa"/>
            <w:vAlign w:val="bottom"/>
          </w:tcPr>
          <w:p>
            <w:pPr>
              <w:spacing w:after="0"/>
              <w:rPr>
                <w:sz w:val="24"/>
                <w:szCs w:val="24"/>
                <w:color w:val="auto"/>
              </w:rPr>
            </w:pPr>
          </w:p>
        </w:tc>
        <w:tc>
          <w:tcPr>
            <w:tcW w:w="2420" w:type="dxa"/>
            <w:vAlign w:val="bottom"/>
            <w:tcBorders>
              <w:top w:val="single" w:sz="8" w:color="0000EE"/>
            </w:tcBorders>
            <w:gridSpan w:val="9"/>
          </w:tcPr>
          <w:p>
            <w:pPr>
              <w:spacing w:after="0"/>
              <w:rPr>
                <w:rFonts w:ascii="Arial" w:cs="Arial" w:eastAsia="Arial" w:hAnsi="Arial"/>
                <w:sz w:val="14"/>
                <w:szCs w:val="14"/>
                <w:b w:val="1"/>
                <w:bCs w:val="1"/>
                <w:color w:val="0000EE"/>
              </w:rPr>
            </w:pPr>
            <w:hyperlink w:anchor="page49">
              <w:r>
                <w:rPr>
                  <w:rFonts w:ascii="Arial" w:cs="Arial" w:eastAsia="Arial" w:hAnsi="Arial"/>
                  <w:sz w:val="14"/>
                  <w:szCs w:val="14"/>
                  <w:b w:val="1"/>
                  <w:bCs w:val="1"/>
                  <w:color w:val="0000EE"/>
                </w:rPr>
                <w:t>Item 4. Mine Safety Disclosures</w:t>
              </w:r>
            </w:hyperlink>
          </w:p>
        </w:tc>
        <w:tc>
          <w:tcPr>
            <w:tcW w:w="6860" w:type="dxa"/>
            <w:vAlign w:val="bottom"/>
            <w:gridSpan w:val="1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7"/>
        </w:trPr>
        <w:tc>
          <w:tcPr>
            <w:tcW w:w="20" w:type="dxa"/>
            <w:vAlign w:val="bottom"/>
          </w:tcPr>
          <w:p>
            <w:pPr>
              <w:spacing w:after="0"/>
              <w:rPr>
                <w:sz w:val="24"/>
                <w:szCs w:val="24"/>
                <w:color w:val="auto"/>
              </w:rPr>
            </w:pPr>
          </w:p>
        </w:tc>
        <w:tc>
          <w:tcPr>
            <w:tcW w:w="1940" w:type="dxa"/>
            <w:vAlign w:val="bottom"/>
            <w:tcBorders>
              <w:top w:val="single" w:sz="8" w:color="0000EE"/>
            </w:tcBorders>
            <w:gridSpan w:val="7"/>
          </w:tcPr>
          <w:p>
            <w:pPr>
              <w:spacing w:after="0"/>
              <w:rPr>
                <w:rFonts w:ascii="Arial" w:cs="Arial" w:eastAsia="Arial" w:hAnsi="Arial"/>
                <w:sz w:val="14"/>
                <w:szCs w:val="14"/>
                <w:b w:val="1"/>
                <w:bCs w:val="1"/>
                <w:color w:val="0000EE"/>
              </w:rPr>
            </w:pPr>
            <w:hyperlink w:anchor="page49">
              <w:r>
                <w:rPr>
                  <w:rFonts w:ascii="Arial" w:cs="Arial" w:eastAsia="Arial" w:hAnsi="Arial"/>
                  <w:sz w:val="14"/>
                  <w:szCs w:val="14"/>
                  <w:b w:val="1"/>
                  <w:bCs w:val="1"/>
                  <w:color w:val="0000EE"/>
                </w:rPr>
                <w:t>Item 5. Other Information</w:t>
              </w:r>
            </w:hyperlink>
          </w:p>
        </w:tc>
        <w:tc>
          <w:tcPr>
            <w:tcW w:w="7340" w:type="dxa"/>
            <w:vAlign w:val="bottom"/>
            <w:gridSpan w:val="1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7"/>
        </w:trPr>
        <w:tc>
          <w:tcPr>
            <w:tcW w:w="20" w:type="dxa"/>
            <w:vAlign w:val="bottom"/>
          </w:tcPr>
          <w:p>
            <w:pPr>
              <w:spacing w:after="0"/>
              <w:rPr>
                <w:sz w:val="24"/>
                <w:szCs w:val="24"/>
                <w:color w:val="auto"/>
              </w:rPr>
            </w:pPr>
          </w:p>
        </w:tc>
        <w:tc>
          <w:tcPr>
            <w:tcW w:w="1620" w:type="dxa"/>
            <w:vAlign w:val="bottom"/>
            <w:tcBorders>
              <w:top w:val="single" w:sz="8" w:color="0000EE"/>
            </w:tcBorders>
            <w:gridSpan w:val="6"/>
          </w:tcPr>
          <w:p>
            <w:pPr>
              <w:spacing w:after="0"/>
              <w:rPr>
                <w:rFonts w:ascii="Arial" w:cs="Arial" w:eastAsia="Arial" w:hAnsi="Arial"/>
                <w:sz w:val="14"/>
                <w:szCs w:val="14"/>
                <w:b w:val="1"/>
                <w:bCs w:val="1"/>
                <w:color w:val="0000EE"/>
              </w:rPr>
            </w:pPr>
            <w:hyperlink w:anchor="page50">
              <w:r>
                <w:rPr>
                  <w:rFonts w:ascii="Arial" w:cs="Arial" w:eastAsia="Arial" w:hAnsi="Arial"/>
                  <w:sz w:val="14"/>
                  <w:szCs w:val="14"/>
                  <w:b w:val="1"/>
                  <w:bCs w:val="1"/>
                  <w:color w:val="0000EE"/>
                </w:rPr>
                <w:t>Item 6. Exhibits</w:t>
              </w:r>
            </w:hyperlink>
          </w:p>
        </w:tc>
        <w:tc>
          <w:tcPr>
            <w:tcW w:w="7660" w:type="dxa"/>
            <w:vAlign w:val="bottom"/>
            <w:gridSpan w:val="1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7"/>
        </w:trPr>
        <w:tc>
          <w:tcPr>
            <w:tcW w:w="20" w:type="dxa"/>
            <w:vAlign w:val="bottom"/>
          </w:tcPr>
          <w:p>
            <w:pPr>
              <w:spacing w:after="0"/>
              <w:rPr>
                <w:sz w:val="24"/>
                <w:szCs w:val="24"/>
                <w:color w:val="auto"/>
              </w:rPr>
            </w:pPr>
          </w:p>
        </w:tc>
        <w:tc>
          <w:tcPr>
            <w:tcW w:w="940" w:type="dxa"/>
            <w:vAlign w:val="bottom"/>
            <w:tcBorders>
              <w:top w:val="single" w:sz="8" w:color="0000EE"/>
              <w:bottom w:val="single" w:sz="8" w:color="0000EE"/>
            </w:tcBorders>
            <w:gridSpan w:val="2"/>
          </w:tcPr>
          <w:p>
            <w:pPr>
              <w:spacing w:after="0"/>
              <w:rPr>
                <w:rFonts w:ascii="Arial" w:cs="Arial" w:eastAsia="Arial" w:hAnsi="Arial"/>
                <w:sz w:val="14"/>
                <w:szCs w:val="14"/>
                <w:b w:val="1"/>
                <w:bCs w:val="1"/>
                <w:color w:val="0000EE"/>
              </w:rPr>
            </w:pPr>
            <w:hyperlink w:anchor="page51">
              <w:r>
                <w:rPr>
                  <w:rFonts w:ascii="Arial" w:cs="Arial" w:eastAsia="Arial" w:hAnsi="Arial"/>
                  <w:sz w:val="14"/>
                  <w:szCs w:val="14"/>
                  <w:b w:val="1"/>
                  <w:bCs w:val="1"/>
                  <w:color w:val="0000EE"/>
                </w:rPr>
                <w:t>SIGNATURES</w:t>
              </w:r>
            </w:hyperlink>
          </w:p>
        </w:tc>
        <w:tc>
          <w:tcPr>
            <w:tcW w:w="40" w:type="dxa"/>
            <w:vAlign w:val="bottom"/>
            <w:tcBorders>
              <w:top w:val="single" w:sz="8" w:color="0000EE"/>
            </w:tcBorders>
          </w:tcPr>
          <w:p>
            <w:pPr>
              <w:spacing w:after="0"/>
              <w:rPr>
                <w:sz w:val="24"/>
                <w:szCs w:val="24"/>
                <w:color w:val="auto"/>
              </w:rPr>
            </w:pPr>
          </w:p>
        </w:tc>
        <w:tc>
          <w:tcPr>
            <w:tcW w:w="8300" w:type="dxa"/>
            <w:vAlign w:val="bottom"/>
            <w:gridSpan w:val="2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5" w:lineRule="exact"/>
        <w:rPr>
          <w:sz w:val="20"/>
          <w:szCs w:val="20"/>
          <w:color w:val="auto"/>
        </w:rPr>
      </w:pPr>
    </w:p>
    <w:p>
      <w:pPr>
        <w:ind w:firstLine="438"/>
        <w:spacing w:after="0" w:line="151" w:lineRule="exact"/>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refers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 “Credit Facility” refers to our multi-currency senior secured revolving credit 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by the Securitization Issuers in connection with the Debt Securitization; and “Depositor” refers to PennantPark CLO I Depositor, LLC.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80" w:type="dxa"/>
            <w:vAlign w:val="bottom"/>
          </w:tcPr>
          <w:p>
            <w:pPr>
              <w:ind w:left="80"/>
              <w:spacing w:after="0"/>
              <w:rPr>
                <w:sz w:val="20"/>
                <w:szCs w:val="20"/>
                <w:color w:val="auto"/>
              </w:rPr>
            </w:pPr>
            <w:r>
              <w:rPr>
                <w:rFonts w:ascii="Arial" w:cs="Arial" w:eastAsia="Arial" w:hAnsi="Arial"/>
                <w:sz w:val="14"/>
                <w:szCs w:val="14"/>
                <w:b w:val="1"/>
                <w:bCs w:val="1"/>
                <w:color w:val="auto"/>
              </w:rPr>
              <w:t>Consolidated Financial Statements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08"/>
        </w:trPr>
        <w:tc>
          <w:tcPr>
            <w:tcW w:w="680" w:type="dxa"/>
            <w:vAlign w:val="bottom"/>
          </w:tcPr>
          <w:p>
            <w:pPr>
              <w:spacing w:after="0"/>
              <w:rPr>
                <w:sz w:val="24"/>
                <w:szCs w:val="24"/>
                <w:color w:val="auto"/>
              </w:rPr>
            </w:pPr>
          </w:p>
        </w:tc>
        <w:tc>
          <w:tcPr>
            <w:tcW w:w="7380" w:type="dxa"/>
            <w:vAlign w:val="bottom"/>
            <w:gridSpan w:val="3"/>
          </w:tcPr>
          <w:p>
            <w:pPr>
              <w:ind w:left="258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680" w:type="dxa"/>
            <w:vAlign w:val="bottom"/>
          </w:tcPr>
          <w:p>
            <w:pPr>
              <w:spacing w:after="0"/>
              <w:rPr>
                <w:sz w:val="16"/>
                <w:szCs w:val="16"/>
                <w:color w:val="auto"/>
              </w:rPr>
            </w:pPr>
          </w:p>
        </w:tc>
        <w:tc>
          <w:tcPr>
            <w:tcW w:w="7080" w:type="dxa"/>
            <w:vAlign w:val="bottom"/>
          </w:tcPr>
          <w:p>
            <w:pPr>
              <w:ind w:left="282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54"/>
        </w:trPr>
        <w:tc>
          <w:tcPr>
            <w:tcW w:w="6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June 30,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30, 2020</w:t>
            </w:r>
          </w:p>
        </w:tc>
      </w:tr>
      <w:tr>
        <w:trPr>
          <w:trHeight w:val="171"/>
        </w:trPr>
        <w:tc>
          <w:tcPr>
            <w:tcW w:w="6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(cost—$793,425,027 and $915,874,757, respectively)</w:t>
            </w:r>
          </w:p>
        </w:tc>
        <w:tc>
          <w:tcPr>
            <w:tcW w:w="300" w:type="dxa"/>
            <w:vAlign w:val="bottom"/>
            <w:gridSpan w:val="2"/>
            <w:shd w:val="clear" w:color="auto" w:fill="CCEC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818,638,740</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910,552,309</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(cost—zero and $21,964,181, respectively)</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11,086,834</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(cost—$223,660,639 and $179,112,500, respectively)</w:t>
            </w: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217,184,933</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165,289,324</w:t>
            </w:r>
          </w:p>
        </w:tc>
        <w:tc>
          <w:tcPr>
            <w:tcW w:w="120" w:type="dxa"/>
            <w:vAlign w:val="bottom"/>
            <w:shd w:val="clear" w:color="auto" w:fill="CCECFF"/>
          </w:tcPr>
          <w:p>
            <w:pPr>
              <w:spacing w:after="0"/>
              <w:rPr>
                <w:sz w:val="14"/>
                <w:szCs w:val="14"/>
                <w:color w:val="auto"/>
              </w:rPr>
            </w:pPr>
          </w:p>
        </w:tc>
      </w:tr>
      <w:tr>
        <w:trPr>
          <w:trHeight w:val="155"/>
        </w:trPr>
        <w:tc>
          <w:tcPr>
            <w:tcW w:w="77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investments (cost—$1,017,085,666 and $1,116,951,438, respectively)</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1,035,823,673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1,086,928,467</w:t>
            </w:r>
          </w:p>
        </w:tc>
        <w:tc>
          <w:tcPr>
            <w:tcW w:w="120" w:type="dxa"/>
            <w:vAlign w:val="bottom"/>
          </w:tcPr>
          <w:p>
            <w:pPr>
              <w:spacing w:after="0"/>
              <w:rPr>
                <w:sz w:val="13"/>
                <w:szCs w:val="13"/>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(cost—$48,702,743 and $57,534,421, respectively)</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48,702,743</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57,511,928</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6,319,900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3,673,502</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11,953,906</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Prepaid expenses and other assets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173,318</w:t>
            </w:r>
          </w:p>
        </w:tc>
        <w:tc>
          <w:tcPr>
            <w:tcW w:w="120" w:type="dxa"/>
            <w:vAlign w:val="bottom"/>
          </w:tcPr>
          <w:p>
            <w:pPr>
              <w:spacing w:after="0"/>
              <w:rPr>
                <w:sz w:val="14"/>
                <w:szCs w:val="14"/>
                <w:color w:val="auto"/>
              </w:rPr>
            </w:pPr>
          </w:p>
        </w:tc>
      </w:tr>
      <w:tr>
        <w:trPr>
          <w:trHeight w:val="155"/>
        </w:trPr>
        <w:tc>
          <w:tcPr>
            <w:tcW w:w="680" w:type="dxa"/>
            <w:vAlign w:val="bottom"/>
            <w:tcBorders>
              <w:top w:val="single" w:sz="8" w:color="CCECFF"/>
            </w:tcBorders>
            <w:shd w:val="clear" w:color="auto" w:fill="CCECFF"/>
          </w:tcPr>
          <w:p>
            <w:pPr>
              <w:spacing w:after="0"/>
              <w:rPr>
                <w:sz w:val="13"/>
                <w:szCs w:val="13"/>
                <w:color w:val="auto"/>
              </w:rPr>
            </w:pPr>
          </w:p>
        </w:tc>
        <w:tc>
          <w:tcPr>
            <w:tcW w:w="7080" w:type="dxa"/>
            <w:vAlign w:val="bottom"/>
            <w:tcBorders>
              <w:top w:val="single" w:sz="8" w:color="CCECFF"/>
            </w:tcBorders>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1,102,800,222</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4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1,148,287,215</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Payable for investments purchased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27,277,154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3,800,000</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Credit Facility payable, at fair value (cost—$133,400,000 and $308,598,500, respectively) (See Notes 5 and 10)</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133,066,500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299,047,275</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2023 Notes payable, at fair value (par—$117,792,879 and $138,579,858, respectively) (See Notes 5 and 10)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110,607,514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129,295,008</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2026 Notes payable, net (par—$100,000,000) (See Notes 5 and 10)</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97,013,575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2031 Asset-Backed Debt, net (par—$228,000,000) (See Notes 5 and 10)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225,339,466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224,866,334</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3,098,401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3,601,479</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Base management fee payable (See Note 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2,621,573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2,776,477</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Performance-based incentive fee payable (See Note 3)</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1,652,278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2,071,622</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1,808,734</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1,875,281</w:t>
            </w:r>
          </w:p>
        </w:tc>
        <w:tc>
          <w:tcPr>
            <w:tcW w:w="120" w:type="dxa"/>
            <w:vAlign w:val="bottom"/>
            <w:tcBorders>
              <w:bottom w:val="single" w:sz="8" w:color="CCECFF"/>
            </w:tcBorders>
          </w:tcPr>
          <w:p>
            <w:pPr>
              <w:spacing w:after="0"/>
              <w:rPr>
                <w:sz w:val="14"/>
                <w:szCs w:val="14"/>
                <w:color w:val="auto"/>
              </w:rPr>
            </w:pPr>
          </w:p>
        </w:tc>
      </w:tr>
      <w:tr>
        <w:trPr>
          <w:trHeight w:val="155"/>
        </w:trPr>
        <w:tc>
          <w:tcPr>
            <w:tcW w:w="680" w:type="dxa"/>
            <w:vAlign w:val="bottom"/>
            <w:shd w:val="clear" w:color="auto" w:fill="CCECFF"/>
          </w:tcPr>
          <w:p>
            <w:pPr>
              <w:spacing w:after="0"/>
              <w:rPr>
                <w:sz w:val="13"/>
                <w:szCs w:val="13"/>
                <w:color w:val="auto"/>
              </w:rPr>
            </w:pPr>
          </w:p>
        </w:tc>
        <w:tc>
          <w:tcPr>
            <w:tcW w:w="7080" w:type="dxa"/>
            <w:vAlign w:val="bottom"/>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606,168,542</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671,016,823</w:t>
            </w:r>
          </w:p>
        </w:tc>
        <w:tc>
          <w:tcPr>
            <w:tcW w:w="120" w:type="dxa"/>
            <w:vAlign w:val="bottom"/>
            <w:shd w:val="clear" w:color="auto" w:fill="CCECFF"/>
          </w:tcPr>
          <w:p>
            <w:pPr>
              <w:spacing w:after="0"/>
              <w:rPr>
                <w:sz w:val="13"/>
                <w:szCs w:val="13"/>
                <w:color w:val="auto"/>
              </w:rPr>
            </w:pPr>
          </w:p>
        </w:tc>
      </w:tr>
      <w:tr>
        <w:trPr>
          <w:trHeight w:val="156"/>
        </w:trPr>
        <w:tc>
          <w:tcPr>
            <w:tcW w:w="776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80" w:type="dxa"/>
            <w:vAlign w:val="bottom"/>
            <w:shd w:val="clear" w:color="auto" w:fill="CCECFF"/>
          </w:tcPr>
          <w:p>
            <w:pPr>
              <w:spacing w:after="0"/>
              <w:rPr>
                <w:sz w:val="20"/>
                <w:szCs w:val="20"/>
                <w:color w:val="auto"/>
              </w:rPr>
            </w:pPr>
            <w:r>
              <w:rPr>
                <w:rFonts w:ascii="Arial" w:cs="Arial" w:eastAsia="Arial" w:hAnsi="Arial"/>
                <w:sz w:val="14"/>
                <w:szCs w:val="14"/>
                <w:b w:val="1"/>
                <w:bCs w:val="1"/>
                <w:color w:val="auto"/>
                <w:w w:val="94"/>
              </w:rPr>
              <w:t>Net assets</w:t>
            </w:r>
          </w:p>
        </w:tc>
        <w:tc>
          <w:tcPr>
            <w:tcW w:w="70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43"/>
        </w:trPr>
        <w:tc>
          <w:tcPr>
            <w:tcW w:w="776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38,772,074 shares issued and outstanding</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760" w:type="dxa"/>
            <w:vAlign w:val="bottom"/>
            <w:gridSpan w:val="2"/>
          </w:tcPr>
          <w:p>
            <w:pPr>
              <w:ind w:left="180"/>
              <w:spacing w:after="0"/>
              <w:rPr>
                <w:sz w:val="20"/>
                <w:szCs w:val="20"/>
                <w:color w:val="auto"/>
              </w:rPr>
            </w:pPr>
            <w:r>
              <w:rPr>
                <w:rFonts w:ascii="Arial" w:cs="Arial" w:eastAsia="Arial" w:hAnsi="Arial"/>
                <w:sz w:val="14"/>
                <w:szCs w:val="14"/>
                <w:color w:val="auto"/>
              </w:rPr>
              <w:t>Par value $0.001 per share and 100,000,000 shares authorized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38,772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538,151,527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538,151,528</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Accumulated distributable net loss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(41,558,619)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(60,919,908)</w:t>
            </w:r>
          </w:p>
        </w:tc>
      </w:tr>
      <w:tr>
        <w:trPr>
          <w:trHeight w:val="155"/>
        </w:trPr>
        <w:tc>
          <w:tcPr>
            <w:tcW w:w="680" w:type="dxa"/>
            <w:vAlign w:val="bottom"/>
            <w:tcBorders>
              <w:top w:val="single" w:sz="8" w:color="CCECFF"/>
            </w:tcBorders>
            <w:shd w:val="clear" w:color="auto" w:fill="CCECFF"/>
          </w:tcPr>
          <w:p>
            <w:pPr>
              <w:spacing w:after="0"/>
              <w:rPr>
                <w:sz w:val="13"/>
                <w:szCs w:val="13"/>
                <w:color w:val="auto"/>
              </w:rPr>
            </w:pPr>
          </w:p>
        </w:tc>
        <w:tc>
          <w:tcPr>
            <w:tcW w:w="7080" w:type="dxa"/>
            <w:vAlign w:val="bottom"/>
            <w:tcBorders>
              <w:top w:val="single" w:sz="8" w:color="CCECFF"/>
            </w:tcBorders>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net assets</w:t>
            </w: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496,631,680</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477,270,392</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680" w:type="dxa"/>
            <w:vAlign w:val="bottom"/>
            <w:tcBorders>
              <w:bottom w:val="single" w:sz="8" w:color="CCECFF"/>
            </w:tcBorders>
          </w:tcPr>
          <w:p>
            <w:pPr>
              <w:spacing w:after="0"/>
              <w:rPr>
                <w:sz w:val="17"/>
                <w:szCs w:val="17"/>
                <w:color w:val="auto"/>
              </w:rPr>
            </w:pPr>
          </w:p>
        </w:tc>
        <w:tc>
          <w:tcPr>
            <w:tcW w:w="708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1,102,800,222</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1,148,287,215</w:t>
            </w:r>
          </w:p>
        </w:tc>
        <w:tc>
          <w:tcPr>
            <w:tcW w:w="120" w:type="dxa"/>
            <w:vAlign w:val="bottom"/>
            <w:tcBorders>
              <w:bottom w:val="single" w:sz="8" w:color="CCECFF"/>
            </w:tcBorders>
          </w:tcPr>
          <w:p>
            <w:pPr>
              <w:spacing w:after="0"/>
              <w:rPr>
                <w:sz w:val="17"/>
                <w:szCs w:val="17"/>
                <w:color w:val="auto"/>
              </w:rPr>
            </w:pPr>
          </w:p>
        </w:tc>
      </w:tr>
      <w:tr>
        <w:trPr>
          <w:trHeight w:val="143"/>
        </w:trPr>
        <w:tc>
          <w:tcPr>
            <w:tcW w:w="776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12.81</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12.31</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Nine Months Ended June 30,</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8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14,494,948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17,543,157</w:t>
            </w:r>
          </w:p>
        </w:tc>
        <w:tc>
          <w:tcPr>
            <w:tcW w:w="140" w:type="dxa"/>
            <w:vAlign w:val="bottom"/>
            <w:shd w:val="clear" w:color="auto" w:fill="CCECFF"/>
          </w:tcPr>
          <w:p>
            <w:pPr>
              <w:spacing w:after="0"/>
              <w:rPr>
                <w:sz w:val="14"/>
                <w:szCs w:val="14"/>
                <w:color w:val="auto"/>
              </w:rPr>
            </w:pPr>
          </w:p>
        </w:tc>
        <w:tc>
          <w:tcPr>
            <w:tcW w:w="28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43,520,917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56,760,434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1,161,193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820,997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2,533,741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2,734,600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195,904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279,900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655,029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36,170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122,570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36,170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2,931,015</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2,944,290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8,252,910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9,169,399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Dividend</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2,318,750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1,225,000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6,168,750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195,630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20,905,906</w:t>
            </w:r>
          </w:p>
        </w:tc>
        <w:tc>
          <w:tcPr>
            <w:tcW w:w="2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22,765,518</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61,074,418</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73,730,632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8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2,621,574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2,872,725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7,971,461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8,651,825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1,652,278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1,975,831</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4,716,177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7,228,690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5,902,727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6,653,045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16,025,180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21,586,859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750,000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616,077</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1,848,230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provision for taxes:</w:t>
            </w:r>
          </w:p>
        </w:tc>
        <w:tc>
          <w:tcPr>
            <w:tcW w:w="18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10,526,579</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12,467,678</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30,462,818</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40,365,604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Provision for taxes</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8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10,626,579</w:t>
            </w:r>
          </w:p>
        </w:tc>
        <w:tc>
          <w:tcPr>
            <w:tcW w:w="2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12,567,678</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30,762,818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40,665,604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10,279,327</w:t>
            </w:r>
          </w:p>
        </w:tc>
        <w:tc>
          <w:tcPr>
            <w:tcW w:w="2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10,197,840</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30,311,600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33,065,028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18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Net realized gain (loss) on investments: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7,613,904</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(1,694,710)</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6,379,865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(2,281,683)</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1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(20,587,656)</w:t>
            </w: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(5,683,145)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(21,639,704)</w:t>
            </w: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(5,683,145)</w:t>
            </w:r>
          </w:p>
        </w:tc>
        <w:tc>
          <w:tcPr>
            <w:tcW w:w="0" w:type="dxa"/>
            <w:vAlign w:val="bottom"/>
          </w:tcPr>
          <w:p>
            <w:pPr>
              <w:spacing w:after="0"/>
              <w:rPr>
                <w:sz w:val="1"/>
                <w:szCs w:val="1"/>
                <w:color w:val="auto"/>
              </w:rPr>
            </w:pPr>
          </w:p>
        </w:tc>
      </w:tr>
      <w:tr>
        <w:trPr>
          <w:trHeight w:val="155"/>
        </w:trPr>
        <w:tc>
          <w:tcPr>
            <w:tcW w:w="60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(12,973,752)</w:t>
            </w: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(7,377,855)</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(15,259,839)</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(7,964,828)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(6,281,187)</w:t>
            </w: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13,962,606</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28,406,639</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(23,662,521)</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20,451,408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7,931,471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20,370,222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(22,751,006)</w:t>
            </w: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3,231,683</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(12,158,917)</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(11,317,211)</w:t>
            </w: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22,740,317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17,401,904</w:t>
            </w:r>
          </w:p>
        </w:tc>
        <w:tc>
          <w:tcPr>
            <w:tcW w:w="2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9,735,160</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37,459,650</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(23,673,210)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18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4,428,152</w:t>
            </w:r>
          </w:p>
        </w:tc>
        <w:tc>
          <w:tcPr>
            <w:tcW w:w="2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2,357,305</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22,199,811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(31,638,038)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14,707,479</w:t>
            </w:r>
          </w:p>
        </w:tc>
        <w:tc>
          <w:tcPr>
            <w:tcW w:w="22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12,555,145</w:t>
            </w:r>
          </w:p>
        </w:tc>
        <w:tc>
          <w:tcPr>
            <w:tcW w:w="1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52,511,411</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1,426,990</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0.38</w:t>
            </w:r>
          </w:p>
        </w:tc>
        <w:tc>
          <w:tcPr>
            <w:tcW w:w="2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0.32</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1.35</w:t>
            </w:r>
          </w:p>
        </w:tc>
        <w:tc>
          <w:tcPr>
            <w:tcW w:w="2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0.04</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vMerge w:val="continue"/>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0.27</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0.78</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156"/>
        </w:trPr>
        <w:tc>
          <w:tcPr>
            <w:tcW w:w="58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10,279,327</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10,197,840</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30,311,600</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33,065,028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(12,973,752)</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(7,377,855)</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(15,259,839)</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(7,964,828)</w:t>
            </w: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14,170,221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21,894,077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48,776,861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(46,413,527)</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3,231,683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(12,158,917)</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(11,317,211)</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22,740,317</w:t>
            </w:r>
          </w:p>
        </w:tc>
        <w:tc>
          <w:tcPr>
            <w:tcW w:w="100" w:type="dxa"/>
            <w:vAlign w:val="bottom"/>
            <w:shd w:val="clear" w:color="auto" w:fill="CCECFF"/>
          </w:tcPr>
          <w:p>
            <w:pPr>
              <w:spacing w:after="0"/>
              <w:rPr>
                <w:sz w:val="14"/>
                <w:szCs w:val="14"/>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14,707,479</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12,555,145</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52,511,411</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1,426,990</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(33,150,123)</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(33,150,123)</w:t>
            </w:r>
          </w:p>
        </w:tc>
        <w:tc>
          <w:tcPr>
            <w:tcW w:w="100" w:type="dxa"/>
            <w:vAlign w:val="bottom"/>
            <w:shd w:val="clear" w:color="auto" w:fill="CCECFF"/>
          </w:tcPr>
          <w:p>
            <w:pPr>
              <w:spacing w:after="0"/>
              <w:rPr>
                <w:sz w:val="13"/>
                <w:szCs w:val="13"/>
                <w:color w:val="auto"/>
              </w:rPr>
            </w:pPr>
          </w:p>
        </w:tc>
      </w:tr>
      <w:tr>
        <w:trPr>
          <w:trHeight w:val="155"/>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3,657,438</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1,505,104</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19,361,288</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(31,723,133)</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492,974,242</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469,829,274</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477,270,392</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503,057,511</w:t>
            </w:r>
          </w:p>
        </w:tc>
        <w:tc>
          <w:tcPr>
            <w:tcW w:w="100" w:type="dxa"/>
            <w:vAlign w:val="bottom"/>
            <w:tcBorders>
              <w:bottom w:val="single" w:sz="8" w:color="CCECFF"/>
            </w:tcBorders>
          </w:tcPr>
          <w:p>
            <w:pPr>
              <w:spacing w:after="0"/>
              <w:rPr>
                <w:sz w:val="14"/>
                <w:szCs w:val="14"/>
                <w:color w:val="auto"/>
              </w:rPr>
            </w:pPr>
          </w:p>
        </w:tc>
      </w:tr>
      <w:tr>
        <w:trPr>
          <w:trHeight w:val="156"/>
        </w:trPr>
        <w:tc>
          <w:tcPr>
            <w:tcW w:w="584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496,631,680</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471,334,378</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496,631,680</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471,334,378</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(decrease)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52,511,411</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1,426,990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(decrease)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provided by (used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(48,776,861)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46,413,527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11,317,211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(22,740,317)</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15,259,839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7,964,828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(1,926,978)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(1,094,712)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(475,456,266)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(421,374,980)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(2,588,608)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(1,666,533)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565,539,013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347,191,798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645,707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386,773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interest receivable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(2,646,398)</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265,294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(11,953,906)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(5,444,167)</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distribution receivable from controlled, affiliated investment</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(1,225,000)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(increase) in prepaid expenses and other assets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173,318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(173,033)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payable for investments purchased</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23,477,154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(12,033,794)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interest payable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(503,078)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(630,735)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base management fee payable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(154,904)</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144,706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(419,344)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(556,374)</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(66,547)</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153,314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124,430,763</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(62,992,415)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(33,150,123)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(33,150,123)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 of 2023 Notes (See Notes 5 and 10)</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(20,786,979)</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Proceeds from 2026 Notes issuance (See Note 10)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96,841,000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255,500,000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(430,698,500)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(178,709,000)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(132,294,602)</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53,140,877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(7,863,839)</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(9,851,538)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(945,346)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(80,265)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57,511,928</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63,337,728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48,702,743</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53,405,925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15,882,553</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21,747,764</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404,761</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501,633</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20,490,614</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8,025,882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Current</w:t>
            </w:r>
          </w:p>
        </w:tc>
        <w:tc>
          <w:tcPr>
            <w:tcW w:w="26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88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780" w:type="dxa"/>
            <w:vAlign w:val="bottom"/>
          </w:tcPr>
          <w:p>
            <w:pPr>
              <w:jc w:val="center"/>
              <w:ind w:left="66"/>
              <w:spacing w:after="0"/>
              <w:rPr>
                <w:sz w:val="20"/>
                <w:szCs w:val="20"/>
                <w:color w:val="auto"/>
              </w:rPr>
            </w:pPr>
            <w:r>
              <w:rPr>
                <w:rFonts w:ascii="Arial" w:cs="Arial" w:eastAsia="Arial" w:hAnsi="Arial"/>
                <w:sz w:val="11"/>
                <w:szCs w:val="11"/>
                <w:b w:val="1"/>
                <w:bCs w:val="1"/>
                <w:color w:val="auto"/>
                <w:w w:val="98"/>
              </w:rPr>
              <w:t>Maturity</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Industry</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880" w:type="dxa"/>
            <w:vAlign w:val="bottom"/>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7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8"/>
        </w:trPr>
        <w:tc>
          <w:tcPr>
            <w:tcW w:w="4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4"/>
              </w:rPr>
              <w:t xml:space="preserve">Investments in Non-Controlled, Non-Affiliated Portfolio Companies—164.8% </w:t>
            </w:r>
            <w:r>
              <w:rPr>
                <w:rFonts w:ascii="Arial" w:cs="Arial" w:eastAsia="Arial" w:hAnsi="Arial"/>
                <w:sz w:val="9"/>
                <w:szCs w:val="9"/>
                <w:b w:val="1"/>
                <w:bCs w:val="1"/>
                <w:color w:val="auto"/>
                <w:w w:val="94"/>
              </w:rPr>
              <w:t>(3), (4)</w:t>
            </w:r>
          </w:p>
        </w:tc>
        <w:tc>
          <w:tcPr>
            <w:tcW w:w="24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b w:val="1"/>
                <w:bCs w:val="1"/>
                <w:color w:val="auto"/>
              </w:rPr>
              <w:t>First Lien Secured Debt—144.3%</w:t>
            </w:r>
          </w:p>
        </w:tc>
        <w:tc>
          <w:tcPr>
            <w:tcW w:w="7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08/11/2025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9.50%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6,680,953</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6,579,069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6,814,572</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Ad.net Acquisition,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05/06/2026</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tcPr>
          <w:p>
            <w:pPr>
              <w:jc w:val="right"/>
              <w:spacing w:after="0"/>
              <w:rPr>
                <w:sz w:val="20"/>
                <w:szCs w:val="20"/>
                <w:color w:val="auto"/>
              </w:rPr>
            </w:pPr>
            <w:r>
              <w:rPr>
                <w:rFonts w:ascii="Arial" w:cs="Arial" w:eastAsia="Arial" w:hAnsi="Arial"/>
                <w:sz w:val="11"/>
                <w:szCs w:val="11"/>
                <w:color w:val="auto"/>
              </w:rPr>
              <w:t>9,666,667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9,524,438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9,521,667</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Ad.net Acquisition, LLC - (Revolver)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05/06/2026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264,444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264,444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260,478</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Ad.net Acquisition, LLC -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05/06/2026</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1,291,111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(19,367)</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5,137,844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5,081,587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4,855,263</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880" w:type="dxa"/>
            <w:vAlign w:val="bottom"/>
          </w:tcPr>
          <w:p>
            <w:pPr>
              <w:jc w:val="right"/>
              <w:spacing w:after="0"/>
              <w:rPr>
                <w:sz w:val="20"/>
                <w:szCs w:val="20"/>
                <w:color w:val="auto"/>
              </w:rPr>
            </w:pPr>
            <w:r>
              <w:rPr>
                <w:rFonts w:ascii="Arial" w:cs="Arial" w:eastAsia="Arial" w:hAnsi="Arial"/>
                <w:sz w:val="11"/>
                <w:szCs w:val="11"/>
                <w:color w:val="auto"/>
              </w:rPr>
              <w:t>575,000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543,375</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1,581,250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(86,969)</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01/02/2024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Transportation: Consumer</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880" w:type="dxa"/>
            <w:vAlign w:val="bottom"/>
          </w:tcPr>
          <w:p>
            <w:pPr>
              <w:jc w:val="right"/>
              <w:spacing w:after="0"/>
              <w:rPr>
                <w:sz w:val="20"/>
                <w:szCs w:val="20"/>
                <w:color w:val="auto"/>
              </w:rPr>
            </w:pPr>
            <w:r>
              <w:rPr>
                <w:rFonts w:ascii="Arial" w:cs="Arial" w:eastAsia="Arial" w:hAnsi="Arial"/>
                <w:sz w:val="11"/>
                <w:szCs w:val="11"/>
                <w:color w:val="auto"/>
              </w:rPr>
              <w:t>6,603,907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6,556,314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6,504,848</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12/21/2023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8,927,364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8,831,754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8,838,091</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06/08/2023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680" w:type="dxa"/>
            <w:vAlign w:val="bottom"/>
          </w:tcPr>
          <w:p>
            <w:pPr>
              <w:jc w:val="right"/>
              <w:spacing w:after="0"/>
              <w:rPr>
                <w:sz w:val="20"/>
                <w:szCs w:val="20"/>
                <w:color w:val="auto"/>
              </w:rPr>
            </w:pPr>
            <w:r>
              <w:rPr>
                <w:rFonts w:ascii="Arial" w:cs="Arial" w:eastAsia="Arial" w:hAnsi="Arial"/>
                <w:sz w:val="11"/>
                <w:szCs w:val="11"/>
                <w:color w:val="auto"/>
              </w:rPr>
              <w:t>0.00%</w:t>
            </w:r>
          </w:p>
        </w:tc>
        <w:tc>
          <w:tcPr>
            <w:tcW w:w="260" w:type="dxa"/>
            <w:vAlign w:val="bottom"/>
          </w:tcPr>
          <w:p>
            <w:pPr>
              <w:jc w:val="right"/>
              <w:spacing w:after="0"/>
              <w:rPr>
                <w:sz w:val="20"/>
                <w:szCs w:val="20"/>
                <w:color w:val="auto"/>
              </w:rPr>
            </w:pPr>
            <w:r>
              <w:rPr>
                <w:rFonts w:ascii="Arial" w:cs="Arial" w:eastAsia="Arial" w:hAnsi="Arial"/>
                <w:sz w:val="9"/>
                <w:szCs w:val="9"/>
                <w:color w:val="auto"/>
              </w:rPr>
              <w:t>(6)</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9,642,556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9,557,019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5,496,257</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07/31/2025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6.25%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6,287,942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6,228,972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6,287,942</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07/31/2025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6.50%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880" w:type="dxa"/>
            <w:vAlign w:val="bottom"/>
          </w:tcPr>
          <w:p>
            <w:pPr>
              <w:jc w:val="right"/>
              <w:spacing w:after="0"/>
              <w:rPr>
                <w:sz w:val="20"/>
                <w:szCs w:val="20"/>
                <w:color w:val="auto"/>
              </w:rPr>
            </w:pPr>
            <w:r>
              <w:rPr>
                <w:rFonts w:ascii="Arial" w:cs="Arial" w:eastAsia="Arial" w:hAnsi="Arial"/>
                <w:sz w:val="11"/>
                <w:szCs w:val="11"/>
                <w:color w:val="auto"/>
              </w:rPr>
              <w:t>151,476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151,476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151,476</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Apex Service Partners, LLC Term Loan B </w:t>
            </w:r>
            <w:r>
              <w:rPr>
                <w:rFonts w:ascii="Arial" w:cs="Arial" w:eastAsia="Arial" w:hAnsi="Arial"/>
                <w:sz w:val="9"/>
                <w:szCs w:val="9"/>
                <w:color w:val="auto"/>
              </w:rPr>
              <w:t>(9)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07/31/2021</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API Technologies Corp.</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05/11/2026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4.35%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L+425</w:t>
            </w:r>
          </w:p>
        </w:tc>
        <w:tc>
          <w:tcPr>
            <w:tcW w:w="880" w:type="dxa"/>
            <w:vAlign w:val="bottom"/>
          </w:tcPr>
          <w:p>
            <w:pPr>
              <w:jc w:val="right"/>
              <w:spacing w:after="0"/>
              <w:rPr>
                <w:sz w:val="20"/>
                <w:szCs w:val="20"/>
                <w:color w:val="auto"/>
              </w:rPr>
            </w:pPr>
            <w:r>
              <w:rPr>
                <w:rFonts w:ascii="Arial" w:cs="Arial" w:eastAsia="Arial" w:hAnsi="Arial"/>
                <w:sz w:val="11"/>
                <w:szCs w:val="11"/>
                <w:color w:val="auto"/>
              </w:rPr>
              <w:t>5,880,000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5,855,164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5,780,804</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Applied Technical Services,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12/29/2026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4,871,712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4,900,375</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06/29/2022</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3,181,818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(11,932)</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12/29/2026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1,272,727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(19,091)</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BEI Precision Systems &amp; Space Company, Inc.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04/28/2023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6.50%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880" w:type="dxa"/>
            <w:vAlign w:val="bottom"/>
          </w:tcPr>
          <w:p>
            <w:pPr>
              <w:jc w:val="right"/>
              <w:spacing w:after="0"/>
              <w:rPr>
                <w:sz w:val="20"/>
                <w:szCs w:val="20"/>
                <w:color w:val="auto"/>
              </w:rPr>
            </w:pPr>
            <w:r>
              <w:rPr>
                <w:rFonts w:ascii="Arial" w:cs="Arial" w:eastAsia="Arial" w:hAnsi="Arial"/>
                <w:sz w:val="11"/>
                <w:szCs w:val="11"/>
                <w:color w:val="auto"/>
              </w:rPr>
              <w:t>6,158,572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6,118,931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6,158,572</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7.25%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22,889,321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22,812,976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22,889,321</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By Light Professional IT Services, LLC (Revolver)</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880" w:type="dxa"/>
            <w:vAlign w:val="bottom"/>
          </w:tcPr>
          <w:p>
            <w:pPr>
              <w:jc w:val="right"/>
              <w:spacing w:after="0"/>
              <w:rPr>
                <w:sz w:val="20"/>
                <w:szCs w:val="20"/>
                <w:color w:val="auto"/>
              </w:rPr>
            </w:pPr>
            <w:r>
              <w:rPr>
                <w:rFonts w:ascii="Arial" w:cs="Arial" w:eastAsia="Arial" w:hAnsi="Arial"/>
                <w:sz w:val="11"/>
                <w:szCs w:val="11"/>
                <w:color w:val="auto"/>
              </w:rPr>
              <w:t>600,982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600,982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600,982</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2,461,620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280" w:type="dxa"/>
            <w:vAlign w:val="bottom"/>
          </w:tcPr>
          <w:p>
            <w:pPr>
              <w:spacing w:after="0"/>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11/14/2023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9.50%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880" w:type="dxa"/>
            <w:vAlign w:val="bottom"/>
          </w:tcPr>
          <w:p>
            <w:pPr>
              <w:jc w:val="right"/>
              <w:spacing w:after="0"/>
              <w:rPr>
                <w:sz w:val="20"/>
                <w:szCs w:val="20"/>
                <w:color w:val="auto"/>
              </w:rPr>
            </w:pPr>
            <w:r>
              <w:rPr>
                <w:rFonts w:ascii="Arial" w:cs="Arial" w:eastAsia="Arial" w:hAnsi="Arial"/>
                <w:sz w:val="11"/>
                <w:szCs w:val="11"/>
                <w:color w:val="auto"/>
              </w:rPr>
              <w:t>2,993,492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2,974,952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2,895,904</w:t>
            </w:r>
          </w:p>
        </w:tc>
        <w:tc>
          <w:tcPr>
            <w:tcW w:w="100" w:type="dxa"/>
            <w:vAlign w:val="bottom"/>
          </w:tcPr>
          <w:p>
            <w:pPr>
              <w:spacing w:after="0"/>
              <w:rPr>
                <w:sz w:val="12"/>
                <w:szCs w:val="12"/>
                <w:color w:val="auto"/>
              </w:rPr>
            </w:pPr>
          </w:p>
        </w:tc>
      </w:tr>
      <w:tr>
        <w:trPr>
          <w:trHeight w:val="131"/>
        </w:trPr>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94"/>
              <w:spacing w:after="0"/>
              <w:rPr>
                <w:sz w:val="20"/>
                <w:szCs w:val="20"/>
                <w:color w:val="auto"/>
              </w:rPr>
            </w:pPr>
            <w:r>
              <w:rPr>
                <w:rFonts w:ascii="Arial" w:cs="Arial" w:eastAsia="Arial" w:hAnsi="Arial"/>
                <w:sz w:val="11"/>
                <w:szCs w:val="11"/>
                <w:color w:val="auto"/>
              </w:rPr>
              <w:t>(PIK 9.50%)</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Cano Health</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11/23/2027</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87"/>
              </w:rPr>
              <w:t>Healthcare and Pharmaceuticales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5.25%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L+425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2,667,787</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CHA Holdings, Inc.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04/10/2025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880" w:type="dxa"/>
            <w:vAlign w:val="bottom"/>
          </w:tcPr>
          <w:p>
            <w:pPr>
              <w:jc w:val="right"/>
              <w:spacing w:after="0"/>
              <w:rPr>
                <w:sz w:val="20"/>
                <w:szCs w:val="20"/>
                <w:color w:val="auto"/>
              </w:rPr>
            </w:pPr>
            <w:r>
              <w:rPr>
                <w:rFonts w:ascii="Arial" w:cs="Arial" w:eastAsia="Arial" w:hAnsi="Arial"/>
                <w:sz w:val="11"/>
                <w:szCs w:val="11"/>
                <w:color w:val="auto"/>
              </w:rPr>
              <w:t>1,602,662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1,597,811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1,586,635</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08/31/2023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711,447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(24,901)</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Compex Legal Services, Inc.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02/09/2026</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86"/>
              </w:rPr>
              <w:t>Professional Services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tcPr>
          <w:p>
            <w:pPr>
              <w:jc w:val="right"/>
              <w:spacing w:after="0"/>
              <w:rPr>
                <w:sz w:val="20"/>
                <w:szCs w:val="20"/>
                <w:color w:val="auto"/>
              </w:rPr>
            </w:pPr>
            <w:r>
              <w:rPr>
                <w:rFonts w:ascii="Arial" w:cs="Arial" w:eastAsia="Arial" w:hAnsi="Arial"/>
                <w:sz w:val="11"/>
                <w:szCs w:val="11"/>
                <w:color w:val="auto"/>
              </w:rPr>
              <w:t>7,672,350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7,542,685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7,449,084</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02/07/2025</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86"/>
              </w:rPr>
              <w:t>Professional Services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955,329</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02/07/2025</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86"/>
              </w:rPr>
              <w:t>Professional Services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421,698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(12,271)</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Confluent Health,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06/24/2026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Health Providers and Services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5.09%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3,887,857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3,939,600</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Crash Champions,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08/05/2025</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2"/>
              </w:rPr>
              <w:t>Automobiles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880" w:type="dxa"/>
            <w:vAlign w:val="bottom"/>
          </w:tcPr>
          <w:p>
            <w:pPr>
              <w:jc w:val="right"/>
              <w:spacing w:after="0"/>
              <w:rPr>
                <w:sz w:val="20"/>
                <w:szCs w:val="20"/>
                <w:color w:val="auto"/>
              </w:rPr>
            </w:pPr>
            <w:r>
              <w:rPr>
                <w:rFonts w:ascii="Arial" w:cs="Arial" w:eastAsia="Arial" w:hAnsi="Arial"/>
                <w:sz w:val="11"/>
                <w:szCs w:val="11"/>
                <w:color w:val="auto"/>
              </w:rPr>
              <w:t>6,066,667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6,008,530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5,915,000</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9"/>
                <w:szCs w:val="9"/>
                <w:color w:val="auto"/>
              </w:rPr>
              <w:t>(7)(9)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05/14/2022</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2"/>
              </w:rPr>
              <w:t>Automobiles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6,933,333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(104,000)</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Datalot Inc.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01/24/2025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880" w:type="dxa"/>
            <w:vAlign w:val="bottom"/>
          </w:tcPr>
          <w:p>
            <w:pPr>
              <w:jc w:val="right"/>
              <w:spacing w:after="0"/>
              <w:rPr>
                <w:sz w:val="20"/>
                <w:szCs w:val="20"/>
                <w:color w:val="auto"/>
              </w:rPr>
            </w:pPr>
            <w:r>
              <w:rPr>
                <w:rFonts w:ascii="Arial" w:cs="Arial" w:eastAsia="Arial" w:hAnsi="Arial"/>
                <w:sz w:val="11"/>
                <w:szCs w:val="11"/>
                <w:color w:val="auto"/>
              </w:rPr>
              <w:t>9,421,763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9,278,129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9,421,763</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r>
              <w:rPr>
                <w:rFonts w:ascii="Arial" w:cs="Arial" w:eastAsia="Arial" w:hAnsi="Arial"/>
                <w:sz w:val="11"/>
                <w:szCs w:val="11"/>
                <w:color w:val="auto"/>
              </w:rPr>
              <w:t xml:space="preserve">, </w:t>
            </w:r>
            <w:r>
              <w:rPr>
                <w:rFonts w:ascii="Arial" w:cs="Arial" w:eastAsia="Arial" w:hAnsi="Arial"/>
                <w:sz w:val="9"/>
                <w:szCs w:val="9"/>
                <w:color w:val="auto"/>
              </w:rPr>
              <w:t>(9)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01/24/2025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Digital Room Holdings, Inc.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05/22/2026</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5.20%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880" w:type="dxa"/>
            <w:vAlign w:val="bottom"/>
          </w:tcPr>
          <w:p>
            <w:pPr>
              <w:jc w:val="right"/>
              <w:spacing w:after="0"/>
              <w:rPr>
                <w:sz w:val="20"/>
                <w:szCs w:val="20"/>
                <w:color w:val="auto"/>
              </w:rPr>
            </w:pPr>
            <w:r>
              <w:rPr>
                <w:rFonts w:ascii="Arial" w:cs="Arial" w:eastAsia="Arial" w:hAnsi="Arial"/>
                <w:sz w:val="11"/>
                <w:szCs w:val="11"/>
                <w:color w:val="auto"/>
              </w:rPr>
              <w:t>6,563,743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6,480,682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6,530,924</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6,562,047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6,525,109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6,562,047</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Douglas Products and Packaging Company LLC (Revolver)</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P+475</w:t>
            </w:r>
          </w:p>
        </w:tc>
        <w:tc>
          <w:tcPr>
            <w:tcW w:w="880" w:type="dxa"/>
            <w:vAlign w:val="bottom"/>
          </w:tcPr>
          <w:p>
            <w:pPr>
              <w:jc w:val="right"/>
              <w:spacing w:after="0"/>
              <w:rPr>
                <w:sz w:val="20"/>
                <w:szCs w:val="20"/>
                <w:color w:val="auto"/>
              </w:rPr>
            </w:pPr>
            <w:r>
              <w:rPr>
                <w:rFonts w:ascii="Arial" w:cs="Arial" w:eastAsia="Arial" w:hAnsi="Arial"/>
                <w:sz w:val="11"/>
                <w:szCs w:val="11"/>
                <w:color w:val="auto"/>
              </w:rPr>
              <w:t>3,366,569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3,366,569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3,366,569</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9"/>
                <w:szCs w:val="9"/>
                <w:color w:val="auto"/>
              </w:rPr>
              <w:t>(9)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1,024,608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tcPr>
          <w:p>
            <w:pPr>
              <w:jc w:val="right"/>
              <w:spacing w:after="0"/>
              <w:rPr>
                <w:sz w:val="20"/>
                <w:szCs w:val="20"/>
                <w:color w:val="auto"/>
              </w:rPr>
            </w:pPr>
            <w:r>
              <w:rPr>
                <w:rFonts w:ascii="Arial" w:cs="Arial" w:eastAsia="Arial" w:hAnsi="Arial"/>
                <w:sz w:val="11"/>
                <w:szCs w:val="11"/>
                <w:color w:val="auto"/>
              </w:rPr>
              <w:t>3,970,664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3,948,032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3,970,664</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7.25%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17,715,479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17,549,130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17,626,902</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1,426,470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(7,132)</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East Valley Tourist Development Authority</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03/07/2022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9.00%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13,253,267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13,214,278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13,054,468</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4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94"/>
              <w:spacing w:after="0"/>
              <w:rPr>
                <w:sz w:val="20"/>
                <w:szCs w:val="20"/>
                <w:color w:val="auto"/>
              </w:rPr>
            </w:pPr>
            <w:r>
              <w:rPr>
                <w:rFonts w:ascii="Arial" w:cs="Arial" w:eastAsia="Arial" w:hAnsi="Arial"/>
                <w:sz w:val="11"/>
                <w:szCs w:val="11"/>
                <w:color w:val="auto"/>
              </w:rPr>
              <w:t>(PIK 3.50%)</w:t>
            </w: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ECL Entertainment,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03/31/2028</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8.25%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880" w:type="dxa"/>
            <w:vAlign w:val="bottom"/>
          </w:tcPr>
          <w:p>
            <w:pPr>
              <w:jc w:val="right"/>
              <w:spacing w:after="0"/>
              <w:rPr>
                <w:sz w:val="20"/>
                <w:szCs w:val="20"/>
                <w:color w:val="auto"/>
              </w:rPr>
            </w:pPr>
            <w:r>
              <w:rPr>
                <w:rFonts w:ascii="Arial" w:cs="Arial" w:eastAsia="Arial" w:hAnsi="Arial"/>
                <w:sz w:val="11"/>
                <w:szCs w:val="11"/>
                <w:color w:val="auto"/>
              </w:rPr>
              <w:t>5,269,231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5,217,001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5,374,615</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9"/>
                <w:szCs w:val="9"/>
                <w:color w:val="auto"/>
              </w:rPr>
              <w:t>(9)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12/23/2025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(4,572)</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10/05/2023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6.00%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880" w:type="dxa"/>
            <w:vAlign w:val="bottom"/>
          </w:tcPr>
          <w:p>
            <w:pPr>
              <w:jc w:val="right"/>
              <w:spacing w:after="0"/>
              <w:rPr>
                <w:sz w:val="20"/>
                <w:szCs w:val="20"/>
                <w:color w:val="auto"/>
              </w:rPr>
            </w:pPr>
            <w:r>
              <w:rPr>
                <w:rFonts w:ascii="Arial" w:cs="Arial" w:eastAsia="Arial" w:hAnsi="Arial"/>
                <w:sz w:val="11"/>
                <w:szCs w:val="11"/>
                <w:color w:val="auto"/>
              </w:rPr>
              <w:t>15,636,250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15,636,250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15,401,706</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(9), (10)</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10/05/2023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(75,000)</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06/15/2022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7.75%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L+675</w:t>
            </w:r>
          </w:p>
        </w:tc>
        <w:tc>
          <w:tcPr>
            <w:tcW w:w="880" w:type="dxa"/>
            <w:vAlign w:val="bottom"/>
          </w:tcPr>
          <w:p>
            <w:pPr>
              <w:jc w:val="right"/>
              <w:spacing w:after="0"/>
              <w:rPr>
                <w:sz w:val="20"/>
                <w:szCs w:val="20"/>
                <w:color w:val="auto"/>
              </w:rPr>
            </w:pPr>
            <w:r>
              <w:rPr>
                <w:rFonts w:ascii="Arial" w:cs="Arial" w:eastAsia="Arial" w:hAnsi="Arial"/>
                <w:sz w:val="11"/>
                <w:szCs w:val="11"/>
                <w:color w:val="auto"/>
              </w:rPr>
              <w:t>7,189,139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7,177,982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6,937,519</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(5)(10)(11)</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05/31/2024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Diversified Financial Services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5.07%</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AUD 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7,323,360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7,357,350</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Gantech Acquisition Corp.</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05/14/2026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880" w:type="dxa"/>
            <w:vAlign w:val="bottom"/>
          </w:tcPr>
          <w:p>
            <w:pPr>
              <w:jc w:val="right"/>
              <w:spacing w:after="0"/>
              <w:rPr>
                <w:sz w:val="20"/>
                <w:szCs w:val="20"/>
                <w:color w:val="auto"/>
              </w:rPr>
            </w:pPr>
            <w:r>
              <w:rPr>
                <w:rFonts w:ascii="Arial" w:cs="Arial" w:eastAsia="Arial" w:hAnsi="Arial"/>
                <w:sz w:val="11"/>
                <w:szCs w:val="11"/>
                <w:color w:val="auto"/>
              </w:rPr>
              <w:t>17,500,000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17,155,614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17,150,000</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Gantech Acquisition Corp. - Unfunded Revolver</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05/14/2026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3,733,280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(74,666)</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Global Holdings InterCo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03/16/2026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Diversified Financial Services</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tcPr>
          <w:p>
            <w:pPr>
              <w:jc w:val="right"/>
              <w:spacing w:after="0"/>
              <w:rPr>
                <w:sz w:val="20"/>
                <w:szCs w:val="20"/>
                <w:color w:val="auto"/>
              </w:rPr>
            </w:pPr>
            <w:r>
              <w:rPr>
                <w:rFonts w:ascii="Arial" w:cs="Arial" w:eastAsia="Arial" w:hAnsi="Arial"/>
                <w:sz w:val="11"/>
                <w:szCs w:val="11"/>
                <w:color w:val="auto"/>
              </w:rPr>
              <w:t>3,491,250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3,440,637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3,473,794</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12/31/2026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3,402,486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3,447,676</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12/31/2022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(15,000)</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12/31/2026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(7,500)</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Holdco Sands Intermediate,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12/19/2025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tcPr>
          <w:p>
            <w:pPr>
              <w:jc w:val="right"/>
              <w:spacing w:after="0"/>
              <w:rPr>
                <w:sz w:val="20"/>
                <w:szCs w:val="20"/>
                <w:color w:val="auto"/>
              </w:rPr>
            </w:pPr>
            <w:r>
              <w:rPr>
                <w:rFonts w:ascii="Arial" w:cs="Arial" w:eastAsia="Arial" w:hAnsi="Arial"/>
                <w:sz w:val="11"/>
                <w:szCs w:val="11"/>
                <w:color w:val="auto"/>
              </w:rPr>
              <w:t>2,990,013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2,945,942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2,975,063</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HW Holdco,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5.50%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7,359,677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7,311,187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7,249,282</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880" w:type="dxa"/>
            <w:vAlign w:val="bottom"/>
          </w:tcPr>
          <w:p>
            <w:pPr>
              <w:jc w:val="right"/>
              <w:spacing w:after="0"/>
              <w:rPr>
                <w:sz w:val="20"/>
                <w:szCs w:val="20"/>
                <w:color w:val="auto"/>
              </w:rPr>
            </w:pPr>
            <w:r>
              <w:rPr>
                <w:rFonts w:ascii="Arial" w:cs="Arial" w:eastAsia="Arial" w:hAnsi="Arial"/>
                <w:sz w:val="11"/>
                <w:szCs w:val="11"/>
                <w:color w:val="auto"/>
              </w:rPr>
              <w:t>929,032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929,032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915,097</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3"/>
              </w:rPr>
              <w:t>Media</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522,581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(7,839)</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IMIA Holdings, Inc.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04/09/2027</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tcPr>
          <w:p>
            <w:pPr>
              <w:jc w:val="right"/>
              <w:spacing w:after="0"/>
              <w:rPr>
                <w:sz w:val="20"/>
                <w:szCs w:val="20"/>
                <w:color w:val="auto"/>
              </w:rPr>
            </w:pPr>
            <w:r>
              <w:rPr>
                <w:rFonts w:ascii="Arial" w:cs="Arial" w:eastAsia="Arial" w:hAnsi="Arial"/>
                <w:sz w:val="11"/>
                <w:szCs w:val="11"/>
                <w:color w:val="auto"/>
              </w:rPr>
              <w:t>13,176,884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12,924,674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12,913,346</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04/09/2027</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2,343,187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(46,864)</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Impact Group,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06/27/2023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8.37%</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L+737</w:t>
            </w:r>
          </w:p>
        </w:tc>
        <w:tc>
          <w:tcPr>
            <w:tcW w:w="880" w:type="dxa"/>
            <w:vAlign w:val="bottom"/>
          </w:tcPr>
          <w:p>
            <w:pPr>
              <w:jc w:val="right"/>
              <w:spacing w:after="0"/>
              <w:rPr>
                <w:sz w:val="20"/>
                <w:szCs w:val="20"/>
                <w:color w:val="auto"/>
              </w:rPr>
            </w:pPr>
            <w:r>
              <w:rPr>
                <w:rFonts w:ascii="Arial" w:cs="Arial" w:eastAsia="Arial" w:hAnsi="Arial"/>
                <w:sz w:val="11"/>
                <w:szCs w:val="11"/>
                <w:color w:val="auto"/>
              </w:rPr>
              <w:t>10,306,528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10,282,091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10,332,295</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04/13/2023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9.25%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3,261,900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3,240,278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3,261,900</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4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94"/>
              <w:spacing w:after="0"/>
              <w:rPr>
                <w:sz w:val="20"/>
                <w:szCs w:val="20"/>
                <w:color w:val="auto"/>
              </w:rPr>
            </w:pPr>
            <w:r>
              <w:rPr>
                <w:rFonts w:ascii="Arial" w:cs="Arial" w:eastAsia="Arial" w:hAnsi="Arial"/>
                <w:sz w:val="11"/>
                <w:szCs w:val="11"/>
                <w:color w:val="auto"/>
              </w:rPr>
              <w:t>(PIK 1.00%)</w:t>
            </w: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280" w:type="dxa"/>
            <w:vAlign w:val="bottom"/>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04/13/2023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34"/>
              <w:spacing w:after="0"/>
              <w:rPr>
                <w:sz w:val="20"/>
                <w:szCs w:val="20"/>
                <w:color w:val="auto"/>
              </w:rPr>
            </w:pPr>
            <w:r>
              <w:rPr>
                <w:rFonts w:ascii="Arial" w:cs="Arial" w:eastAsia="Arial" w:hAnsi="Arial"/>
                <w:sz w:val="11"/>
                <w:szCs w:val="11"/>
                <w:color w:val="auto"/>
              </w:rPr>
              <w:t>9.25%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880" w:type="dxa"/>
            <w:vAlign w:val="bottom"/>
          </w:tcPr>
          <w:p>
            <w:pPr>
              <w:jc w:val="right"/>
              <w:spacing w:after="0"/>
              <w:rPr>
                <w:sz w:val="20"/>
                <w:szCs w:val="20"/>
                <w:color w:val="auto"/>
              </w:rPr>
            </w:pPr>
            <w:r>
              <w:rPr>
                <w:rFonts w:ascii="Arial" w:cs="Arial" w:eastAsia="Arial" w:hAnsi="Arial"/>
                <w:sz w:val="11"/>
                <w:szCs w:val="11"/>
                <w:color w:val="auto"/>
              </w:rPr>
              <w:t>533,525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533,525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533,525</w:t>
            </w:r>
          </w:p>
        </w:tc>
        <w:tc>
          <w:tcPr>
            <w:tcW w:w="100" w:type="dxa"/>
            <w:vAlign w:val="bottom"/>
          </w:tcPr>
          <w:p>
            <w:pPr>
              <w:spacing w:after="0"/>
              <w:rPr>
                <w:sz w:val="12"/>
                <w:szCs w:val="12"/>
                <w:color w:val="auto"/>
              </w:rPr>
            </w:pPr>
          </w:p>
        </w:tc>
      </w:tr>
      <w:tr>
        <w:trPr>
          <w:trHeight w:val="131"/>
        </w:trPr>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94"/>
              <w:spacing w:after="0"/>
              <w:rPr>
                <w:sz w:val="20"/>
                <w:szCs w:val="20"/>
                <w:color w:val="auto"/>
              </w:rPr>
            </w:pPr>
            <w:r>
              <w:rPr>
                <w:rFonts w:ascii="Arial" w:cs="Arial" w:eastAsia="Arial" w:hAnsi="Arial"/>
                <w:sz w:val="11"/>
                <w:szCs w:val="11"/>
                <w:color w:val="auto"/>
              </w:rPr>
              <w:t>(PIK 1.00%)</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09/29/2023</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5.50%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16,219,102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16,139,357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16,219,102</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09/29/2023</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87"/>
              </w:rPr>
              <w:t>Consumer Services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12/20/2023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34"/>
              <w:spacing w:after="0"/>
              <w:rPr>
                <w:sz w:val="20"/>
                <w:szCs w:val="20"/>
                <w:color w:val="auto"/>
              </w:rPr>
            </w:pPr>
            <w:r>
              <w:rPr>
                <w:rFonts w:ascii="Arial" w:cs="Arial" w:eastAsia="Arial" w:hAnsi="Arial"/>
                <w:sz w:val="11"/>
                <w:szCs w:val="11"/>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642,857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642,857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625,886</w:t>
            </w:r>
          </w:p>
        </w:tc>
        <w:tc>
          <w:tcPr>
            <w:tcW w:w="100" w:type="dxa"/>
            <w:vAlign w:val="bottom"/>
            <w:shd w:val="clear" w:color="auto" w:fill="CCECFF"/>
          </w:tcPr>
          <w:p>
            <w:pPr>
              <w:spacing w:after="0"/>
              <w:rPr>
                <w:sz w:val="11"/>
                <w:szCs w:val="11"/>
                <w:color w:val="auto"/>
              </w:rPr>
            </w:pPr>
          </w:p>
        </w:tc>
      </w:tr>
      <w:tr>
        <w:trPr>
          <w:trHeight w:val="140"/>
        </w:trPr>
        <w:tc>
          <w:tcPr>
            <w:tcW w:w="328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12/20/2023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785,714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(20,743)</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Borders>
              <w:bottom w:val="single" w:sz="8" w:color="CCEC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Borders>
              <w:bottom w:val="single" w:sz="8" w:color="CCEC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9,367,368</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9,331,838</w:t>
            </w:r>
          </w:p>
        </w:tc>
        <w:tc>
          <w:tcPr>
            <w:tcW w:w="36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8,724,766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10/31/2024</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1,669,312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1,669,312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1,554,797</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02/03/2026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24,412,769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24,034,296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24,046,578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08/03/2021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1,891,068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(9,455)</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02/03/2026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833,100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833,100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820,603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1,666,199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(24,993)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14,323,405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14,235,997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14,323,405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04/13/2023</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516,105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516,105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516,105</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MAG DS Corp.</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04/01/2027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3,970,000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3,790,326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3,865,788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Magenta Buyer,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07/31/2028</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9,900,000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9,990,000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Mars Acquisition Holdings Corp.</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6,112,903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5,992,863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5,990,645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9"/>
                <w:szCs w:val="9"/>
                <w:color w:val="auto"/>
              </w:rPr>
              <w:t>(7)(9)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05/14/2026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1,623,661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(32,473)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MBS Holdings, Inc. (Revolver)</w:t>
            </w:r>
            <w:r>
              <w:rPr>
                <w:rFonts w:ascii="Arial" w:cs="Arial" w:eastAsia="Arial" w:hAnsi="Arial"/>
                <w:sz w:val="9"/>
                <w:szCs w:val="9"/>
                <w:color w:val="auto"/>
              </w:rPr>
              <w:t>(7)(9)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04/16/2027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Internet Software and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1,157,407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(23,148)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MeritDirect,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05/23/2024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25,581,822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25,340,445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25,134,140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4,481,655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(78,429)</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609,099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606,279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609,099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1,325,088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OIS Management Services,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06/15/2026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4,000,000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3,940,000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3,940,000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OIS Management Services, LLC - Unfunded Term Loan</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06/15/2023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3,111,111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OIS Management Services, LLC - Unfunded Revolver</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06/15/2023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444,444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One Stop Mailing,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05/07/2027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Air Freight and Logistics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23,522,020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23,580,000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4,914,322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4,425,398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4,435,176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22,693,125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22,340,371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22,239,263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05/18/2026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(67,742)</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645,677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642,806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645,677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PlayPower,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5,087,921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5,049,110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5,043,401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08/07/2025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L+1,050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3,068,064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2,634,045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2,745,917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11.50%)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Questex,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7,293,750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7,208,445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6,783,188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Questex, LLC (Revolver)</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718,085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718,085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667,819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478,723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(33,511)</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(18,375)</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525,000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515,812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Recteq,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01/29/2026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1,496,250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1,468,785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1,481,288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01/29/2026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1,295,775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(12,958)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6,479,139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6,453,463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6,381,951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Research Now Group, Inc. and Dynata,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17,367,078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17,126,849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17,128,281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4,861,587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909,091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03/10/2025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16,251,968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16,013,340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15,683,150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Sales Benchmark Index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8,107,981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7,987,510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7,763,392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1,292,683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(54,939)</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Salient CRGT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02/28/2022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1,646,169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1,640,854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1,627,650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3,722,536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3,681,666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3,703,923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528,183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528,183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525,543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528,183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(2,641)</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13,438,797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13,331,011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12,598,873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 (Revolver)</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778,416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778,416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729,765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1,091,885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(68,243)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Sigma Defense Systems,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809,801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791,513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793,605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Sigma Defense Systems, LLC (Revolver)</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334,956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334,956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328,257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502,435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(10,049)</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Signature Systems Holding Company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11,862,500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11,751,125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11,625,250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1,048,387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1,048,387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1,027,419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698,925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(13,978)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 Term Loan II</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12/31/2021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698,925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691,989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684,946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Smile Brands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5.38%</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1,980,124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1,980,124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1,980,124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1,468,092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(25,692)</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148,158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(2,593)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395,136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(1,976)</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6,006,273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5,938,767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6,006,273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02/26/2025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14,935,938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14,821,121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14,935,938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02/26/2022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4,878,183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5,437,500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STV Group Incorporated</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5.35%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4,764,392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4,723,456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4,716,748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03/01/2026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533,661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523,512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533,661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03/01/2026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1,302,326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Wireless Telecommunication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3,188,918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3,162,402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3,153,042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Teneo Holdings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14,507,475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14,232,893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14,338,172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The Aegis Technologies Group,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4,907,441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4,925,250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09/16/2024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15,824,764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15,723,252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15,824,764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4,886,848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4,777,250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TVC Enterprises,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03/26/2026</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25,049,518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24,706,511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24,799,024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03/26/2026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1,303,813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(13,038)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6,517,012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2,627,857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color w:val="auto"/>
              </w:rPr>
              <w:t>Tyto Athene,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04/01/2028</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12,066,349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   11,886,129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   12,024,117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04/01/2026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1,039,799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(3,639)</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18,158,734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18,053,040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17,886,353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9"/>
                <w:szCs w:val="9"/>
                <w:color w:val="auto"/>
              </w:rPr>
              <w:t>(9)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2,933,333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(44,000)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08/30/2024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Providers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4,776,283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4,716,947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4,752,401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US Med Acquisition,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02/12/2023</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2,869,293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2,869,293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2,869,293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Vision Purchaser Corporation</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06/10/2025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L+675</w:t>
            </w:r>
          </w:p>
        </w:tc>
        <w:tc>
          <w:tcPr>
            <w:tcW w:w="660" w:type="dxa"/>
            <w:vAlign w:val="bottom"/>
          </w:tcPr>
          <w:p>
            <w:pPr>
              <w:jc w:val="right"/>
              <w:spacing w:after="0"/>
              <w:rPr>
                <w:sz w:val="20"/>
                <w:szCs w:val="20"/>
                <w:color w:val="auto"/>
              </w:rPr>
            </w:pPr>
            <w:r>
              <w:rPr>
                <w:rFonts w:ascii="Arial" w:cs="Arial" w:eastAsia="Arial" w:hAnsi="Arial"/>
                <w:sz w:val="11"/>
                <w:szCs w:val="11"/>
                <w:color w:val="auto"/>
              </w:rPr>
              <w:t>14,285,128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14,069,285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13,856,573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03/31/2027</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12,468,750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12,168,202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12,157,031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Wildcat Buyerco,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3,064,813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3,046,003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3,041,193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02/27/2022</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2,491,176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15,570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533,824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(8,381)</w:t>
            </w: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723,585,733</w:t>
            </w: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716,548,066</w:t>
            </w:r>
          </w:p>
        </w:tc>
        <w:tc>
          <w:tcPr>
            <w:tcW w:w="120" w:type="dxa"/>
            <w:vAlign w:val="bottom"/>
            <w:tcBorders>
              <w:top w:val="single" w:sz="8" w:color="CCECFF"/>
            </w:tcBorders>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Second Lien Secured Debt—3.5%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DBI Holdings, LLC, Term Loan B</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02/01/2026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12,129,344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12,129,344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12,129,344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- 1.5 Lien Term Loan </w:t>
            </w:r>
            <w:r>
              <w:rPr>
                <w:rFonts w:ascii="Arial" w:cs="Arial" w:eastAsia="Arial" w:hAnsi="Arial"/>
                <w:sz w:val="9"/>
                <w:szCs w:val="9"/>
                <w:color w:val="auto"/>
              </w:rPr>
              <w:t>(7)</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2,189,596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2,189,596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2,189,596</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14.00%)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Mailsouth Inc. </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04/23/2025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15.00%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833,133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833,133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833,133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11/30/2024</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2,279,869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2,267,117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2,279,869</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color w:val="auto"/>
                <w:w w:val="91"/>
              </w:rPr>
              <w:t>(PIK 11.00%)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QuantiTech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02/04/2027</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147,133</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147,375</w:t>
            </w:r>
          </w:p>
        </w:tc>
        <w:tc>
          <w:tcPr>
            <w:tcW w:w="120" w:type="dxa"/>
            <w:vAlign w:val="bottom"/>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17,566,323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17,579,317</w:t>
            </w:r>
          </w:p>
        </w:tc>
        <w:tc>
          <w:tcPr>
            <w:tcW w:w="120" w:type="dxa"/>
            <w:vAlign w:val="bottom"/>
          </w:tcPr>
          <w:p>
            <w:pPr>
              <w:spacing w:after="0"/>
              <w:rPr>
                <w:sz w:val="11"/>
                <w:szCs w:val="11"/>
                <w:color w:val="auto"/>
              </w:rPr>
            </w:pP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 1.9% </w:t>
            </w:r>
            <w:r>
              <w:rPr>
                <w:rFonts w:ascii="Arial" w:cs="Arial" w:eastAsia="Arial" w:hAnsi="Arial"/>
                <w:sz w:val="9"/>
                <w:szCs w:val="9"/>
                <w:b w:val="1"/>
                <w:bCs w:val="1"/>
                <w:color w:val="auto"/>
              </w:rPr>
              <w:t>(6)</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Ad.net Holdings Inc.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8,400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840,000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840,000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A-1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7,040,844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3,375,520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Mars Intermediate Holdings II, Inc.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835,000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1,202,709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733,049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854,688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429,000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524,416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1,323,421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1,176,947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409,011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477,602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UniTek Global Services, Inc. -</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20.00%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343,861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448,851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13.50%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r>
      <w:tr>
        <w:trPr>
          <w:trHeight w:val="129"/>
        </w:trPr>
        <w:tc>
          <w:tcPr>
            <w:tcW w:w="3360" w:type="dxa"/>
            <w:vAlign w:val="bottom"/>
          </w:tcPr>
          <w:p>
            <w:pPr>
              <w:spacing w:after="0"/>
              <w:rPr>
                <w:sz w:val="20"/>
                <w:szCs w:val="20"/>
                <w:color w:val="auto"/>
              </w:rPr>
            </w:pPr>
            <w:r>
              <w:rPr>
                <w:rFonts w:ascii="Arial" w:cs="Arial" w:eastAsia="Arial" w:hAnsi="Arial"/>
                <w:sz w:val="11"/>
                <w:szCs w:val="11"/>
                <w:b w:val="1"/>
                <w:bCs w:val="1"/>
                <w:color w:val="auto"/>
              </w:rPr>
              <w:t>Total Preferred Equity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14,055,190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9,286,882</w:t>
            </w:r>
          </w:p>
        </w:tc>
        <w:tc>
          <w:tcPr>
            <w:tcW w:w="120" w:type="dxa"/>
            <w:vAlign w:val="bottom"/>
          </w:tcPr>
          <w:p>
            <w:pPr>
              <w:spacing w:after="0"/>
              <w:rPr>
                <w:sz w:val="11"/>
                <w:szCs w:val="11"/>
                <w:color w:val="auto"/>
              </w:rPr>
            </w:pP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 15.1% </w:t>
            </w:r>
            <w:r>
              <w:rPr>
                <w:rFonts w:ascii="Arial" w:cs="Arial" w:eastAsia="Arial" w:hAnsi="Arial"/>
                <w:sz w:val="9"/>
                <w:szCs w:val="9"/>
                <w:b w:val="1"/>
                <w:bCs w:val="1"/>
                <w:color w:val="auto"/>
              </w:rPr>
              <w:t>(6)</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Ad.net Holdings, Inc.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9,333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93,333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93,333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04/10/2024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244,998</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805,164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1,157,814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455,804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2,172,391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11,949,870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7,401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419,364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696,296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1,208,503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Crash Champions Holdings,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Automobiles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433,333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463,667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DBI Holding, LLC, Series B </w:t>
            </w:r>
            <w:r>
              <w:rPr>
                <w:rFonts w:ascii="Arial" w:cs="Arial" w:eastAsia="Arial" w:hAnsi="Arial"/>
                <w:sz w:val="9"/>
                <w:szCs w:val="9"/>
                <w:color w:val="auto"/>
              </w:rPr>
              <w:t>(8)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1,489,508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502,435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502,435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523,487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(8)</w:t>
            </w:r>
            <w:r>
              <w:rPr>
                <w:rFonts w:ascii="Arial" w:cs="Arial" w:eastAsia="Arial" w:hAnsi="Arial"/>
                <w:sz w:val="11"/>
                <w:szCs w:val="11"/>
                <w:color w:val="auto"/>
              </w:rPr>
              <w:t xml:space="preserve">, </w:t>
            </w:r>
            <w:r>
              <w:rPr>
                <w:rFonts w:ascii="Arial" w:cs="Arial" w:eastAsia="Arial" w:hAnsi="Arial"/>
                <w:sz w:val="9"/>
                <w:szCs w:val="9"/>
                <w:color w:val="auto"/>
              </w:rPr>
              <w:t>(9)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502,435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295,982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295,982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912,751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173,119</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Gauge InfosoftCoInvest,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143,663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2,205,502</w:t>
            </w:r>
          </w:p>
        </w:tc>
        <w:tc>
          <w:tcPr>
            <w:tcW w:w="120" w:type="dxa"/>
            <w:vAlign w:val="bottom"/>
          </w:tcPr>
          <w:p>
            <w:pPr>
              <w:spacing w:after="0"/>
              <w:rPr>
                <w:sz w:val="12"/>
                <w:szCs w:val="12"/>
                <w:color w:val="auto"/>
              </w:rPr>
            </w:pP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1,485,953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1,760,670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3,569,110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437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437,371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422,186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848,580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17,951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2,930,374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4,376,112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2,398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324,675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324,675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428,572</w:t>
            </w:r>
          </w:p>
        </w:tc>
        <w:tc>
          <w:tcPr>
            <w:tcW w:w="120" w:type="dxa"/>
            <w:vAlign w:val="bottom"/>
          </w:tcPr>
          <w:p>
            <w:pPr>
              <w:spacing w:after="0"/>
              <w:rPr>
                <w:sz w:val="12"/>
                <w:szCs w:val="12"/>
                <w:color w:val="auto"/>
              </w:rPr>
            </w:pP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625,660</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IIN Group Holdings,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1,802,250</w:t>
            </w:r>
          </w:p>
        </w:tc>
        <w:tc>
          <w:tcPr>
            <w:tcW w:w="120" w:type="dxa"/>
            <w:vAlign w:val="bottom"/>
          </w:tcPr>
          <w:p>
            <w:pPr>
              <w:spacing w:after="0"/>
              <w:rPr>
                <w:sz w:val="12"/>
                <w:szCs w:val="12"/>
                <w:color w:val="auto"/>
              </w:rPr>
            </w:pP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5,040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504,000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528,917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ITC Rumba, LLC (Cano Health,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46,763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110,105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7,618,772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1,727,172</w:t>
            </w:r>
          </w:p>
        </w:tc>
        <w:tc>
          <w:tcPr>
            <w:tcW w:w="12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40" w:type="dxa"/>
            <w:vAlign w:val="bottom"/>
          </w:tcPr>
          <w:p>
            <w:pPr>
              <w:spacing w:after="0"/>
              <w:rPr>
                <w:sz w:val="11"/>
                <w:szCs w:val="1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440" w:type="dxa"/>
            <w:vAlign w:val="bottom"/>
            <w:gridSpan w:val="3"/>
          </w:tcPr>
          <w:p>
            <w:pPr>
              <w:spacing w:after="0"/>
              <w:rPr>
                <w:sz w:val="20"/>
                <w:szCs w:val="20"/>
                <w:color w:val="auto"/>
              </w:rPr>
            </w:pPr>
            <w:r>
              <w:rPr>
                <w:rFonts w:ascii="Arial" w:cs="Arial" w:eastAsia="Arial" w:hAnsi="Arial"/>
                <w:sz w:val="11"/>
                <w:szCs w:val="11"/>
                <w:color w:val="auto"/>
              </w:rPr>
              <w:t>JWC-WE Holdings, L.P.</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1,381,741</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6,858,524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40" w:type="dxa"/>
            <w:vAlign w:val="bottom"/>
            <w:gridSpan w:val="3"/>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Hotels, Restaurants and Leisure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87,345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520,452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9"/>
                <w:szCs w:val="9"/>
                <w:color w:val="auto"/>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664,516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17,923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MSpark, LLC</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1,287,502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1,749,697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1,451,801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2,177,443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516,326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40" w:type="dxa"/>
            <w:vAlign w:val="bottom"/>
            <w:gridSpan w:val="3"/>
          </w:tcPr>
          <w:p>
            <w:pPr>
              <w:spacing w:after="0"/>
              <w:rPr>
                <w:sz w:val="20"/>
                <w:szCs w:val="20"/>
                <w:color w:val="auto"/>
              </w:rPr>
            </w:pPr>
            <w:r>
              <w:rPr>
                <w:rFonts w:ascii="Arial" w:cs="Arial" w:eastAsia="Arial" w:hAnsi="Arial"/>
                <w:sz w:val="11"/>
                <w:szCs w:val="11"/>
                <w:color w:val="auto"/>
                <w:w w:val="96"/>
              </w:rPr>
              <w:t xml:space="preserve">OceanSound Discovery Equity, LP (Holdco Sands Intermediate, LLC) </w:t>
            </w:r>
            <w:r>
              <w:rPr>
                <w:rFonts w:ascii="Arial" w:cs="Arial" w:eastAsia="Arial" w:hAnsi="Arial"/>
                <w:sz w:val="9"/>
                <w:szCs w:val="9"/>
                <w:color w:val="auto"/>
                <w:w w:val="96"/>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173,638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1,729,029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2,154,580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40" w:type="dxa"/>
            <w:vAlign w:val="bottom"/>
          </w:tcPr>
          <w:p>
            <w:pPr>
              <w:spacing w:after="0"/>
              <w:rPr>
                <w:sz w:val="20"/>
                <w:szCs w:val="20"/>
                <w:color w:val="auto"/>
              </w:rPr>
            </w:pPr>
            <w:r>
              <w:rPr>
                <w:rFonts w:ascii="Arial" w:cs="Arial" w:eastAsia="Arial" w:hAnsi="Arial"/>
                <w:sz w:val="9"/>
                <w:szCs w:val="9"/>
                <w:color w:val="auto"/>
              </w:rPr>
              <w:t>(8)</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83,333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11,914,710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11,914,710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11,744,783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293,560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1,883,472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65,957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400,551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 (9)</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22,632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64,634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646,341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386,360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69,654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440" w:type="dxa"/>
            <w:vAlign w:val="bottom"/>
            <w:gridSpan w:val="3"/>
          </w:tcPr>
          <w:p>
            <w:pPr>
              <w:spacing w:after="0"/>
              <w:rPr>
                <w:sz w:val="20"/>
                <w:szCs w:val="20"/>
                <w:color w:val="auto"/>
              </w:rPr>
            </w:pPr>
            <w:r>
              <w:rPr>
                <w:rFonts w:ascii="Arial" w:cs="Arial" w:eastAsia="Arial" w:hAnsi="Arial"/>
                <w:sz w:val="11"/>
                <w:szCs w:val="11"/>
                <w:color w:val="auto"/>
              </w:rPr>
              <w:t>SSC Dominion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583,200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40" w:type="dxa"/>
            <w:vAlign w:val="bottom"/>
            <w:gridSpan w:val="3"/>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1,395,545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TAC LifePort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488,372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488,372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600,982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Food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127,224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9"/>
                <w:szCs w:val="9"/>
                <w:color w:val="auto"/>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9"/>
                <w:szCs w:val="9"/>
                <w:color w:val="auto"/>
              </w:rPr>
              <w:t>(7), (8)</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2,240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223,994</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376,387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38,217,781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75,224,475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w w:val="90"/>
              </w:rPr>
              <w:t>Total Investments in Non-Controlled, Non-Affiliated Portfolio Companies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793,425,027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818,638,740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w w:val="92"/>
              </w:rPr>
              <w:t xml:space="preserve">Investments in Controlled, Affiliated Portfolio Companies—43.7% </w:t>
            </w:r>
            <w:r>
              <w:rPr>
                <w:rFonts w:ascii="Arial" w:cs="Arial" w:eastAsia="Arial" w:hAnsi="Arial"/>
                <w:sz w:val="9"/>
                <w:szCs w:val="9"/>
                <w:b w:val="1"/>
                <w:bCs w:val="1"/>
                <w:color w:val="auto"/>
                <w:w w:val="92"/>
              </w:rPr>
              <w:t>(3), (4)</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First Lien Secured Debt—33.6%</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Marketplace Events, LLC - Super Priority First Lien Term Loan </w:t>
            </w:r>
            <w:r>
              <w:rPr>
                <w:rFonts w:ascii="Arial" w:cs="Arial" w:eastAsia="Arial" w:hAnsi="Arial"/>
                <w:sz w:val="9"/>
                <w:szCs w:val="9"/>
                <w:color w:val="auto"/>
              </w:rPr>
              <w:t>(7)</w:t>
            </w:r>
          </w:p>
        </w:tc>
        <w:tc>
          <w:tcPr>
            <w:tcW w:w="520" w:type="dxa"/>
            <w:vAlign w:val="bottom"/>
          </w:tcPr>
          <w:p>
            <w:pPr>
              <w:spacing w:after="0"/>
              <w:rPr>
                <w:sz w:val="20"/>
                <w:szCs w:val="20"/>
                <w:color w:val="auto"/>
              </w:rPr>
            </w:pPr>
            <w:r>
              <w:rPr>
                <w:rFonts w:ascii="Arial" w:cs="Arial" w:eastAsia="Arial" w:hAnsi="Arial"/>
                <w:sz w:val="11"/>
                <w:szCs w:val="11"/>
                <w:color w:val="auto"/>
                <w:w w:val="90"/>
              </w:rPr>
              <w:t>09/30/2025</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3,363,763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3,363,763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3,363,763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6.25%)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9"/>
                <w:szCs w:val="9"/>
                <w:color w:val="auto"/>
              </w:rPr>
              <w:t>(7), (9)</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09/30/2025</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3,260,502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Marketplace Events, LLC</w:t>
            </w:r>
          </w:p>
        </w:tc>
        <w:tc>
          <w:tcPr>
            <w:tcW w:w="520" w:type="dxa"/>
            <w:vAlign w:val="bottom"/>
          </w:tcPr>
          <w:p>
            <w:pPr>
              <w:spacing w:after="0"/>
              <w:rPr>
                <w:sz w:val="20"/>
                <w:szCs w:val="20"/>
                <w:color w:val="auto"/>
              </w:rPr>
            </w:pPr>
            <w:r>
              <w:rPr>
                <w:rFonts w:ascii="Arial" w:cs="Arial" w:eastAsia="Arial" w:hAnsi="Arial"/>
                <w:sz w:val="11"/>
                <w:szCs w:val="11"/>
                <w:color w:val="auto"/>
                <w:w w:val="90"/>
              </w:rPr>
              <w:t>09/30/2026</w:t>
            </w: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 xml:space="preserve">0.00% </w:t>
            </w:r>
            <w:r>
              <w:rPr>
                <w:rFonts w:ascii="Arial" w:cs="Arial" w:eastAsia="Arial" w:hAnsi="Arial"/>
                <w:sz w:val="9"/>
                <w:szCs w:val="9"/>
                <w:color w:val="auto"/>
              </w:rPr>
              <w:t>(6)</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25,140,079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19,046,876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22,478,653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05/06/2024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140,875,000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140,875,000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140,875,000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163,285,639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166,717,416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Equity Interests—10.2%</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9"/>
                <w:szCs w:val="9"/>
                <w:color w:val="auto"/>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60,375</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60,375,000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50,467,517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Equity Interests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60,375,000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50,467,517</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223,660,639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217,184,933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Investments—208.6%</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1,017,085,666</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1,035,823,673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Equivalents—9.8%</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BlackRock Federal FD Institutional 30</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6,120,378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6,120,378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BNY Mellon Cash</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42,582,365</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42,582,365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48,702,743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48,702,743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Equivalents—218.4%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1,065,788,409</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1,084,526,416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CFF"/>
              <w:bottom w:val="single" w:sz="8" w:color="CCECFF"/>
            </w:tcBorders>
            <w:gridSpan w:val="3"/>
            <w:vMerge w:val="restart"/>
          </w:tcPr>
          <w:p>
            <w:pPr>
              <w:spacing w:after="0"/>
              <w:rPr>
                <w:sz w:val="20"/>
                <w:szCs w:val="20"/>
                <w:color w:val="auto"/>
              </w:rPr>
            </w:pPr>
            <w:r>
              <w:rPr>
                <w:rFonts w:ascii="Arial" w:cs="Arial" w:eastAsia="Arial" w:hAnsi="Arial"/>
                <w:sz w:val="11"/>
                <w:szCs w:val="11"/>
                <w:b w:val="1"/>
                <w:bCs w:val="1"/>
                <w:color w:val="auto"/>
              </w:rPr>
              <w:t>Liabilities in Excess of Other Assets—(118.4)%</w:t>
            </w:r>
          </w:p>
        </w:tc>
        <w:tc>
          <w:tcPr>
            <w:tcW w:w="5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3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4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(587,894,736)</w:t>
            </w:r>
          </w:p>
        </w:tc>
        <w:tc>
          <w:tcPr>
            <w:tcW w:w="0" w:type="dxa"/>
            <w:vAlign w:val="bottom"/>
          </w:tcPr>
          <w:p>
            <w:pPr>
              <w:spacing w:after="0"/>
              <w:rPr>
                <w:sz w:val="1"/>
                <w:szCs w:val="1"/>
                <w:color w:val="auto"/>
              </w:rPr>
            </w:pPr>
          </w:p>
        </w:tc>
      </w:tr>
      <w:tr>
        <w:trPr>
          <w:trHeight w:val="128"/>
        </w:trPr>
        <w:tc>
          <w:tcPr>
            <w:tcW w:w="3440" w:type="dxa"/>
            <w:vAlign w:val="bottom"/>
            <w:tcBorders>
              <w:top w:val="single" w:sz="8" w:color="CCECFF"/>
              <w:bottom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Net Assets—100.0%</w:t>
            </w:r>
          </w:p>
        </w:tc>
        <w:tc>
          <w:tcPr>
            <w:tcW w:w="52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234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680" w:type="dxa"/>
            <w:vAlign w:val="bottom"/>
            <w:tcBorders>
              <w:top w:val="single" w:sz="8" w:color="CCECFF"/>
              <w:bottom w:val="single" w:sz="8" w:color="CCECFF"/>
            </w:tcBorders>
            <w:shd w:val="clear" w:color="auto" w:fill="CCECFF"/>
          </w:tcPr>
          <w:p>
            <w:pPr>
              <w:spacing w:after="0"/>
              <w:rPr>
                <w:sz w:val="11"/>
                <w:szCs w:val="11"/>
                <w:color w:val="auto"/>
              </w:rPr>
            </w:pPr>
          </w:p>
        </w:tc>
        <w:tc>
          <w:tcPr>
            <w:tcW w:w="260" w:type="dxa"/>
            <w:vAlign w:val="bottom"/>
            <w:tcBorders>
              <w:top w:val="single" w:sz="8" w:color="CCECFF"/>
              <w:bottom w:val="single" w:sz="8" w:color="CCECFF"/>
            </w:tcBorders>
            <w:shd w:val="clear" w:color="auto" w:fill="CCECFF"/>
          </w:tcPr>
          <w:p>
            <w:pPr>
              <w:spacing w:after="0"/>
              <w:rPr>
                <w:sz w:val="11"/>
                <w:szCs w:val="11"/>
                <w:color w:val="auto"/>
              </w:rPr>
            </w:pPr>
          </w:p>
        </w:tc>
        <w:tc>
          <w:tcPr>
            <w:tcW w:w="68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66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80" w:type="dxa"/>
            <w:vAlign w:val="bottom"/>
            <w:tcBorders>
              <w:top w:val="single" w:sz="8" w:color="CCECFF"/>
              <w:bottom w:val="single" w:sz="8" w:color="CCECFF"/>
            </w:tcBorders>
            <w:shd w:val="clear" w:color="auto" w:fill="CCECFF"/>
          </w:tcPr>
          <w:p>
            <w:pPr>
              <w:spacing w:after="0"/>
              <w:rPr>
                <w:sz w:val="11"/>
                <w:szCs w:val="11"/>
                <w:color w:val="auto"/>
              </w:rPr>
            </w:pPr>
          </w:p>
        </w:tc>
        <w:tc>
          <w:tcPr>
            <w:tcW w:w="66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496,631,680</w:t>
            </w: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right="20" w:hanging="372"/>
        <w:spacing w:after="0" w:line="236"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right="2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2021, qualifying assets represent 79% of our total assets and non-qualifying assets represent 21% of our total assets.</w:t>
      </w:r>
    </w:p>
    <w:p>
      <w:pPr>
        <w:ind w:left="360" w:hanging="340"/>
        <w:spacing w:after="0"/>
        <w:tabs>
          <w:tab w:leader="none" w:pos="360" w:val="left"/>
        </w:tabs>
        <w:numPr>
          <w:ilvl w:val="1"/>
          <w:numId w:val="3"/>
        </w:numPr>
        <w:rPr>
          <w:rFonts w:ascii="Arial" w:cs="Arial" w:eastAsia="Arial" w:hAnsi="Arial"/>
          <w:sz w:val="12"/>
          <w:szCs w:val="12"/>
          <w:color w:val="auto"/>
        </w:rPr>
      </w:pPr>
      <w:r>
        <w:rPr>
          <w:rFonts w:ascii="Arial" w:cs="Arial" w:eastAsia="Arial" w:hAnsi="Arial"/>
          <w:sz w:val="12"/>
          <w:szCs w:val="12"/>
          <w:color w:val="auto"/>
        </w:rPr>
        <w:t>Par amount is denominated in Australian Dollars (AUD) as denoted.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80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Maturity</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8"/>
        </w:trPr>
        <w:tc>
          <w:tcPr>
            <w:tcW w:w="41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Companies—190.8% </w:t>
            </w:r>
            <w:r>
              <w:rPr>
                <w:rFonts w:ascii="Arial" w:cs="Arial" w:eastAsia="Arial" w:hAnsi="Arial"/>
                <w:sz w:val="9"/>
                <w:szCs w:val="9"/>
                <w:b w:val="1"/>
                <w:bCs w:val="1"/>
                <w:color w:val="auto"/>
                <w:w w:val="96"/>
              </w:rPr>
              <w:t>(3), (4)</w:t>
            </w:r>
          </w:p>
        </w:tc>
        <w:tc>
          <w:tcPr>
            <w:tcW w:w="24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First Lien Secured Debt—175.5%</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08/11/2025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6,697,697</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6,581,574</w:t>
            </w:r>
          </w:p>
        </w:tc>
        <w:tc>
          <w:tcPr>
            <w:tcW w:w="36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6,362,812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Advantage Sales &amp; Marketing</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07/23/2021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Food and Staples Retailing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L+325</w:t>
            </w:r>
          </w:p>
        </w:tc>
        <w:tc>
          <w:tcPr>
            <w:tcW w:w="660" w:type="dxa"/>
            <w:vAlign w:val="bottom"/>
          </w:tcPr>
          <w:p>
            <w:pPr>
              <w:jc w:val="right"/>
              <w:spacing w:after="0"/>
              <w:rPr>
                <w:sz w:val="20"/>
                <w:szCs w:val="20"/>
                <w:color w:val="auto"/>
              </w:rPr>
            </w:pPr>
            <w:r>
              <w:rPr>
                <w:rFonts w:ascii="Arial" w:cs="Arial" w:eastAsia="Arial" w:hAnsi="Arial"/>
                <w:sz w:val="11"/>
                <w:szCs w:val="11"/>
                <w:color w:val="auto"/>
              </w:rPr>
              <w:t>3,158,375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3,084,907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3,095,997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6,313,001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6,233,142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6,092,046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1,387,187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(25,156)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Transportation: Consumer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7,385,098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7,317,949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7,163,545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14,574,748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14,479,603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Teleconferencing Services, Ltd.</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06/08/2023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9,651,242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9,550,005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8,203,555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07/31/2025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6,978,475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6,920,667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6,769,121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07/31/2021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1,198,613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(35,958)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API Technologies Corp.</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05/11/2026</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4.40%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5,897,574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5,776,875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BEI Precision Systems &amp; Space Company,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04/28/2023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11,610,000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11,527,096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11,493,900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28,863,220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28,711,219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28,574,588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By Light Professional IT Services,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2,504,092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2,504,092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2,479,051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558,511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(5,585)</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11/14/2023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2,884,399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2,860,365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2,767,292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Cano Health,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06/02/2025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14,882,169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14,771,615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14,993,786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Cardenas Markets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11/29/2023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3,795,450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3,798,714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3,795,450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02/12/2024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3,248,900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3,244,298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3,232,655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CHA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04/10/2025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7,291,746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7,267,251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7,145,911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08/31/2023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711,447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(49,801)</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Compex Legal Services,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02/09/2026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7,730,621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7,582,329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7,589,151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02/08/2021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3,322,470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(27,576)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02/07/2025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965,956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02/07/2025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(7,717)</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Confluent Health,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06/24/2026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Health Providers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5.15%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3,950,000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3,913,661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3,890,750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Datalot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01/24/2025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15,257,804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14,979,266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15,276,113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01/24/2025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3,838,219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05/22/2026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5.27%</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9,736,008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9,183,750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6,612,916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6,553,834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6,513,722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3,220,196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3,220,196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3,171,893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(Revolver)</w:t>
            </w: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1,170,980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(17,565)</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9"/>
                <w:szCs w:val="9"/>
                <w:color w:val="auto"/>
              </w:rPr>
              <w:t>(7), (9)</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3,021,798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3,008,407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2,976,471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DRS Holdings III,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11/03/2025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4,962,500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4,918,144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4,871,686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11/03/2025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903,716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(16,538)</w:t>
            </w: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Pr>
          <w:p>
            <w:pPr>
              <w:jc w:val="right"/>
              <w:spacing w:after="0"/>
              <w:rPr>
                <w:sz w:val="20"/>
                <w:szCs w:val="20"/>
                <w:color w:val="auto"/>
              </w:rPr>
            </w:pPr>
            <w:r>
              <w:rPr>
                <w:rFonts w:ascii="Arial" w:cs="Arial" w:eastAsia="Arial" w:hAnsi="Arial"/>
                <w:sz w:val="11"/>
                <w:szCs w:val="11"/>
                <w:color w:val="auto"/>
              </w:rPr>
              <w:t>19,039,079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18,917,984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18,467,906</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3.50%)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12/23/2025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5,075,958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5,028,206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5,050,578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12/23/2025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902,345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16,131,250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15,889,281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(9),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(75,000)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Education Networks of America,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4.75%)</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Education Networks of America, Inc.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2,243,444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2,243,444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2,243,444</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4.75%)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06/15/2022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7,189,139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7,168,054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6,937,519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Empire Resorts,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03/22/2021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2.89%</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L+225</w:t>
            </w:r>
          </w:p>
        </w:tc>
        <w:tc>
          <w:tcPr>
            <w:tcW w:w="660" w:type="dxa"/>
            <w:vAlign w:val="bottom"/>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7,471,938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7,425,000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FlexPrint,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L+684</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4,975,898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4,916,661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4,839,060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FlexPrint,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12/31/2020</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3,077,342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(61,547)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13,707,757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13,504,876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13,707,757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GCOM Software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2,133,333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Good2Grow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11/18/2024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L+425</w:t>
            </w:r>
          </w:p>
        </w:tc>
        <w:tc>
          <w:tcPr>
            <w:tcW w:w="660" w:type="dxa"/>
            <w:vAlign w:val="bottom"/>
          </w:tcPr>
          <w:p>
            <w:pPr>
              <w:jc w:val="right"/>
              <w:spacing w:after="0"/>
              <w:rPr>
                <w:sz w:val="20"/>
                <w:szCs w:val="20"/>
                <w:color w:val="auto"/>
              </w:rPr>
            </w:pPr>
            <w:r>
              <w:rPr>
                <w:rFonts w:ascii="Arial" w:cs="Arial" w:eastAsia="Arial" w:hAnsi="Arial"/>
                <w:sz w:val="11"/>
                <w:szCs w:val="11"/>
                <w:color w:val="auto"/>
              </w:rPr>
              <w:t>5,699,510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5,657,300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5,656,763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11/16/2023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3,137,000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(23,528)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GSM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19,130,304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19,041,110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18,939,001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 (Revolver)</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7,055,219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HW Holdco,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7,416,290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7,357,894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7,193,802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1,451,613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(43,548)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10/28/2024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1,968,504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06/27/2023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8.37%</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12,671,202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12,622,034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12,734,558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3,271,649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3,244,173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3,072,079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498,584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22,173,199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22,028,349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21,840,601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(75,000)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Inventus Power,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04/30/2021</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3,709,390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3,702,960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3,672,296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1,047,857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357,143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(7,857)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Kentucky Downs,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5,499,731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5,395,498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5,417,236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448,276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(6,724)</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9,028,277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8,984,046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8,315,946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1,607,584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1,607,584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1,480,745</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02/03/2026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30,362,602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29,830,439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29,983,070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08/03/2021</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1,891,068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(4,728)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 (Revolver)</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02/03/2026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2,468,058</w:t>
            </w:r>
          </w:p>
        </w:tc>
        <w:tc>
          <w:tcPr>
            <w:tcW w:w="12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10"/>
                <w:szCs w:val="10"/>
                <w:color w:val="auto"/>
              </w:rPr>
            </w:pPr>
          </w:p>
        </w:tc>
        <w:tc>
          <w:tcPr>
            <w:tcW w:w="92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Par /</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c>
          <w:tcPr>
            <w:tcW w:w="120" w:type="dxa"/>
            <w:vAlign w:val="bottom"/>
          </w:tcPr>
          <w:p>
            <w:pPr>
              <w:spacing w:after="0"/>
              <w:rPr>
                <w:sz w:val="11"/>
                <w:szCs w:val="11"/>
                <w:color w:val="auto"/>
              </w:rPr>
            </w:pPr>
          </w:p>
        </w:tc>
      </w:tr>
      <w:tr>
        <w:trPr>
          <w:trHeight w:val="128"/>
        </w:trPr>
        <w:tc>
          <w:tcPr>
            <w:tcW w:w="3380" w:type="dxa"/>
            <w:vAlign w:val="bottom"/>
          </w:tcPr>
          <w:p>
            <w:pPr>
              <w:spacing w:after="0"/>
              <w:rPr>
                <w:sz w:val="20"/>
                <w:szCs w:val="20"/>
                <w:color w:val="auto"/>
              </w:rPr>
            </w:pPr>
            <w:r>
              <w:rPr>
                <w:rFonts w:ascii="Arial" w:cs="Arial" w:eastAsia="Arial" w:hAnsi="Arial"/>
                <w:sz w:val="11"/>
                <w:szCs w:val="11"/>
                <w:color w:val="auto"/>
              </w:rPr>
              <w:t>Lombart Brothers,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04/13/2023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13,639,301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w w:val="93"/>
              </w:rPr>
              <w:t>$   13,517,803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w w:val="96"/>
              </w:rPr>
              <w:t>$   12,807,304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1,163,363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Long Island Vision Management,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09/07/2023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5.76%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8,969,009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8,919,084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8,551,950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05/01/2023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Retail</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13,231,250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13,162,333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12,820,552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MAG DS Corp.</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04/01/2027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3,800,000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3,805,000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12/08/2023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8,305,000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8,253,987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8,081,596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Marketplace Events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5,284,919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5,220,978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4,464,171</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CFF"/>
          </w:tcPr>
          <w:p>
            <w:pPr>
              <w:ind w:left="140"/>
              <w:spacing w:after="0"/>
              <w:rPr>
                <w:sz w:val="20"/>
                <w:szCs w:val="20"/>
                <w:color w:val="auto"/>
              </w:rPr>
            </w:pPr>
            <w:r>
              <w:rPr>
                <w:rFonts w:ascii="Arial" w:cs="Arial" w:eastAsia="Arial" w:hAnsi="Arial"/>
                <w:sz w:val="11"/>
                <w:szCs w:val="11"/>
                <w:color w:val="auto"/>
              </w:rPr>
              <w:t>C $   16,213,270</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11,377,025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10,252,929</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Marketplace Events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1,703,163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1,703,163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1,438,662</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29,582,555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29,236,103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28,177,384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4,481,655</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(212,879)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612,191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607,716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604,783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09/28/2021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1,325,088</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(16,034)</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4,462,303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3,937,732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4,060,696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Ox Two,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12,526,325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12,473,095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12,463,694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108,444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108,444</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107,902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447,111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(2,236)</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Peninsula Pacific Entertainment LLC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7.40%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10,224,431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10,193,277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9,508,720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Plant Health Intermediate, Inc. </w:t>
            </w:r>
            <w:r>
              <w:rPr>
                <w:rFonts w:ascii="Arial" w:cs="Arial" w:eastAsia="Arial" w:hAnsi="Arial"/>
                <w:sz w:val="9"/>
                <w:szCs w:val="9"/>
                <w:color w:val="auto"/>
              </w:rPr>
              <w:t>(7)</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650,644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646,164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640,884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5.72%</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5,367,361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5,320,837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5,098,992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PRA Events,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08/08/2022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2,558,746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2,527,407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2,154,464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7,350,000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7,245,118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6,762,000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Questex,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550,532</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(47,872)</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Research Horizons,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06/28/2022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6,894,172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6,847,485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6,618,405</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Research Now Group, Inc. and Survey Sampling</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23,266,875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22,662,940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21,975,563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shd w:val="clear" w:color="auto" w:fill="CCECFF"/>
          </w:tcPr>
          <w:p>
            <w:pPr>
              <w:ind w:left="140"/>
              <w:spacing w:after="0"/>
              <w:rPr>
                <w:sz w:val="20"/>
                <w:szCs w:val="20"/>
                <w:color w:val="auto"/>
              </w:rPr>
            </w:pPr>
            <w:r>
              <w:rPr>
                <w:rFonts w:ascii="Arial" w:cs="Arial" w:eastAsia="Arial" w:hAnsi="Arial"/>
                <w:sz w:val="11"/>
                <w:szCs w:val="11"/>
                <w:color w:val="auto"/>
              </w:rPr>
              <w:t>International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Riverpoint Medical,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4,937,500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4,892,077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4,764,194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909,091</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(31,909)</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03/10/2025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15,671,250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15,389,332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14,848,509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13,934,045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13,689,392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13,599,628</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07/07/2021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3,231,707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(77,561)</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1,292,683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(31,024)</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Salient CRGT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02/28/2022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1,696,397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1,684,941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1,569,168</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4,700,654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4,639,240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4,616,042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1,056,367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(19,015)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13,478,823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13,351,351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12,501,608</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774,839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774,839</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718,663</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1,095,462</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(79,421)</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Signature Systems Holding Company</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12,350,000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12,205,240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11,948,625</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978,495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978,495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946,694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768,817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(24,987)</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4.90%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3,395,269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3,395,269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3,293,411</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1,076,088</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(32,283)</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1,616,250</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(99,027)</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99,000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395,136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(3,951)</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Solutionreach,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6,316,818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6,227,596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6,247,334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1,235,014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416,250</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(4,579)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02/26/2025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15,049,375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14,913,852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14,673,140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02/26/2022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6,875,000</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(171,875)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8,427,027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8,196,440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8,174,216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Hotels, Restaurants and Leisure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972,973</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(29,189)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Construction &amp; Engineering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5.40%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12,875,242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12,753,948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12,746,490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TeleGuam Holdings,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6,584,034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6,519,682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6,386,513</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Diversified Financial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9,562,628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9,528,750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Tensar Corporation</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07/09/2021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22,439,744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22,394,704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22,439,744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18,200,773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18,074,350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18,200,773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9"/>
                <w:szCs w:val="9"/>
                <w:color w:val="auto"/>
              </w:rPr>
              <w:t>(5), (10)</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7,547,565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7,496,711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7,472,089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9"/>
                <w:szCs w:val="9"/>
                <w:color w:val="auto"/>
              </w:rPr>
              <w:t>(5), (10)</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5,376,152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5,352,309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5,322,390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(9), (10)</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1,418,484</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(14,185)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Food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4,962,500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4,918,485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4,813,625</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TVC Enterprises,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5,793,560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5,711,855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5,750,108</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1,303,813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(9,779)</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6,910,465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6,766,653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1,819,285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1,819,285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1,782,899</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808,571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(16,171)</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17,491,232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17,294,288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17,435,261</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6,818,182</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(21,818)</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13,967,402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13,889,735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13,129,357</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UBEO,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2,933,333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2,933,333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2,717,939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08/30/2024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Healthcare Providers and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4,962,500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4,888,916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4,813,625</w:t>
            </w:r>
          </w:p>
        </w:tc>
        <w:tc>
          <w:tcPr>
            <w:tcW w:w="120" w:type="dxa"/>
            <w:vAlign w:val="bottom"/>
            <w:shd w:val="clear" w:color="auto" w:fill="CCECFF"/>
          </w:tcPr>
          <w:p>
            <w:pPr>
              <w:spacing w:after="0"/>
              <w:rPr>
                <w:sz w:val="11"/>
                <w:szCs w:val="1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color w:val="auto"/>
              </w:rPr>
              <w:t>US Med Acquisition,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08/13/2021</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tcPr>
          <w:p>
            <w:pPr>
              <w:jc w:val="right"/>
              <w:spacing w:after="0"/>
              <w:rPr>
                <w:sz w:val="20"/>
                <w:szCs w:val="20"/>
                <w:color w:val="auto"/>
              </w:rPr>
            </w:pPr>
            <w:r>
              <w:rPr>
                <w:rFonts w:ascii="Arial" w:cs="Arial" w:eastAsia="Arial" w:hAnsi="Arial"/>
                <w:sz w:val="11"/>
                <w:szCs w:val="11"/>
                <w:color w:val="auto"/>
              </w:rPr>
              <w:t>2,964,844</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2,964,844</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2,935,195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06/10/2025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14,104,839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10/18/2022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4,156,259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4,110,635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4,114,696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8,852,574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8,685,417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8,764,052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2,491,176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3,114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533,824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(9,716)</w:t>
            </w:r>
          </w:p>
        </w:tc>
      </w:tr>
      <w:tr>
        <w:trPr>
          <w:trHeight w:val="128"/>
        </w:trPr>
        <w:tc>
          <w:tcPr>
            <w:tcW w:w="33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855,654,960</w:t>
            </w: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837,579,784</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Debt—5.1%</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DBI Holdings, LLC, Term Loan B</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02/01/2026</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11,157,124</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03/26/2021</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DecoPac,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9,738,580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9,654,555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9,738,580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MailSouth,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10/23/2024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xml:space="preserve">0.00% </w:t>
            </w:r>
            <w:r>
              <w:rPr>
                <w:rFonts w:ascii="Arial" w:cs="Arial" w:eastAsia="Arial" w:hAnsi="Arial"/>
                <w:sz w:val="9"/>
                <w:szCs w:val="9"/>
                <w:color w:val="auto"/>
              </w:rPr>
              <w:t>(6)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2,871,025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2,827,178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1,464,223</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11/30/2024</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2,099,171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2,083,772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2,099,171</w:t>
            </w:r>
          </w:p>
        </w:tc>
        <w:tc>
          <w:tcPr>
            <w:tcW w:w="120" w:type="dxa"/>
            <w:vAlign w:val="bottom"/>
          </w:tcPr>
          <w:p>
            <w:pPr>
              <w:spacing w:after="0"/>
              <w:rPr>
                <w:sz w:val="12"/>
                <w:szCs w:val="12"/>
                <w:color w:val="auto"/>
              </w:rPr>
            </w:pPr>
          </w:p>
        </w:tc>
      </w:tr>
      <w:tr>
        <w:trPr>
          <w:trHeight w:val="131"/>
        </w:trPr>
        <w:tc>
          <w:tcPr>
            <w:tcW w:w="33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12.30%)</w:t>
            </w: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9"/>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25,744,941</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24,481,410</w:t>
            </w:r>
          </w:p>
        </w:tc>
        <w:tc>
          <w:tcPr>
            <w:tcW w:w="120" w:type="dxa"/>
            <w:vAlign w:val="bottom"/>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 1.3%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(5), (7), (10)</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207,079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A-1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7,040,844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2,522,555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635,021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591,195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429,000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488,631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1,166,993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1,221,750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409,011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443,141</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UniTek Global Services, Inc. -</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20.00%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13.50%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12,068,713</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6,120,646</w:t>
            </w:r>
          </w:p>
        </w:tc>
        <w:tc>
          <w:tcPr>
            <w:tcW w:w="120" w:type="dxa"/>
            <w:vAlign w:val="bottom"/>
            <w:tcBorders>
              <w:top w:val="single" w:sz="8" w:color="CCECFF"/>
            </w:tcBorders>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Common Equity/Warrants— 8.9%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244,998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1,002,599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933,198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2,190,771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7,599,349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5,592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629,620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788,839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B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1,489,508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1,632,744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2,401,324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449,276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257,421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58,044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375,581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Gauge InfosoftCoInvest,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143,663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775,000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1,485,953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1,760,670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2,615,277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437,371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425,883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482,277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1,722,632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1,596,634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3,010,719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277,368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Go Dawgs Capital III,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IIN Group Holdings,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1,054,709</w:t>
            </w:r>
          </w:p>
        </w:tc>
        <w:tc>
          <w:tcPr>
            <w:tcW w:w="120" w:type="dxa"/>
            <w:vAlign w:val="bottom"/>
          </w:tcPr>
          <w:p>
            <w:pPr>
              <w:spacing w:after="0"/>
              <w:rPr>
                <w:sz w:val="12"/>
                <w:szCs w:val="12"/>
                <w:color w:val="auto"/>
              </w:rPr>
            </w:pP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ITC Rumba, LLC (Cano Health,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766,149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2,335,369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1,389,498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JWC-WE Holdings,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8,704,966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87,345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226,368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672,313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24,916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w w:val="90"/>
              </w:rPr>
              <w:t xml:space="preserve">OceanSound Discovery Equity, LP (Holdco Sands Intermediate, LLC) </w:t>
            </w:r>
            <w:r>
              <w:rPr>
                <w:rFonts w:ascii="Arial" w:cs="Arial" w:eastAsia="Arial" w:hAnsi="Arial"/>
                <w:sz w:val="9"/>
                <w:szCs w:val="9"/>
                <w:color w:val="auto"/>
                <w:w w:val="90"/>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173,638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1,736,381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1,744,780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1,067,566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103,995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64,634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646,341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458,093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61,421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40" w:type="dxa"/>
            <w:vAlign w:val="bottom"/>
          </w:tcPr>
          <w:p>
            <w:pPr>
              <w:spacing w:after="0"/>
              <w:rPr>
                <w:sz w:val="11"/>
                <w:szCs w:val="1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440" w:type="dxa"/>
            <w:vAlign w:val="bottom"/>
            <w:gridSpan w:val="3"/>
          </w:tcPr>
          <w:p>
            <w:pPr>
              <w:spacing w:after="0"/>
              <w:rPr>
                <w:sz w:val="20"/>
                <w:szCs w:val="20"/>
                <w:color w:val="auto"/>
              </w:rPr>
            </w:pPr>
            <w:r>
              <w:rPr>
                <w:rFonts w:ascii="Arial" w:cs="Arial" w:eastAsia="Arial" w:hAnsi="Arial"/>
                <w:sz w:val="11"/>
                <w:szCs w:val="11"/>
                <w:color w:val="auto"/>
              </w:rPr>
              <w:t>SSC Dominion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583,200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40" w:type="dxa"/>
            <w:vAlign w:val="bottom"/>
            <w:gridSpan w:val="3"/>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1,585,388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Food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105,482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WBB Equity, LLC </w:t>
            </w:r>
            <w:r>
              <w:rPr>
                <w:rFonts w:ascii="Arial" w:cs="Arial" w:eastAsia="Arial" w:hAnsi="Arial"/>
                <w:sz w:val="9"/>
                <w:szCs w:val="9"/>
                <w:color w:val="auto"/>
              </w:rPr>
              <w:t>(7), (8)</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625,714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9"/>
                <w:szCs w:val="9"/>
                <w:color w:val="auto"/>
              </w:rPr>
              <w:t>(7), (8)</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2,240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223,995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246,694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22,406,143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42,370,469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w w:val="90"/>
              </w:rPr>
              <w:t>Total Investments in Non-Controlled, Non-Affiliated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915,874,757</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910,552,309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00" w:type="dxa"/>
            <w:vAlign w:val="bottom"/>
            <w:gridSpan w:val="5"/>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Companies—2.3% </w:t>
            </w:r>
            <w:r>
              <w:rPr>
                <w:rFonts w:ascii="Arial" w:cs="Arial" w:eastAsia="Arial" w:hAnsi="Arial"/>
                <w:sz w:val="9"/>
                <w:szCs w:val="9"/>
                <w:b w:val="1"/>
                <w:bCs w:val="1"/>
                <w:color w:val="auto"/>
              </w:rPr>
              <w:t>(3), (4)</w:t>
            </w: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First Lien Secured Debt—1.2%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06/01/2022</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 (9)</w:t>
            </w:r>
          </w:p>
        </w:tc>
        <w:tc>
          <w:tcPr>
            <w:tcW w:w="520" w:type="dxa"/>
            <w:vAlign w:val="bottom"/>
          </w:tcPr>
          <w:p>
            <w:pPr>
              <w:spacing w:after="0"/>
              <w:rPr>
                <w:sz w:val="20"/>
                <w:szCs w:val="20"/>
                <w:color w:val="auto"/>
              </w:rPr>
            </w:pPr>
            <w:r>
              <w:rPr>
                <w:rFonts w:ascii="Arial" w:cs="Arial" w:eastAsia="Arial" w:hAnsi="Arial"/>
                <w:sz w:val="11"/>
                <w:szCs w:val="11"/>
                <w:color w:val="auto"/>
                <w:w w:val="90"/>
              </w:rPr>
              <w:t>06/01/2022</w:t>
            </w: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452,123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05/01/2023</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1,515,199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w:t>
            </w:r>
          </w:p>
        </w:tc>
        <w:tc>
          <w:tcPr>
            <w:tcW w:w="5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w w:val="90"/>
              </w:rPr>
              <w:t>05/01/2023</w:t>
            </w:r>
          </w:p>
        </w:tc>
        <w:tc>
          <w:tcPr>
            <w:tcW w:w="24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2,746,564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5,628,252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5,657,214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Second Lien Secured Debt—1.1%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04/29/2024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5,882,579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5,882,579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5,429,620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9.50%)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5,882,579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5,429,620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Equity/Warrants—0.0% </w:t>
            </w:r>
            <w:r>
              <w:rPr>
                <w:rFonts w:ascii="Arial" w:cs="Arial" w:eastAsia="Arial" w:hAnsi="Arial"/>
                <w:sz w:val="9"/>
                <w:szCs w:val="9"/>
                <w:b w:val="1"/>
                <w:bCs w:val="1"/>
                <w:color w:val="auto"/>
              </w:rPr>
              <w:t>(6)</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Country Fresh Holding Company Inc. </w:t>
            </w:r>
            <w:r>
              <w:rPr>
                <w:rFonts w:ascii="Arial" w:cs="Arial" w:eastAsia="Arial" w:hAnsi="Arial"/>
                <w:sz w:val="9"/>
                <w:szCs w:val="9"/>
                <w:color w:val="auto"/>
              </w:rPr>
              <w:t>(7)</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8,034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w w:val="96"/>
              </w:rPr>
              <w:t>Total Investments in Non-Controlled,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21,964,181</w:t>
            </w:r>
          </w:p>
        </w:tc>
        <w:tc>
          <w:tcPr>
            <w:tcW w:w="220" w:type="dxa"/>
            <w:vAlign w:val="bottom"/>
            <w:tcBorders>
              <w:bottom w:val="single" w:sz="8" w:color="CCEC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11,086,834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Controlled, Affiliated Portfolio Companies—34.6% </w:t>
            </w:r>
            <w:r>
              <w:rPr>
                <w:rFonts w:ascii="Arial" w:cs="Arial" w:eastAsia="Arial" w:hAnsi="Arial"/>
                <w:sz w:val="9"/>
                <w:szCs w:val="9"/>
                <w:b w:val="1"/>
                <w:bCs w:val="1"/>
                <w:color w:val="auto"/>
                <w:w w:val="92"/>
              </w:rPr>
              <w:t>(3), (4)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First Lien Secured Debt—26.3%</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05/06/2024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125,378,750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125,378,750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Equity Interests—8.4%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53,734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53,733,750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39,910,574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Equity Interests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53,733,750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39,910,574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179,112,500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165,289,324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Investments—227.7%</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1,116,951,438</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1,086,928,467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8,433,416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8,433,416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BNY Mellon Cash</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49,101,005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49,078,512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57,534,421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57,511,928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Equivalents—239.8%</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1,174,485,859</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1,144,440,395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Assets—(139.8)%</w:t>
            </w: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3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40" w:type="dxa"/>
            <w:vAlign w:val="bottom"/>
            <w:gridSpan w:val="3"/>
            <w:vMerge w:val="continue"/>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(667,170,003)</w:t>
            </w: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Net Assets—100.0%</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477,270,392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right="40" w:hanging="372"/>
        <w:spacing w:after="0" w:line="316" w:lineRule="auto"/>
        <w:tabs>
          <w:tab w:leader="none" w:pos="380" w:val="left"/>
        </w:tabs>
        <w:numPr>
          <w:ilvl w:val="0"/>
          <w:numId w:val="4"/>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right="2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81% of our total assets and non-qualifying assets represent 19% of our total assets.</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100"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Interest on Floating Rate Loans is determined periodically, on the basis of a floating base lending rate such as LIBOR, with or without a floor, plus a fixed spread. Under normal market conditions, we generally expect that at least 80% of the value of our net assets plus any borrowings for investment purposes, or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40" w:firstLine="438"/>
        <w:spacing w:after="0" w:line="238"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$400 million (reduced from $520 million on January 19, 2021) at LIBOR (or an alternative risk-free floating interest rate index) plus 200 basis points during the revolving period. The Credit Facility is secured by all of the assets held by Funding I. See Note 10.</w:t>
      </w:r>
    </w:p>
    <w:p>
      <w:pPr>
        <w:spacing w:after="0" w:line="116"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84"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is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7"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11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In March 2021, we issued $100.0 million in aggregate principal amount of our 2026 Notes at a public offering price per note of 99.4%.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In April 2021, we formed PTSF, an unconsolidated limited partnership, organized as a Delaware limited liability partnership. PFLT made a Capital Commitment of $15.3 million and as of June 30, 2021 hold 23.08% of the total outstanding Class A Units. PFLT maintains a 4.99% voting interest in the general partnership which manages PTSF.</w:t>
      </w:r>
    </w:p>
    <w:p>
      <w:pPr>
        <w:spacing w:after="0" w:line="10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intend to affirm such exclusion on an annual basis, and therefore, is not subject to registration or regulation as a commodity pool operator under the Commodity Exchange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6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0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18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the reversal of previously recorded unrealized appreciation or depreciation, when gains or losses are realized.</w:t>
      </w:r>
    </w:p>
    <w:p>
      <w:pPr>
        <w:spacing w:after="0" w:line="117"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6"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2021, we had two portfolio companies on non-accrual, representing 2.8% and 2.7% of our overall portfolio on a cost and fair value basis, respectively. As of September 30, 2020, we had three portfolio companies on non-accrual, representing 2.1% and 1.8% of our overall portfolio on a cost and fair value basis,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U.S. federal excise tax, or we may incur taxes through our taxable subsidiaries, including the Taxable Subsidiary. For both the three and nine months ended June 30, 2021 and 2020, we recorded a provision for taxes of $0.1 million and $0.3 million, respectively, pertaining to U.S. federal excise tax.</w:t>
      </w:r>
    </w:p>
    <w:p>
      <w:pPr>
        <w:spacing w:after="0" w:line="113" w:lineRule="exact"/>
        <w:rPr>
          <w:sz w:val="20"/>
          <w:szCs w:val="20"/>
          <w:color w:val="auto"/>
        </w:rPr>
      </w:pPr>
    </w:p>
    <w:p>
      <w:pPr>
        <w:jc w:val="both"/>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113"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Capital transactions in connection with offerings of our common stock are recorded when issued and offering costs are charged as a reduction of capital upon issuance of our common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stock.</w:t>
      </w:r>
    </w:p>
    <w:p>
      <w:pPr>
        <w:spacing w:after="0" w:line="124"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6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we will generally not consolidate our investment in a company other than an investment company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investment in PSSL or PTSF. See further description of our investment in PSSL in Note 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2021.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2021, the Investment Adviser earned a base management fee of $2.6 million and $8.0 million, respectively, from us. For the three and nine months ended June 30, 2020, the Investment Adviser earned a base management fee of $2.9 million and $8.7 million, respectively, from us.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jc w:val="both"/>
        <w:ind w:right="380" w:firstLine="438"/>
        <w:spacing w:after="0" w:line="238" w:lineRule="auto"/>
        <w:rPr>
          <w:sz w:val="20"/>
          <w:szCs w:val="20"/>
          <w:color w:val="auto"/>
        </w:rPr>
      </w:pPr>
      <w:r>
        <w:rPr>
          <w:rFonts w:ascii="Arial" w:cs="Arial" w:eastAsia="Arial" w:hAnsi="Arial"/>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w:t>
      </w:r>
    </w:p>
    <w:p>
      <w:pPr>
        <w:spacing w:after="0" w:line="115"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2021, the Investment Adviser earned $1.7 million and $4.7 million, respectively, in incentive fees on net investment income from us. For the three and nine months ended June 30, 2020, the Investment Adviser earned $2.0 million and $7.2 million, respectively, in incentive fees on net investment income from us.</w:t>
      </w:r>
    </w:p>
    <w:p>
      <w:pPr>
        <w:spacing w:after="0" w:line="124"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 and nine months ended June 30, 2021 and 2020, the Investment Adviser did not accrue an incentive fee on capital gains, as calculated under the Investment Management Agreement (as described above).</w:t>
      </w:r>
    </w:p>
    <w:p>
      <w:pPr>
        <w:spacing w:after="0" w:line="107"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both the three and nine months ended June 30, 2021 and 2020 was zero.</w:t>
      </w:r>
    </w:p>
    <w:p>
      <w:pPr>
        <w:spacing w:after="0" w:line="118"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2021.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2021, we reimbursed the Investment Adviser approximately $0.1 million and $0.8 million, respectively, including expenses the Investment Adviser incurred on behalf of the Administrator, for services described above. For the three and nine months ended June 30, 2020, we reimbursed the Investment Adviser approximately $0.3 million and $1.4 million, respectively, including expenses the Investment Adviser incurred on behalf of the Administrator, for services described above.</w:t>
      </w:r>
    </w:p>
    <w:p>
      <w:pPr>
        <w:spacing w:after="0" w:line="121"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There were no transactions subject to Rule 17a-7 under the 1940 Act during the three and nine months ended June 30, 2021. During the three and nine months ended June 30, 2020, the Company sold zero and $15.0 million, respectively, in total investments to an affiliated fund managed by our Investment Adviser in accordance with, and pursuant to procedures adopted under, Rule 17a-7 of the 1940 Act. Realized losses on those sales for both periods amounted to zero and $1.0 million, respectively.</w:t>
      </w:r>
    </w:p>
    <w:p>
      <w:pPr>
        <w:spacing w:after="0" w:line="115"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For the three and nine months ended June 30, 2021, we sold $98.9 million and $224.1 million in investments to PSSL at fair value, respectively, and recognized $0.3 million and $0.6 million of net realized gains, respectively, for the same period. For the three and nine months ended June 30, 2020, we sold zero and $86.7 million in investments, respectively, to PSSL at fair value and recognized net realized gains of zero and $0.5 million, respectively.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the three months ended June 30, 2021, we sold $81.4 Million in investments to PTSF at fair value and recognized $0.4 million of net realized gains.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2021 totaled $248.8 million and $478.0 million, respectively. For the same periods in the prior year, purchases of investments, including PIK interest, totaled $15.0 million and $423.0 million, respectively. Sales and repayments of investments for the three and nine months ended June 30, 2021 totaled $283.3 million and $565.5 million, respectively. For the same periods in the prior year, sales and repayments of investments totaled $104.1 million and $347.2 million, respectively.</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ind w:left="440"/>
              <w:spacing w:after="0"/>
              <w:rPr>
                <w:sz w:val="20"/>
                <w:szCs w:val="20"/>
                <w:color w:val="auto"/>
              </w:rPr>
            </w:pPr>
            <w:r>
              <w:rPr>
                <w:rFonts w:ascii="Arial" w:cs="Arial" w:eastAsia="Arial" w:hAnsi="Arial"/>
                <w:sz w:val="14"/>
                <w:szCs w:val="14"/>
                <w:color w:val="auto"/>
                <w:w w:val="93"/>
              </w:rPr>
              <w:t>Investments and cash and cash equivalents consisted of the following:</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745,996,371</w:t>
            </w:r>
          </w:p>
        </w:tc>
        <w:tc>
          <w:tcPr>
            <w:tcW w:w="2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742,390,482</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861,283,212</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843,236,998</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140,875,000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140,875,000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125,378,750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125,378,750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17,566,322</w:t>
            </w:r>
          </w:p>
        </w:tc>
        <w:tc>
          <w:tcPr>
            <w:tcW w:w="2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17,579,316</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31,627,520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29,911,030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52,272,974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84,511,358</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44,928,206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48,491,115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60,375,000</w:t>
            </w:r>
          </w:p>
        </w:tc>
        <w:tc>
          <w:tcPr>
            <w:tcW w:w="28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50,467,517</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53,733,750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39,910,574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1,017,085,667</w:t>
            </w:r>
          </w:p>
        </w:tc>
        <w:tc>
          <w:tcPr>
            <w:tcW w:w="28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1,035,823,673</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1,116,951,438</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1,086,928,467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48,702,743</w:t>
            </w:r>
          </w:p>
        </w:tc>
        <w:tc>
          <w:tcPr>
            <w:tcW w:w="28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48,702,743</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57,534,421</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1,065,788,410</w:t>
            </w:r>
          </w:p>
        </w:tc>
        <w:tc>
          <w:tcPr>
            <w:tcW w:w="28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1,084,526,416</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1,174,485,859</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1,144,440,395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June 30, 2021 </w:t>
            </w:r>
            <w:r>
              <w:rPr>
                <w:rFonts w:ascii="Arial" w:cs="Arial" w:eastAsia="Arial" w:hAnsi="Arial"/>
                <w:sz w:val="12"/>
                <w:szCs w:val="12"/>
                <w:b w:val="1"/>
                <w:bCs w:val="1"/>
                <w:color w:val="auto"/>
              </w:rPr>
              <w:t>(1)</w:t>
            </w:r>
          </w:p>
        </w:tc>
        <w:tc>
          <w:tcPr>
            <w:tcW w:w="32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September 30, 2020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r>
      <w:tr>
        <w:trPr>
          <w:trHeight w:val="155"/>
        </w:trPr>
        <w:tc>
          <w:tcPr>
            <w:tcW w:w="69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Media</w:t>
            </w:r>
          </w:p>
        </w:tc>
        <w:tc>
          <w:tcPr>
            <w:tcW w:w="200" w:type="dxa"/>
            <w:vAlign w:val="bottom"/>
            <w:shd w:val="clear" w:color="auto" w:fill="CCECFF"/>
          </w:tcPr>
          <w:p>
            <w:pPr>
              <w:spacing w:after="0"/>
              <w:rPr>
                <w:sz w:val="13"/>
                <w:szCs w:val="13"/>
                <w:color w:val="auto"/>
              </w:rPr>
            </w:pPr>
          </w:p>
        </w:tc>
        <w:tc>
          <w:tcPr>
            <w:tcW w:w="212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8%</w:t>
            </w:r>
          </w:p>
        </w:tc>
        <w:tc>
          <w:tcPr>
            <w:tcW w:w="19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w:t>
            </w: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Professional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Business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Commercial Services &amp; Supplies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IT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Aerospace and Defense</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Healthcare Technology</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High Tech Industries</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Air Freight and Logistics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Diversified Financial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Personal Products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Wholesale</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Banking, Finance, Insurance &amp; Real Estate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Chemicals, Plastics and Rubber</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Diversified Consumer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Electronic Equipment, Instruments, and Components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Hotels, Restaurants and Leisure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Insurance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Media: Broadcasting and Subscription</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Automobiles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Building Products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Construction &amp; Engineering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Financial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Food Products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Healthcare Equipment and Supplies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Healthcare Providers and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Leisure Products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All Other</w:t>
            </w:r>
          </w:p>
        </w:tc>
        <w:tc>
          <w:tcPr>
            <w:tcW w:w="1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CFF"/>
          </w:tcPr>
          <w:p>
            <w:pPr>
              <w:spacing w:after="0"/>
              <w:rPr>
                <w:sz w:val="14"/>
                <w:szCs w:val="14"/>
                <w:color w:val="auto"/>
              </w:rPr>
            </w:pPr>
          </w:p>
        </w:tc>
      </w:tr>
      <w:tr>
        <w:trPr>
          <w:trHeight w:val="156"/>
        </w:trPr>
        <w:tc>
          <w:tcPr>
            <w:tcW w:w="3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6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1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3"/>
        </w:trPr>
        <w:tc>
          <w:tcPr>
            <w:tcW w:w="34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4240" w:type="dxa"/>
            <w:vAlign w:val="bottom"/>
            <w:gridSpan w:val="2"/>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8"/>
        </w:trPr>
        <w:tc>
          <w:tcPr>
            <w:tcW w:w="340" w:type="dxa"/>
            <w:vAlign w:val="bottom"/>
          </w:tcPr>
          <w:p>
            <w:pPr>
              <w:spacing w:after="0"/>
              <w:rPr>
                <w:sz w:val="20"/>
                <w:szCs w:val="20"/>
                <w:color w:val="auto"/>
              </w:rPr>
            </w:pPr>
            <w:r>
              <w:rPr>
                <w:rFonts w:ascii="Arial" w:cs="Arial" w:eastAsia="Arial" w:hAnsi="Arial"/>
                <w:sz w:val="12"/>
                <w:szCs w:val="12"/>
                <w:color w:val="auto"/>
              </w:rPr>
              <w:t>(1)</w:t>
            </w:r>
          </w:p>
        </w:tc>
        <w:tc>
          <w:tcPr>
            <w:tcW w:w="6840" w:type="dxa"/>
            <w:vAlign w:val="bottom"/>
            <w:gridSpan w:val="3"/>
          </w:tcPr>
          <w:p>
            <w:pPr>
              <w:ind w:left="40"/>
              <w:spacing w:after="0"/>
              <w:rPr>
                <w:sz w:val="20"/>
                <w:szCs w:val="20"/>
                <w:color w:val="auto"/>
              </w:rPr>
            </w:pPr>
            <w:r>
              <w:rPr>
                <w:rFonts w:ascii="Arial" w:cs="Arial" w:eastAsia="Arial" w:hAnsi="Arial"/>
                <w:sz w:val="14"/>
                <w:szCs w:val="14"/>
                <w:color w:val="auto"/>
              </w:rPr>
              <w:t>Excludes investments in PSSL.</w:t>
            </w: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13"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June 30, 2021 and September 30, 2020, PSSL had total assets of $582.3 million and $406.4 million, respectively. As of June 30, 2021, PSSL had $36.0 million of unused borrowing capacity under the PSSL Credit Facility (as defined below), subject to leverage and borrowing base restrictions, and cash and cash equivalents of $42.1 million. As of September 30, 2020, PSSL had $107.5 million of unused borrowing capacity under the PSSL Credit Facility, subject to leverage and borrowing base restrictions, and cash and cash equivalents of $11.1 million. As of June 30, 2021 and September 30, 2020, we and Kemper had remaining commitments to fund first lien secured debt and equity interests in PSSL in an aggregate amount of zero and $25.3 million, respectively. PSSL invests in portfolio companies in the same industries in which we may directly invest.</w:t>
      </w:r>
    </w:p>
    <w:p>
      <w:pPr>
        <w:spacing w:after="0" w:line="8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2021 and September 30, 2020, we and Kemper owned 87.5% and 12.5%, respectively, of each of the outstanding first lien secured debt and equity interests. As of the same dates, our investment in PSSL consisted of first lien secured debt of $140.9 million and $125.4 million (additional $15.5 million unfunded), respectively, and equity interests of $60.4 million and $53.7 million (additional $6.6 million unfunded),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 w:name="page21"/>
    <w:bookmarkEnd w:id="20"/>
    <w:p>
      <w:pPr>
        <w:ind w:left="348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or (iii) the presence of four members of the board of directors or investment committee, provided that two individuals are present that were elected, designated or appointed by each member.</w:t>
      </w:r>
    </w:p>
    <w:p>
      <w:pPr>
        <w:spacing w:after="0" w:line="118"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PSSL has entered into a $155.0 million (increased from $125.0 million on June 3, 2021) senior secured revolving credit facility which bears interest at LIBOR (or an alternative risk-free floating interest rate index) plus 225 basis points, or the PSSL Credit Facility, with Ally Bank through a wholly-owned subsidiary, subject to leverage and borrowing base restrictions.</w:t>
      </w:r>
    </w:p>
    <w:p>
      <w:pPr>
        <w:spacing w:after="0" w:line="84"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2020</w:t>
            </w:r>
          </w:p>
        </w:tc>
        <w:tc>
          <w:tcPr>
            <w:tcW w:w="20" w:type="dxa"/>
            <w:vAlign w:val="bottom"/>
          </w:tcPr>
          <w:p>
            <w:pPr>
              <w:spacing w:after="0"/>
              <w:rPr>
                <w:sz w:val="14"/>
                <w:szCs w:val="14"/>
                <w:color w:val="auto"/>
              </w:rPr>
            </w:pPr>
          </w:p>
        </w:tc>
      </w:tr>
      <w:tr>
        <w:trPr>
          <w:trHeight w:val="156"/>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529,550,143</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392,986,090</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1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18,985,199</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20,614,860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18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84,371,461</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93,320,993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260" w:type="dxa"/>
            <w:vAlign w:val="bottom"/>
          </w:tcPr>
          <w:p>
            <w:pPr>
              <w:spacing w:after="0"/>
              <w:rPr>
                <w:sz w:val="24"/>
                <w:szCs w:val="24"/>
                <w:color w:val="auto"/>
              </w:rPr>
            </w:pPr>
          </w:p>
        </w:tc>
        <w:tc>
          <w:tcPr>
            <w:tcW w:w="2920" w:type="dxa"/>
            <w:vAlign w:val="bottom"/>
          </w:tcPr>
          <w:p>
            <w:pPr>
              <w:jc w:val="right"/>
              <w:ind w:right="1408"/>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June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 - 893.8%</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05/06/2026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9,000,000</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8,869,360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8,865,000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5,600,062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5,441,637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5,292,059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6,859,028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6,725,707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6,756,143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Building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5,735,345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5,660,910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5,677,995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1,028,431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1,028,431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1,028,431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2,232,458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2,232,458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2,232,458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4,522,727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4,427,156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4,454,886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BEI Precision Systems &amp; Space Company,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04/28/2023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4,898,433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4,879,241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4,898,433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05/16/2022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12,977,059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12,961,555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12,977,059</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Cadence Aerospace,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11/14/2023</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12,248,527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12,192,195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11,849,226</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Cano Health</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11/23/2027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Education &amp; Childcare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2,667,787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CHA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04/10/2025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Construction and Engineering</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5,633,244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5,531,644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5,576,911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08/31/2023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L+675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9,476,414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9,424,670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9,144,739</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Datalot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5,721,033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5,721,033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5,721,033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05/22/2026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5.20%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3,236,257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3,113,902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3,220,076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8,768,709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8,706,392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8,768,709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7,346,670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7,291,999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7,346,670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15,715,273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15,618,662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15,636,697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East Valley Tourist Development Authority</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03/07/2022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L+800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5,734,505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5,588,194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5,648,487</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3.50%)</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04/01/2028</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2,653,846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2,627,496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2,706,923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4,994,355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4,994,355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4,969,383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Fairbanks More Defense</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06/17/2028</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L+475</w:t>
            </w:r>
          </w:p>
        </w:tc>
        <w:tc>
          <w:tcPr>
            <w:tcW w:w="680" w:type="dxa"/>
            <w:vAlign w:val="bottom"/>
          </w:tcPr>
          <w:p>
            <w:pPr>
              <w:jc w:val="right"/>
              <w:spacing w:after="0"/>
              <w:rPr>
                <w:sz w:val="20"/>
                <w:szCs w:val="20"/>
                <w:color w:val="auto"/>
              </w:rPr>
            </w:pPr>
            <w:r>
              <w:rPr>
                <w:rFonts w:ascii="Arial" w:cs="Arial" w:eastAsia="Arial" w:hAnsi="Arial"/>
                <w:sz w:val="11"/>
                <w:szCs w:val="11"/>
                <w:color w:val="auto"/>
              </w:rPr>
              <w:t>8,000,000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7,960,000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8,005,040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FlexPrint,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6.08%</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L+594</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4,769,595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4,728,171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4,733,824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Gantech Acquisition Corp.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14,708,385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14,700,000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03/16/2026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Financial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2,487,500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2,429,112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2,462,625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12/19/2025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6,490,000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6,420,647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6,457,550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04/09/2027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13,623,288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13,358,818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13,350,822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06/27/2023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L+737</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11,241,985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11,296,864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11,270,091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09/29/2023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11,604,442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11,561,355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11,604,442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19,216,422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18,985,199</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10,358,913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10,300,646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9,648,292</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02/3/2026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Providers and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5,721,033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5,614,807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5,635,217</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Marketplace Events, LLC - Super Priority First Lien Term Loan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607,780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607,780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607,780</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6.25%)</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w w:val="96"/>
              </w:rPr>
              <w:t xml:space="preserve">Marketplace Events, LLC - Super Priority First Lien Term Loan </w:t>
            </w:r>
            <w:r>
              <w:rPr>
                <w:rFonts w:ascii="Arial" w:cs="Arial" w:eastAsia="Arial" w:hAnsi="Arial"/>
                <w:sz w:val="9"/>
                <w:szCs w:val="9"/>
                <w:color w:val="auto"/>
                <w:w w:val="96"/>
              </w:rPr>
              <w:t>(6)</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589,122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Marketplace Events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4,542,421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3,441,474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4,061,543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9,804,802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MBS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04/16/2027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Internet Software and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7,351,134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7,350,000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5,604,571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5,474,298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5,506,490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5,904,543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5,889,126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5,904,543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06/06/2024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14,475,026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13,567,875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7,743,419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7,736,154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6,988,436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Ox Two,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05/18/2026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Construction Materials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4,910,883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4,887,750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09/29/2025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5.14%</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tcPr>
          <w:p>
            <w:pPr>
              <w:jc w:val="right"/>
              <w:spacing w:after="0"/>
              <w:rPr>
                <w:sz w:val="20"/>
                <w:szCs w:val="20"/>
                <w:color w:val="auto"/>
              </w:rPr>
            </w:pPr>
            <w:r>
              <w:rPr>
                <w:rFonts w:ascii="Arial" w:cs="Arial" w:eastAsia="Arial" w:hAnsi="Arial"/>
                <w:sz w:val="11"/>
                <w:szCs w:val="11"/>
                <w:color w:val="auto"/>
              </w:rPr>
              <w:t>9,717,651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9,530,136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9,304,651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1,581,862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1,570,024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1,581,862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PlayPower,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05/08/2026</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5.65%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3,815,940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3,726,581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3,782,551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Recteq,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4,895,954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4,937,625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Research Now Group, Inc. and Dynata</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10,720,361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10,626,399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10,572,956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01/03/2025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5,721,033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5,631,555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5,477,889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5,593,348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5,531,678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5,565,381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11,839,207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11,820,819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11,099,257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5.39%</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12,590,625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12,464,645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12,590,625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4,431,806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4,427,127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4,409,647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5,908,800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5,866,573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5,908,800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11.00%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L+900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4,389,000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4,511,713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4,773,038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5.34%</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9,099,285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9,024,465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9,008,292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03/01/2026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4,881,266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10,541,321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10,514,240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10,422,731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5,720,886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5,642,373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5,654,123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5,721,250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5,641,944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5,664,038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6M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13,548,415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13,540,579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13,548,415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8,856,566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8,668,440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8,590,869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8,579,757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8,618,618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8,493,959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6,596,499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04/01/2028</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11,471,250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11,360,755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11,431,101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17,616,573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17,493,302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17,352,324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11,030,410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10,834,980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10,975,256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12,468,750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12,163,305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12,157,030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5,721,033</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5,669,386</w:t>
            </w:r>
          </w:p>
        </w:tc>
        <w:tc>
          <w:tcPr>
            <w:tcW w:w="220" w:type="dxa"/>
            <w:vAlign w:val="bottom"/>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5,663,821</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518,216,260</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515,523,927</w:t>
            </w:r>
          </w:p>
        </w:tc>
        <w:tc>
          <w:tcPr>
            <w:tcW w:w="120" w:type="dxa"/>
            <w:vAlign w:val="bottom"/>
          </w:tcPr>
          <w:p>
            <w:pPr>
              <w:spacing w:after="0"/>
              <w:rPr>
                <w:sz w:val="11"/>
                <w:szCs w:val="11"/>
                <w:color w:val="auto"/>
              </w:rPr>
            </w:pPr>
          </w:p>
        </w:tc>
      </w:tr>
      <w:tr>
        <w:trPr>
          <w:trHeight w:val="34"/>
        </w:trPr>
        <w:tc>
          <w:tcPr>
            <w:tcW w:w="212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1020" w:type="dxa"/>
            <w:vAlign w:val="bottom"/>
            <w:gridSpan w:val="3"/>
          </w:tcPr>
          <w:p>
            <w:pPr>
              <w:jc w:val="right"/>
              <w:ind w:right="560"/>
              <w:spacing w:after="0" w:line="122" w:lineRule="exact"/>
              <w:rPr>
                <w:sz w:val="20"/>
                <w:szCs w:val="20"/>
                <w:color w:val="auto"/>
              </w:rPr>
            </w:pPr>
            <w:r>
              <w:rPr>
                <w:rFonts w:ascii="Arial" w:cs="Arial" w:eastAsia="Arial" w:hAnsi="Arial"/>
                <w:sz w:val="11"/>
                <w:szCs w:val="11"/>
                <w:b w:val="1"/>
                <w:bCs w:val="1"/>
                <w:color w:val="auto"/>
              </w:rPr>
              <w:t>Par /</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 - 20.1%</w:t>
            </w: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gridSpan w:val="3"/>
          </w:tcPr>
          <w:p>
            <w:pPr>
              <w:spacing w:after="0"/>
              <w:rPr>
                <w:sz w:val="20"/>
                <w:szCs w:val="20"/>
                <w:color w:val="auto"/>
              </w:rPr>
            </w:pPr>
            <w:r>
              <w:rPr>
                <w:rFonts w:ascii="Arial" w:cs="Arial" w:eastAsia="Arial" w:hAnsi="Arial"/>
                <w:sz w:val="11"/>
                <w:szCs w:val="11"/>
                <w:color w:val="auto"/>
              </w:rPr>
              <w:t>DBI Holding, LLC, Term Loan B</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02/01/2026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8,672,665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8,672,665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8,672,665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09/29/2024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2,943,304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Second Lien Secured Debt</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11,615,969</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11,612,665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Equity Securities - 4.2%</w:t>
            </w: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DBI Holding, LLC, Series A-1</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2,413,551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New MPE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3200" w:type="dxa"/>
            <w:vAlign w:val="bottom"/>
            <w:tcBorders>
              <w:top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5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5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5,270,831</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2,413,551</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Investments - 918.1%</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535,103,060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529,550,143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 - 73.%</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BlackRock Federal FD Institutional 30</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34,254,985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34,254,985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US Bank Cash</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7,860,209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7,854,250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42,115,194</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42,109,235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 —991.1%</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2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577,218,254</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571,659,378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CFF"/>
              <w:bottom w:val="single" w:sz="8" w:color="CCECFF"/>
            </w:tcBorders>
            <w:gridSpan w:val="3"/>
            <w:vMerge w:val="restart"/>
          </w:tcPr>
          <w:p>
            <w:pPr>
              <w:spacing w:after="0"/>
              <w:rPr>
                <w:sz w:val="20"/>
                <w:szCs w:val="20"/>
                <w:color w:val="auto"/>
              </w:rPr>
            </w:pPr>
            <w:r>
              <w:rPr>
                <w:rFonts w:ascii="Arial" w:cs="Arial" w:eastAsia="Arial" w:hAnsi="Arial"/>
                <w:sz w:val="11"/>
                <w:szCs w:val="11"/>
                <w:b w:val="1"/>
                <w:bCs w:val="1"/>
                <w:color w:val="auto"/>
              </w:rPr>
              <w:t>Liabilities in Excess of Other Assets — (891.1)%</w:t>
            </w:r>
          </w:p>
        </w:tc>
        <w:tc>
          <w:tcPr>
            <w:tcW w:w="5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5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0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6"/>
              </w:rPr>
              <w:t>(513,982,214)</w:t>
            </w:r>
          </w:p>
        </w:tc>
        <w:tc>
          <w:tcPr>
            <w:tcW w:w="0" w:type="dxa"/>
            <w:vAlign w:val="bottom"/>
          </w:tcPr>
          <w:p>
            <w:pPr>
              <w:spacing w:after="0"/>
              <w:rPr>
                <w:sz w:val="1"/>
                <w:szCs w:val="1"/>
                <w:color w:val="auto"/>
              </w:rPr>
            </w:pPr>
          </w:p>
        </w:tc>
      </w:tr>
      <w:tr>
        <w:trPr>
          <w:trHeight w:val="128"/>
        </w:trPr>
        <w:tc>
          <w:tcPr>
            <w:tcW w:w="3200" w:type="dxa"/>
            <w:vAlign w:val="bottom"/>
            <w:tcBorders>
              <w:top w:val="single" w:sz="8" w:color="CCECFF"/>
              <w:bottom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Members' Equity—100.0%</w:t>
            </w:r>
          </w:p>
        </w:tc>
        <w:tc>
          <w:tcPr>
            <w:tcW w:w="54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256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700" w:type="dxa"/>
            <w:vAlign w:val="bottom"/>
            <w:tcBorders>
              <w:top w:val="single" w:sz="8" w:color="CCECFF"/>
              <w:bottom w:val="single" w:sz="8" w:color="CCECFF"/>
            </w:tcBorders>
            <w:shd w:val="clear" w:color="auto" w:fill="CCECFF"/>
          </w:tcPr>
          <w:p>
            <w:pPr>
              <w:spacing w:after="0"/>
              <w:rPr>
                <w:sz w:val="11"/>
                <w:szCs w:val="11"/>
                <w:color w:val="auto"/>
              </w:rPr>
            </w:pPr>
          </w:p>
        </w:tc>
        <w:tc>
          <w:tcPr>
            <w:tcW w:w="260" w:type="dxa"/>
            <w:vAlign w:val="bottom"/>
            <w:tcBorders>
              <w:top w:val="single" w:sz="8" w:color="CCECFF"/>
              <w:bottom w:val="single" w:sz="8" w:color="CCECFF"/>
            </w:tcBorders>
            <w:shd w:val="clear" w:color="auto" w:fill="CCECFF"/>
          </w:tcPr>
          <w:p>
            <w:pPr>
              <w:spacing w:after="0"/>
              <w:rPr>
                <w:sz w:val="11"/>
                <w:szCs w:val="11"/>
                <w:color w:val="auto"/>
              </w:rPr>
            </w:pPr>
          </w:p>
        </w:tc>
        <w:tc>
          <w:tcPr>
            <w:tcW w:w="70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68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60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57,677,164</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9" w:lineRule="auto"/>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7" w:lineRule="exact"/>
        <w:rPr>
          <w:rFonts w:ascii="Arial" w:cs="Arial" w:eastAsia="Arial" w:hAnsi="Arial"/>
          <w:sz w:val="9"/>
          <w:szCs w:val="9"/>
          <w:b w:val="1"/>
          <w:bCs w:val="1"/>
          <w:color w:val="auto"/>
        </w:rPr>
      </w:pPr>
    </w:p>
    <w:p>
      <w:pPr>
        <w:ind w:left="380" w:hanging="372"/>
        <w:spacing w:after="0"/>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Valued based on PSSL’s accounting policy.</w:t>
      </w:r>
    </w:p>
    <w:p>
      <w:pPr>
        <w:spacing w:after="0" w:line="35" w:lineRule="exact"/>
        <w:rPr>
          <w:rFonts w:ascii="Arial" w:cs="Arial" w:eastAsia="Arial" w:hAnsi="Arial"/>
          <w:sz w:val="9"/>
          <w:szCs w:val="9"/>
          <w:b w:val="1"/>
          <w:bCs w:val="1"/>
          <w:color w:val="auto"/>
        </w:rPr>
      </w:pPr>
    </w:p>
    <w:p>
      <w:pPr>
        <w:ind w:left="380" w:hanging="372"/>
        <w:spacing w:after="0"/>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Non-U.S. company or principal place of business outside the United States.</w:t>
      </w:r>
    </w:p>
    <w:p>
      <w:pPr>
        <w:spacing w:after="0" w:line="35" w:lineRule="exact"/>
        <w:rPr>
          <w:rFonts w:ascii="Arial" w:cs="Arial" w:eastAsia="Arial" w:hAnsi="Arial"/>
          <w:sz w:val="9"/>
          <w:szCs w:val="9"/>
          <w:b w:val="1"/>
          <w:bCs w:val="1"/>
          <w:color w:val="auto"/>
        </w:rPr>
      </w:pPr>
    </w:p>
    <w:p>
      <w:pPr>
        <w:ind w:left="380" w:hanging="372"/>
        <w:spacing w:after="0"/>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Par amount is denominated in Australian Dollars (A$) as denoted.</w:t>
      </w:r>
    </w:p>
    <w:p>
      <w:pPr>
        <w:spacing w:after="0" w:line="3" w:lineRule="exact"/>
        <w:rPr>
          <w:rFonts w:ascii="Arial" w:cs="Arial" w:eastAsia="Arial" w:hAnsi="Arial"/>
          <w:sz w:val="9"/>
          <w:szCs w:val="9"/>
          <w:b w:val="1"/>
          <w:bCs w:val="1"/>
          <w:color w:val="auto"/>
        </w:rPr>
      </w:pPr>
    </w:p>
    <w:p>
      <w:pPr>
        <w:ind w:left="380" w:hanging="372"/>
        <w:spacing w:after="0" w:line="230" w:lineRule="auto"/>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Non-income producing security.</w:t>
      </w:r>
    </w:p>
    <w:p>
      <w:pPr>
        <w:ind w:left="380" w:hanging="372"/>
        <w:spacing w:after="0"/>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Basis Point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94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1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Debt—838.2%</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4,856,155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4,795,251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4,686,189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American Auto Auction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Transportation: Consumer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7,670,399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7,596,860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7,440,287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05/16/2022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10,901,843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10,774,172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10,792,825</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11/14/2023</w:t>
            </w:r>
          </w:p>
        </w:tc>
        <w:tc>
          <w:tcPr>
            <w:tcW w:w="2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2"/>
                <w:szCs w:val="12"/>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L+850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11,802,082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11,730,187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11,322,915</w:t>
            </w:r>
          </w:p>
        </w:tc>
        <w:tc>
          <w:tcPr>
            <w:tcW w:w="120" w:type="dxa"/>
            <w:vAlign w:val="bottom"/>
          </w:tcPr>
          <w:p>
            <w:pPr>
              <w:spacing w:after="0"/>
              <w:rPr>
                <w:sz w:val="12"/>
                <w:szCs w:val="12"/>
                <w:color w:val="auto"/>
              </w:rPr>
            </w:pPr>
          </w:p>
        </w:tc>
      </w:tr>
      <w:tr>
        <w:trPr>
          <w:trHeight w:val="131"/>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4,759,527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Centauri Group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02/12/2024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5,330,847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5,330,847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5,304,193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9,663,392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9,595,826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8,986,954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179,976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 (Revolver)</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8,836,683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8,756,358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8,704,133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7,403,183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7,370,405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7,292,135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11/03/2025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8,022,149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7,950,609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7,875,344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Banking, Finance, Insurance and Real Estate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5.46%</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L+525A</w:t>
            </w: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7,411,600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6,809,125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GCOM Software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16,646,228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16,562,972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16,646,228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11/18/2024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3"/>
              </w:rPr>
              <w:t>Beverages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9,499,183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9,429,133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9,427,938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GSM Holdings,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19,470,523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19,354,235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19,275,817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12,143,568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12,097,717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12,022,132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Impact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8.37%</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L+737</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9,290,185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9,216,206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9,336,636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8,458,792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L+700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19,650,000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19,436,214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19,217,700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9,975,861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9,902,990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9,188,766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LSF9 Atlantis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Retail</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6,843,750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6,872,048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6,631,320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12/08/2023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4,313,910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4,273,019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4,197,866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 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5,730,254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4,449,786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3,623,691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4,771,073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4,583,906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5,949,731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5,927,114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5,877,737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06/06/2024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14,662,500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14,568,019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13,379,531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7,803,419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7,825,029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7,101,111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5.19%</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9,792,594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9,717,936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9,156,076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1,594,030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1,579,915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1,570,120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05/8/2026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Leisure Products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5.72%</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3,990,707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4,860,858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4,836,350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11,904,617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11,904,617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11,041,532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4.93%</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11,175,938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11,090,654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10,840,659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4,493,542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6,214,305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6,149,172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6,145,948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12/11/2026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Construction and Building</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5.40%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7,762,222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7,692,023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7,684,600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8,309,797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8,272,104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8,060,503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4,783,595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4,764,375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09/16/2024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6M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8,602,807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8,584,634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8,602,807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8,924,066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8,837,614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8,656,344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9,747,335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9,747,335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9,674,230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6,910,465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6,797,117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21,930,702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21,762,065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20,614,860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11,463,443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11,311,325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11,119,540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09/26/2024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10,594,047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10,440,520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10,594,047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10/18/2022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254,095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250,910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251,557</w:t>
            </w:r>
          </w:p>
        </w:tc>
        <w:tc>
          <w:tcPr>
            <w:tcW w:w="120" w:type="dxa"/>
            <w:vAlign w:val="bottom"/>
            <w:shd w:val="clear" w:color="auto" w:fill="CCECFF"/>
          </w:tcPr>
          <w:p>
            <w:pPr>
              <w:spacing w:after="0"/>
              <w:rPr>
                <w:sz w:val="11"/>
                <w:szCs w:val="11"/>
                <w:color w:val="auto"/>
              </w:rPr>
            </w:pP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392,309,962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382,299,150</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Debt—19.5%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04/29/2024</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2"/>
                <w:szCs w:val="12"/>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L+850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964,045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889,813</w:t>
            </w:r>
          </w:p>
        </w:tc>
        <w:tc>
          <w:tcPr>
            <w:tcW w:w="120" w:type="dxa"/>
            <w:vAlign w:val="bottom"/>
          </w:tcPr>
          <w:p>
            <w:pPr>
              <w:spacing w:after="0"/>
              <w:rPr>
                <w:sz w:val="12"/>
                <w:szCs w:val="12"/>
                <w:color w:val="auto"/>
              </w:rPr>
            </w:pPr>
          </w:p>
        </w:tc>
      </w:tr>
      <w:tr>
        <w:trPr>
          <w:trHeight w:val="131"/>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shd w:val="clear" w:color="auto" w:fill="CCECFF"/>
          </w:tcPr>
          <w:p>
            <w:pPr>
              <w:spacing w:after="0"/>
              <w:rPr>
                <w:sz w:val="11"/>
                <w:szCs w:val="11"/>
                <w:color w:val="auto"/>
              </w:rPr>
            </w:pPr>
          </w:p>
        </w:tc>
      </w:tr>
      <w:tr>
        <w:trPr>
          <w:trHeight w:val="135"/>
        </w:trPr>
        <w:tc>
          <w:tcPr>
            <w:tcW w:w="29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DBI Holding, LLC, Term Loan 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02/02/2026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7,977,513</w:t>
            </w:r>
          </w:p>
        </w:tc>
        <w:tc>
          <w:tcPr>
            <w:tcW w:w="120" w:type="dxa"/>
            <w:vAlign w:val="bottom"/>
          </w:tcPr>
          <w:p>
            <w:pPr>
              <w:spacing w:after="0"/>
              <w:rPr>
                <w:sz w:val="12"/>
                <w:szCs w:val="12"/>
                <w:color w:val="auto"/>
              </w:rPr>
            </w:pPr>
          </w:p>
        </w:tc>
      </w:tr>
      <w:tr>
        <w:trPr>
          <w:trHeight w:val="131"/>
        </w:trPr>
        <w:tc>
          <w:tcPr>
            <w:tcW w:w="29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gridSpan w:val="2"/>
          </w:tcPr>
          <w:p>
            <w:pPr>
              <w:jc w:val="right"/>
              <w:ind w:right="20"/>
              <w:spacing w:after="0"/>
              <w:rPr>
                <w:sz w:val="20"/>
                <w:szCs w:val="20"/>
                <w:color w:val="auto"/>
              </w:rPr>
            </w:pPr>
            <w:r>
              <w:rPr>
                <w:rFonts w:ascii="Arial" w:cs="Arial" w:eastAsia="Arial" w:hAnsi="Arial"/>
                <w:sz w:val="11"/>
                <w:szCs w:val="11"/>
                <w:color w:val="auto"/>
              </w:rPr>
              <w:t>(PIK 9.00%)</w:t>
            </w: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8,957,504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8,883,272</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Equity Securities—4.0%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6,983,936</w:t>
            </w: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Borders>
              <w:bottom w:val="single" w:sz="8" w:color="CCECFF"/>
            </w:tcBorders>
          </w:tcPr>
          <w:p>
            <w:pPr>
              <w:spacing w:after="0"/>
              <w:rPr>
                <w:sz w:val="11"/>
                <w:szCs w:val="11"/>
                <w:color w:val="auto"/>
              </w:rPr>
            </w:pPr>
          </w:p>
        </w:tc>
      </w:tr>
      <w:tr>
        <w:trPr>
          <w:trHeight w:val="129"/>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Investments—861.6%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408,251,402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392,986,090</w:t>
            </w:r>
          </w:p>
        </w:tc>
        <w:tc>
          <w:tcPr>
            <w:tcW w:w="120" w:type="dxa"/>
            <w:vAlign w:val="bottom"/>
            <w:shd w:val="clear" w:color="auto" w:fill="CCECFF"/>
          </w:tcPr>
          <w:p>
            <w:pPr>
              <w:spacing w:after="0"/>
              <w:rPr>
                <w:sz w:val="11"/>
                <w:szCs w:val="11"/>
                <w:color w:val="auto"/>
              </w:rPr>
            </w:pPr>
          </w:p>
        </w:tc>
      </w:tr>
      <w:tr>
        <w:trPr>
          <w:trHeight w:val="128"/>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Equivalents—24.4%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5,109,410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5,115,516</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11,115,373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11,121,479</w:t>
            </w:r>
          </w:p>
        </w:tc>
        <w:tc>
          <w:tcPr>
            <w:tcW w:w="120" w:type="dxa"/>
            <w:vAlign w:val="bottom"/>
            <w:shd w:val="clear" w:color="auto" w:fill="CCECFF"/>
          </w:tcPr>
          <w:p>
            <w:pPr>
              <w:spacing w:after="0"/>
              <w:rPr>
                <w:sz w:val="11"/>
                <w:szCs w:val="11"/>
                <w:color w:val="auto"/>
              </w:rPr>
            </w:pPr>
          </w:p>
        </w:tc>
      </w:tr>
      <w:tr>
        <w:trPr>
          <w:trHeight w:val="169"/>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and Cash Equivalents—886.0%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5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419,366,775</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404,107,569</w:t>
            </w:r>
          </w:p>
        </w:tc>
        <w:tc>
          <w:tcPr>
            <w:tcW w:w="120" w:type="dxa"/>
            <w:vAlign w:val="bottom"/>
            <w:tcBorders>
              <w:bottom w:val="single" w:sz="8" w:color="CCECFF"/>
            </w:tcBorders>
          </w:tcPr>
          <w:p>
            <w:pPr>
              <w:spacing w:after="0"/>
              <w:rPr>
                <w:sz w:val="14"/>
                <w:szCs w:val="14"/>
                <w:color w:val="auto"/>
              </w:rPr>
            </w:pPr>
          </w:p>
        </w:tc>
      </w:tr>
      <w:tr>
        <w:trPr>
          <w:trHeight w:val="115"/>
        </w:trPr>
        <w:tc>
          <w:tcPr>
            <w:tcW w:w="3080" w:type="dxa"/>
            <w:vAlign w:val="bottom"/>
            <w:gridSpan w:val="2"/>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Assets—(786.0)%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(358,495,484)</w:t>
            </w:r>
          </w:p>
        </w:tc>
      </w:tr>
      <w:tr>
        <w:trPr>
          <w:trHeight w:val="128"/>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45,612,085</w:t>
            </w:r>
          </w:p>
        </w:tc>
        <w:tc>
          <w:tcPr>
            <w:tcW w:w="120" w:type="dxa"/>
            <w:vAlign w:val="bottom"/>
          </w:tcPr>
          <w:p>
            <w:pPr>
              <w:spacing w:after="0"/>
              <w:rPr>
                <w:sz w:val="11"/>
                <w:szCs w:val="1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31" w:lineRule="exact"/>
        <w:rPr>
          <w:sz w:val="20"/>
          <w:szCs w:val="20"/>
          <w:color w:val="auto"/>
        </w:rPr>
      </w:pPr>
    </w:p>
    <w:p>
      <w:pPr>
        <w:ind w:left="380" w:right="40" w:hanging="372"/>
        <w:spacing w:after="0" w:line="235" w:lineRule="auto"/>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Valued based on PSSL’s accounting policy.</w:t>
      </w:r>
    </w:p>
    <w:p>
      <w:pPr>
        <w:ind w:left="380" w:hanging="372"/>
        <w:spacing w:after="0" w:line="230" w:lineRule="auto"/>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Non-U.S. company or principal place of business outside the United States.</w:t>
      </w:r>
    </w:p>
    <w:p>
      <w:pPr>
        <w:ind w:left="380" w:hanging="372"/>
        <w:spacing w:after="0" w:line="230" w:lineRule="auto"/>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Par amount is denominated in Australian Dollars (A$) or in Canadian Dollars (C$) as denoted.</w:t>
      </w:r>
    </w:p>
    <w:p>
      <w:pPr>
        <w:ind w:left="380" w:hanging="372"/>
        <w:spacing w:after="0"/>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Non-income producing security.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the financial information for PSSL: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4080" w:type="dxa"/>
            <w:vAlign w:val="bottom"/>
          </w:tcPr>
          <w:p>
            <w:pPr>
              <w:ind w:left="152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71"/>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Investments at fair value (cost—$535,103,060 and $408,251,402, respectively)</w:t>
            </w:r>
          </w:p>
        </w:tc>
        <w:tc>
          <w:tcPr>
            <w:tcW w:w="6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529,550,143</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392,986,090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Cash and cash equivalents (cost—$42,115,194 and $11,115,373, respectively)</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42,109,235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11,121,479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1,647,150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2,235,595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Receivable for investments sold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7,323,360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1,622,665</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62,812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582,252,553</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406,405,976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Payable for investments purchased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25,367,746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89,000,000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Capital One, N.A. credit facility payable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216,969,469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2032 Asset-Backed Debt, net (par—$246,000,000)</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242,604,881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161,000,000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143,290,000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3,170,546</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490,858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Interest payable on notes to members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3,322,400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109,816</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524,575,389</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360,793,891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57,677,164</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45,612,085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582,252,553</w:t>
            </w:r>
          </w:p>
        </w:tc>
        <w:tc>
          <w:tcPr>
            <w:tcW w:w="3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406,405,976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60" w:type="dxa"/>
            <w:vAlign w:val="bottom"/>
            <w:tcBorders>
              <w:bottom w:val="single" w:sz="8" w:color="auto"/>
            </w:tcBorders>
          </w:tcPr>
          <w:p>
            <w:pPr>
              <w:spacing w:after="0"/>
              <w:rPr>
                <w:sz w:val="3"/>
                <w:szCs w:val="3"/>
                <w:color w:val="auto"/>
              </w:rPr>
            </w:pPr>
          </w:p>
        </w:tc>
        <w:tc>
          <w:tcPr>
            <w:tcW w:w="4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211" w:lineRule="auto"/>
        <w:tabs>
          <w:tab w:leader="none" w:pos="380" w:val="left"/>
        </w:tabs>
        <w:numPr>
          <w:ilvl w:val="0"/>
          <w:numId w:val="9"/>
        </w:numPr>
        <w:rPr>
          <w:rFonts w:ascii="Arial" w:cs="Arial" w:eastAsia="Arial" w:hAnsi="Arial"/>
          <w:sz w:val="18"/>
          <w:szCs w:val="18"/>
          <w:b w:val="1"/>
          <w:bCs w:val="1"/>
          <w:color w:val="auto"/>
          <w:vertAlign w:val="superscript"/>
        </w:rPr>
      </w:pPr>
      <w:r>
        <w:rPr>
          <w:rFonts w:ascii="Arial" w:cs="Arial" w:eastAsia="Arial" w:hAnsi="Arial"/>
          <w:sz w:val="12"/>
          <w:szCs w:val="12"/>
          <w:color w:val="auto"/>
        </w:rPr>
        <w:t>As of June 30, 2021 and September 30, 2020, PSSL had unfunded commitments to fund investments of $0.6 million and zero,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Statements of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2940" w:type="dxa"/>
            <w:vAlign w:val="bottom"/>
            <w:tcBorders>
              <w:bottom w:val="single" w:sz="8" w:color="CCECFF"/>
            </w:tcBorders>
          </w:tcPr>
          <w:p>
            <w:pPr>
              <w:spacing w:after="0"/>
              <w:rPr>
                <w:sz w:val="13"/>
                <w:szCs w:val="13"/>
                <w:color w:val="auto"/>
              </w:rPr>
            </w:pPr>
          </w:p>
        </w:tc>
        <w:tc>
          <w:tcPr>
            <w:tcW w:w="180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Interest</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8,687,589</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8,396,474</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23,740,662</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25,795,723</w:t>
            </w: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506,030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57,814</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757,357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54,177</w:t>
            </w:r>
          </w:p>
        </w:tc>
        <w:tc>
          <w:tcPr>
            <w:tcW w:w="100" w:type="dxa"/>
            <w:vAlign w:val="bottom"/>
            <w:shd w:val="clear" w:color="auto" w:fill="CCECFF"/>
          </w:tcPr>
          <w:p>
            <w:pPr>
              <w:spacing w:after="0"/>
              <w:rPr>
                <w:sz w:val="14"/>
                <w:szCs w:val="14"/>
                <w:color w:val="auto"/>
              </w:rPr>
            </w:pPr>
          </w:p>
        </w:tc>
      </w:tr>
      <w:tr>
        <w:trPr>
          <w:trHeight w:val="156"/>
        </w:trPr>
        <w:tc>
          <w:tcPr>
            <w:tcW w:w="474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9,193,619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8,454,288</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24,498,019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25,849,900</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gridSpan w:val="2"/>
          </w:tcPr>
          <w:p>
            <w:pPr>
              <w:ind w:left="260"/>
              <w:spacing w:after="0"/>
              <w:rPr>
                <w:sz w:val="20"/>
                <w:szCs w:val="20"/>
                <w:color w:val="auto"/>
              </w:rPr>
            </w:pPr>
            <w:r>
              <w:rPr>
                <w:rFonts w:ascii="Arial" w:cs="Arial" w:eastAsia="Arial" w:hAnsi="Arial"/>
                <w:sz w:val="14"/>
                <w:szCs w:val="14"/>
                <w:color w:val="auto"/>
                <w:w w:val="94"/>
              </w:rPr>
              <w:t>Interest and expenses on PSSL Credit Facility and 2032 Asset-Backed Debt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2,622,979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3,025,882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6,588,949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9,772,633</w:t>
            </w: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3,289,465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3,377,323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9,282,898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10,516,894</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Administrative services expenses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226,534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144,650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617,168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372,010</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6,438,978</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6,847,855</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17,389,015</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21,561,537</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2,754,641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1,606,433</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7,109,004</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4,288,363</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Realized and unrealized gain (loss) on investments and credit facility foreign</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realized (loss) gain on 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(3,403,414)</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(1,673,907)</w:t>
            </w: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(4,678,967)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(1,255,546)</w:t>
            </w:r>
          </w:p>
        </w:tc>
      </w:tr>
      <w:tr>
        <w:trPr>
          <w:trHeight w:val="162"/>
        </w:trPr>
        <w:tc>
          <w:tcPr>
            <w:tcW w:w="4740" w:type="dxa"/>
            <w:vAlign w:val="bottom"/>
            <w:gridSpan w:val="2"/>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1,919,837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6,012,106</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9,584,078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(13,744,548)</w:t>
            </w:r>
          </w:p>
        </w:tc>
      </w:tr>
      <w:tr>
        <w:trPr>
          <w:trHeight w:val="162"/>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(3,566,638)</w:t>
            </w: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(489,034)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(878,744)</w:t>
            </w:r>
          </w:p>
        </w:tc>
      </w:tr>
      <w:tr>
        <w:trPr>
          <w:trHeight w:val="133"/>
        </w:trPr>
        <w:tc>
          <w:tcPr>
            <w:tcW w:w="4740" w:type="dxa"/>
            <w:vAlign w:val="bottom"/>
            <w:tcBorders>
              <w:top w:val="single" w:sz="8" w:color="CCECFF"/>
            </w:tcBorders>
            <w:gridSpan w:val="2"/>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appreciation (depreciation) on investments and</w:t>
            </w:r>
          </w:p>
        </w:tc>
        <w:tc>
          <w:tcPr>
            <w:tcW w:w="9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gridSpan w:val="2"/>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1,919,837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2,445,468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9,095,044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(14,623,292)</w:t>
            </w:r>
          </w:p>
        </w:tc>
      </w:tr>
      <w:tr>
        <w:trPr>
          <w:trHeight w:val="133"/>
        </w:trPr>
        <w:tc>
          <w:tcPr>
            <w:tcW w:w="47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w:t>
            </w:r>
          </w:p>
        </w:tc>
        <w:tc>
          <w:tcPr>
            <w:tcW w:w="9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foreign currency translation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(1,483,577)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771,561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4,416,077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(15,878,838)</w:t>
            </w:r>
          </w:p>
        </w:tc>
      </w:tr>
      <w:tr>
        <w:trPr>
          <w:trHeight w:val="155"/>
        </w:trPr>
        <w:tc>
          <w:tcPr>
            <w:tcW w:w="474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9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1,271,064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2,377,994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11,525,081</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(11,590,475)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2940" w:type="dxa"/>
            <w:vAlign w:val="bottom"/>
            <w:tcBorders>
              <w:bottom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ind w:left="380" w:hanging="372"/>
        <w:spacing w:after="0" w:line="195" w:lineRule="auto"/>
        <w:tabs>
          <w:tab w:leader="none" w:pos="380" w:val="left"/>
        </w:tabs>
        <w:numPr>
          <w:ilvl w:val="0"/>
          <w:numId w:val="10"/>
        </w:numPr>
        <w:rPr>
          <w:rFonts w:ascii="Arial" w:cs="Arial" w:eastAsia="Arial" w:hAnsi="Arial"/>
          <w:sz w:val="18"/>
          <w:szCs w:val="18"/>
          <w:b w:val="1"/>
          <w:bCs w:val="1"/>
          <w:color w:val="auto"/>
          <w:vertAlign w:val="superscript"/>
        </w:rPr>
      </w:pPr>
      <w:r>
        <w:rPr>
          <w:rFonts w:ascii="Arial" w:cs="Arial" w:eastAsia="Arial" w:hAnsi="Arial"/>
          <w:sz w:val="12"/>
          <w:szCs w:val="12"/>
          <w:color w:val="auto"/>
        </w:rPr>
        <w:t>No management or incentive fees are payable by PSSL. If any fees were to be charged, they would be separately disclosed in the Statement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2026 Notes,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06"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jc w:val="both"/>
        <w:ind w:right="140" w:firstLine="438"/>
        <w:spacing w:after="0" w:line="251"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our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09"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9"/>
          </w:tcPr>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Fair Value at June 30,</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(Weighted Average)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180,549,828</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697,219,397</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5.7% – 14.4% (6.0)</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16,746,183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10.0% – 14.0% (10.7)</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5,496,257</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833,133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0"/>
              </w:rPr>
              <w:t>5.9x</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76,892,586</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4.5x – 22.6x (11.2x)</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7,618,772</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DLOM</w:t>
            </w:r>
          </w:p>
        </w:tc>
        <w:tc>
          <w:tcPr>
            <w:tcW w:w="17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3.6%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985,356,156</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7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133,066,500</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17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(Weighted Average)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CFF"/>
            </w:tcBorders>
            <w:gridSpan w:val="2"/>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114,844,301</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848,114,233</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5.4% – 19.5% (8.4%)</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23,017,187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9.3% – 11.0% (9.5%)</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5,657,214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0.3x</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6,893,843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6"/>
              </w:rPr>
              <w:t>0.3x – 8.5x (2.0x)</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48,491,115</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3"/>
              </w:rPr>
              <w:t>0.3x – 15.2x (10.4x)</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80" w:type="dxa"/>
            <w:vAlign w:val="bottom"/>
            <w:tcBorders>
              <w:bottom w:val="single" w:sz="8" w:color="CCECFF"/>
            </w:tcBorders>
            <w:gridSpan w:val="2"/>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1,047,017,893</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299,047,275</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4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211" w:lineRule="auto"/>
        <w:tabs>
          <w:tab w:leader="none" w:pos="380" w:val="left"/>
        </w:tabs>
        <w:numPr>
          <w:ilvl w:val="0"/>
          <w:numId w:val="11"/>
        </w:numPr>
        <w:rPr>
          <w:rFonts w:ascii="Arial" w:cs="Arial" w:eastAsia="Arial" w:hAnsi="Arial"/>
          <w:sz w:val="18"/>
          <w:szCs w:val="18"/>
          <w:b w:val="1"/>
          <w:bCs w:val="1"/>
          <w:color w:val="auto"/>
          <w:vertAlign w:val="superscript"/>
        </w:rPr>
      </w:pPr>
      <w:r>
        <w:rPr>
          <w:rFonts w:ascii="Arial" w:cs="Arial" w:eastAsia="Arial" w:hAnsi="Arial"/>
          <w:sz w:val="12"/>
          <w:szCs w:val="12"/>
          <w:color w:val="auto"/>
        </w:rPr>
        <w:t>The weighted averages disclosed in the table above were weighted by their relative fair value.</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2023 Notes, 2026 Notes and the 2031 Asset-Backed Debt were categorized as follows in the fair value hierarchy: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b w:val="1"/>
                <w:bCs w:val="1"/>
                <w:color w:val="auto"/>
                <w:w w:val="93"/>
              </w:rPr>
              <w:t>Fair Value at June 30, 2021</w:t>
            </w: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6"/>
        </w:trPr>
        <w:tc>
          <w:tcPr>
            <w:tcW w:w="416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883,265,482</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883,265,482</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17,579,316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17,579,316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134,978,875</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84,511,358</w:t>
            </w:r>
          </w:p>
        </w:tc>
        <w:tc>
          <w:tcPr>
            <w:tcW w:w="240" w:type="dxa"/>
            <w:vAlign w:val="bottom"/>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50,467,517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Borders>
              <w:bottom w:val="single" w:sz="8" w:color="CCECFF"/>
            </w:tcBorders>
            <w:gridSpan w:val="3"/>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1,035,823,673</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985,356,156</w:t>
            </w:r>
          </w:p>
        </w:tc>
        <w:tc>
          <w:tcPr>
            <w:tcW w:w="240" w:type="dxa"/>
            <w:vAlign w:val="bottom"/>
            <w:tcBorders>
              <w:bottom w:val="single" w:sz="8" w:color="CCEC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50,467,517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48,702,743</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48,702,743</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CFF"/>
            </w:tcBorders>
            <w:gridSpan w:val="3"/>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1,084,526,416</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48,702,743</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985,356,156</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50,467,517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gridSpan w:val="3"/>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133,066,500</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133,066,500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2023 Notes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110,607,514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110,607,514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2026 Notes </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97,013,575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97,013,575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 xml:space="preserve">2031 Asset-Backed Debt </w:t>
            </w:r>
            <w:r>
              <w:rPr>
                <w:rFonts w:ascii="Arial" w:cs="Arial" w:eastAsia="Arial" w:hAnsi="Arial"/>
                <w:sz w:val="12"/>
                <w:szCs w:val="12"/>
                <w:color w:val="auto"/>
              </w:rPr>
              <w:t>(2)</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225,339,466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225,339,466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tcBorders>
              <w:top w:val="single" w:sz="8" w:color="CCECFF"/>
              <w:bottom w:val="single" w:sz="8" w:color="CCECFF"/>
            </w:tcBorders>
            <w:gridSpan w:val="3"/>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566,027,055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110,607,514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97,013,575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358,405,966</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9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 w:hanging="372"/>
        <w:spacing w:after="0" w:line="207" w:lineRule="auto"/>
        <w:tabs>
          <w:tab w:leader="none" w:pos="380" w:val="left"/>
        </w:tabs>
        <w:numPr>
          <w:ilvl w:val="0"/>
          <w:numId w:val="12"/>
        </w:numPr>
        <w:rPr>
          <w:rFonts w:ascii="Arial" w:cs="Arial" w:eastAsia="Arial" w:hAnsi="Arial"/>
          <w:sz w:val="17"/>
          <w:szCs w:val="17"/>
          <w:b w:val="1"/>
          <w:bCs w:val="1"/>
          <w:color w:val="auto"/>
          <w:vertAlign w:val="superscript"/>
        </w:rPr>
      </w:pPr>
      <w:r>
        <w:rPr>
          <w:rFonts w:ascii="Arial" w:cs="Arial" w:eastAsia="Arial" w:hAnsi="Arial"/>
          <w:sz w:val="11"/>
          <w:szCs w:val="11"/>
          <w:color w:val="auto"/>
        </w:rPr>
        <w:t>In accordance with ASC 820, our equity investment in PSSL is valued using the net asset value per share (or its equivalent) as a practical expedient for fair value and thus has not been classified in the fair value hierarchy.</w:t>
      </w:r>
    </w:p>
    <w:p>
      <w:pPr>
        <w:spacing w:after="0" w:line="37" w:lineRule="exact"/>
        <w:rPr>
          <w:rFonts w:ascii="Arial" w:cs="Arial" w:eastAsia="Arial" w:hAnsi="Arial"/>
          <w:sz w:val="17"/>
          <w:szCs w:val="17"/>
          <w:b w:val="1"/>
          <w:bCs w:val="1"/>
          <w:color w:val="auto"/>
          <w:vertAlign w:val="superscript"/>
        </w:rPr>
      </w:pPr>
    </w:p>
    <w:p>
      <w:pPr>
        <w:ind w:left="380" w:right="60" w:hanging="372"/>
        <w:spacing w:after="0" w:line="219" w:lineRule="auto"/>
        <w:tabs>
          <w:tab w:leader="none" w:pos="380" w:val="left"/>
        </w:tabs>
        <w:numPr>
          <w:ilvl w:val="0"/>
          <w:numId w:val="12"/>
        </w:numPr>
        <w:rPr>
          <w:rFonts w:ascii="Arial" w:cs="Arial" w:eastAsia="Arial" w:hAnsi="Arial"/>
          <w:sz w:val="16"/>
          <w:szCs w:val="16"/>
          <w:b w:val="1"/>
          <w:bCs w:val="1"/>
          <w:color w:val="auto"/>
          <w:vertAlign w:val="superscript"/>
        </w:rPr>
      </w:pPr>
      <w:r>
        <w:rPr>
          <w:rFonts w:ascii="Arial" w:cs="Arial" w:eastAsia="Arial" w:hAnsi="Arial"/>
          <w:sz w:val="10"/>
          <w:szCs w:val="10"/>
          <w:color w:val="auto"/>
        </w:rPr>
        <w:t>We elected not to apply ASC 825-10 to the 2026 Notes or the 2031 Asset-Backed Debt and thus the balance reported in the Consolidated Statement of Assets and Liabilities represents the carrying value, which approximates the fair value. As of June 30, 2021, the carrying value of the 2026 Notes approximates the fair value. As of June 30, 2021 and September 30, 2020, the carrying value of the 2031 Asset-Backed Debt approximates the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Fair Value at September 30, 2020</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29,911,030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29,911,030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88,401,689</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48,491,115</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39,910,574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CFF"/>
            </w:tcBorders>
            <w:gridSpan w:val="3"/>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1,086,928,467</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1,047,017,893</w:t>
            </w:r>
          </w:p>
        </w:tc>
        <w:tc>
          <w:tcPr>
            <w:tcW w:w="24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39,910,574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CFF"/>
            </w:tcBorders>
            <w:gridSpan w:val="3"/>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1,144,440,395</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1,047,017,893</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39,910,574</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gridSpan w:val="3"/>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299,047,275</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ind w:left="80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299,047,275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2023 Notes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2031 Asset-Backed Debt</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224,866,334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224,866,334</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653,208,617</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523,913,609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220" w:lineRule="auto"/>
        <w:tabs>
          <w:tab w:leader="none" w:pos="380" w:val="left"/>
        </w:tabs>
        <w:numPr>
          <w:ilvl w:val="0"/>
          <w:numId w:val="13"/>
        </w:numPr>
        <w:rPr>
          <w:rFonts w:ascii="Arial" w:cs="Arial" w:eastAsia="Arial" w:hAnsi="Arial"/>
          <w:sz w:val="17"/>
          <w:szCs w:val="17"/>
          <w:b w:val="1"/>
          <w:bCs w:val="1"/>
          <w:color w:val="auto"/>
          <w:vertAlign w:val="superscript"/>
        </w:rPr>
      </w:pPr>
      <w:r>
        <w:rPr>
          <w:rFonts w:ascii="Arial" w:cs="Arial" w:eastAsia="Arial" w:hAnsi="Arial"/>
          <w:sz w:val="11"/>
          <w:szCs w:val="11"/>
          <w:color w:val="auto"/>
        </w:rPr>
        <w:t>In accordance with ASC 820, our equity investment in PSSL is valued using the net asset value per share (or its equivalent) as a practical expedient for fair value and thus has not been classified in the fair value hierarchy.</w:t>
      </w:r>
    </w:p>
    <w:p>
      <w:pPr>
        <w:ind w:left="380" w:hanging="372"/>
        <w:spacing w:after="0" w:line="180" w:lineRule="auto"/>
        <w:tabs>
          <w:tab w:leader="none" w:pos="380" w:val="left"/>
        </w:tabs>
        <w:numPr>
          <w:ilvl w:val="0"/>
          <w:numId w:val="13"/>
        </w:numPr>
        <w:rPr>
          <w:rFonts w:ascii="Arial" w:cs="Arial" w:eastAsia="Arial" w:hAnsi="Arial"/>
          <w:sz w:val="16"/>
          <w:szCs w:val="16"/>
          <w:color w:val="auto"/>
          <w:vertAlign w:val="superscript"/>
        </w:rPr>
      </w:pPr>
      <w:r>
        <w:rPr>
          <w:rFonts w:ascii="Arial" w:cs="Arial" w:eastAsia="Arial" w:hAnsi="Arial"/>
          <w:sz w:val="11"/>
          <w:szCs w:val="11"/>
          <w:color w:val="auto"/>
        </w:rPr>
        <w:t>We elected not to apply ASC 825-10 to the 2031 Asset-Backed Debt and thus the balance reported in the Consolidated Statement of Assets and Liabilities represents the carrying value, which approximates the fair value.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348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60"/>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20" w:type="dxa"/>
            <w:vAlign w:val="bottom"/>
            <w:gridSpan w:val="10"/>
          </w:tcPr>
          <w:p>
            <w:pPr>
              <w:ind w:left="440"/>
              <w:spacing w:after="0"/>
              <w:rPr>
                <w:sz w:val="20"/>
                <w:szCs w:val="20"/>
                <w:color w:val="auto"/>
              </w:rPr>
            </w:pPr>
            <w:r>
              <w:rPr>
                <w:rFonts w:ascii="Arial" w:cs="Arial" w:eastAsia="Arial" w:hAnsi="Arial"/>
                <w:sz w:val="14"/>
                <w:szCs w:val="14"/>
                <w:color w:val="auto"/>
                <w:w w:val="95"/>
              </w:rPr>
              <w:t>The tables below show a reconciliation of the beginning and ending balances for investments measured at fair value using significant unobservable inputs (Level 3):</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2021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78,402,145</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1,047,017,893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(3,797,448)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(10,617,322)</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(14,414,770)</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14,440,326</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30,404,958</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44,845,284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448,246,901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25,199,861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473,446,762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(544,240,045)</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(21,298,968)</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(565,539,013)</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883,265,482</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102,090,674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985,356,156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appreciation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11,044,213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29,005,678</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40,049,891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2020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86,836,779</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1,031,737,579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 gain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(6,687,146)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(1,215,446)</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(7,902,592)</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(19,324,825)</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(12,556,367)</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(31,881,192)</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416,471,631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7,141,958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423,613,589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(341,712,763)</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(5,479,035)</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(347,191,798)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993,647,697</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74,727,889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1,068,375,586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(22,421,965)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(11,367,951)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(33,789,916)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liabilities measured at fair value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$308,598,500 and $265,307,500,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299,047,275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263,988,583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9,217,725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(9,353,503)</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(430,698,500)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(178,709,000)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$133,400,000 and $351,598,500,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133,066,500</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340,926,080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June 30, 2021, we did not have any outstanding non-U.S. dollar borrowings on the Credit Facility.</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2020, we had outstanding non-U.S. dollar borrowings on the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11,698,500</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12,352,610</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654,110</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528"/>
        </w:trPr>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and nine months ended June 30,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21" w:lineRule="exact"/>
        <w:rPr>
          <w:sz w:val="20"/>
          <w:szCs w:val="20"/>
          <w:color w:val="auto"/>
        </w:rPr>
      </w:pPr>
    </w:p>
    <w:p>
      <w:pPr>
        <w:ind w:right="120" w:firstLine="438"/>
        <w:spacing w:after="0" w:line="251" w:lineRule="auto"/>
        <w:rPr>
          <w:sz w:val="20"/>
          <w:szCs w:val="20"/>
          <w:color w:val="auto"/>
        </w:rPr>
      </w:pPr>
      <w:r>
        <w:rPr>
          <w:rFonts w:ascii="Arial" w:cs="Arial" w:eastAsia="Arial" w:hAnsi="Arial"/>
          <w:sz w:val="13"/>
          <w:szCs w:val="13"/>
          <w:color w:val="auto"/>
        </w:rPr>
        <w:t>For the three and nine months ended June 30, 2021, the Credit Facility and the 2023 Notes had a net change in unrealized depreciation (appreciation) of $3.2 million and $(11.3) million, respectively. For the three and nine months ended June 30, 2020, the Credit Facility and the 2023 Notes had a net change in unrealized (appreciation) depreciation of $(12.2) million and $22.7 million, respectively. As of June 30, 2021 and September 30, 2020, the net unrealized depreciation on the Credit Facility and the 2023 Notes totaled $7.5 million and $18.8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2021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Fair value at</w:t>
            </w:r>
          </w:p>
        </w:tc>
        <w:tc>
          <w:tcPr>
            <w:tcW w:w="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Purchases</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 of /</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Fair value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Dividend/Other</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8"/>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 Advances</w:t>
            </w: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to Affiliates</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Affiliates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(Depreciation)</w:t>
            </w:r>
          </w:p>
        </w:tc>
        <w:tc>
          <w:tcPr>
            <w:tcW w:w="2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6"/>
        </w:trPr>
        <w:tc>
          <w:tcPr>
            <w:tcW w:w="20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40" w:type="dxa"/>
            <w:vAlign w:val="bottom"/>
            <w:gridSpan w:val="2"/>
          </w:tcPr>
          <w:p>
            <w:pPr>
              <w:spacing w:after="0" w:line="143" w:lineRule="exact"/>
              <w:rPr>
                <w:sz w:val="20"/>
                <w:szCs w:val="20"/>
                <w:color w:val="auto"/>
              </w:rPr>
            </w:pPr>
            <w:r>
              <w:rPr>
                <w:rFonts w:ascii="Arial" w:cs="Arial" w:eastAsia="Arial" w:hAnsi="Arial"/>
                <w:sz w:val="14"/>
                <w:szCs w:val="14"/>
                <w:color w:val="auto"/>
              </w:rPr>
              <w:t>Country Fresh Holding</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gridSpan w:val="2"/>
          </w:tcPr>
          <w:p>
            <w:pPr>
              <w:ind w:left="120"/>
              <w:spacing w:after="0"/>
              <w:rPr>
                <w:sz w:val="20"/>
                <w:szCs w:val="20"/>
                <w:color w:val="auto"/>
              </w:rPr>
            </w:pPr>
            <w:r>
              <w:rPr>
                <w:rFonts w:ascii="Arial" w:cs="Arial" w:eastAsia="Arial" w:hAnsi="Arial"/>
                <w:sz w:val="14"/>
                <w:szCs w:val="14"/>
                <w:color w:val="auto"/>
              </w:rPr>
              <w:t>Company Inc.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11,086,834</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4,191,843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(26,156,024)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10,877,347</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167,794</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122,570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(20,587,656)</w:t>
            </w:r>
          </w:p>
        </w:tc>
        <w:tc>
          <w:tcPr>
            <w:tcW w:w="0" w:type="dxa"/>
            <w:vAlign w:val="bottom"/>
          </w:tcPr>
          <w:p>
            <w:pPr>
              <w:spacing w:after="0"/>
              <w:rPr>
                <w:sz w:val="1"/>
                <w:szCs w:val="1"/>
                <w:color w:val="auto"/>
              </w:rPr>
            </w:pPr>
          </w:p>
        </w:tc>
      </w:tr>
      <w:tr>
        <w:trPr>
          <w:trHeight w:val="137"/>
        </w:trPr>
        <w:tc>
          <w:tcPr>
            <w:tcW w:w="2140" w:type="dxa"/>
            <w:vAlign w:val="bottom"/>
            <w:tcBorders>
              <w:top w:val="single" w:sz="8" w:color="CCECFF"/>
            </w:tcBorders>
            <w:gridSpan w:val="2"/>
            <w:shd w:val="clear" w:color="auto" w:fill="CCECFF"/>
          </w:tcPr>
          <w:p>
            <w:pPr>
              <w:spacing w:after="0" w:line="137" w:lineRule="exact"/>
              <w:rPr>
                <w:sz w:val="20"/>
                <w:szCs w:val="20"/>
                <w:color w:val="auto"/>
              </w:rPr>
            </w:pPr>
            <w:r>
              <w:rPr>
                <w:rFonts w:ascii="Arial" w:cs="Arial" w:eastAsia="Arial" w:hAnsi="Arial"/>
                <w:sz w:val="14"/>
                <w:szCs w:val="14"/>
                <w:color w:val="auto"/>
              </w:rPr>
              <w:t>Total Non-Controlled</w:t>
            </w:r>
          </w:p>
        </w:tc>
        <w:tc>
          <w:tcPr>
            <w:tcW w:w="8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Affiliates</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11,086,834</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4,191,843</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(26,156,024)</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10,877,347</w:t>
            </w:r>
          </w:p>
        </w:tc>
        <w:tc>
          <w:tcPr>
            <w:tcW w:w="30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167,794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122,570</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w w:val="98"/>
              </w:rPr>
              <w:t>(20,587,656)</w:t>
            </w:r>
          </w:p>
        </w:tc>
        <w:tc>
          <w:tcPr>
            <w:tcW w:w="0" w:type="dxa"/>
            <w:vAlign w:val="bottom"/>
          </w:tcPr>
          <w:p>
            <w:pPr>
              <w:spacing w:after="0"/>
              <w:rPr>
                <w:sz w:val="1"/>
                <w:szCs w:val="1"/>
                <w:color w:val="auto"/>
              </w:rPr>
            </w:pPr>
          </w:p>
        </w:tc>
      </w:tr>
      <w:tr>
        <w:trPr>
          <w:trHeight w:val="20"/>
        </w:trPr>
        <w:tc>
          <w:tcPr>
            <w:tcW w:w="214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Marketplace Events, LLC </w:t>
            </w:r>
            <w:r>
              <w:rPr>
                <w:rFonts w:ascii="Arial" w:cs="Arial" w:eastAsia="Arial" w:hAnsi="Arial"/>
                <w:sz w:val="12"/>
                <w:szCs w:val="12"/>
                <w:b w:val="1"/>
                <w:bCs w:val="1"/>
                <w:color w:val="auto"/>
              </w:rPr>
              <w:t>(1)</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16,155,762</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5,161,521</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(1,052,048)</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5,577,182</w:t>
            </w:r>
          </w:p>
        </w:tc>
        <w:tc>
          <w:tcPr>
            <w:tcW w:w="30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25,842,417</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130,626</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195,630</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(1,052,048)</w:t>
            </w:r>
          </w:p>
        </w:tc>
        <w:tc>
          <w:tcPr>
            <w:tcW w:w="0" w:type="dxa"/>
            <w:vAlign w:val="bottom"/>
          </w:tcPr>
          <w:p>
            <w:pPr>
              <w:spacing w:after="0"/>
              <w:rPr>
                <w:sz w:val="1"/>
                <w:szCs w:val="1"/>
                <w:color w:val="auto"/>
              </w:rPr>
            </w:pPr>
          </w:p>
        </w:tc>
      </w:tr>
      <w:tr>
        <w:trPr>
          <w:trHeight w:val="157"/>
        </w:trPr>
        <w:tc>
          <w:tcPr>
            <w:tcW w:w="2140" w:type="dxa"/>
            <w:vAlign w:val="bottom"/>
            <w:gridSpan w:val="2"/>
          </w:tcPr>
          <w:p>
            <w:pPr>
              <w:spacing w:after="0" w:line="157" w:lineRule="exact"/>
              <w:rPr>
                <w:sz w:val="20"/>
                <w:szCs w:val="20"/>
                <w:color w:val="auto"/>
              </w:rPr>
            </w:pPr>
            <w:r>
              <w:rPr>
                <w:rFonts w:ascii="Arial" w:cs="Arial" w:eastAsia="Arial" w:hAnsi="Arial"/>
                <w:sz w:val="14"/>
                <w:szCs w:val="14"/>
                <w:color w:val="auto"/>
              </w:rPr>
              <w:t>PennantPark Senior Secured</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Loan Fund I LLC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165,289,324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22,137,500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3,915,693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191,342,517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8,122,284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6,168,750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14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Controlled Affiliates</w:t>
            </w: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181,445,086</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27,299,021</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(1,052,048)</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9,492,875</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217,184,934</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8,252,910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6,364,380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(1,052,048)</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Total Controlled and</w:t>
            </w: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192,531,920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31,490,864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(27,208,072)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20,370,222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217,184,934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8,420,704</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6,486,950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(21,639,704)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380" w:right="40" w:hanging="372"/>
        <w:spacing w:after="0" w:line="276" w:lineRule="auto"/>
        <w:tabs>
          <w:tab w:leader="none" w:pos="380" w:val="left"/>
        </w:tabs>
        <w:numPr>
          <w:ilvl w:val="0"/>
          <w:numId w:val="14"/>
        </w:numPr>
        <w:rPr>
          <w:rFonts w:ascii="Arial" w:cs="Arial" w:eastAsia="Arial" w:hAnsi="Arial"/>
          <w:sz w:val="10"/>
          <w:szCs w:val="10"/>
          <w:b w:val="1"/>
          <w:bCs w:val="1"/>
          <w:color w:val="auto"/>
        </w:rPr>
      </w:pPr>
      <w:r>
        <w:rPr>
          <w:rFonts w:ascii="Arial" w:cs="Arial" w:eastAsia="Arial" w:hAnsi="Arial"/>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85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tabs>
          <w:tab w:leader="none" w:pos="380" w:val="left"/>
        </w:tabs>
        <w:numPr>
          <w:ilvl w:val="0"/>
          <w:numId w:val="15"/>
        </w:numPr>
        <w:rPr>
          <w:rFonts w:ascii="Arial" w:cs="Arial" w:eastAsia="Arial" w:hAnsi="Arial"/>
          <w:sz w:val="9"/>
          <w:szCs w:val="9"/>
          <w:b w:val="1"/>
          <w:bCs w:val="1"/>
          <w:color w:val="auto"/>
        </w:rPr>
      </w:pPr>
      <w:r>
        <w:rPr>
          <w:rFonts w:ascii="Arial" w:cs="Arial" w:eastAsia="Arial" w:hAnsi="Arial"/>
          <w:sz w:val="11"/>
          <w:szCs w:val="11"/>
          <w:color w:val="auto"/>
        </w:rPr>
        <w:t>Marketplace Events, LLC became a controlled affiliate during the quarter ended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54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14,707,479</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12,555,145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52,511,411</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1,426,990</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w w:val="97"/>
              </w:rPr>
              <w:t>Basic and diluted net increase (decrease) in net assets per share resulting from operations</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0.38</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0.32</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2021 and September 30, 2020, cash and cash equivalents consisted of money market funds in the amounts of $48.7 million and $57.5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64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64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12.31</w:t>
            </w:r>
          </w:p>
        </w:tc>
        <w:tc>
          <w:tcPr>
            <w:tcW w:w="20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12.97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0.78</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0.85</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36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0.04</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6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12.81</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12.16</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C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12.72</w:t>
            </w:r>
          </w:p>
        </w:tc>
        <w:tc>
          <w:tcPr>
            <w:tcW w:w="20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8.40</w:t>
            </w:r>
          </w:p>
        </w:tc>
        <w:tc>
          <w:tcPr>
            <w:tcW w:w="1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60" w:type="dxa"/>
            <w:vAlign w:val="bottom"/>
            <w:shd w:val="clear" w:color="auto" w:fill="CCECFF"/>
          </w:tcPr>
          <w:p>
            <w:pPr>
              <w:spacing w:after="0"/>
              <w:rPr>
                <w:sz w:val="12"/>
                <w:szCs w:val="12"/>
                <w:color w:val="auto"/>
              </w:rPr>
            </w:pPr>
          </w:p>
        </w:tc>
        <w:tc>
          <w:tcPr>
            <w:tcW w:w="1400" w:type="dxa"/>
            <w:vAlign w:val="bottom"/>
            <w:gridSpan w:val="2"/>
            <w:shd w:val="clear" w:color="auto" w:fill="CCECFF"/>
          </w:tcPr>
          <w:p>
            <w:pPr>
              <w:jc w:val="right"/>
              <w:ind w:right="80"/>
              <w:spacing w:after="0" w:line="143" w:lineRule="exact"/>
              <w:rPr>
                <w:sz w:val="20"/>
                <w:szCs w:val="20"/>
                <w:color w:val="auto"/>
              </w:rPr>
            </w:pPr>
            <w:r>
              <w:rPr>
                <w:rFonts w:ascii="Arial" w:cs="Arial" w:eastAsia="Arial" w:hAnsi="Arial"/>
                <w:sz w:val="14"/>
                <w:szCs w:val="14"/>
                <w:color w:val="auto"/>
              </w:rPr>
              <w:t>62.85%</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40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2"/>
        </w:trPr>
        <w:tc>
          <w:tcPr>
            <w:tcW w:w="76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2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6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3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496,631,680</w:t>
            </w:r>
          </w:p>
        </w:tc>
        <w:tc>
          <w:tcPr>
            <w:tcW w:w="20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471,334,378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623,131,714</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742,391,378</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16.07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19.15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1,845</w:t>
            </w:r>
          </w:p>
        </w:tc>
        <w:tc>
          <w:tcPr>
            <w:tcW w:w="20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1,617</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360" w:type="dxa"/>
            <w:vAlign w:val="bottom"/>
          </w:tcPr>
          <w:p>
            <w:pPr>
              <w:spacing w:after="0"/>
              <w:rPr>
                <w:sz w:val="15"/>
                <w:szCs w:val="15"/>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61.24%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40.49%</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1"/>
          <w:szCs w:val="11"/>
          <w:b w:val="1"/>
          <w:bCs w:val="1"/>
          <w:color w:val="auto"/>
        </w:rPr>
      </w:pPr>
      <w:r>
        <w:rPr>
          <w:rFonts w:ascii="Arial" w:cs="Arial" w:eastAsia="Arial" w:hAnsi="Arial"/>
          <w:sz w:val="11"/>
          <w:szCs w:val="11"/>
          <w:color w:val="auto"/>
        </w:rPr>
        <w:t>Not annualized for periods less than one year.</w:t>
      </w:r>
    </w:p>
    <w:p>
      <w:pPr>
        <w:spacing w:after="0" w:line="3"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1"/>
          <w:szCs w:val="11"/>
          <w:b w:val="1"/>
          <w:bCs w:val="1"/>
          <w:color w:val="auto"/>
        </w:rPr>
        <w:t>**</w:t>
      </w:r>
      <w:r>
        <w:rPr>
          <w:rFonts w:ascii="Arial" w:cs="Arial" w:eastAsia="Arial" w:hAnsi="Arial"/>
          <w:sz w:val="9"/>
          <w:szCs w:val="9"/>
          <w:color w:val="auto"/>
        </w:rPr>
        <w:t>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59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31"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Based on the weighted average shares outstanding for the respective periods.</w:t>
      </w:r>
    </w:p>
    <w:p>
      <w:pPr>
        <w:ind w:left="380" w:hanging="372"/>
        <w:spacing w:after="0" w:line="230"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230"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Based on the change in market price per share during the periods and assumes distributions, if any, are reinvested.</w:t>
      </w:r>
    </w:p>
    <w:p>
      <w:pPr>
        <w:ind w:left="380" w:hanging="372"/>
        <w:spacing w:after="0" w:line="230"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Excludes debt related costs.</w:t>
      </w:r>
    </w:p>
    <w:p>
      <w:pPr>
        <w:ind w:left="380" w:hanging="372"/>
        <w:spacing w:after="0" w:line="230"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Includes interest and expenses on debt (annualized) as well as Credit Facility amendment and debt issuance costs, if any, (not annualized).</w:t>
      </w:r>
    </w:p>
    <w:p>
      <w:pPr>
        <w:ind w:left="380" w:right="380" w:hanging="372"/>
        <w:spacing w:after="0" w:line="236"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annualized weighted average cost of debt for the nine months ended June 30, 2021 and 2020, inclusive of the fee on the undrawn commitment on the Credit Facility, amendment costs and debt issuance costs, was 3.4% and 3.9%, respectively. In accordance with the 1940 Act, with certain limited exceptions, we are only allowed to borrow amounts such that we are in compliance with a 150% asset coverage ratio requirement after such borrowing.</w:t>
      </w:r>
    </w:p>
    <w:p>
      <w:pPr>
        <w:spacing w:after="0" w:line="115"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2021 and September 30, 2020, our asset coverage ratio, as computed in accordance with the 1940 Act, was 184% and 168%,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Funding I’s multi-currency Credit Facility with affiliates of Truist Bank (formerly SunTrust Bank), or the Lenders, was $400 million (reduced from $520 million on January 19, 2021) as of June 30, 2021,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June 30, 2021 and September 30, 2020, Funding I had $133.4 million and $308.6 million of outstanding borrowings under the Credit Facility, respectively. The Credit Facility had a weighted average interest rate of 2.1% and 2.2%, exclusive of the fee on undrawn commitments as of June 30, 2021 and September 30, 2020, respectively. As of June 30, 2021 and September 30, 2020, we had $266.6 million and $211.4 million of unused borrowing capacity under the Credit Facility, respectively, subject to leverage and borrowing base restrictions.</w:t>
      </w:r>
    </w:p>
    <w:p>
      <w:pPr>
        <w:spacing w:after="0" w:line="11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200 basis points and, after the revolving period, the rate will reset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2021,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any management fee owed with respect to such services is to be paid to us so long as the Investment Adviser remains the collateral manager.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 of which $117.8 million and $138.6 million was outstanding as of June 30, 2021 and September 30, 2020, respectively.</w:t>
      </w:r>
    </w:p>
    <w:p>
      <w:pPr>
        <w:spacing w:after="0" w:line="106" w:lineRule="exact"/>
        <w:rPr>
          <w:sz w:val="20"/>
          <w:szCs w:val="20"/>
          <w:color w:val="auto"/>
        </w:rPr>
      </w:pPr>
    </w:p>
    <w:p>
      <w:pPr>
        <w:jc w:val="both"/>
        <w:ind w:right="260" w:firstLine="438"/>
        <w:spacing w:after="0" w:line="264" w:lineRule="auto"/>
        <w:rPr>
          <w:sz w:val="20"/>
          <w:szCs w:val="20"/>
          <w:color w:val="auto"/>
        </w:rPr>
      </w:pPr>
      <w:r>
        <w:rPr>
          <w:rFonts w:ascii="Arial" w:cs="Arial" w:eastAsia="Arial" w:hAnsi="Arial"/>
          <w:sz w:val="13"/>
          <w:szCs w:val="13"/>
          <w:color w:val="auto"/>
        </w:rPr>
        <w:t>The 2023 Notes pay interest at a rate of 4.3%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13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In March 2021, we issued $100.0 million in aggregate principal amount of 2026 Notes at a public offering price per note of 99.4%.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136" w:lineRule="exact"/>
        <w:rPr>
          <w:sz w:val="20"/>
          <w:szCs w:val="20"/>
          <w:color w:val="auto"/>
        </w:rPr>
      </w:pPr>
    </w:p>
    <w:p>
      <w:pPr>
        <w:ind w:right="120" w:firstLine="474"/>
        <w:spacing w:after="0" w:line="152"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due 2031, which bear interest at the three-month LIBOR plus 1.80%, (ii) $15.0 million Class A-2 Senior Secured Fixed Rate Notes due 2031, which bear interest at 3.66%, (iii) $14.0 million Class B-1 Senior Secured Floating Rate Notes due 2031, which bear interest at the three-month LIBOR plus 2.90%, (iv) $16.0 million Class B-2 Senior Secured Fixed Rate Notes due 2031, which bear interest at 4.266%,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4.00%, (vi) $8.0 million Class C-2 Secured Deferrable Fixed Rate Notes due 2031, which bear interest at 5.379%, and (vii) $18.0 million Class D Secured Deferrable Floating Rate Notes due 2031, which bear interest at the three-month LIBOR plus 4.75%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1.80%,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1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June 30, 2021 and September 30, 2020, the Company had $228.0 million of 2031 Asset-Backed Debt outstanding with a weighted average interest rate of 2.7%. As of June 30, 2021 and September 30, 2020, the unamortized fees on the 2031 Asset-Backed Debt were $2.7 million and $3.1, respectively.</w:t>
      </w:r>
    </w:p>
    <w:p>
      <w:pPr>
        <w:spacing w:after="0" w:line="117"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1" w:name="page32"/>
    <w:bookmarkEnd w:id="31"/>
    <w:p>
      <w:pPr>
        <w:jc w:val="center"/>
        <w:ind w:right="-1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19"/>
        <w:spacing w:after="0" w:line="221" w:lineRule="auto"/>
        <w:rPr>
          <w:sz w:val="20"/>
          <w:szCs w:val="20"/>
          <w:color w:val="auto"/>
        </w:rPr>
      </w:pPr>
      <w:r>
        <w:rPr>
          <w:rFonts w:ascii="Arial" w:cs="Arial" w:eastAsia="Arial" w:hAnsi="Arial"/>
          <w:sz w:val="14"/>
          <w:szCs w:val="14"/>
          <w:b w:val="1"/>
          <w:bCs w:val="1"/>
          <w:color w:val="auto"/>
        </w:rPr>
        <w:t>JUNE 30, 2021</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June 30, 2021 and September 30, 2020, we had $99.5 million and $73.3 million, respectively, in commitments to fund investments. Additionally, as described in Note 4, the Company had unfunded commitments of zero and $22.1 million to PSSL as of June 30, 2021 and September 30, 2020, respectively, that may be contributed primarily for the purpose of funding new investments approved by the PSSL board of directors or investment committee.</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quarter end, PFLT had new originations of $102.0 million, and PSSL had new originations of $29.0 million .</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Subsequent to quarter end we and a subsidiary of Kemper Corporation (NYSE: KMPR), Trinity Universal Insurance Company, have agreed to increase our capital commitments to PSSL from $230 million to $275 million.</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46" w:right="439" w:bottom="1440" w:gutter="0" w:footer="0" w:header="0"/>
        </w:sectPr>
      </w:pPr>
    </w:p>
    <w:bookmarkStart w:id="32" w:name="page33"/>
    <w:bookmarkEnd w:id="32"/>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Floating Rate Capital Ltd. and its Subsidiaries (collectively referred to as the Company), including the consolidated schedule of investments, as of June 30, 2021, and the related consolidated statements of operations and changes in net assets for the three-month and nine-month periods ended June 30, 2021 and 2020, and cash flows for the nine-month periods ended June 30, 2021 and 2020, and the related notes to the consolidated financial statements (collectively, the interim financial information or financial statements). Based on our reviews, we are not aware of any material modifications that should be made to the accompanying interim financial information referred to above for them to be in conformity with accounting principles generally accepted in the United States of America.</w:t>
      </w:r>
    </w:p>
    <w:p>
      <w:pPr>
        <w:spacing w:after="0" w:line="109"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2020, and the related consolidated statements of operations, changes in net assets, and cash flows for the year then ended (not presented herein); and in our report dated November 18, 2020, we expressed an unqualified opinion on those consolidated financial statements. In our opinion, the information set forth in the accompanying consolidated statement of assets and liabilities as of September 30, 2020,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4, 2021</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3" w:name="page34"/>
    <w:bookmarkEnd w:id="33"/>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 including as a result of the current pandemic caused by COVID-19 or any worsening thereof;</w:t>
      </w:r>
    </w:p>
    <w:p>
      <w:pPr>
        <w:spacing w:after="0" w:line="215" w:lineRule="exact"/>
        <w:rPr>
          <w:rFonts w:ascii="Arial" w:cs="Arial" w:eastAsia="Arial" w:hAnsi="Arial"/>
          <w:sz w:val="13"/>
          <w:szCs w:val="13"/>
          <w:color w:val="auto"/>
        </w:rPr>
      </w:pPr>
    </w:p>
    <w:p>
      <w:pPr>
        <w:ind w:left="800" w:right="40" w:hanging="360"/>
        <w:spacing w:after="0" w:line="253"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 or any worsening thereof;</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(commonly known as “Brexit”) and other world economic and political issues.</w:t>
      </w:r>
    </w:p>
    <w:p>
      <w:pPr>
        <w:spacing w:after="0" w:line="204"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95" w:right="399" w:bottom="1440" w:gutter="0" w:footer="0" w:header="0"/>
        </w:sectPr>
      </w:pPr>
    </w:p>
    <w:bookmarkStart w:id="34" w:name="page35"/>
    <w:bookmarkEnd w:id="34"/>
    <w:p>
      <w:pPr>
        <w:ind w:right="40"/>
        <w:spacing w:after="0" w:line="253" w:lineRule="auto"/>
        <w:rPr>
          <w:sz w:val="20"/>
          <w:szCs w:val="20"/>
          <w:color w:val="auto"/>
        </w:rPr>
      </w:pPr>
      <w:r>
        <w:rPr>
          <w:rFonts w:ascii="Arial" w:cs="Arial" w:eastAsia="Arial" w:hAnsi="Arial"/>
          <w:sz w:val="14"/>
          <w:szCs w:val="14"/>
          <w:color w:val="auto"/>
        </w:rPr>
        <w:t>maturity from three to ten years and are made to U.S. and, to a limited extent, non-U.S. corporations, partnerships and other business entities which operate in various industries and geographical regions.</w:t>
      </w:r>
    </w:p>
    <w:p>
      <w:pPr>
        <w:spacing w:after="0" w:line="106"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7"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0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36" w:lineRule="exact"/>
        <w:rPr>
          <w:sz w:val="20"/>
          <w:szCs w:val="20"/>
          <w:color w:val="auto"/>
        </w:rPr>
      </w:pPr>
    </w:p>
    <w:p>
      <w:pPr>
        <w:ind w:right="160" w:firstLine="438"/>
        <w:spacing w:after="0" w:line="281" w:lineRule="auto"/>
        <w:rPr>
          <w:sz w:val="20"/>
          <w:szCs w:val="20"/>
          <w:color w:val="auto"/>
        </w:rPr>
      </w:pPr>
      <w:r>
        <w:rPr>
          <w:rFonts w:ascii="Arial" w:cs="Arial" w:eastAsia="Arial" w:hAnsi="Arial"/>
          <w:sz w:val="12"/>
          <w:szCs w:val="12"/>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COVID_19 variants, may create stress on the market and may affect some of our portfolio</w:t>
      </w:r>
    </w:p>
    <w:p>
      <w:pPr>
        <w:spacing w:after="0" w:line="1" w:lineRule="exact"/>
        <w:rPr>
          <w:sz w:val="20"/>
          <w:szCs w:val="20"/>
          <w:color w:val="auto"/>
        </w:rPr>
      </w:pPr>
    </w:p>
    <w:p>
      <w:pPr>
        <w:spacing w:after="0" w:line="346" w:lineRule="auto"/>
        <w:rPr>
          <w:sz w:val="20"/>
          <w:szCs w:val="20"/>
          <w:color w:val="auto"/>
        </w:rPr>
      </w:pPr>
      <w:r>
        <w:rPr>
          <w:rFonts w:ascii="Arial" w:cs="Arial" w:eastAsia="Arial" w:hAnsi="Arial"/>
          <w:sz w:val="12"/>
          <w:szCs w:val="12"/>
          <w:color w:val="auto"/>
        </w:rPr>
        <w:t>companies. We cannot predict the full impact of the COVID-19 pandemic, including any worsening thereof or its duration in the United States and globally and any impact to our business operations or the business operations of our portfolio companies Depending on the length and magnitude of the disruption to the operations of our portfolio companies, certain portfolio companies may experience</w:t>
      </w:r>
    </w:p>
    <w:p>
      <w:pPr>
        <w:ind w:right="100"/>
        <w:spacing w:after="0" w:line="243" w:lineRule="auto"/>
        <w:rPr>
          <w:sz w:val="20"/>
          <w:szCs w:val="20"/>
          <w:color w:val="auto"/>
        </w:rPr>
      </w:pPr>
      <w:r>
        <w:rPr>
          <w:rFonts w:ascii="Arial" w:cs="Arial" w:eastAsia="Arial" w:hAnsi="Arial"/>
          <w:sz w:val="14"/>
          <w:szCs w:val="14"/>
          <w:color w:val="auto"/>
        </w:rPr>
        <w:t>financial distress and possibly default on their financial obligations to us and their other capital providers in the future. These developments could impact the value of our investments in such portfolio companies.</w:t>
      </w:r>
    </w:p>
    <w:p>
      <w:pPr>
        <w:spacing w:after="0" w:line="113" w:lineRule="exact"/>
        <w:rPr>
          <w:sz w:val="20"/>
          <w:szCs w:val="20"/>
          <w:color w:val="auto"/>
        </w:rPr>
      </w:pPr>
    </w:p>
    <w:p>
      <w:pPr>
        <w:jc w:val="both"/>
        <w:ind w:right="160" w:firstLine="438"/>
        <w:spacing w:after="0" w:line="231" w:lineRule="auto"/>
        <w:rPr>
          <w:sz w:val="20"/>
          <w:szCs w:val="20"/>
          <w:color w:val="auto"/>
        </w:rPr>
      </w:pPr>
      <w:r>
        <w:rPr>
          <w:rFonts w:ascii="Arial" w:cs="Arial" w:eastAsia="Arial" w:hAnsi="Arial"/>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reactions to the vaccine, politicization of the vaccination process or general public skepticism of the safety and efficacy of the vacine. While we are unable to predict the ultimate adverse effect of COVID-19, or any worsening thereof, on our results of operation, we have identified certain factors that are likely to affect market, economic and geopolitical conditions, and thereby may adversely affect our business, including:</w:t>
      </w:r>
    </w:p>
    <w:p>
      <w:pPr>
        <w:spacing w:after="0" w:line="116" w:lineRule="exact"/>
        <w:rPr>
          <w:sz w:val="20"/>
          <w:szCs w:val="20"/>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U.S. and global economic recovery;</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04"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June 30, 2021, we had two portfolio companies on non-accrual status, and the continuing impact of the COVID-19 pandemic, or any worsening thereof, may result in additional portfolio investments being placed on non-accrual status in the future.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Additionally, as of June 30, 2021 and September 30, 2020, our asset coverage ratio, as computed in accordance with the 1940 Act, was 184% and 168%, respectively. Our Credit Facility includes standard covenants and events of default provisions. If we fail to make the required payments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16"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We are also subject to financial risks, including changes in market interest rates. As of June 30, 2021, our debt portfolio consisted of 98%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200 basis points and, after the revolving period ends in October 2021, the rate will reset to LIBOR (or an alternative risk-free floating interest rate index) plus 425 basis points. In connection with the COVID-19 pandemic, the U.S. Federal Reserve and other central banks have reduced interest rates, which has caused LIBOR to decrease.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18" w:lineRule="exact"/>
        <w:rPr>
          <w:sz w:val="20"/>
          <w:szCs w:val="20"/>
          <w:color w:val="auto"/>
        </w:rPr>
      </w:pPr>
    </w:p>
    <w:p>
      <w:pPr>
        <w:ind w:right="300" w:firstLine="496"/>
        <w:spacing w:after="0" w:line="253"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Our systems and infrastructure have continued to support our business operations. We implemented a heightened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35" w:name="page36"/>
    <w:bookmarkEnd w:id="35"/>
    <w:p>
      <w:pPr>
        <w:spacing w:after="0" w:line="253" w:lineRule="auto"/>
        <w:rPr>
          <w:sz w:val="20"/>
          <w:szCs w:val="20"/>
          <w:color w:val="auto"/>
        </w:rPr>
      </w:pPr>
      <w:r>
        <w:rPr>
          <w:rFonts w:ascii="Arial" w:cs="Arial" w:eastAsia="Arial" w:hAnsi="Arial"/>
          <w:sz w:val="14"/>
          <w:szCs w:val="14"/>
          <w:color w:val="auto"/>
        </w:rPr>
        <w:t>level of communication across senior management, our investment team and our board of directors, and we have proactively engaged with our vendors on a regular basis to ensure they continue to meet our criteria for business continuity.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10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203" w:lineRule="exact"/>
        <w:rPr>
          <w:rFonts w:ascii="Arial" w:cs="Arial" w:eastAsia="Arial" w:hAnsi="Arial"/>
          <w:sz w:val="14"/>
          <w:szCs w:val="14"/>
          <w:color w:val="auto"/>
        </w:rPr>
      </w:pPr>
    </w:p>
    <w:p>
      <w:pPr>
        <w:ind w:left="800" w:right="220" w:hanging="360"/>
        <w:spacing w:after="0" w:line="253"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203"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As of June 30, 2021, our portfolio totaled $1,035.8 million, which consisted of $883.2 million of first lien secured debt (including $140.9 million in PSSL), $17.6 million of second lien secured debt and $135.0 million of preferred and common equity (including $50.5 million in PSSL). Our debt portfolio consisted of 98% variable-rate investments. As of June 30, 2021, we had two portfolio companies on non-accrual, representing 2.8% and 2.7% of our overall portfolio on a cost and fair value basis, respectively. Overall, the portfolio had net unrealized appreciation of $18.9 million. Our overall portfolio consisted of 100 companies with an average investment size of $10.4 million, had a weighted average yield on debt investments of 7.5%, and was invested 85% in first lien secured debt (including 14% in PSSL), 2% in second lien secured debt and 13% in preferred and common equity (including 5% in PSSL). As of June 30, 2021, 97% of the investments held by PSSL were first lien secured debt.</w:t>
      </w:r>
    </w:p>
    <w:p>
      <w:pPr>
        <w:spacing w:after="0" w:line="104"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As of September 30, 2020, our portfolio totaled $1,086.9 million, which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6" w:name="page37"/>
    <w:bookmarkEnd w:id="36"/>
    <w:p>
      <w:pPr>
        <w:ind w:right="100" w:firstLine="438"/>
        <w:spacing w:after="0" w:line="264" w:lineRule="auto"/>
        <w:rPr>
          <w:sz w:val="20"/>
          <w:szCs w:val="20"/>
          <w:color w:val="auto"/>
        </w:rPr>
      </w:pPr>
      <w:r>
        <w:rPr>
          <w:rFonts w:ascii="Arial" w:cs="Arial" w:eastAsia="Arial" w:hAnsi="Arial"/>
          <w:sz w:val="13"/>
          <w:szCs w:val="13"/>
          <w:color w:val="auto"/>
        </w:rPr>
        <w:t>For the three months ended June 30, 2021, we invested $248.3 million in 10 new and 16 existing portfolio companies with a weighted average yield on debt investments of 7.5%. Sales and repayments of investments for the three months ended June 30, 2021 totaled $283.3 million. For the nine months ended June 30, 2021, we invested $475.5 million in 19 new and 50 existing portfolio companies with a weighted average yield on debt investments of 7.5%. Sales and repayments of investments for the nine months ended June 30, 2021 totaled $565 million.</w:t>
      </w:r>
    </w:p>
    <w:p>
      <w:pPr>
        <w:spacing w:after="0" w:line="101"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For the three months ended June 30, 2020, we invested $14.4 million in one new and 18 existing portfolio companies with a weighted average yield on debt investments of 8.1%. Sales and repayments of investments for the three months ended June 30, 2020 totaled $104.1 million. For the nine months ended June 30, 2020, we invested $421.4 million in 18 new and 86 existing portfolio companies with a weighted average yield on debt investments of 8.0%. Sales and repayments of investments for the nine months ended June 30, 2020 totaled $347.2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As of June 30, 2021, PSSL’s portfolio totaled $529.6 million, consisted of 66 companies with an average investment size of $8.0 million and had a weighted average yield on debt investments of 7.2%. As of September 30, 2020, PSSL’s portfolio totaled $393.0 million, consisted of 45 companies with an average investment size of $8.7 million and had a weighted average yield on debt investments of 6.8%.</w:t>
      </w:r>
    </w:p>
    <w:p>
      <w:pPr>
        <w:spacing w:after="0" w:line="115"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For the three months ended June 30, 2021, PSSL invested $133.7 million (including $98.9 million purchased from the Company) in six new and 15 existing portfolio companies with a weighted average yield on debt investments of 7.0%. Sales and repayments of investments for the three months ended June 30, 2021 totaled $88.8 million. For the nine months ended June 30, 2021, PSSL invested $277.8 million (including $224.1 million purchased from the Company) in 30 new and 26 existing portfolio companies with a weighted average yield on debt investments of 7.2%. Sales and repayments of investments for the nine months ended June 30, 2021 totaled $163.1. million.</w:t>
      </w:r>
    </w:p>
    <w:p>
      <w:pPr>
        <w:spacing w:after="0" w:line="117" w:lineRule="exact"/>
        <w:rPr>
          <w:sz w:val="20"/>
          <w:szCs w:val="20"/>
          <w:color w:val="auto"/>
        </w:rPr>
      </w:pPr>
    </w:p>
    <w:p>
      <w:pPr>
        <w:ind w:right="140" w:firstLine="438"/>
        <w:spacing w:after="0" w:line="264" w:lineRule="auto"/>
        <w:rPr>
          <w:sz w:val="20"/>
          <w:szCs w:val="20"/>
          <w:color w:val="auto"/>
        </w:rPr>
      </w:pPr>
      <w:r>
        <w:rPr>
          <w:rFonts w:ascii="Arial" w:cs="Arial" w:eastAsia="Arial" w:hAnsi="Arial"/>
          <w:sz w:val="13"/>
          <w:szCs w:val="13"/>
          <w:color w:val="auto"/>
        </w:rPr>
        <w:t>For the three months ended June 30, 2020, PSSL did not make any new or follow-on investments. Sales and repayments of investments for the three months ended June 30, 2020 totaled $28.3 million. For the nine months ended June 30, 2020, PSSL invested $87.1 million (including $86.7 million purchased from the Company) in 11 new and two existing portfolio companies with a weighted average yield on debt investments of 7.4%. Sales and repayments of investments for the nine months ended June 30, 2020 totaled $102.6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380" w:hanging="360"/>
        <w:spacing w:after="0" w:line="253"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180" w:hanging="360"/>
        <w:spacing w:after="0" w:line="253"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7" w:name="page38"/>
    <w:bookmarkEnd w:id="37"/>
    <w:p>
      <w:pPr>
        <w:jc w:val="both"/>
        <w:ind w:right="320"/>
        <w:spacing w:after="0" w:line="238" w:lineRule="auto"/>
        <w:rPr>
          <w:sz w:val="20"/>
          <w:szCs w:val="20"/>
          <w:color w:val="auto"/>
        </w:rPr>
      </w:pPr>
      <w:r>
        <w:rPr>
          <w:rFonts w:ascii="Arial" w:cs="Arial" w:eastAsia="Arial" w:hAnsi="Arial"/>
          <w:sz w:val="14"/>
          <w:szCs w:val="14"/>
          <w:color w:val="auto"/>
        </w:rPr>
        <w:t>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2026 Notes,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the three and nine months ended June 30,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21" w:lineRule="exact"/>
        <w:rPr>
          <w:sz w:val="20"/>
          <w:szCs w:val="20"/>
          <w:color w:val="auto"/>
        </w:rPr>
      </w:pPr>
    </w:p>
    <w:p>
      <w:pPr>
        <w:ind w:right="120" w:firstLine="438"/>
        <w:spacing w:after="0" w:line="251" w:lineRule="auto"/>
        <w:rPr>
          <w:sz w:val="20"/>
          <w:szCs w:val="20"/>
          <w:color w:val="auto"/>
        </w:rPr>
      </w:pPr>
      <w:r>
        <w:rPr>
          <w:rFonts w:ascii="Arial" w:cs="Arial" w:eastAsia="Arial" w:hAnsi="Arial"/>
          <w:sz w:val="13"/>
          <w:szCs w:val="13"/>
          <w:color w:val="auto"/>
        </w:rPr>
        <w:t>For the three and nine months ended June 30, 2021, the Credit Facility and the 2023 Notes had a net change in unrealized depreciation (appreciation) of $3.2 million and $(11.3) million, respectively. For the three and nine months ended June 30, 2020, the Credit Facility and the 2023 Notes had a net change in unrealized (appreciation) depreciation of $(12.2) million and $22.7 million, respectively. As of June 30, 2021 and September 30, 2020, the net unrealized depreciation on the Credit Facility and the 2023 Notes totaled $7.5 million and $18.8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00" w:hanging="360"/>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nine months ended June 30, 2021 and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Investment income for the three and nine months ended June 30, 2021 was $20.9 million and $61.1 million, respectively, which was attributable to $18.2 million and $53.5 million from first lien secured debt and $2.7 million and $7.6 million from other investments, respectively. This compares to investment income for the three and nine months ended June 30, 2020, which was $22.8 million and $73.7 million, respectively, and was attributable to $21.0 million and $67.5 million from first lien secured debt and $1.8 million and $6.2 million from other investments, respectively. The decrease in investment income compared to the same periods in the prior year was primarily due to a decrease in the size of our portfolio and in LIBOR.</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Expenses for the three and nine months ended June 30, 2021 totaled $10.6 million and $30.8 million, respectively. Base management fee for the same periods totaled $2.6 million and $8.0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million, incentive fee totaled $1.7 million and $4.7 million, debt related interest and expenses totaled $5.9 million and $16.0 million and general and administrative expenses totaled $0.4 million and</w:t>
      </w:r>
    </w:p>
    <w:p>
      <w:pPr>
        <w:spacing w:after="0"/>
        <w:rPr>
          <w:sz w:val="20"/>
          <w:szCs w:val="20"/>
          <w:color w:val="auto"/>
        </w:rPr>
      </w:pPr>
      <w:r>
        <w:rPr>
          <w:rFonts w:ascii="Arial" w:cs="Arial" w:eastAsia="Arial" w:hAnsi="Arial"/>
          <w:sz w:val="12"/>
          <w:szCs w:val="12"/>
          <w:color w:val="auto"/>
        </w:rPr>
        <w:t>$1.8 million, respectively. This compares to expenses for the three and nine months ended June 30, 2020 which totaled $12.6 million and $40.7 million, respectively. Base management fee for the same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periods totaled $2.9 million and $8.7 million, incentive fee totaled $2.0 million and $7.2 million, debt related interest and expenses totaled $6.7 million and $21.6 million and general and administrative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expenses totaled $1.0 million and $2.9 million, respectively. The decrease in expenses for the three and nine months ended June 30, 2021 compared to the same periods in the prior year was primarily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due to a decrease in Management Fees and debt related interest and expenses.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Net investment income totaled $10.3 million and $30.3 million, or $0.27 and $0.78 per share, for the three and nine months ended June 30, 2021, respectively. Net investment income totaled $10.2 million and $33.1 million, or $0.26 and $0.85 per share, for the three and nine months ended June 30, 2020,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Sales and repayments of investments for the three and nine months ended June 30, 2021 totaled $283.3 million and $565.5 million, respectively, and net realized losses totaled $13.0 million and $15.3 million, respectively. Sales and repayments of investments for the three and nine months ended June 30, 2020 totaled $104.1 million and $347.2 million, respectively, and net realized losses totaled $7.4 million and $8.0 million, respectively. The change in realized gains/losses was primarily due to changes in the market conditions of our investments and the values at which they were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For the three and nine months ended June 30, 2021, we reported net change in unrealized appreciation on investments of $14.2 million and $48.8 million, respectively. For the three and nine months ended June 30, 2020, we reported net change in unrealized appreciation (depreciation) on investments of $21.9 million and $(46.4) million, respectively. As of June 30, 2021 and September 30, 2020, our net unrealized appreciation (depreciation) on investments totaled $18.9 million and $(29.9) million, respectively. The net change in unrealized appreciation on our investments compared to the same period in the prior year was primarily due to unrealized gains in our equity co-investment program, including ITC Rumba, LLC (Cano Health, LLC).</w:t>
      </w:r>
    </w:p>
    <w:p>
      <w:pPr>
        <w:spacing w:after="0" w:line="107" w:lineRule="exact"/>
        <w:rPr>
          <w:sz w:val="20"/>
          <w:szCs w:val="20"/>
          <w:color w:val="auto"/>
        </w:rPr>
      </w:pPr>
    </w:p>
    <w:p>
      <w:pPr>
        <w:jc w:val="both"/>
        <w:ind w:right="160" w:firstLine="438"/>
        <w:spacing w:after="0" w:line="255" w:lineRule="auto"/>
        <w:rPr>
          <w:sz w:val="20"/>
          <w:szCs w:val="20"/>
          <w:color w:val="auto"/>
        </w:rPr>
      </w:pPr>
      <w:r>
        <w:rPr>
          <w:rFonts w:ascii="Arial" w:cs="Arial" w:eastAsia="Arial" w:hAnsi="Arial"/>
          <w:sz w:val="13"/>
          <w:szCs w:val="13"/>
          <w:color w:val="auto"/>
        </w:rPr>
        <w:t>For the three and nine months ended June 30, 2021, the Credit Facility and the 2023 Notes had a net change in unrealized depreciation (appreciation) of $3.2 million and $(11.3) million, respectively. For the three and nine months ended June 30, 2020, the Credit Facility and the 2023 Notes had a net change in unrealized (appreciation) depreciation of $(12.2) million and $22.7 million, respectively. As of June 30, 2021 and September 30, 2020, the net unrealized depreciation on the Credit Facility and the 2023 Notes totaled $7.5 million and $18.8 million, respectively. The net change in net unrealized depreciation compared to the same period in the prior year was primarily due to changes in the capital markets.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Net increase in net assets resulting from operations totaled $14.7 million and $52.5 million, or $0.38 and $1.35 per share, respectively, for the three and nine months ended June 30, 2021. This compares to a net change in net assets resulting from operations of $12.6 million and $1.4 million, or $0.32 and $0.04 per share, respectively, for the three and nine months ended June 30, 2020. The increase in the net change in net assets from operations for the three and nine months ended June 30, 2021 compared to the same periods in the prior year was primarily due to unrealized gains in our equity co-investment program, including ITC Rumba, LLC (Cano Health, LLC).</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5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2021, in accordance with the 1940 Act, with certain limited exceptions, we are only allowed to borrow amounts such that we are in compliance with a 150% asset coverage ratio requirement after such</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borrowing. This “Liquidity and Capital Resources” section should be read in conjunction with the “COVID-19 Developments” section above.</w:t>
      </w:r>
    </w:p>
    <w:p>
      <w:pPr>
        <w:spacing w:after="0" w:line="163"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2021 and September 30, 2020, our asset coverage ratio, as computed in accordance with the 1940 Act, was 184% and 168%, respectively.</w:t>
      </w:r>
    </w:p>
    <w:p>
      <w:pPr>
        <w:spacing w:after="0" w:line="107"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The annualized weighted average cost of debt for the nine months ended June 30, 2021 and 2020, inclusive of the fee on the undrawn commitment on the Credit Facility, amendment costs and debt issuance costs, was 3.4% and 3.9%, respectively. As of June 30, 2021 and September 30, 2020, we had $266.6 million and $211.4 million of unused borrowing capacity under the Credit Facility, respectively, subject to leverage and borrowing base restrictions.</w:t>
      </w:r>
    </w:p>
    <w:p>
      <w:pPr>
        <w:spacing w:after="0" w:line="115"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Funding I’s multi-currency Credit Facility with the Lenders was $400 million (reduced from $520 million on January 19, 2021) as of June 30, 2021,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June 30, 2021 and September 30, 2020, Funding I borrowed $133.4 million and $308.6 million under the Credit Facility, respectively. The Credit Facility had a weighted average interest rate of 2.1% and 2.2%, exclusive of the fee on undrawn commitments as of June 30, 2021 and September 30, 2020, respectively.</w:t>
      </w:r>
    </w:p>
    <w:p>
      <w:pPr>
        <w:spacing w:after="0" w:line="116"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200 basis points and, after the revolving period, the rate will reset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2021,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any management fee owed with respect to such services is to be paid to us so long as the Investment Adviser remains the collateral manager.</w:t>
      </w:r>
    </w:p>
    <w:p>
      <w:pPr>
        <w:spacing w:after="0" w:line="11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 of which $117.8 million and $138.6 million was outstanding as of June 30, 2021 and September 30, 2020, respectively.</w:t>
      </w:r>
    </w:p>
    <w:p>
      <w:pPr>
        <w:spacing w:after="0" w:line="106" w:lineRule="exact"/>
        <w:rPr>
          <w:sz w:val="20"/>
          <w:szCs w:val="20"/>
          <w:color w:val="auto"/>
        </w:rPr>
      </w:pPr>
    </w:p>
    <w:p>
      <w:pPr>
        <w:ind w:right="240" w:firstLine="438"/>
        <w:spacing w:after="0" w:line="264" w:lineRule="auto"/>
        <w:rPr>
          <w:sz w:val="20"/>
          <w:szCs w:val="20"/>
          <w:color w:val="auto"/>
        </w:rPr>
      </w:pPr>
      <w:r>
        <w:rPr>
          <w:rFonts w:ascii="Arial" w:cs="Arial" w:eastAsia="Arial" w:hAnsi="Arial"/>
          <w:sz w:val="13"/>
          <w:szCs w:val="13"/>
          <w:color w:val="auto"/>
        </w:rPr>
        <w:t>The 2023 Notes currently pay interest at a rate of 4.3%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In March 2021, we issued $100.0 million in aggregate principal amount of 2026 Notes at a public offering price per note of 99.4%.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jc w:val="both"/>
        <w:ind w:right="300" w:firstLine="438"/>
        <w:spacing w:after="0" w:line="238"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due 2031, which bear interest at the three-month LIBOR plus 1.8%, (ii) $15.0 million Class A-2 Senior Secured Fixed 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ind w:right="200"/>
        <w:spacing w:after="0" w:line="154" w:lineRule="exact"/>
        <w:rPr>
          <w:sz w:val="20"/>
          <w:szCs w:val="20"/>
          <w:color w:val="auto"/>
        </w:rPr>
      </w:pPr>
      <w:r>
        <w:rPr>
          <w:rFonts w:ascii="Arial" w:cs="Arial" w:eastAsia="Arial" w:hAnsi="Arial"/>
          <w:sz w:val="13"/>
          <w:szCs w:val="13"/>
          <w:color w:val="auto"/>
        </w:rPr>
        <w:t>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both June 30, 2021 and September 30, 2020, the Company had $228.0 million of 2031 Asset-Backed Debt outstanding with a weighted average interest rate of 2.7%.</w:t>
      </w:r>
    </w:p>
    <w:p>
      <w:pPr>
        <w:spacing w:after="0" w:line="115"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 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17" w:lineRule="exact"/>
        <w:rPr>
          <w:sz w:val="20"/>
          <w:szCs w:val="20"/>
          <w:color w:val="auto"/>
        </w:rPr>
      </w:pPr>
    </w:p>
    <w:p>
      <w:pPr>
        <w:jc w:val="both"/>
        <w:ind w:right="240" w:firstLine="438"/>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15"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both the nine months ended June 30, 2021 and 2020, we did not issue any shares.</w:t>
      </w:r>
    </w:p>
    <w:p>
      <w:pPr>
        <w:spacing w:after="0" w:line="117"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 of June 30, 2021 and September 30, 2020, we had cash equivalents of $48.7 million and $57.5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80" w:firstLine="438"/>
        <w:spacing w:after="0" w:line="238" w:lineRule="auto"/>
        <w:rPr>
          <w:sz w:val="20"/>
          <w:szCs w:val="20"/>
          <w:color w:val="auto"/>
        </w:rPr>
      </w:pPr>
      <w:r>
        <w:rPr>
          <w:rFonts w:ascii="Arial" w:cs="Arial" w:eastAsia="Arial" w:hAnsi="Arial"/>
          <w:sz w:val="14"/>
          <w:szCs w:val="14"/>
          <w:color w:val="auto"/>
        </w:rPr>
        <w:t>Our operating activities provided cash of $124.4 million for the nine months ended June 30, 2021, and our financing activities used cash of $132.3 million for the same period. Our operating activities provided cash primarily from our investment activities and our financing activities used cash primarily to pay down our Credit Facility, partially offset by the 2026 Notes issuance.</w:t>
      </w:r>
    </w:p>
    <w:p>
      <w:pPr>
        <w:spacing w:after="0" w:line="115"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operating activities used cash of $63.0 million for the nine months ended June 30, 2020, and our financing activities provided cash of $53.1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13" w:lineRule="exact"/>
        <w:rPr>
          <w:sz w:val="20"/>
          <w:szCs w:val="20"/>
          <w:color w:val="auto"/>
        </w:rPr>
      </w:pPr>
    </w:p>
    <w:p>
      <w:pPr>
        <w:ind w:right="100" w:firstLine="438"/>
        <w:spacing w:after="0" w:line="248"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June 30, 2021 and September 30, 2020, PSSL had total assets of $582.3 million and $406.4 million, respectively. As of June 30, 2021, PSSL had $36.0 million of unused borrowing capacity under the PSSL Credit Facility (as defined point below), subject to leverage and borrowing base restrictions, and cash and cash equivalents of $42.1 million. As of September 30, 2020, PSSL had $107.5 million of unused borrowing capacity under the PSSL Credit Facility, subject to leverage and borrowing base restrictions, and cash and cash equivalents of $11.1 million. As of June 30, 2021 and September 30, 2020, we and Kemper had remaining commitments to fund first lien secured debt and equity interests in PSSL in an aggregate amount of zero and $25.3 million, respectively. PSSL invests in portfolio companies in the same industries in which we may directly invest.</w:t>
      </w:r>
    </w:p>
    <w:p>
      <w:pPr>
        <w:spacing w:after="0" w:line="8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2021 and September 30, 2020, we and Kemper owned 87.5% and 12.5%, respectively, of each of the outstanding first lien secured debt and equity interests. As of the same dates, our investment in PSSL consisted of first lien secured debt of $140.9 million and $125.4 million (additional $15.5 million unfunded), respectively, and equity interests of $60.4 million and $53.7 million (additional $6.6 million unfunded), respectively.</w:t>
      </w:r>
    </w:p>
    <w:p>
      <w:pPr>
        <w:spacing w:after="0" w:line="115"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or (iii) the presence of four members of the board of directors or investment committee, provided that two individuals are present that were elected, designated or appointed by each member.</w:t>
      </w:r>
    </w:p>
    <w:p>
      <w:pPr>
        <w:spacing w:after="0" w:line="118"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PSSL has entered into a $155.0 million (increased from $125.0 million on June 3, 2021) senior secured revolving credit facility which bears interest at LIBOR (or an alternative risk-free floating interest rate index) plus 225 basis points, or the PSSL Credit Facility, with Ally Bank through a wholly-owned subsidiary, subject to leverage and borrowing base restrictions.</w:t>
      </w:r>
    </w:p>
    <w:p>
      <w:pPr>
        <w:spacing w:after="0" w:line="84"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ind w:left="440"/>
              <w:spacing w:after="0"/>
              <w:rPr>
                <w:sz w:val="20"/>
                <w:szCs w:val="20"/>
                <w:color w:val="auto"/>
              </w:rPr>
            </w:pPr>
            <w:r>
              <w:rPr>
                <w:rFonts w:ascii="Arial" w:cs="Arial" w:eastAsia="Arial" w:hAnsi="Arial"/>
                <w:sz w:val="14"/>
                <w:szCs w:val="14"/>
                <w:color w:val="auto"/>
              </w:rPr>
              <w:t>Below is a summary of PSSL’s portfolio at fair value:</w:t>
            </w: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45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2020</w:t>
            </w:r>
          </w:p>
        </w:tc>
        <w:tc>
          <w:tcPr>
            <w:tcW w:w="20" w:type="dxa"/>
            <w:vAlign w:val="bottom"/>
          </w:tcPr>
          <w:p>
            <w:pPr>
              <w:spacing w:after="0"/>
              <w:rPr>
                <w:sz w:val="22"/>
                <w:szCs w:val="22"/>
                <w:color w:val="auto"/>
              </w:rPr>
            </w:pPr>
          </w:p>
        </w:tc>
      </w:tr>
      <w:tr>
        <w:trPr>
          <w:trHeight w:val="155"/>
        </w:trPr>
        <w:tc>
          <w:tcPr>
            <w:tcW w:w="45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529,550,143</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392,986,090</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9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18,985,199</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20,614,860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90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84,371,461</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93,320,993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41"/>
        </w:trPr>
        <w:tc>
          <w:tcPr>
            <w:tcW w:w="4540" w:type="dxa"/>
            <w:vAlign w:val="bottom"/>
          </w:tcPr>
          <w:p>
            <w:pPr>
              <w:spacing w:after="0"/>
              <w:rPr>
                <w:sz w:val="24"/>
                <w:szCs w:val="24"/>
                <w:color w:val="auto"/>
              </w:rPr>
            </w:pPr>
          </w:p>
        </w:tc>
        <w:tc>
          <w:tcPr>
            <w:tcW w:w="2640" w:type="dxa"/>
            <w:vAlign w:val="bottom"/>
          </w:tcPr>
          <w:p>
            <w:pPr>
              <w:jc w:val="right"/>
              <w:ind w:right="1408"/>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4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41" w:name="page42"/>
    <w:bookmarkEnd w:id="41"/>
    <w:p>
      <w:pPr>
        <w:ind w:left="440"/>
        <w:spacing w:after="0"/>
        <w:rPr>
          <w:sz w:val="20"/>
          <w:szCs w:val="20"/>
          <w:color w:val="auto"/>
        </w:rPr>
      </w:pPr>
      <w:r>
        <w:rPr>
          <w:rFonts w:ascii="Arial" w:cs="Arial" w:eastAsia="Arial" w:hAnsi="Arial"/>
          <w:sz w:val="14"/>
          <w:szCs w:val="14"/>
          <w:color w:val="auto"/>
        </w:rPr>
        <w:t>Below is a listing of PSSL’s individual investments as of June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r>
      <w:tr>
        <w:trPr>
          <w:trHeight w:val="128"/>
        </w:trPr>
        <w:tc>
          <w:tcPr>
            <w:tcW w:w="30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First Lien Secured Debt - 893.8%</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05/06/2026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9,000,000</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8,869,360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8,865,000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5,600,062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5,441,637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5,292,059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6,859,028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6,725,707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6,756,143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Building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5,735,345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5,660,910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5,677,995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1,028,431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1,028,431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1,028,431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2,232,458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2,232,458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2,232,458</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4,522,727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4,427,156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4,454,886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BEI Precision Systems &amp; Space Company,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04/28/2023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4,898,433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4,879,241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4,898,433</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05/16/2022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12,977,059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12,961,555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12,977,059</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Cadence Aerospace,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11/14/2023</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12,248,527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12,192,195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11,849,226</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Cano Health</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11/23/2027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Education &amp; Childcare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2,667,787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CHA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04/10/2025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Construction and Engineering</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5,633,244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5,531,644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5,576,911</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08/31/2023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L+675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9,476,414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9,424,670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9,144,739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Datalot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5,721,033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5,721,033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5,721,033</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05/22/2026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5.20%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3,236,257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3,113,902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3,220,076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8,768,709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8,706,392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8,768,709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7,346,670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7,291,999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7,346,670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15,715,273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15,618,662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15,636,697</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East Valley Tourist Development Authority</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03/07/2022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L+800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5,734,505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5,588,194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5,648,487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3.50%)</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04/01/2028</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2,653,846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2,627,496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2,706,923</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4,994,355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4,994,355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4,969,383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Fairbanks More Defense</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06/17/2028</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L+475</w:t>
            </w:r>
          </w:p>
        </w:tc>
        <w:tc>
          <w:tcPr>
            <w:tcW w:w="680" w:type="dxa"/>
            <w:vAlign w:val="bottom"/>
          </w:tcPr>
          <w:p>
            <w:pPr>
              <w:jc w:val="right"/>
              <w:spacing w:after="0"/>
              <w:rPr>
                <w:sz w:val="20"/>
                <w:szCs w:val="20"/>
                <w:color w:val="auto"/>
              </w:rPr>
            </w:pPr>
            <w:r>
              <w:rPr>
                <w:rFonts w:ascii="Arial" w:cs="Arial" w:eastAsia="Arial" w:hAnsi="Arial"/>
                <w:sz w:val="11"/>
                <w:szCs w:val="11"/>
                <w:color w:val="auto"/>
              </w:rPr>
              <w:t>8,000,000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7,960,000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8,005,040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FlexPrint,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6.08%</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L+594</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4,769,595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4,728,171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4,733,824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Gantech Acquisition Corp.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14,708,385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14,700,000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03/16/2026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Financial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2,487,500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2,429,112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2,462,625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12/19/2025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6,490,000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6,420,647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6,457,550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04/09/2027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13,623,288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13,358,818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13,350,822</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06/27/2023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L+737</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11,241,985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11,296,864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11,270,091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09/29/2023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11,604,442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11,561,355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11,604,442</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19,216,422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18,985,199</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10,358,913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10,300,646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9,648,292</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02/3/2026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Providers and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5,721,033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5,614,807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5,635,217</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Marketplace Events, LLC - Super Priority First Lien Term Loan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607,780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607,780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607,780</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6.25%)</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w w:val="96"/>
              </w:rPr>
              <w:t xml:space="preserve">Marketplace Events, LLC - Super Priority First Lien Term Loan </w:t>
            </w:r>
            <w:r>
              <w:rPr>
                <w:rFonts w:ascii="Arial" w:cs="Arial" w:eastAsia="Arial" w:hAnsi="Arial"/>
                <w:sz w:val="9"/>
                <w:szCs w:val="9"/>
                <w:color w:val="auto"/>
                <w:w w:val="96"/>
              </w:rPr>
              <w:t>(6)</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589,122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Marketplace Events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4,542,421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3,441,474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4,061,543</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9,804,802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MBS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04/16/2027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Internet Software and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7,351,134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7,350,000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5,604,571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5,474,298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5,506,490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5,904,543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5,889,126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5,904,543</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06/06/2024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14,475,026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13,567,875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7,743,419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7,736,154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6,988,436</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05/18/2026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Construction Materials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4,910,883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4,887,750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09/29/2025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5.14%</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tcPr>
          <w:p>
            <w:pPr>
              <w:jc w:val="right"/>
              <w:spacing w:after="0"/>
              <w:rPr>
                <w:sz w:val="20"/>
                <w:szCs w:val="20"/>
                <w:color w:val="auto"/>
              </w:rPr>
            </w:pPr>
            <w:r>
              <w:rPr>
                <w:rFonts w:ascii="Arial" w:cs="Arial" w:eastAsia="Arial" w:hAnsi="Arial"/>
                <w:sz w:val="11"/>
                <w:szCs w:val="11"/>
                <w:color w:val="auto"/>
              </w:rPr>
              <w:t>9,717,651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9,530,136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9,304,651</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1,581,862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1,570,024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1,581,862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PlayPower,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05/08/2026</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5.65%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3,815,940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3,726,581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3,782,551</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Recteq,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4,895,954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4,937,625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Research Now Group, Inc. and Dynata</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10,720,361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10,626,399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10,572,956</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01/03/2025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5,721,033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5,631,555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5,477,889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5,593,348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5,531,678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5,565,381</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11,839,207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11,820,819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11,099,257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Smile Brands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5.39%</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12,590,625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12,464,645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12,590,625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4,431,806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4,427,127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4,409,647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5,908,800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5,866,573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5,908,800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11.00%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L+900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4,389,000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4,511,713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4,773,038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5.34%</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9,099,285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9,024,465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9,008,292</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03/01/2026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4,881,266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10,541,321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10,514,240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10,422,731</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5,720,886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5,642,373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5,654,123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5,721,250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5,641,944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5,664,038</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6M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13,548,415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13,540,579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13,548,415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8,856,566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8,668,440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8,590,869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8,579,757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8,618,618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8,493,959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6,596,499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04/01/2028</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11,471,250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11,360,755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11,431,101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UBEO,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17,616,573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17,493,302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17,352,324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11,030,410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10,834,980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10,975,256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12,468,750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12,163,305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12,157,030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5,721,033</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5,669,386</w:t>
            </w:r>
          </w:p>
        </w:tc>
        <w:tc>
          <w:tcPr>
            <w:tcW w:w="220" w:type="dxa"/>
            <w:vAlign w:val="bottom"/>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5,663,821</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518,216,260</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515,523,927</w:t>
            </w:r>
          </w:p>
        </w:tc>
        <w:tc>
          <w:tcPr>
            <w:tcW w:w="120" w:type="dxa"/>
            <w:vAlign w:val="bottom"/>
          </w:tcPr>
          <w:p>
            <w:pPr>
              <w:spacing w:after="0"/>
              <w:rPr>
                <w:sz w:val="11"/>
                <w:szCs w:val="1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1020" w:type="dxa"/>
            <w:vAlign w:val="bottom"/>
            <w:gridSpan w:val="3"/>
          </w:tcPr>
          <w:p>
            <w:pPr>
              <w:jc w:val="right"/>
              <w:ind w:right="560"/>
              <w:spacing w:after="0" w:line="122" w:lineRule="exact"/>
              <w:rPr>
                <w:sz w:val="20"/>
                <w:szCs w:val="20"/>
                <w:color w:val="auto"/>
              </w:rPr>
            </w:pPr>
            <w:r>
              <w:rPr>
                <w:rFonts w:ascii="Arial" w:cs="Arial" w:eastAsia="Arial" w:hAnsi="Arial"/>
                <w:sz w:val="11"/>
                <w:szCs w:val="11"/>
                <w:b w:val="1"/>
                <w:bCs w:val="1"/>
                <w:color w:val="auto"/>
              </w:rPr>
              <w:t>Par /</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 - 20.1%</w:t>
            </w: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gridSpan w:val="3"/>
          </w:tcPr>
          <w:p>
            <w:pPr>
              <w:spacing w:after="0"/>
              <w:rPr>
                <w:sz w:val="20"/>
                <w:szCs w:val="20"/>
                <w:color w:val="auto"/>
              </w:rPr>
            </w:pPr>
            <w:r>
              <w:rPr>
                <w:rFonts w:ascii="Arial" w:cs="Arial" w:eastAsia="Arial" w:hAnsi="Arial"/>
                <w:sz w:val="11"/>
                <w:szCs w:val="11"/>
                <w:color w:val="auto"/>
              </w:rPr>
              <w:t>DBI Holding, LLC, Term Loan B</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02/01/2026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8,672,665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8,672,665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8,672,665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09/29/2024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2,943,304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Second Lien Secured Debt</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11,615,969</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11,612,665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Equity Securities - 4.2%</w:t>
            </w: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DBI Holding, LLC, Series A-1</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2,413,551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New MPE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200" w:type="dxa"/>
            <w:vAlign w:val="bottom"/>
            <w:tcBorders>
              <w:top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5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5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5,270,831</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2,413,551</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Investments - 918.1%</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535,103,060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529,550,143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 - 73.%</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BlackRock Federal FD Institutional 30</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34,254,985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34,254,985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US Bank Cash</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7,860,209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7,854,250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42,115,194</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42,109,235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 —991.1%</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2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577,218,254</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571,659,378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CFF"/>
              <w:bottom w:val="single" w:sz="8" w:color="CCECFF"/>
            </w:tcBorders>
            <w:gridSpan w:val="3"/>
            <w:vMerge w:val="restart"/>
          </w:tcPr>
          <w:p>
            <w:pPr>
              <w:spacing w:after="0"/>
              <w:rPr>
                <w:sz w:val="20"/>
                <w:szCs w:val="20"/>
                <w:color w:val="auto"/>
              </w:rPr>
            </w:pPr>
            <w:r>
              <w:rPr>
                <w:rFonts w:ascii="Arial" w:cs="Arial" w:eastAsia="Arial" w:hAnsi="Arial"/>
                <w:sz w:val="11"/>
                <w:szCs w:val="11"/>
                <w:b w:val="1"/>
                <w:bCs w:val="1"/>
                <w:color w:val="auto"/>
              </w:rPr>
              <w:t>Liabilities in Excess of Other Assets — (891.1)%</w:t>
            </w:r>
          </w:p>
        </w:tc>
        <w:tc>
          <w:tcPr>
            <w:tcW w:w="5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5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0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6"/>
              </w:rPr>
              <w:t>(513,982,214)</w:t>
            </w:r>
          </w:p>
        </w:tc>
        <w:tc>
          <w:tcPr>
            <w:tcW w:w="0" w:type="dxa"/>
            <w:vAlign w:val="bottom"/>
          </w:tcPr>
          <w:p>
            <w:pPr>
              <w:spacing w:after="0"/>
              <w:rPr>
                <w:sz w:val="1"/>
                <w:szCs w:val="1"/>
                <w:color w:val="auto"/>
              </w:rPr>
            </w:pPr>
          </w:p>
        </w:tc>
      </w:tr>
      <w:tr>
        <w:trPr>
          <w:trHeight w:val="129"/>
        </w:trPr>
        <w:tc>
          <w:tcPr>
            <w:tcW w:w="3200" w:type="dxa"/>
            <w:vAlign w:val="bottom"/>
            <w:tcBorders>
              <w:top w:val="single" w:sz="8" w:color="CCECFF"/>
              <w:bottom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Members' Equity—100.0%</w:t>
            </w:r>
          </w:p>
        </w:tc>
        <w:tc>
          <w:tcPr>
            <w:tcW w:w="54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256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700" w:type="dxa"/>
            <w:vAlign w:val="bottom"/>
            <w:tcBorders>
              <w:top w:val="single" w:sz="8" w:color="CCECFF"/>
              <w:bottom w:val="single" w:sz="8" w:color="CCECFF"/>
            </w:tcBorders>
            <w:shd w:val="clear" w:color="auto" w:fill="CCECFF"/>
          </w:tcPr>
          <w:p>
            <w:pPr>
              <w:spacing w:after="0"/>
              <w:rPr>
                <w:sz w:val="11"/>
                <w:szCs w:val="11"/>
                <w:color w:val="auto"/>
              </w:rPr>
            </w:pPr>
          </w:p>
        </w:tc>
        <w:tc>
          <w:tcPr>
            <w:tcW w:w="260" w:type="dxa"/>
            <w:vAlign w:val="bottom"/>
            <w:tcBorders>
              <w:top w:val="single" w:sz="8" w:color="CCECFF"/>
              <w:bottom w:val="single" w:sz="8" w:color="CCECFF"/>
            </w:tcBorders>
            <w:shd w:val="clear" w:color="auto" w:fill="CCECFF"/>
          </w:tcPr>
          <w:p>
            <w:pPr>
              <w:spacing w:after="0"/>
              <w:rPr>
                <w:sz w:val="11"/>
                <w:szCs w:val="11"/>
                <w:color w:val="auto"/>
              </w:rPr>
            </w:pPr>
          </w:p>
        </w:tc>
        <w:tc>
          <w:tcPr>
            <w:tcW w:w="70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68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60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57,677,164</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5"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Valued based on PSSL’s accounting policy.</w:t>
      </w:r>
    </w:p>
    <w:p>
      <w:pPr>
        <w:ind w:left="380" w:hanging="372"/>
        <w:spacing w:after="0" w:line="230"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Non-U.S. company or principal place of business outside the United States.</w:t>
      </w:r>
    </w:p>
    <w:p>
      <w:pPr>
        <w:ind w:left="380" w:hanging="372"/>
        <w:spacing w:after="0" w:line="230"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Par amount is denominated in Australian Dollars (A$) as denoted.</w:t>
      </w:r>
    </w:p>
    <w:p>
      <w:pPr>
        <w:ind w:left="380" w:hanging="372"/>
        <w:spacing w:after="0" w:line="230"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Non-income producing security.</w:t>
      </w:r>
    </w:p>
    <w:p>
      <w:pPr>
        <w:ind w:left="380" w:hanging="372"/>
        <w:spacing w:after="0"/>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ind w:left="440"/>
        <w:spacing w:after="0"/>
        <w:rPr>
          <w:sz w:val="20"/>
          <w:szCs w:val="20"/>
          <w:color w:val="auto"/>
        </w:rPr>
      </w:pPr>
      <w:r>
        <w:rPr>
          <w:rFonts w:ascii="Arial" w:cs="Arial" w:eastAsia="Arial" w:hAnsi="Arial"/>
          <w:sz w:val="14"/>
          <w:szCs w:val="14"/>
          <w:color w:val="auto"/>
        </w:rPr>
        <w:t>Below is a listing of PSSL’s individual investments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Basis Point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94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1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Debt—838.2%</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4,856,155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4,795,251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4,686,189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American Auto Auction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Transportation: Consumer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7,670,399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7,596,860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7,440,287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05/16/2022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10,901,843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10,774,172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10,792,825</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11/14/2023</w:t>
            </w:r>
          </w:p>
        </w:tc>
        <w:tc>
          <w:tcPr>
            <w:tcW w:w="2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2"/>
                <w:szCs w:val="12"/>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L+850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11,802,082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11,730,187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11,322,915</w:t>
            </w:r>
          </w:p>
        </w:tc>
        <w:tc>
          <w:tcPr>
            <w:tcW w:w="120" w:type="dxa"/>
            <w:vAlign w:val="bottom"/>
          </w:tcPr>
          <w:p>
            <w:pPr>
              <w:spacing w:after="0"/>
              <w:rPr>
                <w:sz w:val="12"/>
                <w:szCs w:val="12"/>
                <w:color w:val="auto"/>
              </w:rPr>
            </w:pPr>
          </w:p>
        </w:tc>
      </w:tr>
      <w:tr>
        <w:trPr>
          <w:trHeight w:val="131"/>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4,759,527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Centauri Group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02/12/2024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5,330,847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5,330,847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5,304,193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9,663,392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9,595,826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8,986,954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179,976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 (Revolver)</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8,836,683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8,756,358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8,704,133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7,403,183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7,370,405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7,292,135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11/03/2025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8,022,149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7,950,609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7,875,344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Banking, Finance, Insurance and Real Estate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5.46%</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L+525A</w:t>
            </w: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7,411,600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6,809,125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GCOM Software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16,646,228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16,562,972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16,646,228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11/18/2024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3"/>
              </w:rPr>
              <w:t>Beverages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9,499,183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9,429,133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9,427,938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GSM Holdings,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19,470,523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19,354,235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19,275,817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12,143,568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12,097,717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12,022,132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Impact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8.37%</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L+737</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9,290,185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9,216,206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9,336,636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8,458,792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L+700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19,650,000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19,436,214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19,217,700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9,975,861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9,902,990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9,188,766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LSF9 Atlantis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Retail</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6,843,750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6,872,048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6,631,320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12/08/2023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4,313,910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4,273,019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4,197,866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 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5,730,254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4,449,786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3,623,691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4,771,073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4,583,906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5,949,731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5,927,114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5,877,737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06/06/2024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14,662,500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14,568,019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13,379,531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7,803,419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7,825,029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7,101,111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5.19%</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9,792,594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9,717,936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9,156,076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1,594,030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1,579,915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1,570,120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05/8/2026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Leisure Products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5.72%</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3,990,707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4,860,858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4,836,350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11,904,617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11,904,617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11,041,532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4.93%</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11,175,938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11,090,654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10,840,659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4,493,542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6,214,305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6,149,172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6,145,948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12/11/2026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Construction and Building</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5.40%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7,762,222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7,692,023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7,684,600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8,309,797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8,272,104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8,060,503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4,783,595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4,764,375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09/16/2024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6M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8,602,807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8,584,634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8,602,807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8,924,066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8,837,614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8,656,344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9,747,335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9,747,335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9,674,230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6,910,465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6,797,117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21,930,702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21,762,065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20,614,860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11,463,443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11,311,325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11,119,540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09/26/2024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10,594,047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10,440,520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10,594,047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10/18/2022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254,095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250,910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251,557</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392,309,962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382,299,150</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Debt—19.5%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04/29/2024</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2"/>
                <w:szCs w:val="12"/>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L+850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964,045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889,813</w:t>
            </w:r>
          </w:p>
        </w:tc>
        <w:tc>
          <w:tcPr>
            <w:tcW w:w="120" w:type="dxa"/>
            <w:vAlign w:val="bottom"/>
          </w:tcPr>
          <w:p>
            <w:pPr>
              <w:spacing w:after="0"/>
              <w:rPr>
                <w:sz w:val="12"/>
                <w:szCs w:val="12"/>
                <w:color w:val="auto"/>
              </w:rPr>
            </w:pPr>
          </w:p>
        </w:tc>
      </w:tr>
      <w:tr>
        <w:trPr>
          <w:trHeight w:val="131"/>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shd w:val="clear" w:color="auto" w:fill="CCECFF"/>
          </w:tcPr>
          <w:p>
            <w:pPr>
              <w:spacing w:after="0"/>
              <w:rPr>
                <w:sz w:val="11"/>
                <w:szCs w:val="11"/>
                <w:color w:val="auto"/>
              </w:rPr>
            </w:pPr>
          </w:p>
        </w:tc>
      </w:tr>
      <w:tr>
        <w:trPr>
          <w:trHeight w:val="135"/>
        </w:trPr>
        <w:tc>
          <w:tcPr>
            <w:tcW w:w="29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DBI Holding, LLC, Term Loan 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02/02/2026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7,977,513</w:t>
            </w:r>
          </w:p>
        </w:tc>
        <w:tc>
          <w:tcPr>
            <w:tcW w:w="120" w:type="dxa"/>
            <w:vAlign w:val="bottom"/>
          </w:tcPr>
          <w:p>
            <w:pPr>
              <w:spacing w:after="0"/>
              <w:rPr>
                <w:sz w:val="12"/>
                <w:szCs w:val="12"/>
                <w:color w:val="auto"/>
              </w:rPr>
            </w:pPr>
          </w:p>
        </w:tc>
      </w:tr>
      <w:tr>
        <w:trPr>
          <w:trHeight w:val="131"/>
        </w:trPr>
        <w:tc>
          <w:tcPr>
            <w:tcW w:w="29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gridSpan w:val="2"/>
          </w:tcPr>
          <w:p>
            <w:pPr>
              <w:jc w:val="right"/>
              <w:ind w:right="20"/>
              <w:spacing w:after="0"/>
              <w:rPr>
                <w:sz w:val="20"/>
                <w:szCs w:val="20"/>
                <w:color w:val="auto"/>
              </w:rPr>
            </w:pPr>
            <w:r>
              <w:rPr>
                <w:rFonts w:ascii="Arial" w:cs="Arial" w:eastAsia="Arial" w:hAnsi="Arial"/>
                <w:sz w:val="11"/>
                <w:szCs w:val="11"/>
                <w:color w:val="auto"/>
              </w:rPr>
              <w:t>(PIK 9.00%)</w:t>
            </w: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8,957,504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8,883,272</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Equity Securities—4.0%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6,983,936</w:t>
            </w: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Investments—861.6%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408,251,402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392,986,090</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Equivalents—24.4%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5,109,410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5,115,516</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11,115,373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11,121,479</w:t>
            </w:r>
          </w:p>
        </w:tc>
        <w:tc>
          <w:tcPr>
            <w:tcW w:w="120" w:type="dxa"/>
            <w:vAlign w:val="bottom"/>
            <w:shd w:val="clear" w:color="auto" w:fill="CCECFF"/>
          </w:tcPr>
          <w:p>
            <w:pPr>
              <w:spacing w:after="0"/>
              <w:rPr>
                <w:sz w:val="11"/>
                <w:szCs w:val="11"/>
                <w:color w:val="auto"/>
              </w:rPr>
            </w:pPr>
          </w:p>
        </w:tc>
      </w:tr>
      <w:tr>
        <w:trPr>
          <w:trHeight w:val="168"/>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and Cash Equivalents—886.0%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5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419,366,775</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404,107,569</w:t>
            </w:r>
          </w:p>
        </w:tc>
        <w:tc>
          <w:tcPr>
            <w:tcW w:w="120" w:type="dxa"/>
            <w:vAlign w:val="bottom"/>
            <w:tcBorders>
              <w:bottom w:val="single" w:sz="8" w:color="CCECFF"/>
            </w:tcBorders>
          </w:tcPr>
          <w:p>
            <w:pPr>
              <w:spacing w:after="0"/>
              <w:rPr>
                <w:sz w:val="14"/>
                <w:szCs w:val="14"/>
                <w:color w:val="auto"/>
              </w:rPr>
            </w:pPr>
          </w:p>
        </w:tc>
      </w:tr>
      <w:tr>
        <w:trPr>
          <w:trHeight w:val="116"/>
        </w:trPr>
        <w:tc>
          <w:tcPr>
            <w:tcW w:w="3080" w:type="dxa"/>
            <w:vAlign w:val="bottom"/>
            <w:gridSpan w:val="2"/>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Assets—(786.0)%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(358,495,484)</w:t>
            </w:r>
          </w:p>
        </w:tc>
      </w:tr>
      <w:tr>
        <w:trPr>
          <w:trHeight w:val="128"/>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45,612,085</w:t>
            </w:r>
          </w:p>
        </w:tc>
        <w:tc>
          <w:tcPr>
            <w:tcW w:w="120" w:type="dxa"/>
            <w:vAlign w:val="bottom"/>
          </w:tcPr>
          <w:p>
            <w:pPr>
              <w:spacing w:after="0"/>
              <w:rPr>
                <w:sz w:val="11"/>
                <w:szCs w:val="1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31" w:lineRule="exact"/>
        <w:rPr>
          <w:sz w:val="20"/>
          <w:szCs w:val="20"/>
          <w:color w:val="auto"/>
        </w:rPr>
      </w:pPr>
    </w:p>
    <w:p>
      <w:pPr>
        <w:ind w:left="380" w:right="40" w:hanging="372"/>
        <w:spacing w:after="0" w:line="235"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Valued based on PSSL’s accounting policy.</w:t>
      </w:r>
    </w:p>
    <w:p>
      <w:pPr>
        <w:ind w:left="380" w:hanging="372"/>
        <w:spacing w:after="0" w:line="230"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Non-U.S. company or principal place of business outside the United States.</w:t>
      </w:r>
    </w:p>
    <w:p>
      <w:pPr>
        <w:ind w:left="380" w:hanging="372"/>
        <w:spacing w:after="0" w:line="230"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Par amount is denominated in Australian Dollars (A$) or in Canadian Dollars (C$) as denoted.</w:t>
      </w:r>
    </w:p>
    <w:p>
      <w:pPr>
        <w:ind w:left="380" w:hanging="372"/>
        <w:spacing w:after="0"/>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Non-income producing security.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2"/>
        </w:trPr>
        <w:tc>
          <w:tcPr>
            <w:tcW w:w="704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7040" w:type="dxa"/>
            <w:vAlign w:val="bottom"/>
          </w:tcPr>
          <w:p>
            <w:pPr>
              <w:ind w:left="448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71"/>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Investments at fair value (cost—$535,103,060 and $408,251,402, respectively)</w:t>
            </w:r>
          </w:p>
        </w:tc>
        <w:tc>
          <w:tcPr>
            <w:tcW w:w="6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529,550,143</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392,986,090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Cash and cash equivalents (cost—$42,115,194 and $11,115,373, respectively)</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42,109,235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11,121,479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1,647,150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2,235,595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7,323,360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1,622,665</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62,812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582,252,553</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406,405,976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Payable for investments purchased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25,367,746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89,000,000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Capital One, N.A. credit facility payable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216,969,469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2032 Asset-Backed Debt, net (par—$246,000,000)</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242,604,881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161,000,000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143,290,000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3,170,546</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490,858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Interest payable on notes to members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3,322,400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109,816</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524,575,389</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360,793,891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57,677,164</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45,612,085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582,252,553</w:t>
            </w:r>
          </w:p>
        </w:tc>
        <w:tc>
          <w:tcPr>
            <w:tcW w:w="3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406,405,976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9"/>
          <w:szCs w:val="9"/>
          <w:b w:val="1"/>
          <w:bCs w:val="1"/>
          <w:color w:val="auto"/>
        </w:rPr>
      </w:pPr>
      <w:r>
        <w:rPr>
          <w:rFonts w:ascii="Arial" w:cs="Arial" w:eastAsia="Arial" w:hAnsi="Arial"/>
          <w:sz w:val="11"/>
          <w:szCs w:val="11"/>
          <w:color w:val="auto"/>
        </w:rPr>
        <w:t>As of June 30, 2021 and September 30, 2020, PSSL had unfunded commitments to fund investments of $0.6 million and zero, respectively.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Statements of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474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8,687,589</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8,396,474</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23,740,662</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25,795,723</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506,030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57,814</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757,357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54,177</w:t>
            </w:r>
          </w:p>
        </w:tc>
        <w:tc>
          <w:tcPr>
            <w:tcW w:w="100" w:type="dxa"/>
            <w:vAlign w:val="bottom"/>
            <w:shd w:val="clear" w:color="auto" w:fill="CCECFF"/>
          </w:tcPr>
          <w:p>
            <w:pPr>
              <w:spacing w:after="0"/>
              <w:rPr>
                <w:sz w:val="14"/>
                <w:szCs w:val="14"/>
                <w:color w:val="auto"/>
              </w:rPr>
            </w:pPr>
          </w:p>
        </w:tc>
      </w:tr>
      <w:tr>
        <w:trPr>
          <w:trHeight w:val="156"/>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9,193,619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8,454,288</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24,498,019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25,849,900</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w w:val="94"/>
              </w:rPr>
              <w:t>Interest and expenses on PSSL Credit Facility and 2032 Asset-Backed Debt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2,622,979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3,025,882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6,588,949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9,772,633</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3,289,465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3,377,323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9,282,898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10,516,894</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226,534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144,650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617,168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372,010</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6,438,978</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6,847,855</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17,389,015</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21,561,537</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2,754,641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1,606,433</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7,109,004</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4,288,363</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2"/>
              </w:rPr>
              <w:t>Realized and unrealized gain (loss) on investments and credit facility foreign</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gain on 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(3,403,414)</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(1,673,907)</w:t>
            </w: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(4,678,967)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(1,255,546)</w:t>
            </w: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1,919,837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6,012,106</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9,584,078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(13,744,548)</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(3,566,638)</w:t>
            </w: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(489,034)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(878,744)</w:t>
            </w:r>
          </w:p>
        </w:tc>
      </w:tr>
      <w:tr>
        <w:trPr>
          <w:trHeight w:val="133"/>
        </w:trPr>
        <w:tc>
          <w:tcPr>
            <w:tcW w:w="4740" w:type="dxa"/>
            <w:vAlign w:val="bottom"/>
            <w:tcBorders>
              <w:top w:val="single" w:sz="8" w:color="CCECFF"/>
            </w:tcBorders>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appreciation (depreciation) on investments and</w:t>
            </w:r>
          </w:p>
        </w:tc>
        <w:tc>
          <w:tcPr>
            <w:tcW w:w="9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1,919,837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2,445,468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9,095,044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(14,623,292)</w:t>
            </w: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w:t>
            </w:r>
          </w:p>
        </w:tc>
        <w:tc>
          <w:tcPr>
            <w:tcW w:w="9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foreign currency translation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(1,483,577)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771,561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4,416,077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(15,878,838)</w:t>
            </w:r>
          </w:p>
        </w:tc>
      </w:tr>
      <w:tr>
        <w:trPr>
          <w:trHeight w:val="155"/>
        </w:trPr>
        <w:tc>
          <w:tcPr>
            <w:tcW w:w="47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9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1,271,064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2,377,994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11,525,081</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(11,590,475)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9"/>
          <w:szCs w:val="9"/>
          <w:b w:val="1"/>
          <w:bCs w:val="1"/>
          <w:color w:val="auto"/>
        </w:rPr>
      </w:pPr>
      <w:r>
        <w:rPr>
          <w:rFonts w:ascii="Arial" w:cs="Arial" w:eastAsia="Arial" w:hAnsi="Arial"/>
          <w:sz w:val="11"/>
          <w:szCs w:val="11"/>
          <w:color w:val="auto"/>
        </w:rPr>
        <w:t>Currently, no management or incentive fees are payable by PSSL. If any fees were to be charged, they would be separately disclosed in the Statements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June 30, 2021, including borrowings under our Credit Facility, 2023 Notes, 2026 Notes, 2031 Asset-Backed Debt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133.4</w:t>
            </w:r>
          </w:p>
        </w:tc>
        <w:tc>
          <w:tcPr>
            <w:tcW w:w="2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133.4</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117.8</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20.8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2026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2031 Asset-Backed Debt</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228.0</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579.2</w:t>
            </w:r>
          </w:p>
        </w:tc>
        <w:tc>
          <w:tcPr>
            <w:tcW w:w="2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20.8</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230.4</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228.0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99.5</w:t>
            </w:r>
          </w:p>
        </w:tc>
        <w:tc>
          <w:tcPr>
            <w:tcW w:w="240" w:type="dxa"/>
            <w:vAlign w:val="bottom"/>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5"/>
              </w:rPr>
              <w:t>21.1</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32.9</w:t>
            </w:r>
          </w:p>
        </w:tc>
        <w:tc>
          <w:tcPr>
            <w:tcW w:w="24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38.2</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678.7</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41.9</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263.3</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138.2</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6"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1"/>
          <w:szCs w:val="11"/>
          <w:color w:val="auto"/>
        </w:rPr>
        <w:t>The annualized weighted average cost of debt as of June 30, 2021 was 3.2% exclusive of the fee on the undrawn commitment on the Credit Facility.</w:t>
      </w:r>
    </w:p>
    <w:p>
      <w:pPr>
        <w:spacing w:after="0" w:line="6" w:lineRule="exact"/>
        <w:rPr>
          <w:rFonts w:ascii="Arial" w:cs="Arial" w:eastAsia="Arial" w:hAnsi="Arial"/>
          <w:sz w:val="12"/>
          <w:szCs w:val="12"/>
          <w:color w:val="auto"/>
        </w:rPr>
      </w:pPr>
    </w:p>
    <w:p>
      <w:pPr>
        <w:ind w:left="380" w:hanging="372"/>
        <w:spacing w:after="0" w:line="223"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1"/>
          <w:szCs w:val="11"/>
          <w:color w:val="auto"/>
        </w:rPr>
        <w:t>Unfunded debt and equity investments are disclosed in the Consolidated Schedule of Investments and Note 11 of our Consolidated Financial Statements.</w:t>
      </w:r>
    </w:p>
    <w:p>
      <w:pPr>
        <w:spacing w:after="0" w:line="138"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2021,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2021,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ind w:left="440"/>
        <w:spacing w:after="0"/>
        <w:rPr>
          <w:sz w:val="20"/>
          <w:szCs w:val="20"/>
          <w:color w:val="auto"/>
        </w:rPr>
      </w:pPr>
      <w:r>
        <w:rPr>
          <w:rFonts w:ascii="Arial" w:cs="Arial" w:eastAsia="Arial" w:hAnsi="Arial"/>
          <w:sz w:val="14"/>
          <w:szCs w:val="14"/>
          <w:color w:val="auto"/>
        </w:rPr>
        <w:t>Subsequent to quarter end, PFLT had new originations of $102.0 million, and PSSL had new originations of $29.0 million .</w:t>
      </w:r>
    </w:p>
    <w:p>
      <w:pPr>
        <w:spacing w:after="0" w:line="124" w:lineRule="exact"/>
        <w:rPr>
          <w:sz w:val="20"/>
          <w:szCs w:val="20"/>
          <w:color w:val="auto"/>
        </w:rPr>
      </w:pPr>
    </w:p>
    <w:p>
      <w:pPr>
        <w:jc w:val="both"/>
        <w:ind w:right="160" w:firstLine="438"/>
        <w:spacing w:after="0" w:line="253" w:lineRule="auto"/>
        <w:rPr>
          <w:sz w:val="20"/>
          <w:szCs w:val="20"/>
          <w:color w:val="auto"/>
        </w:rPr>
      </w:pPr>
      <w:r>
        <w:rPr>
          <w:rFonts w:ascii="Arial" w:cs="Arial" w:eastAsia="Arial" w:hAnsi="Arial"/>
          <w:sz w:val="14"/>
          <w:szCs w:val="14"/>
          <w:color w:val="auto"/>
        </w:rPr>
        <w:t>Subsequent to quarter end we and a subsidiary of Kemper Corporation (NYSE: KMPR), Trinity Universal Insurance Company, have agreed to increase our capital commitment to PSSL from $230 million to $275 million.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6"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During the three and nine months ended June 30, 2021 and 2020, we declared distributions of $0.285 and $0.855 per share, respectively, for total distributions of $11.1 and $33.2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jc w:val="both"/>
        <w:ind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2021, our debt portfolio consisted of 98% variable-rate investments. The variable-rate loans are usually based on a LIBOR rate (or an alternative risk-free floating interest rate index)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6" w:name="page47"/>
    <w:bookmarkEnd w:id="46"/>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Change in Interest Income,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82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89"/>
              </w:rPr>
              <w:t>Expense Per Share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shd w:val="clear" w:color="auto" w:fill="CCECFF"/>
          </w:tcPr>
          <w:p>
            <w:pPr>
              <w:spacing w:after="0"/>
              <w:rPr>
                <w:sz w:val="13"/>
                <w:szCs w:val="13"/>
                <w:color w:val="auto"/>
              </w:rPr>
            </w:pPr>
          </w:p>
        </w:tc>
        <w:tc>
          <w:tcPr>
            <w:tcW w:w="2820" w:type="dxa"/>
            <w:vAlign w:val="bottom"/>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(1,059)</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120" w:type="dxa"/>
            <w:vAlign w:val="bottom"/>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(950)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4,523</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9,996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15,468</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2021 that have materially affected, or are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1.Legal Proceedings</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1A.Risk Factors</w:t>
      </w:r>
    </w:p>
    <w:p>
      <w:pPr>
        <w:spacing w:after="0" w:line="140"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2020 filed on November 18, 2020,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jc w:val="both"/>
        <w:ind w:right="6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16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right="340" w:firstLine="438"/>
        <w:spacing w:after="0" w:line="238"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Item 4.Mine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414" w:right="1440" w:bottom="1440" w:gutter="0" w:footer="0" w:header="0"/>
        </w:sectPr>
      </w:pPr>
    </w:p>
    <w:bookmarkStart w:id="49" w:name="page50"/>
    <w:bookmarkEnd w:id="49"/>
    <w:p>
      <w:pPr>
        <w:spacing w:after="0"/>
        <w:tabs>
          <w:tab w:leader="none" w:pos="80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1">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1">
        <w:r>
          <w:rPr>
            <w:rFonts w:ascii="Arial" w:cs="Arial" w:eastAsia="Arial" w:hAnsi="Arial"/>
            <w:sz w:val="14"/>
            <w:szCs w:val="14"/>
            <w:u w:val="single" w:color="auto"/>
            <w:color w:val="0000EE"/>
          </w:rPr>
          <w:t>on Form N-2 (File No. 333-170243), filed on March 29, 2011).</w:t>
        </w:r>
      </w:hyperlink>
    </w:p>
    <w:p>
      <w:pPr>
        <w:spacing w:after="0" w:line="79" w:lineRule="exact"/>
        <w:rPr>
          <w:sz w:val="20"/>
          <w:szCs w:val="20"/>
          <w:color w:val="auto"/>
        </w:rPr>
      </w:pPr>
    </w:p>
    <w:p>
      <w:pPr>
        <w:ind w:left="580" w:right="22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72">
        <w:r>
          <w:rPr>
            <w:rFonts w:ascii="Arial" w:cs="Arial" w:eastAsia="Arial" w:hAnsi="Arial"/>
            <w:sz w:val="14"/>
            <w:szCs w:val="14"/>
            <w:u w:val="single" w:color="auto"/>
            <w:color w:val="0000EE"/>
          </w:rPr>
          <w:t>Second Amended and Restated Bylaws of the Registrant (Incorporated by reference to Exhibit 3.2 to the Registrant's Quarterly Report on Form 10-Q (File No. 814-00891), filed on</w:t>
        </w:r>
      </w:hyperlink>
      <w:r>
        <w:rPr>
          <w:rFonts w:ascii="Arial" w:cs="Arial" w:eastAsia="Arial" w:hAnsi="Arial"/>
          <w:sz w:val="14"/>
          <w:szCs w:val="14"/>
          <w:u w:val="single" w:color="auto"/>
          <w:color w:val="0000EE"/>
        </w:rPr>
        <w:t xml:space="preserve"> </w:t>
      </w:r>
      <w:hyperlink r:id="rId72">
        <w:r>
          <w:rPr>
            <w:rFonts w:ascii="Arial" w:cs="Arial" w:eastAsia="Arial" w:hAnsi="Arial"/>
            <w:sz w:val="14"/>
            <w:szCs w:val="14"/>
            <w:u w:val="single" w:color="auto"/>
            <w:color w:val="0000EE"/>
          </w:rPr>
          <w:t>May 11, 2020).</w:t>
        </w:r>
      </w:hyperlink>
    </w:p>
    <w:p>
      <w:pPr>
        <w:spacing w:after="0" w:line="79"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3">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73">
        <w:r>
          <w:rPr>
            <w:rFonts w:ascii="Arial" w:cs="Arial" w:eastAsia="Arial" w:hAnsi="Arial"/>
            <w:sz w:val="14"/>
            <w:szCs w:val="14"/>
            <w:u w:val="single" w:color="auto"/>
            <w:color w:val="0000EE"/>
          </w:rPr>
          <w:t>170243), filed on April 5, 2011).</w:t>
        </w:r>
      </w:hyperlink>
    </w:p>
    <w:p>
      <w:pPr>
        <w:spacing w:after="0" w:line="205"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52">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53">
        <w:r>
          <w:rPr>
            <w:rFonts w:ascii="Arial" w:cs="Arial" w:eastAsia="Arial" w:hAnsi="Arial"/>
            <w:sz w:val="13"/>
            <w:szCs w:val="13"/>
            <w:u w:val="single" w:color="auto"/>
            <w:color w:val="0000EE"/>
          </w:rPr>
          <w:t>Certification of Chief Financial Officer pursuant to Rule 13a-14 of the Securities Exchange Act of 1934, as amended</w:t>
        </w:r>
      </w:hyperlink>
      <w:r>
        <w:rPr>
          <w:rFonts w:ascii="Arial" w:cs="Arial" w:eastAsia="Arial" w:hAnsi="Arial"/>
          <w:sz w:val="13"/>
          <w:szCs w:val="13"/>
          <w:color w:val="000000"/>
        </w:rPr>
        <w:t>.</w:t>
      </w:r>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54">
        <w:r>
          <w:rPr>
            <w:rFonts w:ascii="Arial" w:cs="Arial" w:eastAsia="Arial" w:hAnsi="Arial"/>
            <w:sz w:val="13"/>
            <w:szCs w:val="13"/>
            <w:u w:val="single" w:color="auto"/>
            <w:color w:val="0000EE"/>
          </w:rPr>
          <w:t>Certification of Chief Executive Officer pursuant to section 906 of The Sarbanes-Oxley Act of 2002</w:t>
        </w:r>
      </w:hyperlink>
      <w:r>
        <w:rPr>
          <w:rFonts w:ascii="Arial" w:cs="Arial" w:eastAsia="Arial" w:hAnsi="Arial"/>
          <w:sz w:val="13"/>
          <w:szCs w:val="13"/>
          <w:color w:val="000000"/>
        </w:rPr>
        <w:t>.</w:t>
      </w:r>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55">
        <w:r>
          <w:rPr>
            <w:rFonts w:ascii="Arial" w:cs="Arial" w:eastAsia="Arial" w:hAnsi="Arial"/>
            <w:sz w:val="13"/>
            <w:szCs w:val="13"/>
            <w:u w:val="single" w:color="auto"/>
            <w:color w:val="0000EE"/>
          </w:rPr>
          <w:t>Certification of Chief Financial Officer pursuant to section 906 of The Sarbanes-Oxley Act of 2002</w:t>
        </w:r>
      </w:hyperlink>
      <w:r>
        <w:rPr>
          <w:rFonts w:ascii="Arial" w:cs="Arial" w:eastAsia="Arial" w:hAnsi="Arial"/>
          <w:sz w:val="13"/>
          <w:szCs w:val="13"/>
          <w:color w:val="000000"/>
        </w:rPr>
        <w:t>.</w:t>
      </w:r>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74">
        <w:r>
          <w:rPr>
            <w:rFonts w:ascii="Arial" w:cs="Arial" w:eastAsia="Arial" w:hAnsi="Arial"/>
            <w:sz w:val="13"/>
            <w:szCs w:val="13"/>
            <w:u w:val="single" w:color="auto"/>
            <w:color w:val="0000EE"/>
          </w:rPr>
          <w:t>Privacy Policy of the Registrant (Incorporated by reference to Exhibit 99.1 to the Registrant’s Annual Report on Form 10-K (File No. 814-00891), filed on November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599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95" w:right="39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140" w:type="dxa"/>
            <w:vAlign w:val="bottom"/>
          </w:tcPr>
          <w:p>
            <w:pPr>
              <w:ind w:left="840"/>
              <w:spacing w:after="0"/>
              <w:rPr>
                <w:sz w:val="20"/>
                <w:szCs w:val="20"/>
                <w:color w:val="auto"/>
              </w:rPr>
            </w:pPr>
            <w:r>
              <w:rPr>
                <w:rFonts w:ascii="Arial" w:cs="Arial" w:eastAsia="Arial" w:hAnsi="Arial"/>
                <w:sz w:val="14"/>
                <w:szCs w:val="14"/>
                <w:color w:val="auto"/>
              </w:rPr>
              <w:t>PENNANTPARK FLOATING RATE CAPITAL LTD.</w:t>
            </w:r>
          </w:p>
        </w:tc>
      </w:tr>
      <w:tr>
        <w:trPr>
          <w:trHeight w:val="377"/>
        </w:trPr>
        <w:tc>
          <w:tcPr>
            <w:tcW w:w="3400" w:type="dxa"/>
            <w:vAlign w:val="bottom"/>
          </w:tcPr>
          <w:p>
            <w:pPr>
              <w:spacing w:after="0"/>
              <w:rPr>
                <w:sz w:val="20"/>
                <w:szCs w:val="20"/>
                <w:color w:val="auto"/>
              </w:rPr>
            </w:pPr>
            <w:r>
              <w:rPr>
                <w:rFonts w:ascii="Arial" w:cs="Arial" w:eastAsia="Arial" w:hAnsi="Arial"/>
                <w:sz w:val="14"/>
                <w:szCs w:val="14"/>
                <w:color w:val="auto"/>
              </w:rPr>
              <w:t>Date: August 4, 2021</w:t>
            </w:r>
          </w:p>
        </w:tc>
        <w:tc>
          <w:tcPr>
            <w:tcW w:w="2700" w:type="dxa"/>
            <w:vAlign w:val="bottom"/>
          </w:tcPr>
          <w:p>
            <w:pPr>
              <w:ind w:left="23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Arthur H. Penn</w:t>
            </w:r>
          </w:p>
        </w:tc>
      </w:tr>
      <w:tr>
        <w:trPr>
          <w:trHeight w:val="160"/>
        </w:trPr>
        <w:tc>
          <w:tcPr>
            <w:tcW w:w="3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3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and Chairman of the Board of Directors</w:t>
            </w:r>
          </w:p>
        </w:tc>
      </w:tr>
      <w:tr>
        <w:trPr>
          <w:trHeight w:val="186"/>
        </w:trPr>
        <w:tc>
          <w:tcPr>
            <w:tcW w:w="34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90"/>
        </w:trPr>
        <w:tc>
          <w:tcPr>
            <w:tcW w:w="3400" w:type="dxa"/>
            <w:vAlign w:val="bottom"/>
          </w:tcPr>
          <w:p>
            <w:pPr>
              <w:spacing w:after="0"/>
              <w:rPr>
                <w:sz w:val="20"/>
                <w:szCs w:val="20"/>
                <w:color w:val="auto"/>
              </w:rPr>
            </w:pPr>
            <w:r>
              <w:rPr>
                <w:rFonts w:ascii="Arial" w:cs="Arial" w:eastAsia="Arial" w:hAnsi="Arial"/>
                <w:sz w:val="14"/>
                <w:szCs w:val="14"/>
                <w:color w:val="auto"/>
              </w:rPr>
              <w:t>Date: August 4, 2021</w:t>
            </w:r>
          </w:p>
        </w:tc>
        <w:tc>
          <w:tcPr>
            <w:tcW w:w="2700" w:type="dxa"/>
            <w:vAlign w:val="bottom"/>
          </w:tcPr>
          <w:p>
            <w:pPr>
              <w:ind w:left="23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Richard Cheung</w:t>
            </w:r>
          </w:p>
        </w:tc>
      </w:tr>
      <w:tr>
        <w:trPr>
          <w:trHeight w:val="160"/>
        </w:trPr>
        <w:tc>
          <w:tcPr>
            <w:tcW w:w="3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Richard Cheung</w:t>
            </w:r>
          </w:p>
        </w:tc>
      </w:tr>
      <w:tr>
        <w:trPr>
          <w:trHeight w:val="149"/>
        </w:trPr>
        <w:tc>
          <w:tcPr>
            <w:tcW w:w="3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Chief Financial Officer and Treasurer</w:t>
            </w:r>
          </w:p>
        </w:tc>
      </w:tr>
      <w:tr>
        <w:trPr>
          <w:trHeight w:val="186"/>
        </w:trPr>
        <w:tc>
          <w:tcPr>
            <w:tcW w:w="34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756"/>
        </w:trPr>
        <w:tc>
          <w:tcPr>
            <w:tcW w:w="3400" w:type="dxa"/>
            <w:vAlign w:val="bottom"/>
          </w:tcPr>
          <w:p>
            <w:pPr>
              <w:spacing w:after="0"/>
              <w:rPr>
                <w:sz w:val="24"/>
                <w:szCs w:val="24"/>
                <w:color w:val="auto"/>
              </w:rPr>
            </w:pPr>
          </w:p>
        </w:tc>
        <w:tc>
          <w:tcPr>
            <w:tcW w:w="2700" w:type="dxa"/>
            <w:vAlign w:val="bottom"/>
          </w:tcPr>
          <w:p>
            <w:pPr>
              <w:jc w:val="right"/>
              <w:ind w:right="328"/>
              <w:spacing w:after="0"/>
              <w:rPr>
                <w:sz w:val="20"/>
                <w:szCs w:val="20"/>
                <w:color w:val="auto"/>
              </w:rPr>
            </w:pPr>
            <w:r>
              <w:rPr>
                <w:rFonts w:ascii="Arial" w:cs="Arial" w:eastAsia="Arial" w:hAnsi="Arial"/>
                <w:sz w:val="14"/>
                <w:szCs w:val="14"/>
                <w:color w:val="auto"/>
              </w:rPr>
              <w:t>51</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49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36" w:lineRule="exact"/>
        <w:rPr>
          <w:sz w:val="20"/>
          <w:szCs w:val="20"/>
          <w:color w:val="auto"/>
        </w:rPr>
      </w:pPr>
    </w:p>
    <w:p>
      <w:pPr>
        <w:ind w:left="600" w:hanging="145"/>
        <w:spacing w:after="0"/>
        <w:tabs>
          <w:tab w:leader="none" w:pos="6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335" w:lineRule="auto"/>
        <w:tabs>
          <w:tab w:leader="none" w:pos="832" w:val="left"/>
        </w:tabs>
        <w:numPr>
          <w:ilvl w:val="2"/>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August 4,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Richard Cheung, Chief Financial Officer of PennantPark Floating Rate Capital, Ltd., certify that:</w:t>
      </w:r>
    </w:p>
    <w:p>
      <w:pPr>
        <w:spacing w:after="0" w:line="136" w:lineRule="exact"/>
        <w:rPr>
          <w:sz w:val="20"/>
          <w:szCs w:val="20"/>
          <w:color w:val="auto"/>
        </w:rPr>
      </w:pPr>
    </w:p>
    <w:p>
      <w:pPr>
        <w:ind w:left="600" w:hanging="145"/>
        <w:spacing w:after="0"/>
        <w:tabs>
          <w:tab w:leader="none" w:pos="6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580" w:hanging="139"/>
        <w:spacing w:after="0"/>
        <w:tabs>
          <w:tab w:leader="none" w:pos="5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440" w:firstLine="695"/>
        <w:spacing w:after="0" w:line="335" w:lineRule="auto"/>
        <w:tabs>
          <w:tab w:leader="none" w:pos="832" w:val="left"/>
        </w:tabs>
        <w:numPr>
          <w:ilvl w:val="2"/>
          <w:numId w:val="3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3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3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3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August 4,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Richard Cheung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Richard Cheung</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67"/>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2021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780" w:hanging="305"/>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Arthur H. Penn</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August 4, 2021</w:t>
      </w:r>
    </w:p>
    <w:p>
      <w:pPr>
        <w:sectPr>
          <w:pgSz w:w="11900" w:h="16838" w:orient="portrait"/>
          <w:cols w:equalWidth="0" w:num="2">
            <w:col w:w="320" w:space="260"/>
            <w:col w:w="10660"/>
          </w:cols>
          <w:pgMar w:left="320" w:top="118" w:right="3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firstLine="467"/>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2021 (the “Report”) of PennantPark Floating Rate Capital, Ltd. (the “Registrant”), as filed with the Securities and Exchange Commission on the date hereof, I, Richard Cheung, Chief Financial Officer of the Registrant, hereby certify, to the best of my knowledge, that:</w:t>
      </w:r>
    </w:p>
    <w:p>
      <w:pPr>
        <w:spacing w:after="0" w:line="84" w:lineRule="exact"/>
        <w:rPr>
          <w:sz w:val="20"/>
          <w:szCs w:val="20"/>
          <w:color w:val="auto"/>
        </w:rPr>
      </w:pPr>
    </w:p>
    <w:p>
      <w:pPr>
        <w:ind w:left="780" w:hanging="305"/>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Richard Cheung</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Financial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August 4, 2021</w:t>
      </w:r>
    </w:p>
    <w:sectPr>
      <w:pgSz w:w="11900" w:h="16838" w:orient="portrait"/>
      <w:cols w:equalWidth="0" w:num="2">
        <w:col w:w="320" w:space="260"/>
        <w:col w:w="1066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lvl w:ilvl="1">
      <w:lvlJc w:val="left"/>
      <w:lvlText w:val="(%2)"/>
      <w:numFmt w:val="decimal"/>
      <w:start w:val="1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lowerLetter"/>
      <w:start w:val="5"/>
    </w:lvl>
    <w:lvl w:ilvl="1">
      <w:lvlJc w:val="left"/>
      <w:lvlText w:val="%2."/>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9">
    <w:nsid w:val="4516DDE9"/>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0">
    <w:nsid w:val="3006C8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2">
    <w:nsid w:val="419AC241"/>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3">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1" Type="http://schemas.openxmlformats.org/officeDocument/2006/relationships/hyperlink" Target="http://www.sec.gov/Archives/edgar/data/1504619/000119312511080862/dex99a.htm" TargetMode="External"/><Relationship Id="rId72" Type="http://schemas.openxmlformats.org/officeDocument/2006/relationships/hyperlink" Target="http://www.sec.gov/Archives/edgar/data/1504619/000156459020024167/pflt-ex32_144.htm" TargetMode="External"/><Relationship Id="rId73" Type="http://schemas.openxmlformats.org/officeDocument/2006/relationships/hyperlink" Target="http://www.sec.gov/Archives/edgar/data/1504619/000119312511088977/dex99d.htm" TargetMode="External"/><Relationship Id="rId74"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2021-08-04T21:35:27Z</dcterms:created>
  <dcterms:modified xsi:type="dcterms:W3CDTF">2021-08-04T21:35:27Z</dcterms:modified>
</cp:coreProperties>
</file>