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04, 2011</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53"/>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rPr>
              <w:t>NY</w:t>
            </w:r>
          </w:p>
        </w:tc>
        <w:tc>
          <w:tcPr>
            <w:tcW w:w="278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(State or other jurisdiction</w:t>
            </w:r>
          </w:p>
        </w:tc>
        <w:tc>
          <w:tcPr>
            <w:tcW w:w="278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3880" w:type="dxa"/>
            <w:vAlign w:val="bottom"/>
          </w:tcPr>
          <w:p>
            <w:pPr>
              <w:jc w:val="center"/>
              <w:ind w:right="332"/>
              <w:spacing w:after="0"/>
              <w:rPr>
                <w:sz w:val="20"/>
                <w:szCs w:val="20"/>
                <w:color w:val="auto"/>
              </w:rPr>
            </w:pPr>
            <w:r>
              <w:rPr>
                <w:rFonts w:ascii="Arial" w:cs="Arial" w:eastAsia="Arial" w:hAnsi="Arial"/>
                <w:sz w:val="22"/>
                <w:szCs w:val="22"/>
                <w:color w:val="auto"/>
                <w:w w:val="93"/>
              </w:rPr>
              <w:t>of incorporation)</w:t>
            </w:r>
          </w:p>
        </w:tc>
        <w:tc>
          <w:tcPr>
            <w:tcW w:w="2780" w:type="dxa"/>
            <w:vAlign w:val="bottom"/>
          </w:tcPr>
          <w:p>
            <w:pPr>
              <w:jc w:val="center"/>
              <w:ind w:right="25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590 Madison Avenue, 15th Floor</w:t>
            </w:r>
          </w:p>
        </w:tc>
        <w:tc>
          <w:tcPr>
            <w:tcW w:w="278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3880" w:type="dxa"/>
            <w:vAlign w:val="bottom"/>
          </w:tcPr>
          <w:p>
            <w:pPr>
              <w:jc w:val="center"/>
              <w:ind w:right="352"/>
              <w:spacing w:after="0"/>
              <w:rPr>
                <w:sz w:val="20"/>
                <w:szCs w:val="20"/>
                <w:color w:val="auto"/>
              </w:rPr>
            </w:pPr>
            <w:r>
              <w:rPr>
                <w:rFonts w:ascii="Arial" w:cs="Arial" w:eastAsia="Arial" w:hAnsi="Arial"/>
                <w:sz w:val="22"/>
                <w:szCs w:val="22"/>
                <w:color w:val="auto"/>
                <w:w w:val="90"/>
              </w:rPr>
              <w:t>(Address of principal executive offices)</w:t>
            </w:r>
          </w:p>
        </w:tc>
        <w:tc>
          <w:tcPr>
            <w:tcW w:w="278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80"/>
        <w:spacing w:after="0"/>
        <w:rPr>
          <w:sz w:val="20"/>
          <w:szCs w:val="20"/>
          <w:color w:val="auto"/>
        </w:rPr>
      </w:pPr>
      <w:r>
        <w:rPr>
          <w:rFonts w:ascii="Arial" w:cs="Arial" w:eastAsia="Arial" w:hAnsi="Arial"/>
          <w:sz w:val="22"/>
          <w:szCs w:val="22"/>
          <w:color w:val="auto"/>
        </w:rPr>
        <w:t>On August 4, 2011, PennantPark Floating Rate Capital Ltd. issued a press release announcing its financial results for the quarter ended June 30, 2011. A copy of the press release is furnished as exhibit 99.1 to this report pursuant to Item 2.02 on Form 8-K and Regulation FD.</w:t>
      </w:r>
    </w:p>
    <w:p>
      <w:pPr>
        <w:spacing w:after="0" w:line="213" w:lineRule="exact"/>
        <w:rPr>
          <w:sz w:val="24"/>
          <w:szCs w:val="24"/>
          <w:color w:val="auto"/>
        </w:rPr>
      </w:pPr>
    </w:p>
    <w:p>
      <w:pPr>
        <w:ind w:left="40" w:right="120"/>
        <w:spacing w:after="0" w:line="236" w:lineRule="auto"/>
        <w:rPr>
          <w:sz w:val="20"/>
          <w:szCs w:val="20"/>
          <w:color w:val="auto"/>
        </w:rPr>
      </w:pPr>
      <w:r>
        <w:rPr>
          <w:rFonts w:ascii="Arial" w:cs="Arial" w:eastAsia="Arial" w:hAnsi="Arial"/>
          <w:sz w:val="22"/>
          <w:szCs w:val="22"/>
          <w:color w:val="auto"/>
        </w:rPr>
        <w:t>The information in this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report on Form 8-K shall not be deemed incorporated by reference in any filing under the Securities Exchange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August 04, 2011</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04, 2011</w:t>
            </w:r>
          </w:p>
        </w:tc>
        <w:tc>
          <w:tcPr>
            <w:tcW w:w="6780" w:type="dxa"/>
            <w:vAlign w:val="bottom"/>
            <w:gridSpan w:val="3"/>
          </w:tcPr>
          <w:p>
            <w:pPr>
              <w:ind w:left="178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40" w:type="dxa"/>
            <w:vAlign w:val="bottom"/>
          </w:tcPr>
          <w:p>
            <w:pPr>
              <w:spacing w:after="0"/>
              <w:rPr>
                <w:sz w:val="24"/>
                <w:szCs w:val="24"/>
                <w:color w:val="auto"/>
              </w:rPr>
            </w:pPr>
          </w:p>
        </w:tc>
        <w:tc>
          <w:tcPr>
            <w:tcW w:w="678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78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780" w:type="dxa"/>
            <w:vAlign w:val="bottom"/>
            <w:gridSpan w:val="3"/>
          </w:tcPr>
          <w:p>
            <w:pPr>
              <w:ind w:left="20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8"/>
              </w:rPr>
              <w:t>August 04, 2011</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June 30, 2011</w:t>
      </w:r>
    </w:p>
    <w:p>
      <w:pPr>
        <w:spacing w:after="0" w:line="21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NEW YORK, NY -- (Marketwire - August 04, 2011) - PennantPark Floating Rate Capital Ltd. (NASDAQ: PFLT) or "we," "our," "us" or "Company" today announces financial results for its third fiscal quarter ended June 30, 2011.</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For the Period from March 4, 2011 (Commencement of</w:t>
      </w:r>
    </w:p>
    <w:p>
      <w:pPr>
        <w:ind w:left="120"/>
        <w:spacing w:after="0" w:line="238" w:lineRule="auto"/>
        <w:rPr>
          <w:sz w:val="20"/>
          <w:szCs w:val="20"/>
          <w:color w:val="auto"/>
        </w:rPr>
      </w:pPr>
      <w:r>
        <w:rPr>
          <w:rFonts w:ascii="Courier New" w:cs="Courier New" w:eastAsia="Courier New" w:hAnsi="Courier New"/>
          <w:sz w:val="18"/>
          <w:szCs w:val="18"/>
          <w:color w:val="auto"/>
        </w:rPr>
        <w:t>Operations) to June 30, 2011</w:t>
      </w:r>
    </w:p>
    <w:tbl>
      <w:tblPr>
        <w:tblLayout w:type="fixed"/>
        <w:tblInd w:w="0" w:type="dxa"/>
        <w:tblCellMar>
          <w:top w:w="0" w:type="dxa"/>
          <w:left w:w="0" w:type="dxa"/>
          <w:bottom w:w="0" w:type="dxa"/>
          <w:right w:w="0" w:type="dxa"/>
        </w:tblCellMar>
      </w:tblPr>
      <w:tr>
        <w:trPr>
          <w:trHeight w:val="203"/>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 in millions,</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w w:val="96"/>
              </w:rPr>
              <w:t>except per share amounts)</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Assets and Liabilities: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2680" w:type="dxa"/>
            <w:vAlign w:val="bottom"/>
          </w:tcPr>
          <w:p>
            <w:pPr>
              <w:spacing w:after="0"/>
              <w:rPr>
                <w:sz w:val="17"/>
                <w:szCs w:val="17"/>
                <w:color w:val="auto"/>
              </w:rPr>
            </w:pPr>
          </w:p>
        </w:tc>
        <w:tc>
          <w:tcPr>
            <w:tcW w:w="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asset value</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 share</w:t>
            </w:r>
          </w:p>
        </w:tc>
        <w:tc>
          <w:tcPr>
            <w:tcW w:w="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14.06</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Credit facility</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availability</w:t>
            </w:r>
          </w:p>
        </w:tc>
        <w:tc>
          <w:tcPr>
            <w:tcW w:w="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2"/>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Yield on debt investments at period-end</w:t>
            </w:r>
          </w:p>
        </w:tc>
        <w:tc>
          <w:tcPr>
            <w:tcW w:w="1200" w:type="dxa"/>
            <w:vAlign w:val="bottom"/>
          </w:tcPr>
          <w:p>
            <w:pPr>
              <w:jc w:val="right"/>
              <w:ind w:right="692"/>
              <w:spacing w:after="0"/>
              <w:rPr>
                <w:sz w:val="20"/>
                <w:szCs w:val="20"/>
                <w:color w:val="auto"/>
              </w:rPr>
            </w:pPr>
            <w:r>
              <w:rPr>
                <w:rFonts w:ascii="Courier New" w:cs="Courier New" w:eastAsia="Courier New" w:hAnsi="Courier New"/>
                <w:sz w:val="18"/>
                <w:szCs w:val="18"/>
                <w:color w:val="auto"/>
                <w:w w:val="92"/>
              </w:rPr>
              <w:t>8.0%</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2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GAAP net investment</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loss per share</w:t>
            </w:r>
          </w:p>
        </w:tc>
        <w:tc>
          <w:tcPr>
            <w:tcW w:w="1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(0.13)</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Debt issuance costs</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 share</w:t>
            </w:r>
          </w:p>
        </w:tc>
        <w:tc>
          <w:tcPr>
            <w:tcW w:w="1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0.20</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Core net investment</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income per share</w:t>
            </w:r>
          </w:p>
        </w:tc>
        <w:tc>
          <w:tcPr>
            <w:tcW w:w="1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0.07(1)</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investment loss</w:t>
            </w:r>
          </w:p>
        </w:tc>
        <w:tc>
          <w:tcPr>
            <w:tcW w:w="2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(0.9)</w:t>
            </w:r>
          </w:p>
        </w:tc>
      </w:tr>
      <w:tr>
        <w:trPr>
          <w:trHeight w:val="203"/>
        </w:trPr>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 declared per share for June</w:t>
            </w:r>
          </w:p>
        </w:tc>
        <w:tc>
          <w:tcPr>
            <w:tcW w:w="1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 declared per share for July</w:t>
            </w:r>
          </w:p>
        </w:tc>
        <w:tc>
          <w:tcPr>
            <w:tcW w:w="1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0.06</w:t>
            </w:r>
          </w:p>
        </w:tc>
      </w:tr>
      <w:tr>
        <w:trPr>
          <w:trHeight w:val="203"/>
        </w:trPr>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 declared per share for August</w:t>
            </w:r>
          </w:p>
        </w:tc>
        <w:tc>
          <w:tcPr>
            <w:tcW w:w="1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0.07</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2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Purchases of long-term investments</w:t>
            </w:r>
          </w:p>
        </w:tc>
        <w:tc>
          <w:tcPr>
            <w:tcW w:w="1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114.8</w:t>
            </w:r>
          </w:p>
        </w:tc>
      </w:tr>
      <w:tr>
        <w:trPr>
          <w:trHeight w:val="203"/>
        </w:trPr>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Sales and repayments of long-term investments</w:t>
            </w:r>
          </w:p>
        </w:tc>
        <w:tc>
          <w:tcPr>
            <w:tcW w:w="1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27.8</w:t>
            </w:r>
          </w:p>
        </w:tc>
      </w:tr>
      <w:tr>
        <w:trPr>
          <w:trHeight w:val="405"/>
        </w:trPr>
        <w:tc>
          <w:tcPr>
            <w:tcW w:w="49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38</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Number of portfolio</w:t>
            </w:r>
          </w:p>
        </w:tc>
        <w:tc>
          <w:tcPr>
            <w:tcW w:w="3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companies at end of period</w:t>
            </w:r>
          </w:p>
        </w:tc>
        <w:tc>
          <w:tcPr>
            <w:tcW w:w="9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w:t>
            </w:r>
          </w:p>
        </w:tc>
      </w:tr>
    </w:tbl>
    <w:p>
      <w:pPr>
        <w:spacing w:after="0" w:line="399" w:lineRule="exact"/>
        <w:rPr>
          <w:sz w:val="20"/>
          <w:szCs w:val="20"/>
          <w:color w:val="auto"/>
        </w:rPr>
      </w:pPr>
    </w:p>
    <w:p>
      <w:pPr>
        <w:ind w:firstLine="8"/>
        <w:spacing w:after="0" w:line="249" w:lineRule="auto"/>
        <w:tabs>
          <w:tab w:leader="none" w:pos="306" w:val="left"/>
        </w:tabs>
        <w:numPr>
          <w:ilvl w:val="0"/>
          <w:numId w:val="2"/>
        </w:numPr>
        <w:rPr>
          <w:rFonts w:ascii="Arial" w:cs="Arial" w:eastAsia="Arial" w:hAnsi="Arial"/>
          <w:sz w:val="21"/>
          <w:szCs w:val="21"/>
          <w:color w:val="auto"/>
        </w:rPr>
      </w:pPr>
      <w:r>
        <w:rPr>
          <w:rFonts w:ascii="Arial" w:cs="Arial" w:eastAsia="Arial" w:hAnsi="Arial"/>
          <w:sz w:val="21"/>
          <w:szCs w:val="21"/>
          <w:color w:val="auto"/>
        </w:rPr>
        <w:t>Core net investment income is a non-GAAP financial measure which excludes one time charges primarily related to our credit facility which are amortized for tax purposes. The Company believes that core net investment income provides useful information to investors regarding financial performance because it is one method the Company uses to measure its taxable financial condition and results of operations. The presentation of this additional information is not meant to be considered in isolation or as a substitute for financial results prepared in accordance with GAAP.</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AUGUST 5, 2011</w:t>
      </w:r>
    </w:p>
    <w:p>
      <w:pPr>
        <w:spacing w:after="0" w:line="212"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The Company will host a conference call at 10:00 a.m. (Eastern Time) on Friday, August 5, 2011 to discuss the quarterly financial results. All interested parties are welcome to participate. You can access the conference call by dialing (800) 946-0708 approximately 5-10 minutes prior to the call. International callers should dial (719) 325-2138. All callers should reference PennantPark Floating Rate Capital Ltd. An archived replay of the call will be available through August 19, 2011 by calling (888) 203-1112. International callers please dial (719) 457-0820. For all phone replays, please reference conference ID #8948995.</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As of June 30, 2011, our portfolio totaled $87.3 million and consisted of $77.4 million of senior secured loans, $8.4 million of second lien secured debt and $1.5 million of subordinated debt investments.</w:t>
      </w:r>
    </w:p>
    <w:p>
      <w:pPr>
        <w:spacing w:after="0" w:line="175" w:lineRule="exact"/>
        <w:rPr>
          <w:sz w:val="20"/>
          <w:szCs w:val="20"/>
          <w:color w:val="auto"/>
        </w:rPr>
      </w:pPr>
    </w:p>
    <w:p>
      <w:pPr>
        <w:ind w:right="80"/>
        <w:spacing w:after="0"/>
        <w:rPr>
          <w:sz w:val="20"/>
          <w:szCs w:val="20"/>
          <w:color w:val="auto"/>
        </w:rPr>
      </w:pPr>
      <w:r>
        <w:rPr>
          <w:rFonts w:ascii="Arial" w:cs="Arial" w:eastAsia="Arial" w:hAnsi="Arial"/>
          <w:sz w:val="22"/>
          <w:szCs w:val="22"/>
          <w:color w:val="auto"/>
        </w:rPr>
        <w:t>As of June 30, 2011, our overall portfolio consisted of 28 companies with an average investment size of $3.1 million, a weighted average yield on debt investments of 8.0%, and was invested 89% in senior secured loans, 9% in second lien secured debt and 2% in subordinated debt investments.</w:t>
      </w:r>
    </w:p>
    <w:p>
      <w:pPr>
        <w:spacing w:after="0" w:line="186" w:lineRule="exact"/>
        <w:rPr>
          <w:sz w:val="20"/>
          <w:szCs w:val="20"/>
          <w:color w:val="auto"/>
        </w:rPr>
      </w:pPr>
    </w:p>
    <w:p>
      <w:pPr>
        <w:ind w:right="380"/>
        <w:spacing w:after="0" w:line="257" w:lineRule="auto"/>
        <w:rPr>
          <w:sz w:val="20"/>
          <w:szCs w:val="20"/>
          <w:color w:val="auto"/>
        </w:rPr>
      </w:pPr>
      <w:r>
        <w:rPr>
          <w:rFonts w:ascii="Arial" w:cs="Arial" w:eastAsia="Arial" w:hAnsi="Arial"/>
          <w:sz w:val="21"/>
          <w:szCs w:val="21"/>
          <w:color w:val="auto"/>
        </w:rPr>
        <w:t>For the period from March 4, 2011 (Commencement of Operations) to June 30, 2011, we invested $114.8 million in 38 new portfolio companies with a weighted average yield on debt investments of 7.5%. Sales and repayments of investments for the period March 4, 2011 (Commencement of Operations) to June 30, 2011 totaled $27.8 million.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Set forth below are the results of operations for the period March 4, 2011 (Commencement of Operations) to June 30, 2011.</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14"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Investment income for the period from March 4, 2011 (Commencement of Operations) to June 30, 2011 was $0.9 million, and was primarily attributable to senior secured loans.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14" w:lineRule="exact"/>
        <w:rPr>
          <w:sz w:val="20"/>
          <w:szCs w:val="20"/>
          <w:color w:val="auto"/>
        </w:rPr>
      </w:pPr>
    </w:p>
    <w:p>
      <w:pPr>
        <w:ind w:right="200"/>
        <w:spacing w:after="0" w:line="308" w:lineRule="auto"/>
        <w:rPr>
          <w:sz w:val="20"/>
          <w:szCs w:val="20"/>
          <w:color w:val="auto"/>
        </w:rPr>
      </w:pPr>
      <w:r>
        <w:rPr>
          <w:rFonts w:ascii="Arial" w:cs="Arial" w:eastAsia="Arial" w:hAnsi="Arial"/>
          <w:sz w:val="19"/>
          <w:szCs w:val="19"/>
          <w:color w:val="auto"/>
        </w:rPr>
        <w:t>Expenses for the period from March 4, 2011 (Commencement of Operations) to June 30, 2011, totaled $1.8 million. Base management fee for the same period totaled $0.1 million, accrued performance-based incentive fees totaled approximately $0.1</w:t>
      </w:r>
    </w:p>
    <w:p>
      <w:pPr>
        <w:sectPr>
          <w:pgSz w:w="11900" w:h="16838" w:orient="portrait"/>
          <w:cols w:equalWidth="0" w:num="1">
            <w:col w:w="11220"/>
          </w:cols>
          <w:pgMar w:left="320" w:top="111" w:right="359" w:bottom="0" w:gutter="0" w:footer="0" w:header="0"/>
        </w:sectPr>
      </w:pPr>
    </w:p>
    <w:bookmarkStart w:id="3" w:name="page4"/>
    <w:bookmarkEnd w:id="3"/>
    <w:p>
      <w:pPr>
        <w:spacing w:after="0" w:line="78"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million (none of which is currently payable), non-recurring costs associated with the origination of our credit facility totaled $1.3 million, and general and administrative expenses totaled $0.3 million.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Income/Loss</w:t>
      </w:r>
    </w:p>
    <w:p>
      <w:pPr>
        <w:spacing w:after="0" w:line="14"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GAAP net investment loss totaled $0.9 million, or $0.13 per share, for the period from March 4, 2011 (Commencement of Operations) to June 30, 2011. Core net investment income totaled $0.5 million, or $0.07 per share for the same period. Core net investment income is a non-GAAP financial measure which excludes one time charges primarily related to our credit facility which are amortized for tax purposes. The Company believes that core net investment income provides useful information to investors regarding financial performance because it is one method the Company uses to measure its taxable financial condition and results of operations. The presentation of this additional information is not meant to be considered in isolation or as a substitute for financial results prepared in accordance with GAAP.</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w:t>
      </w:r>
    </w:p>
    <w:p>
      <w:pPr>
        <w:spacing w:after="0" w:line="14"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Sales and repayments of investments for the period from March 4, 2011 (Commencement of Operations) to June 30, 2011 totaled $27.8 million and realized gains totaled $0.3 million.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Unrealized Depreciation on Investments</w:t>
      </w:r>
    </w:p>
    <w:p>
      <w:pPr>
        <w:spacing w:after="0" w:line="14" w:lineRule="exact"/>
        <w:rPr>
          <w:sz w:val="20"/>
          <w:szCs w:val="20"/>
          <w:color w:val="auto"/>
        </w:rPr>
      </w:pPr>
    </w:p>
    <w:p>
      <w:pPr>
        <w:ind w:right="600"/>
        <w:spacing w:after="0" w:line="236" w:lineRule="auto"/>
        <w:rPr>
          <w:sz w:val="20"/>
          <w:szCs w:val="20"/>
          <w:color w:val="auto"/>
        </w:rPr>
      </w:pPr>
      <w:r>
        <w:rPr>
          <w:rFonts w:ascii="Arial" w:cs="Arial" w:eastAsia="Arial" w:hAnsi="Arial"/>
          <w:sz w:val="22"/>
          <w:szCs w:val="22"/>
          <w:color w:val="auto"/>
        </w:rPr>
        <w:t>For the period from March 4, 2011 (Commencement of Operations) to June 30, 2011, our investments had a net unrealized depreciation of approximately $0.1 million.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Decrease in Net Assets Resulting from Operations</w:t>
      </w:r>
    </w:p>
    <w:p>
      <w:pPr>
        <w:spacing w:after="0" w:line="14"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Net decrease in net assets resulting from operations totaled $0.7 million, or $0.10 per share, for the period from March 4, 2011 (Commencement of Operations) to June 30, 2011.</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4" w:lineRule="exact"/>
        <w:rPr>
          <w:sz w:val="20"/>
          <w:szCs w:val="20"/>
          <w:color w:val="auto"/>
        </w:rPr>
      </w:pPr>
    </w:p>
    <w:p>
      <w:pPr>
        <w:ind w:right="120"/>
        <w:spacing w:after="0" w:line="280" w:lineRule="auto"/>
        <w:rPr>
          <w:sz w:val="20"/>
          <w:szCs w:val="20"/>
          <w:color w:val="auto"/>
        </w:rPr>
      </w:pPr>
      <w:r>
        <w:rPr>
          <w:rFonts w:ascii="Arial" w:cs="Arial" w:eastAsia="Arial" w:hAnsi="Arial"/>
          <w:sz w:val="19"/>
          <w:szCs w:val="19"/>
          <w:color w:val="auto"/>
        </w:rPr>
        <w:t>Our liquidity and capital resources are derived from proceeds of our initial public offering, our credit facility, and cash flows from operations, including investment sales and income earned. Our primary use of funds from operations included investments in portfolio companies and other operating expenses we incurred. We used, and expect to continue to use these capital resources and from public offerings of securities and our credit facility to finance our investment objective.</w:t>
      </w:r>
    </w:p>
    <w:p>
      <w:pPr>
        <w:spacing w:after="0" w:line="150"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On June 23, 2011, PennantPark Floating Rate Funding I, LLC, a wholly owned subsidiary of the Company, entered into a five-year $100.0 million senior secured revolving credit facility with SunTrust Robinson Humphrey, Inc., as administrative agent. The credit facility contains an accordion feature whereby it can be expanded to $600.0 million. During the credit facility's first three years, the revolving period, it bears interest at the LIBOR plus 225 basis points, and after the revolving period, the rate sets to LIBOR plus 425 basis points for the remaining two years.</w:t>
      </w:r>
    </w:p>
    <w:p>
      <w:pPr>
        <w:spacing w:after="0" w:line="178"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As of June 30, 2011, we had cash equivalents of approximately $10.5 million and $100.0 million of unused borrowing capacity under our Credit Facility.</w:t>
      </w:r>
    </w:p>
    <w:p>
      <w:pPr>
        <w:spacing w:after="0" w:line="175"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color w:val="auto"/>
        </w:rPr>
        <w:t>For the period March 4, 2011 (Commencement of Operations) to June 30, 2011, we generated operating cash flows primarily from interest earned on debt investments and dispositions of investments. Our primary use of funds from operations during the same period consisted of investments in portfolio companies, payments of fees, and other operating expenses we incurred. Our operating activities used cash of $86.9 million for the period March 4, 2011 (Commencement of Operations) to June 30, 2011, and our financing activities provided cash of $97.3 million for the same period, primarily from our common stock offering.</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For the period from March 4, 2011 (Commencement of Operations) to June 30, 2011, we declared distributions of $0.05 per share, for total distributions of $0.3 million. Distributions are paid from taxable earnings and may include a return of capital and/or capital gains. The specific tax characteristics of the distributions will be reported to stockholders on Form 1099-DIV after the end of the calendar year and in its periodic report filed with the SEC.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 July and August 2011, we declared a dividend of $0.06 and $0.07 per share,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4" w:lineRule="exact"/>
        <w:rPr>
          <w:sz w:val="20"/>
          <w:szCs w:val="20"/>
          <w:color w:val="auto"/>
        </w:rPr>
      </w:pPr>
    </w:p>
    <w:p>
      <w:pPr>
        <w:ind w:right="640"/>
        <w:spacing w:after="0" w:line="236" w:lineRule="auto"/>
        <w:rPr>
          <w:sz w:val="20"/>
          <w:szCs w:val="20"/>
          <w:color w:val="auto"/>
        </w:rPr>
      </w:pPr>
      <w:r>
        <w:rPr>
          <w:rFonts w:ascii="Arial" w:cs="Arial" w:eastAsia="Arial" w:hAnsi="Arial"/>
          <w:sz w:val="22"/>
          <w:szCs w:val="22"/>
          <w:color w:val="auto"/>
        </w:rPr>
        <w:t>The Company makes available on its website its report on Form 10-Q filed with the Securities Exchange Commission and stockholders may find the report on our website at www.pennantpark.com.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PENNANTPARK FLOATING RATE CAPITAL LTD. AND SUBSIDIARY</w:t>
      </w:r>
    </w:p>
    <w:p>
      <w:pPr>
        <w:ind w:left="1480"/>
        <w:spacing w:after="0" w:line="238" w:lineRule="auto"/>
        <w:rPr>
          <w:sz w:val="20"/>
          <w:szCs w:val="20"/>
          <w:color w:val="auto"/>
        </w:rPr>
      </w:pPr>
      <w:r>
        <w:rPr>
          <w:rFonts w:ascii="Courier New" w:cs="Courier New" w:eastAsia="Courier New" w:hAnsi="Courier New"/>
          <w:sz w:val="18"/>
          <w:szCs w:val="18"/>
          <w:color w:val="auto"/>
        </w:rPr>
        <w:t>CONSOLIDATED STATEMENT OF ASSETS AND LIABILITIES</w:t>
      </w:r>
    </w:p>
    <w:tbl>
      <w:tblPr>
        <w:tblLayout w:type="fixed"/>
        <w:tblInd w:w="0" w:type="dxa"/>
        <w:tblCellMar>
          <w:top w:w="0" w:type="dxa"/>
          <w:left w:w="0" w:type="dxa"/>
          <w:bottom w:w="0" w:type="dxa"/>
          <w:right w:w="0" w:type="dxa"/>
        </w:tblCellMar>
      </w:tblPr>
      <w:tr>
        <w:trPr>
          <w:trHeight w:val="203"/>
        </w:trPr>
        <w:tc>
          <w:tcPr>
            <w:tcW w:w="638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(Unaudited)</w:t>
            </w:r>
          </w:p>
        </w:tc>
        <w:tc>
          <w:tcPr>
            <w:tcW w:w="1520" w:type="dxa"/>
            <w:vAlign w:val="bottom"/>
          </w:tcPr>
          <w:p>
            <w:pPr>
              <w:spacing w:after="0"/>
              <w:rPr>
                <w:sz w:val="17"/>
                <w:szCs w:val="17"/>
                <w:color w:val="auto"/>
              </w:rPr>
            </w:pPr>
          </w:p>
        </w:tc>
      </w:tr>
      <w:tr>
        <w:trPr>
          <w:trHeight w:val="405"/>
        </w:trPr>
        <w:tc>
          <w:tcPr>
            <w:tcW w:w="63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June 30, 2011</w:t>
            </w:r>
          </w:p>
        </w:tc>
      </w:tr>
      <w:tr>
        <w:trPr>
          <w:trHeight w:val="203"/>
        </w:trPr>
        <w:tc>
          <w:tcPr>
            <w:tcW w:w="638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520" w:type="dxa"/>
            <w:vAlign w:val="bottom"/>
          </w:tcPr>
          <w:p>
            <w:pPr>
              <w:spacing w:after="0"/>
              <w:rPr>
                <w:sz w:val="17"/>
                <w:szCs w:val="17"/>
                <w:color w:val="auto"/>
              </w:rPr>
            </w:pP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520" w:type="dxa"/>
            <w:vAlign w:val="bottom"/>
          </w:tcPr>
          <w:p>
            <w:pPr>
              <w:spacing w:after="0"/>
              <w:rPr>
                <w:sz w:val="17"/>
                <w:szCs w:val="17"/>
                <w:color w:val="auto"/>
              </w:rPr>
            </w:pPr>
          </w:p>
        </w:tc>
      </w:tr>
      <w:tr>
        <w:trPr>
          <w:trHeight w:val="202"/>
        </w:trPr>
        <w:tc>
          <w:tcPr>
            <w:tcW w:w="6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Non-controlled, non-affiliated investments, at fair value</w:t>
            </w:r>
          </w:p>
        </w:tc>
        <w:tc>
          <w:tcPr>
            <w:tcW w:w="1520" w:type="dxa"/>
            <w:vAlign w:val="bottom"/>
          </w:tcPr>
          <w:p>
            <w:pPr>
              <w:spacing w:after="0"/>
              <w:rPr>
                <w:sz w:val="17"/>
                <w:szCs w:val="17"/>
                <w:color w:val="auto"/>
              </w:rPr>
            </w:pPr>
          </w:p>
        </w:tc>
      </w:tr>
      <w:tr>
        <w:trPr>
          <w:trHeight w:val="203"/>
        </w:trPr>
        <w:tc>
          <w:tcPr>
            <w:tcW w:w="6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 $87,345,961)</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87,273,617</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10,451,169</w:t>
            </w:r>
          </w:p>
        </w:tc>
      </w:tr>
      <w:tr>
        <w:trPr>
          <w:trHeight w:val="202"/>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646,069</w:t>
            </w:r>
          </w:p>
        </w:tc>
      </w:tr>
    </w:tbl>
    <w:p>
      <w:pPr>
        <w:sectPr>
          <w:pgSz w:w="11900" w:h="16916" w:orient="portrait"/>
          <w:cols w:equalWidth="0" w:num="1">
            <w:col w:w="11200"/>
          </w:cols>
          <w:pgMar w:left="320" w:top="118" w:right="37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spacing w:after="0"/>
              <w:rPr>
                <w:sz w:val="20"/>
                <w:szCs w:val="20"/>
                <w:color w:val="auto"/>
              </w:rPr>
            </w:pPr>
            <w:r>
              <w:rPr>
                <w:rFonts w:ascii="Courier New" w:cs="Courier New" w:eastAsia="Courier New" w:hAnsi="Courier New"/>
                <w:sz w:val="18"/>
                <w:szCs w:val="18"/>
                <w:color w:val="auto"/>
              </w:rPr>
              <w:t>Receivable for investments sold</w:t>
            </w:r>
          </w:p>
        </w:tc>
        <w:tc>
          <w:tcPr>
            <w:tcW w:w="480" w:type="dxa"/>
            <w:vAlign w:val="bottom"/>
          </w:tcPr>
          <w:p>
            <w:pPr>
              <w:spacing w:after="0"/>
              <w:rPr>
                <w:sz w:val="17"/>
                <w:szCs w:val="17"/>
                <w:color w:val="auto"/>
              </w:rPr>
            </w:pP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4,509,438</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4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226,703</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assets</w:t>
            </w:r>
          </w:p>
        </w:tc>
        <w:tc>
          <w:tcPr>
            <w:tcW w:w="4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103,106,996</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4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342,533</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4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5,773,125</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4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99,001</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4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43,865</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4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544,933</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4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6,803,457</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Common stock, 6,850,667 shares are issued and outstanding.</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 value is $0.001 per share and 100,000,000 shares are</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authorized.</w:t>
            </w:r>
          </w:p>
        </w:tc>
        <w:tc>
          <w:tcPr>
            <w:tcW w:w="4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6,851</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4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97,303,202</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Undistributed net investment loss</w:t>
            </w:r>
          </w:p>
        </w:tc>
        <w:tc>
          <w:tcPr>
            <w:tcW w:w="4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(1,225,839)</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gain on investments</w:t>
            </w:r>
          </w:p>
        </w:tc>
        <w:tc>
          <w:tcPr>
            <w:tcW w:w="4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291,669</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4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(72,344)</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net assets</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96,303,539</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$ 103,106,996</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14.06</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8020" w:type="dxa"/>
            <w:vAlign w:val="bottom"/>
            <w:gridSpan w:val="3"/>
          </w:tcPr>
          <w:p>
            <w:pPr>
              <w:jc w:val="right"/>
              <w:ind w:right="1072"/>
              <w:spacing w:after="0"/>
              <w:rPr>
                <w:sz w:val="20"/>
                <w:szCs w:val="20"/>
                <w:color w:val="auto"/>
              </w:rPr>
            </w:pPr>
            <w:r>
              <w:rPr>
                <w:rFonts w:ascii="Courier New" w:cs="Courier New" w:eastAsia="Courier New" w:hAnsi="Courier New"/>
                <w:sz w:val="18"/>
                <w:szCs w:val="18"/>
                <w:color w:val="auto"/>
              </w:rPr>
              <w:t>PENNANTPARK FLOATING RATE CAPITAL LTD. AND SUBSIDIARY</w:t>
            </w:r>
          </w:p>
        </w:tc>
      </w:tr>
      <w:tr>
        <w:trPr>
          <w:trHeight w:val="203"/>
        </w:trPr>
        <w:tc>
          <w:tcPr>
            <w:tcW w:w="622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CONSOLIDATED STATEMENT OF OPERATIONS</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22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(Unaudited)</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6220" w:type="dxa"/>
            <w:vAlign w:val="bottom"/>
          </w:tcPr>
          <w:p>
            <w:pPr>
              <w:spacing w:after="0"/>
              <w:rPr>
                <w:sz w:val="24"/>
                <w:szCs w:val="24"/>
                <w:color w:val="auto"/>
              </w:rPr>
            </w:pPr>
          </w:p>
        </w:tc>
        <w:tc>
          <w:tcPr>
            <w:tcW w:w="18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For the period</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from March 4,</w:t>
            </w:r>
          </w:p>
        </w:tc>
      </w:tr>
      <w:tr>
        <w:trPr>
          <w:trHeight w:val="203"/>
        </w:trPr>
        <w:tc>
          <w:tcPr>
            <w:tcW w:w="6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(Commencement</w:t>
            </w:r>
          </w:p>
        </w:tc>
      </w:tr>
      <w:tr>
        <w:trPr>
          <w:trHeight w:val="203"/>
        </w:trPr>
        <w:tc>
          <w:tcPr>
            <w:tcW w:w="6220" w:type="dxa"/>
            <w:vAlign w:val="bottom"/>
          </w:tcPr>
          <w:p>
            <w:pPr>
              <w:spacing w:after="0"/>
              <w:rPr>
                <w:sz w:val="17"/>
                <w:szCs w:val="17"/>
                <w:color w:val="auto"/>
              </w:rPr>
            </w:pPr>
          </w:p>
        </w:tc>
        <w:tc>
          <w:tcPr>
            <w:tcW w:w="1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 Operations)</w:t>
            </w:r>
          </w:p>
        </w:tc>
      </w:tr>
      <w:tr>
        <w:trPr>
          <w:trHeight w:val="203"/>
        </w:trPr>
        <w:tc>
          <w:tcPr>
            <w:tcW w:w="6220" w:type="dxa"/>
            <w:vAlign w:val="bottom"/>
          </w:tcPr>
          <w:p>
            <w:pPr>
              <w:spacing w:after="0"/>
              <w:rPr>
                <w:sz w:val="17"/>
                <w:szCs w:val="17"/>
                <w:color w:val="auto"/>
              </w:rPr>
            </w:pPr>
          </w:p>
        </w:tc>
        <w:tc>
          <w:tcPr>
            <w:tcW w:w="1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to June 30,</w:t>
            </w:r>
          </w:p>
        </w:tc>
      </w:tr>
      <w:tr>
        <w:trPr>
          <w:trHeight w:val="203"/>
        </w:trPr>
        <w:tc>
          <w:tcPr>
            <w:tcW w:w="6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2011</w:t>
            </w:r>
          </w:p>
        </w:tc>
      </w:tr>
      <w:tr>
        <w:trPr>
          <w:trHeight w:val="608"/>
        </w:trPr>
        <w:tc>
          <w:tcPr>
            <w:tcW w:w="6220" w:type="dxa"/>
            <w:vAlign w:val="bottom"/>
          </w:tcPr>
          <w:p>
            <w:pPr>
              <w:spacing w:after="0"/>
              <w:rPr>
                <w:sz w:val="20"/>
                <w:szCs w:val="20"/>
                <w:color w:val="auto"/>
              </w:rPr>
            </w:pPr>
            <w:r>
              <w:rPr>
                <w:rFonts w:ascii="Courier New" w:cs="Courier New" w:eastAsia="Courier New" w:hAnsi="Courier New"/>
                <w:sz w:val="18"/>
                <w:szCs w:val="18"/>
                <w:color w:val="auto"/>
              </w:rPr>
              <w:t>Investment income:</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2"/>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non-affiliated investments:</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898,719</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99,001</w:t>
            </w:r>
          </w:p>
        </w:tc>
      </w:tr>
      <w:tr>
        <w:trPr>
          <w:trHeight w:val="203"/>
        </w:trPr>
        <w:tc>
          <w:tcPr>
            <w:tcW w:w="6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43,865</w:t>
            </w:r>
          </w:p>
        </w:tc>
      </w:tr>
      <w:tr>
        <w:trPr>
          <w:trHeight w:val="203"/>
        </w:trPr>
        <w:tc>
          <w:tcPr>
            <w:tcW w:w="6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84,749</w:t>
            </w:r>
          </w:p>
        </w:tc>
      </w:tr>
      <w:tr>
        <w:trPr>
          <w:trHeight w:val="203"/>
        </w:trPr>
        <w:tc>
          <w:tcPr>
            <w:tcW w:w="6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218,675</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expenses before debt issuance costs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446,290</w:t>
            </w:r>
          </w:p>
        </w:tc>
      </w:tr>
      <w:tr>
        <w:trPr>
          <w:trHeight w:val="203"/>
        </w:trPr>
        <w:tc>
          <w:tcPr>
            <w:tcW w:w="6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Debt issuance costs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1,335,735</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expenses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1,782,025</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 loss</w:t>
            </w:r>
          </w:p>
        </w:tc>
        <w:tc>
          <w:tcPr>
            <w:tcW w:w="4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(883,306)</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Realized and unrealized gain (loss) on investments:</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on non-controlled, non-affiliated</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291,669</w:t>
            </w:r>
          </w:p>
        </w:tc>
      </w:tr>
      <w:tr>
        <w:trPr>
          <w:trHeight w:val="202"/>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48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(72,344)</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gain from investments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219,325</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Net decrease in net assets resulting from operations</w:t>
            </w: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(663,981)</w:t>
            </w:r>
          </w:p>
        </w:tc>
      </w:tr>
      <w:tr>
        <w:trPr>
          <w:trHeight w:val="203"/>
        </w:trPr>
        <w:tc>
          <w:tcPr>
            <w:tcW w:w="6220" w:type="dxa"/>
            <w:vAlign w:val="bottom"/>
          </w:tcPr>
          <w:p>
            <w:pPr>
              <w:spacing w:after="0"/>
              <w:rPr>
                <w:sz w:val="17"/>
                <w:szCs w:val="17"/>
                <w:color w:val="auto"/>
              </w:rPr>
            </w:pP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Net decrease in net assets resulting from operations per</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2"/>
        </w:trPr>
        <w:tc>
          <w:tcPr>
            <w:tcW w:w="6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(0.10)</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loss per common share</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(0.13)</w:t>
            </w:r>
          </w:p>
        </w:tc>
      </w:tr>
    </w:tbl>
    <w:p>
      <w:pPr>
        <w:spacing w:after="0" w:line="191" w:lineRule="exact"/>
        <w:rPr>
          <w:sz w:val="20"/>
          <w:szCs w:val="20"/>
          <w:color w:val="auto"/>
        </w:rPr>
      </w:pPr>
    </w:p>
    <w:p>
      <w:pPr>
        <w:sectPr>
          <w:pgSz w:w="11900" w:h="16838" w:orient="portrait"/>
          <w:cols w:equalWidth="0" w:num="1">
            <w:col w:w="10139"/>
          </w:cols>
          <w:pgMar w:left="320" w:top="136" w:right="1440" w:bottom="0" w:gutter="0" w:footer="0" w:header="0"/>
        </w:sectPr>
      </w:pPr>
    </w:p>
    <w:p>
      <w:pPr>
        <w:spacing w:after="0"/>
        <w:rPr>
          <w:sz w:val="20"/>
          <w:szCs w:val="20"/>
          <w:color w:val="auto"/>
        </w:rPr>
      </w:pPr>
      <w:r>
        <w:rPr>
          <w:rFonts w:ascii="Arial" w:cs="Arial" w:eastAsia="Arial" w:hAnsi="Arial"/>
          <w:sz w:val="21"/>
          <w:szCs w:val="21"/>
          <w:b w:val="1"/>
          <w:bCs w:val="1"/>
          <w:color w:val="auto"/>
        </w:rPr>
        <w:t>ABOUT PENNANTPARK FLOATING RATE CAPITAL LTD.</w:t>
      </w:r>
    </w:p>
    <w:p>
      <w:pPr>
        <w:sectPr>
          <w:pgSz w:w="11900" w:h="16838" w:orient="portrait"/>
          <w:cols w:equalWidth="0" w:num="1">
            <w:col w:w="10139"/>
          </w:cols>
          <w:pgMar w:left="320" w:top="136" w:right="1440" w:bottom="0" w:gutter="0" w:footer="0" w:header="0"/>
          <w:type w:val="continuous"/>
        </w:sectPr>
      </w:pPr>
    </w:p>
    <w:bookmarkStart w:id="5" w:name="page6"/>
    <w:bookmarkEnd w:id="5"/>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4"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2020-05-05T12:04:13Z</dcterms:created>
  <dcterms:modified xsi:type="dcterms:W3CDTF">2020-05-05T12:04:13Z</dcterms:modified>
</cp:coreProperties>
</file>