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6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3400" w:type="dxa"/>
            <w:vAlign w:val="bottom"/>
            <w:gridSpan w:val="2"/>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5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27-3794690</w:t>
            </w:r>
          </w:p>
        </w:tc>
        <w:tc>
          <w:tcPr>
            <w:tcW w:w="240" w:type="dxa"/>
            <w:vAlign w:val="bottom"/>
          </w:tcPr>
          <w:p>
            <w:pPr>
              <w:spacing w:after="0"/>
              <w:rPr>
                <w:sz w:val="18"/>
                <w:szCs w:val="18"/>
                <w:color w:val="auto"/>
              </w:rPr>
            </w:pPr>
          </w:p>
        </w:tc>
      </w:tr>
      <w:tr>
        <w:trPr>
          <w:trHeight w:val="190"/>
        </w:trPr>
        <w:tc>
          <w:tcPr>
            <w:tcW w:w="4060" w:type="dxa"/>
            <w:vAlign w:val="bottom"/>
            <w:gridSpan w:val="3"/>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3820" w:type="dxa"/>
            <w:vAlign w:val="bottom"/>
            <w:gridSpan w:val="3"/>
          </w:tcPr>
          <w:p>
            <w:pPr>
              <w:jc w:val="center"/>
              <w:ind w:left="153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4060" w:type="dxa"/>
            <w:vAlign w:val="bottom"/>
            <w:gridSpan w:val="3"/>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7"/>
        </w:trPr>
        <w:tc>
          <w:tcPr>
            <w:tcW w:w="4060" w:type="dxa"/>
            <w:vAlign w:val="bottom"/>
            <w:gridSpan w:val="3"/>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5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33139</w:t>
            </w:r>
          </w:p>
        </w:tc>
        <w:tc>
          <w:tcPr>
            <w:tcW w:w="240" w:type="dxa"/>
            <w:vAlign w:val="bottom"/>
          </w:tcPr>
          <w:p>
            <w:pPr>
              <w:spacing w:after="0"/>
              <w:rPr>
                <w:sz w:val="19"/>
                <w:szCs w:val="19"/>
                <w:color w:val="auto"/>
              </w:rPr>
            </w:pPr>
          </w:p>
        </w:tc>
      </w:tr>
      <w:tr>
        <w:trPr>
          <w:trHeight w:val="190"/>
        </w:trPr>
        <w:tc>
          <w:tcPr>
            <w:tcW w:w="4060" w:type="dxa"/>
            <w:vAlign w:val="bottom"/>
            <w:gridSpan w:val="3"/>
          </w:tcPr>
          <w:p>
            <w:pPr>
              <w:jc w:val="center"/>
              <w:ind w:right="155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60" w:type="dxa"/>
            <w:vAlign w:val="bottom"/>
          </w:tcPr>
          <w:p>
            <w:pPr>
              <w:spacing w:after="0"/>
              <w:rPr>
                <w:sz w:val="16"/>
                <w:szCs w:val="16"/>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660" w:type="dxa"/>
            <w:vAlign w:val="bottom"/>
          </w:tcPr>
          <w:p>
            <w:pPr>
              <w:spacing w:after="0"/>
              <w:rPr>
                <w:sz w:val="24"/>
                <w:szCs w:val="24"/>
                <w:color w:val="auto"/>
              </w:rPr>
            </w:pPr>
          </w:p>
        </w:tc>
        <w:tc>
          <w:tcPr>
            <w:tcW w:w="722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660" w:type="dxa"/>
            <w:vAlign w:val="bottom"/>
          </w:tcPr>
          <w:p>
            <w:pPr>
              <w:spacing w:after="0"/>
              <w:rPr>
                <w:sz w:val="24"/>
                <w:szCs w:val="24"/>
                <w:color w:val="auto"/>
              </w:rPr>
            </w:pPr>
          </w:p>
        </w:tc>
        <w:tc>
          <w:tcPr>
            <w:tcW w:w="3400" w:type="dxa"/>
            <w:vAlign w:val="bottom"/>
            <w:gridSpan w:val="2"/>
          </w:tcPr>
          <w:p>
            <w:pPr>
              <w:jc w:val="center"/>
              <w:ind w:right="21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3"/>
          </w:tcPr>
          <w:p>
            <w:pPr>
              <w:jc w:val="center"/>
              <w:ind w:left="153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6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240" w:type="dxa"/>
            <w:vAlign w:val="bottom"/>
          </w:tcPr>
          <w:p>
            <w:pPr>
              <w:spacing w:after="0"/>
              <w:rPr>
                <w:sz w:val="15"/>
                <w:szCs w:val="15"/>
                <w:color w:val="auto"/>
              </w:rPr>
            </w:pPr>
          </w:p>
        </w:tc>
      </w:tr>
      <w:tr>
        <w:trPr>
          <w:trHeight w:val="232"/>
        </w:trPr>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7.375% Notes due</w:t>
            </w:r>
          </w:p>
        </w:tc>
        <w:tc>
          <w:tcPr>
            <w:tcW w:w="228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w w:val="88"/>
              </w:rPr>
              <w:t>2031</w:t>
            </w:r>
          </w:p>
        </w:tc>
        <w:tc>
          <w:tcPr>
            <w:tcW w:w="3820" w:type="dxa"/>
            <w:vAlign w:val="bottom"/>
            <w:gridSpan w:val="3"/>
          </w:tcPr>
          <w:p>
            <w:pPr>
              <w:jc w:val="center"/>
              <w:ind w:left="1537"/>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333-279726</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ind w:left="2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securities to be registered hereby are 7.375%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of PennantPark Floating Rate Capital Ltd., a Maryland corporation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The 2031 Notes are expected to be listed on the New York Stock Exchange and to trade thereon within 30 days of the original issue date under the trading symbol “PFLA”.</w:t>
      </w:r>
    </w:p>
    <w:p>
      <w:pPr>
        <w:spacing w:after="0" w:line="176"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A description of the 2031 Notes is set forth under the headings “Description of the Notes,” “The Offering,” and “Certain U.S. Federal Income Tax Considerations” in the Registrant’s prospectus supplement dated May 27, 2026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accompanying base prospectus dated July 17, 2024 (together with the Prospectus Supplement,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included in the Registrant’s registration statement on Form N-2 (File No. 333-279726) (as amended from time to time,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filed with the Securities and Exchange Commission (the</w:t>
      </w:r>
    </w:p>
    <w:p>
      <w:pPr>
        <w:spacing w:after="0" w:line="3" w:lineRule="exact"/>
        <w:rPr>
          <w:sz w:val="20"/>
          <w:szCs w:val="20"/>
          <w:color w:val="auto"/>
        </w:rPr>
      </w:pPr>
    </w:p>
    <w:p>
      <w:pPr>
        <w:jc w:val="both"/>
        <w:ind w:left="4" w:right="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descriptions of the 2031 Notes contained in the Prospectus and in any form of prospectus or prospectus supplement to the Registration Statement that includes such descriptions and that are subsequently filed with the Commission under the Securities Act, are hereby incorporated by reference herein.</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Pursuant to the Instructions as to exhibits for registration statements on Form 8-A, the documents listed below are filed as exhibits to this Registration Statement: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2"/>
                <w:szCs w:val="22"/>
                <w:color w:val="auto"/>
              </w:rPr>
            </w:pPr>
          </w:p>
        </w:tc>
        <w:tc>
          <w:tcPr>
            <w:tcW w:w="9900" w:type="dxa"/>
            <w:vAlign w:val="bottom"/>
            <w:tcBorders>
              <w:top w:val="single" w:sz="8" w:color="auto"/>
            </w:tcBorders>
            <w:gridSpan w:val="8"/>
          </w:tcPr>
          <w:p>
            <w:pPr>
              <w:ind w:left="20"/>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Articles of Amendment and Restatement of the Registrant *</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4"/>
                <w:szCs w:val="24"/>
                <w:color w:val="auto"/>
              </w:rPr>
            </w:pPr>
          </w:p>
        </w:tc>
        <w:tc>
          <w:tcPr>
            <w:tcW w:w="9900" w:type="dxa"/>
            <w:vAlign w:val="bottom"/>
            <w:gridSpan w:val="8"/>
          </w:tcPr>
          <w:p>
            <w:pPr>
              <w:ind w:left="20"/>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Articles of Amendment to Articles of Amendment and Restatement of the Registrant**</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3"/>
          </w:tcPr>
          <w:p>
            <w:pPr>
              <w:ind w:left="20"/>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Second Amended and Restated Bylaws of the Registrant***</w:t>
              </w:r>
            </w:hyperlink>
          </w:p>
        </w:tc>
        <w:tc>
          <w:tcPr>
            <w:tcW w:w="1940" w:type="dxa"/>
            <w:vAlign w:val="bottom"/>
            <w:tcBorders>
              <w:top w:val="single" w:sz="8" w:color="0000EE"/>
            </w:tcBorders>
            <w:gridSpan w:val="2"/>
          </w:tcPr>
          <w:p>
            <w:pPr>
              <w:spacing w:after="0"/>
              <w:rPr>
                <w:sz w:val="24"/>
                <w:szCs w:val="24"/>
                <w:color w:val="auto"/>
              </w:rPr>
            </w:pPr>
          </w:p>
        </w:tc>
        <w:tc>
          <w:tcPr>
            <w:tcW w:w="3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2220" w:type="dxa"/>
            <w:vAlign w:val="bottom"/>
            <w:tcBorders>
              <w:bottom w:val="single" w:sz="8" w:color="0000EE"/>
            </w:tcBorders>
          </w:tcPr>
          <w:p>
            <w:pPr>
              <w:ind w:left="20"/>
              <w:spacing w:after="0"/>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Form of Share Certificate****</w:t>
              </w:r>
            </w:hyperlink>
          </w:p>
        </w:tc>
        <w:tc>
          <w:tcPr>
            <w:tcW w:w="7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4"/>
                <w:szCs w:val="24"/>
                <w:color w:val="auto"/>
              </w:rPr>
            </w:pPr>
          </w:p>
        </w:tc>
        <w:tc>
          <w:tcPr>
            <w:tcW w:w="8800" w:type="dxa"/>
            <w:vAlign w:val="bottom"/>
            <w:tcBorders>
              <w:bottom w:val="single" w:sz="8" w:color="0000EE"/>
            </w:tcBorders>
            <w:gridSpan w:val="6"/>
          </w:tcPr>
          <w:p>
            <w:pPr>
              <w:ind w:left="20"/>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Indenture, dated as of March 23, 2021, by and between the Registrant and Equiniti Trust Company, LLC, as trustee.*****</w:t>
              </w:r>
            </w:hyperlink>
          </w:p>
        </w:tc>
        <w:tc>
          <w:tcPr>
            <w:tcW w:w="1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220" w:type="dxa"/>
            <w:vAlign w:val="bottom"/>
            <w:tcBorders>
              <w:bottom w:val="single" w:sz="8" w:color="0000EE"/>
            </w:tcBorders>
            <w:gridSpan w:val="7"/>
          </w:tcPr>
          <w:p>
            <w:pPr>
              <w:ind w:left="20"/>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Third Supplemental Indenture, dated June 1, 2026, between the Registrant and Equiniti Trust Company, LLC, as trustee.******</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spacing w:after="0"/>
              <w:rPr>
                <w:sz w:val="24"/>
                <w:szCs w:val="24"/>
                <w:color w:val="auto"/>
              </w:rPr>
            </w:pPr>
          </w:p>
        </w:tc>
        <w:tc>
          <w:tcPr>
            <w:tcW w:w="4760" w:type="dxa"/>
            <w:vAlign w:val="bottom"/>
            <w:tcBorders>
              <w:bottom w:val="single" w:sz="8" w:color="0000EE"/>
            </w:tcBorders>
            <w:gridSpan w:val="4"/>
          </w:tcPr>
          <w:p>
            <w:pPr>
              <w:ind w:left="20"/>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7.375% Notes due 2031 (included as part of Exhibit 4.3).</w:t>
              </w:r>
            </w:hyperlink>
          </w:p>
        </w:tc>
        <w:tc>
          <w:tcPr>
            <w:tcW w:w="5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424" w:right="220" w:hanging="424"/>
        <w:spacing w:after="0" w:line="250"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Previously filed on March 29, 2011 as Exhibit 99.(A) to the Registrant’s Pre-Effective Amendment No. 3 to the Registration Statement on Form N-2 (File No. 333-170243) and incorporated by reference herein.</w:t>
      </w:r>
    </w:p>
    <w:p>
      <w:pPr>
        <w:spacing w:after="0" w:line="1" w:lineRule="exact"/>
        <w:rPr>
          <w:sz w:val="20"/>
          <w:szCs w:val="20"/>
          <w:color w:val="auto"/>
        </w:rPr>
      </w:pPr>
    </w:p>
    <w:p>
      <w:pPr>
        <w:ind w:left="424" w:right="280" w:hanging="424"/>
        <w:spacing w:after="0" w:line="250"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Previously filed on August 7, 2025 as Exhibit 3.2 to the Registrant’s Quarterly Report on Form 10-Q (File No. 814-00891) and incorporated by reference herein.</w:t>
      </w:r>
    </w:p>
    <w:p>
      <w:pPr>
        <w:ind w:left="424" w:right="380" w:hanging="424"/>
        <w:spacing w:after="0" w:line="250"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Previously filed on May 11, 2020 as Exhibit 3.2 to the Registrant’s Quarterly Report on Form 10-Q (File No. 814-00891) and incorporated by reference herein.</w:t>
      </w:r>
    </w:p>
    <w:p>
      <w:pPr>
        <w:ind w:left="424" w:right="120" w:hanging="424"/>
        <w:spacing w:after="0" w:line="250"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Previously filed on April 5, 2011 as Exhibit 99(D) to the Registrant’s Pre-Effective Amendment No. 5 to the Registration Statement on Form N-2 (File No. 333-170243) and incorporated by reference herein.</w:t>
      </w:r>
    </w:p>
    <w:p>
      <w:pPr>
        <w:ind w:left="464" w:hanging="464"/>
        <w:spacing w:after="0"/>
        <w:tabs>
          <w:tab w:leader="none" w:pos="46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Previously filed on March 23, 2021 as Exhibit 4.1 to the Registrant’s Current Report on Form 8-K and incorporated by reference herein.</w:t>
      </w:r>
    </w:p>
    <w:p>
      <w:pPr>
        <w:spacing w:after="0" w:line="9"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Previously filed on June 1, 2026 as Exhibit 4.2 to the Registrant’s Current Report on Form 8-K and incorporated by reference herein.</w:t>
      </w:r>
    </w:p>
    <w:p>
      <w:pPr>
        <w:sectPr>
          <w:pgSz w:w="11900" w:h="16838" w:orient="portrait"/>
          <w:cols w:equalWidth="0" w:num="1">
            <w:col w:w="11024"/>
          </w:cols>
          <w:pgMar w:left="436"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440" w:type="dxa"/>
            <w:vAlign w:val="bottom"/>
          </w:tcPr>
          <w:p>
            <w:pPr>
              <w:spacing w:after="0"/>
              <w:rPr>
                <w:sz w:val="24"/>
                <w:szCs w:val="24"/>
                <w:color w:val="auto"/>
              </w:rPr>
            </w:pP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Richard T. Allorto, Jr.</w:t>
            </w:r>
          </w:p>
        </w:tc>
      </w:tr>
      <w:tr>
        <w:trPr>
          <w:trHeight w:val="191"/>
        </w:trPr>
        <w:tc>
          <w:tcPr>
            <w:tcW w:w="3440" w:type="dxa"/>
            <w:vAlign w:val="bottom"/>
          </w:tcPr>
          <w:p>
            <w:pPr>
              <w:spacing w:after="0"/>
              <w:rPr>
                <w:sz w:val="16"/>
                <w:szCs w:val="16"/>
                <w:color w:val="auto"/>
              </w:rPr>
            </w:pPr>
          </w:p>
        </w:tc>
        <w:tc>
          <w:tcPr>
            <w:tcW w:w="262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4"/>
        </w:trPr>
        <w:tc>
          <w:tcPr>
            <w:tcW w:w="3440" w:type="dxa"/>
            <w:vAlign w:val="bottom"/>
          </w:tcPr>
          <w:p>
            <w:pPr>
              <w:spacing w:after="0"/>
              <w:rPr>
                <w:sz w:val="20"/>
                <w:szCs w:val="20"/>
                <w:color w:val="auto"/>
              </w:rPr>
            </w:pP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18" Type="http://schemas.openxmlformats.org/officeDocument/2006/relationships/hyperlink" Target="http://www.sec.gov/Archives/edgar/data/1504619/000119312511080862/dex99a.htm" TargetMode="External"/><Relationship Id="rId19" Type="http://schemas.openxmlformats.org/officeDocument/2006/relationships/hyperlink" Target="http://www.sec.gov/Archives/edgar/data/1504619/000095017024092750/pflt-ex3_2.htm" TargetMode="External"/><Relationship Id="rId20" Type="http://schemas.openxmlformats.org/officeDocument/2006/relationships/hyperlink" Target="http://www.sec.gov/Archives/edgar/data/1504619/000156459020024167/pflt-ex32_144.htm" TargetMode="External"/><Relationship Id="rId21" Type="http://schemas.openxmlformats.org/officeDocument/2006/relationships/hyperlink" Target="http://www.sec.gov/Archives/edgar/data/1504619/000119312511088977/dex99d.htm" TargetMode="External"/><Relationship Id="rId22" Type="http://schemas.openxmlformats.org/officeDocument/2006/relationships/hyperlink" Target="http://www.sec.gov/Archives/edgar/data/1504619/000119312521091350/d156339dex41.htm" TargetMode="External"/><Relationship Id="rId23" Type="http://schemas.openxmlformats.org/officeDocument/2006/relationships/hyperlink" Target="http://www.sec.gov/Archives/edgar/data/1504619/000119312526251718/d3716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2026-06-01T17:56:05Z</dcterms:created>
  <dcterms:modified xsi:type="dcterms:W3CDTF">2026-06-01T17:56:05Z</dcterms:modified>
</cp:coreProperties>
</file>