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497</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333-180084</w:t>
      </w:r>
    </w:p>
    <w:p>
      <w:pPr>
        <w:spacing w:after="0" w:line="145" w:lineRule="exact"/>
        <w:rPr>
          <w:sz w:val="24"/>
          <w:szCs w:val="24"/>
          <w:color w:val="auto"/>
        </w:rPr>
      </w:pPr>
    </w:p>
    <w:p>
      <w:pPr>
        <w:ind w:right="40"/>
        <w:spacing w:after="0" w:line="310" w:lineRule="auto"/>
        <w:rPr>
          <w:sz w:val="20"/>
          <w:szCs w:val="20"/>
          <w:color w:val="auto"/>
        </w:rPr>
      </w:pPr>
      <w:r>
        <w:rPr>
          <w:rFonts w:ascii="Arial" w:cs="Arial" w:eastAsia="Arial" w:hAnsi="Arial"/>
          <w:sz w:val="16"/>
          <w:szCs w:val="16"/>
          <w:b w:val="1"/>
          <w:bCs w:val="1"/>
          <w:color w:val="CC062A"/>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July 15, 2013</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July 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135890</wp:posOffset>
            </wp:positionV>
            <wp:extent cx="246126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126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4,700,000 Shares</w:t>
      </w:r>
    </w:p>
    <w:p>
      <w:pPr>
        <w:spacing w:after="0" w:line="44"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90" w:lineRule="exact"/>
        <w:rPr>
          <w:sz w:val="24"/>
          <w:szCs w:val="24"/>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are offering for sale 4,700,000 shares of our common stock. Our common stock is traded on the NASDAQ Global Select Market under the symbol “PFLT.” The last reported closing price for our common stock on July 12, 2013 was $14.56 per share. The net asset value of our common stock on March 31, 2013 was $14.10 per share.</w:t>
      </w:r>
    </w:p>
    <w:p>
      <w:pPr>
        <w:spacing w:after="0" w:line="59" w:lineRule="exact"/>
        <w:rPr>
          <w:sz w:val="24"/>
          <w:szCs w:val="24"/>
          <w:color w:val="auto"/>
        </w:rPr>
      </w:pPr>
    </w:p>
    <w:p>
      <w:pPr>
        <w:ind w:right="120" w:firstLine="456"/>
        <w:spacing w:after="0" w:line="290"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business development company, or a BDC, under the Investment Company Act of 1940, as amended, or the 1940 Act. 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over it. We are externally managed by PennantPark Investment Advisers, LLC. PennantPark Investment Administration, LLC provides the administrative services necessary for us to operate.</w:t>
      </w:r>
    </w:p>
    <w:p>
      <w:pPr>
        <w:spacing w:after="0" w:line="37" w:lineRule="exact"/>
        <w:rPr>
          <w:sz w:val="24"/>
          <w:szCs w:val="24"/>
          <w:color w:val="auto"/>
        </w:rPr>
      </w:pPr>
    </w:p>
    <w:p>
      <w:pPr>
        <w:ind w:right="280" w:firstLine="456"/>
        <w:spacing w:after="0" w:line="291" w:lineRule="auto"/>
        <w:rPr>
          <w:sz w:val="20"/>
          <w:szCs w:val="20"/>
          <w:color w:val="auto"/>
        </w:rPr>
      </w:pPr>
      <w:r>
        <w:rPr>
          <w:rFonts w:ascii="Arial" w:cs="Arial" w:eastAsia="Arial" w:hAnsi="Arial"/>
          <w:sz w:val="16"/>
          <w:szCs w:val="16"/>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The information on our website is not incorporated by reference into this prospectus supplement or the accompanying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33" w:lineRule="exact"/>
        <w:rPr>
          <w:sz w:val="24"/>
          <w:szCs w:val="24"/>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S-13 of this prospectus supplement and on page 8 of the accompanying prospectus.</w:t>
      </w:r>
    </w:p>
    <w:p>
      <w:pPr>
        <w:spacing w:after="0" w:line="51"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r>
      <w:tr>
        <w:trPr>
          <w:trHeight w:val="210"/>
        </w:trPr>
        <w:tc>
          <w:tcPr>
            <w:tcW w:w="7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r>
              <w:rPr>
                <w:rFonts w:ascii="Arial" w:cs="Arial" w:eastAsia="Arial" w:hAnsi="Arial"/>
                <w:sz w:val="11"/>
                <w:szCs w:val="11"/>
                <w:color w:val="auto"/>
              </w:rPr>
              <w:t>(1)</w:t>
            </w:r>
          </w:p>
        </w:tc>
        <w:tc>
          <w:tcPr>
            <w:tcW w:w="200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0" w:type="dxa"/>
            <w:vAlign w:val="bottom"/>
          </w:tcPr>
          <w:p>
            <w:pPr>
              <w:jc w:val="right"/>
              <w:ind w:right="846"/>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Floating Rate Capital Ltd. (before estimated expenses of $300,000)</w:t>
            </w:r>
          </w:p>
        </w:tc>
        <w:tc>
          <w:tcPr>
            <w:tcW w:w="200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p>
      <w:pPr>
        <w:spacing w:after="0"/>
        <w:tabs>
          <w:tab w:leader="none" w:pos="9980" w:val="left"/>
        </w:tabs>
        <w:rPr>
          <w:sz w:val="20"/>
          <w:szCs w:val="20"/>
          <w:color w:val="auto"/>
        </w:rPr>
      </w:pPr>
      <w:r>
        <w:rPr>
          <w:rFonts w:ascii="Arial" w:cs="Arial" w:eastAsia="Arial" w:hAnsi="Arial"/>
          <w:sz w:val="18"/>
          <w:szCs w:val="18"/>
          <w:color w:val="auto"/>
        </w:rPr>
        <w:t>(1)  Our investment adviser, PennantPark Investment Advisers, LLC, has agreed to pay a portion to the underwriters of approximately $</w:t>
      </w:r>
      <w:r>
        <w:rPr>
          <w:sz w:val="20"/>
          <w:szCs w:val="20"/>
          <w:color w:val="auto"/>
        </w:rPr>
        <w:tab/>
      </w:r>
      <w:r>
        <w:rPr>
          <w:rFonts w:ascii="Arial" w:cs="Arial" w:eastAsia="Arial" w:hAnsi="Arial"/>
          <w:sz w:val="16"/>
          <w:szCs w:val="16"/>
          <w:color w:val="auto"/>
        </w:rPr>
        <w:t>million, or $</w:t>
      </w:r>
    </w:p>
    <w:p>
      <w:pPr>
        <w:spacing w:after="0" w:line="15" w:lineRule="exact"/>
        <w:rPr>
          <w:sz w:val="24"/>
          <w:szCs w:val="24"/>
          <w:color w:val="auto"/>
        </w:rPr>
      </w:pPr>
    </w:p>
    <w:p>
      <w:pPr>
        <w:ind w:left="340"/>
        <w:spacing w:after="0"/>
        <w:tabs>
          <w:tab w:leader="none" w:pos="2980" w:val="left"/>
          <w:tab w:leader="none" w:pos="4420" w:val="left"/>
        </w:tabs>
        <w:rPr>
          <w:sz w:val="20"/>
          <w:szCs w:val="20"/>
          <w:color w:val="auto"/>
        </w:rPr>
      </w:pPr>
      <w:r>
        <w:rPr>
          <w:rFonts w:ascii="Arial" w:cs="Arial" w:eastAsia="Arial" w:hAnsi="Arial"/>
          <w:sz w:val="18"/>
          <w:szCs w:val="18"/>
          <w:color w:val="auto"/>
        </w:rPr>
        <w:t>per share (or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 if the overallotment option is fully exercised) of the sales load in connection with this</w:t>
      </w:r>
    </w:p>
    <w:p>
      <w:pPr>
        <w:spacing w:after="0" w:line="9" w:lineRule="exact"/>
        <w:rPr>
          <w:sz w:val="24"/>
          <w:szCs w:val="24"/>
          <w:color w:val="auto"/>
        </w:rPr>
      </w:pPr>
    </w:p>
    <w:p>
      <w:pPr>
        <w:ind w:left="340" w:right="400"/>
        <w:spacing w:after="0" w:line="261" w:lineRule="auto"/>
        <w:rPr>
          <w:sz w:val="20"/>
          <w:szCs w:val="20"/>
          <w:color w:val="auto"/>
        </w:rPr>
      </w:pPr>
      <w:r>
        <w:rPr>
          <w:rFonts w:ascii="Arial" w:cs="Arial" w:eastAsia="Arial" w:hAnsi="Arial"/>
          <w:sz w:val="18"/>
          <w:szCs w:val="18"/>
          <w:color w:val="auto"/>
        </w:rPr>
        <w:t>offering, which is not reflected in the above table. All other expenses of the offering, including the sales load not paid by our investment adviser, will be borne by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4"/>
          <w:szCs w:val="24"/>
          <w:color w:val="auto"/>
        </w:rPr>
      </w:pPr>
    </w:p>
    <w:p>
      <w:pPr>
        <w:ind w:right="220" w:firstLine="456"/>
        <w:spacing w:after="0" w:line="289" w:lineRule="auto"/>
        <w:rPr>
          <w:sz w:val="20"/>
          <w:szCs w:val="20"/>
          <w:color w:val="auto"/>
        </w:rPr>
      </w:pPr>
      <w:r>
        <w:rPr>
          <w:rFonts w:ascii="Arial" w:cs="Arial" w:eastAsia="Arial" w:hAnsi="Arial"/>
          <w:sz w:val="16"/>
          <w:szCs w:val="16"/>
          <w:b w:val="1"/>
          <w:bCs w:val="1"/>
          <w:color w:val="auto"/>
        </w:rPr>
        <w:t>The underwriters may also purchase up to an additional 705,000 shares from us at the public offering price, within 30 days from the date of this prospectus supplement to cover overallotments, if any. If the underwriters exercise this option in full, the total public offering price will be $</w:t>
      </w:r>
    </w:p>
    <w:p>
      <w:pPr>
        <w:spacing w:after="0" w:line="1" w:lineRule="exact"/>
        <w:rPr>
          <w:sz w:val="24"/>
          <w:szCs w:val="24"/>
          <w:color w:val="auto"/>
        </w:rPr>
      </w:pPr>
    </w:p>
    <w:p>
      <w:pPr>
        <w:spacing w:after="0"/>
        <w:tabs>
          <w:tab w:leader="none" w:pos="7500" w:val="left"/>
        </w:tabs>
        <w:rPr>
          <w:sz w:val="20"/>
          <w:szCs w:val="20"/>
          <w:color w:val="auto"/>
        </w:rPr>
      </w:pPr>
      <w:r>
        <w:rPr>
          <w:rFonts w:ascii="Arial" w:cs="Arial" w:eastAsia="Arial" w:hAnsi="Arial"/>
          <w:sz w:val="18"/>
          <w:szCs w:val="18"/>
          <w:b w:val="1"/>
          <w:bCs w:val="1"/>
          <w:color w:val="auto"/>
        </w:rPr>
        <w:t>million, the underwriting discount and commissions (sales load) that will be paid by us will be $</w:t>
      </w:r>
      <w:r>
        <w:rPr>
          <w:sz w:val="20"/>
          <w:szCs w:val="20"/>
          <w:color w:val="auto"/>
        </w:rPr>
        <w:tab/>
      </w:r>
      <w:r>
        <w:rPr>
          <w:rFonts w:ascii="Arial" w:cs="Arial" w:eastAsia="Arial" w:hAnsi="Arial"/>
          <w:sz w:val="15"/>
          <w:szCs w:val="15"/>
          <w:b w:val="1"/>
          <w:bCs w:val="1"/>
          <w:color w:val="auto"/>
        </w:rPr>
        <w:t>million and the underwriting discount and</w:t>
      </w:r>
    </w:p>
    <w:p>
      <w:pPr>
        <w:spacing w:after="0" w:line="9" w:lineRule="exact"/>
        <w:rPr>
          <w:sz w:val="24"/>
          <w:szCs w:val="24"/>
          <w:color w:val="auto"/>
        </w:rPr>
      </w:pPr>
    </w:p>
    <w:p>
      <w:pPr>
        <w:spacing w:after="0"/>
        <w:tabs>
          <w:tab w:leader="none" w:pos="6740" w:val="left"/>
        </w:tabs>
        <w:rPr>
          <w:sz w:val="20"/>
          <w:szCs w:val="20"/>
          <w:color w:val="auto"/>
        </w:rPr>
      </w:pPr>
      <w:r>
        <w:rPr>
          <w:rFonts w:ascii="Arial" w:cs="Arial" w:eastAsia="Arial" w:hAnsi="Arial"/>
          <w:sz w:val="18"/>
          <w:szCs w:val="18"/>
          <w:b w:val="1"/>
          <w:bCs w:val="1"/>
          <w:color w:val="auto"/>
        </w:rPr>
        <w:t>commission paid by PennantPark Investment Advisers, LLC will be approximately $</w:t>
      </w:r>
      <w:r>
        <w:rPr>
          <w:sz w:val="20"/>
          <w:szCs w:val="20"/>
          <w:color w:val="auto"/>
        </w:rPr>
        <w:tab/>
      </w:r>
      <w:r>
        <w:rPr>
          <w:rFonts w:ascii="Arial" w:cs="Arial" w:eastAsia="Arial" w:hAnsi="Arial"/>
          <w:sz w:val="15"/>
          <w:szCs w:val="15"/>
          <w:b w:val="1"/>
          <w:bCs w:val="1"/>
          <w:color w:val="auto"/>
        </w:rPr>
        <w:t>million and total proceeds, before expenses, will be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million.</w:t>
      </w:r>
    </w:p>
    <w:p>
      <w:pPr>
        <w:spacing w:after="0" w:line="78" w:lineRule="exact"/>
        <w:rPr>
          <w:sz w:val="24"/>
          <w:szCs w:val="24"/>
          <w:color w:val="auto"/>
        </w:rPr>
      </w:pPr>
    </w:p>
    <w:p>
      <w:pPr>
        <w:ind w:left="460"/>
        <w:spacing w:after="0"/>
        <w:tabs>
          <w:tab w:leader="none" w:pos="5340" w:val="left"/>
        </w:tabs>
        <w:rPr>
          <w:sz w:val="20"/>
          <w:szCs w:val="20"/>
          <w:color w:val="auto"/>
        </w:rPr>
      </w:pPr>
      <w:r>
        <w:rPr>
          <w:rFonts w:ascii="Arial" w:cs="Arial" w:eastAsia="Arial" w:hAnsi="Arial"/>
          <w:sz w:val="18"/>
          <w:szCs w:val="18"/>
          <w:b w:val="1"/>
          <w:bCs w:val="1"/>
          <w:color w:val="auto"/>
        </w:rPr>
        <w:t>The underwriters expect to deliver the shares on or about July</w:t>
      </w:r>
      <w:r>
        <w:rPr>
          <w:sz w:val="20"/>
          <w:szCs w:val="20"/>
          <w:color w:val="auto"/>
        </w:rPr>
        <w:tab/>
      </w:r>
      <w:r>
        <w:rPr>
          <w:rFonts w:ascii="Arial" w:cs="Arial" w:eastAsia="Arial" w:hAnsi="Arial"/>
          <w:sz w:val="15"/>
          <w:szCs w:val="15"/>
          <w:b w:val="1"/>
          <w:bCs w:val="1"/>
          <w:color w:val="auto"/>
        </w:rPr>
        <w:t>, 2013.</w:t>
      </w:r>
    </w:p>
    <w:p>
      <w:pPr>
        <w:spacing w:after="0" w:line="76" w:lineRule="exact"/>
        <w:rPr>
          <w:sz w:val="24"/>
          <w:szCs w:val="24"/>
          <w:color w:val="auto"/>
        </w:rPr>
      </w:pPr>
    </w:p>
    <w:p>
      <w:pPr>
        <w:spacing w:after="0"/>
        <w:tabs>
          <w:tab w:leader="none" w:pos="4440" w:val="left"/>
          <w:tab w:leader="none" w:pos="8760" w:val="left"/>
        </w:tabs>
        <w:rPr>
          <w:sz w:val="20"/>
          <w:szCs w:val="20"/>
          <w:color w:val="auto"/>
        </w:rPr>
      </w:pP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2"/>
          <w:szCs w:val="22"/>
          <w:b w:val="1"/>
          <w:bCs w:val="1"/>
          <w:color w:val="auto"/>
        </w:rPr>
        <w:t>Keefe, Bruyette &amp; Woods</w:t>
      </w:r>
    </w:p>
    <w:p>
      <w:pPr>
        <w:spacing w:after="0" w:line="37" w:lineRule="exact"/>
        <w:rPr>
          <w:sz w:val="24"/>
          <w:szCs w:val="24"/>
          <w:color w:val="auto"/>
        </w:rPr>
      </w:pPr>
    </w:p>
    <w:p>
      <w:pPr>
        <w:jc w:val="right"/>
        <w:spacing w:after="0"/>
        <w:rPr>
          <w:sz w:val="20"/>
          <w:szCs w:val="20"/>
          <w:color w:val="auto"/>
        </w:rPr>
      </w:pPr>
      <w:r>
        <w:rPr>
          <w:rFonts w:ascii="Arial" w:cs="Arial" w:eastAsia="Arial" w:hAnsi="Arial"/>
          <w:sz w:val="14"/>
          <w:szCs w:val="14"/>
          <w:i w:val="1"/>
          <w:iCs w:val="1"/>
          <w:color w:val="auto"/>
        </w:rPr>
        <w:t>A Stifel Company</w:t>
      </w:r>
    </w:p>
    <w:p>
      <w:pPr>
        <w:sectPr>
          <w:pgSz w:w="11900" w:h="16838" w:orient="portrait"/>
          <w:cols w:equalWidth="0" w:num="1">
            <w:col w:w="11420"/>
          </w:cols>
          <w:pgMar w:left="240" w:top="230" w:right="239" w:bottom="1440" w:gutter="0" w:footer="0" w:header="0"/>
        </w:sectPr>
      </w:pPr>
    </w:p>
    <w:p>
      <w:pPr>
        <w:spacing w:after="0" w:line="67"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The date of this prospectus supplement is July</w:t>
      </w:r>
      <w:r>
        <w:rPr>
          <w:sz w:val="20"/>
          <w:szCs w:val="20"/>
          <w:color w:val="auto"/>
        </w:rPr>
        <w:tab/>
      </w:r>
      <w:r>
        <w:rPr>
          <w:rFonts w:ascii="Arial" w:cs="Arial" w:eastAsia="Arial" w:hAnsi="Arial"/>
          <w:sz w:val="16"/>
          <w:szCs w:val="16"/>
          <w:b w:val="1"/>
          <w:bCs w:val="1"/>
          <w:color w:val="auto"/>
        </w:rPr>
        <w:t>, 2013.</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80" w:type="dxa"/>
            <w:vAlign w:val="bottom"/>
            <w:gridSpan w:val="2"/>
          </w:tcPr>
          <w:p>
            <w:pPr>
              <w:jc w:val="center"/>
              <w:ind w:right="426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95"/>
              </w:rPr>
              <w:t>PROSPECTUS SUPPLEMENT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620" w:type="dxa"/>
            <w:vAlign w:val="bottom"/>
            <w:gridSpan w:val="20"/>
            <w:vMerge w:val="restart"/>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SUPPLEMENTAL PROSPECTUS SUMMARY</w:t>
              </w:r>
            </w:hyperlink>
          </w:p>
        </w:tc>
        <w:tc>
          <w:tcPr>
            <w:tcW w:w="7320" w:type="dxa"/>
            <w:vAlign w:val="bottom"/>
            <w:gridSpan w:val="8"/>
            <w:vMerge w:val="restart"/>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3620" w:type="dxa"/>
            <w:vAlign w:val="bottom"/>
            <w:tcBorders>
              <w:bottom w:val="single" w:sz="8" w:color="0000EE"/>
            </w:tcBorders>
            <w:gridSpan w:val="20"/>
            <w:vMerge w:val="continue"/>
          </w:tcPr>
          <w:p>
            <w:pPr>
              <w:spacing w:after="0"/>
              <w:rPr>
                <w:sz w:val="13"/>
                <w:szCs w:val="13"/>
                <w:color w:val="auto"/>
              </w:rPr>
            </w:pPr>
          </w:p>
        </w:tc>
        <w:tc>
          <w:tcPr>
            <w:tcW w:w="732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40" w:type="dxa"/>
            <w:vAlign w:val="bottom"/>
            <w:tcBorders>
              <w:bottom w:val="single" w:sz="8" w:color="0000EE"/>
            </w:tcBorders>
            <w:gridSpan w:val="10"/>
          </w:tcPr>
          <w:p>
            <w:pPr>
              <w:spacing w:after="0"/>
              <w:rPr>
                <w:rFonts w:ascii="Arial" w:cs="Arial" w:eastAsia="Arial" w:hAnsi="Arial"/>
                <w:sz w:val="18"/>
                <w:szCs w:val="18"/>
                <w:b w:val="1"/>
                <w:bCs w:val="1"/>
                <w:color w:val="0000EE"/>
                <w:w w:val="94"/>
              </w:rPr>
            </w:pPr>
            <w:hyperlink w:anchor="page11">
              <w:r>
                <w:rPr>
                  <w:rFonts w:ascii="Arial" w:cs="Arial" w:eastAsia="Arial" w:hAnsi="Arial"/>
                  <w:sz w:val="18"/>
                  <w:szCs w:val="18"/>
                  <w:b w:val="1"/>
                  <w:bCs w:val="1"/>
                  <w:color w:val="0000EE"/>
                  <w:w w:val="94"/>
                </w:rPr>
                <w:t>FEES AND EXPENSES</w:t>
              </w:r>
            </w:hyperlink>
          </w:p>
        </w:tc>
        <w:tc>
          <w:tcPr>
            <w:tcW w:w="9100" w:type="dxa"/>
            <w:vAlign w:val="bottom"/>
            <w:gridSpan w:val="18"/>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FORWARD-LOOKING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b w:val="1"/>
                <w:bCs w:val="1"/>
                <w:color w:val="0000EE"/>
              </w:rPr>
              <w:t>RISK FACTORS</w:t>
            </w:r>
          </w:p>
        </w:tc>
        <w:tc>
          <w:tcPr>
            <w:tcW w:w="7900" w:type="dxa"/>
            <w:vAlign w:val="bottom"/>
            <w:gridSpan w:val="1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17">
              <w:r>
                <w:rPr>
                  <w:rFonts w:ascii="Arial" w:cs="Arial" w:eastAsia="Arial" w:hAnsi="Arial"/>
                  <w:sz w:val="18"/>
                  <w:szCs w:val="18"/>
                  <w:b w:val="1"/>
                  <w:bCs w:val="1"/>
                  <w:color w:val="0000EE"/>
                  <w:w w:val="93"/>
                </w:rPr>
                <w:t>USE OF PROCEEDS</w:t>
              </w:r>
            </w:hyperlink>
          </w:p>
        </w:tc>
        <w:tc>
          <w:tcPr>
            <w:tcW w:w="9300" w:type="dxa"/>
            <w:vAlign w:val="bottom"/>
            <w:gridSpan w:val="2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CAPITALIZATION</w:t>
              </w:r>
            </w:hyperlink>
          </w:p>
        </w:tc>
        <w:tc>
          <w:tcPr>
            <w:tcW w:w="9400" w:type="dxa"/>
            <w:vAlign w:val="bottom"/>
            <w:gridSpan w:val="2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PRICE RANGE OF COMMON STOCK</w:t>
              </w:r>
            </w:hyperlink>
          </w:p>
        </w:tc>
        <w:tc>
          <w:tcPr>
            <w:tcW w:w="786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S-16</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20">
              <w:r>
                <w:rPr>
                  <w:rFonts w:ascii="Arial" w:cs="Arial" w:eastAsia="Arial" w:hAnsi="Arial"/>
                  <w:sz w:val="18"/>
                  <w:szCs w:val="18"/>
                  <w:b w:val="1"/>
                  <w:bCs w:val="1"/>
                  <w:color w:val="0000EE"/>
                  <w:w w:val="98"/>
                </w:rPr>
                <w:t>SELECTED FINANCIAL DATA</w:t>
              </w:r>
            </w:hyperlink>
          </w:p>
        </w:tc>
        <w:tc>
          <w:tcPr>
            <w:tcW w:w="844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UNDERWRITING</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S-25</w:t>
            </w:r>
          </w:p>
        </w:tc>
        <w:tc>
          <w:tcPr>
            <w:tcW w:w="0" w:type="dxa"/>
            <w:vAlign w:val="bottom"/>
          </w:tcPr>
          <w:p>
            <w:pPr>
              <w:spacing w:after="0"/>
              <w:rPr>
                <w:sz w:val="1"/>
                <w:szCs w:val="1"/>
                <w:color w:val="auto"/>
              </w:rPr>
            </w:pPr>
          </w:p>
        </w:tc>
      </w:tr>
      <w:tr>
        <w:trPr>
          <w:trHeight w:val="559"/>
        </w:trPr>
        <w:tc>
          <w:tcPr>
            <w:tcW w:w="8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gridSpan w:val="2"/>
          </w:tcPr>
          <w:p>
            <w:pPr>
              <w:ind w:left="320"/>
              <w:spacing w:after="0"/>
              <w:rPr>
                <w:sz w:val="20"/>
                <w:szCs w:val="20"/>
                <w:color w:val="auto"/>
              </w:rPr>
            </w:pPr>
            <w:r>
              <w:rPr>
                <w:rFonts w:ascii="Arial" w:cs="Arial" w:eastAsia="Arial" w:hAnsi="Arial"/>
                <w:sz w:val="18"/>
                <w:szCs w:val="18"/>
                <w:b w:val="1"/>
                <w:bCs w:val="1"/>
                <w:color w:val="auto"/>
              </w:rPr>
              <w:t>PROSPECTUS</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1"/>
        </w:trPr>
        <w:tc>
          <w:tcPr>
            <w:tcW w:w="10940" w:type="dxa"/>
            <w:vAlign w:val="bottom"/>
            <w:gridSpan w:val="28"/>
            <w:vMerge w:val="restart"/>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PROSPECTUS SUMMARY</w:t>
              </w:r>
            </w:hyperlink>
          </w:p>
        </w:tc>
        <w:tc>
          <w:tcPr>
            <w:tcW w:w="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940" w:type="dxa"/>
            <w:vAlign w:val="bottom"/>
            <w:gridSpan w:val="2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FEES AND EXPENSES</w:t>
              </w:r>
            </w:hyperlink>
          </w:p>
        </w:tc>
        <w:tc>
          <w:tcPr>
            <w:tcW w:w="8800" w:type="dxa"/>
            <w:vAlign w:val="bottom"/>
            <w:gridSpan w:val="17"/>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RISK FACTORS</w:t>
              </w:r>
            </w:hyperlink>
          </w:p>
        </w:tc>
        <w:tc>
          <w:tcPr>
            <w:tcW w:w="912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64">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9"/>
          </w:tcPr>
          <w:p>
            <w:pPr>
              <w:spacing w:after="0"/>
              <w:rPr>
                <w:sz w:val="17"/>
                <w:szCs w:val="17"/>
                <w:color w:val="auto"/>
              </w:rPr>
            </w:pPr>
          </w:p>
        </w:tc>
        <w:tc>
          <w:tcPr>
            <w:tcW w:w="790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65">
              <w:r>
                <w:rPr>
                  <w:rFonts w:ascii="Arial" w:cs="Arial" w:eastAsia="Arial" w:hAnsi="Arial"/>
                  <w:sz w:val="18"/>
                  <w:szCs w:val="18"/>
                  <w:b w:val="1"/>
                  <w:bCs w:val="1"/>
                  <w:color w:val="0000EE"/>
                  <w:w w:val="98"/>
                </w:rPr>
                <w:t>SELECTED FINANCIAL DATA</w:t>
              </w:r>
            </w:hyperlink>
          </w:p>
        </w:tc>
        <w:tc>
          <w:tcPr>
            <w:tcW w:w="844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7"/>
              </w:rPr>
            </w:pPr>
            <w:hyperlink w:anchor="page67">
              <w:r>
                <w:rPr>
                  <w:rFonts w:ascii="Arial" w:cs="Arial" w:eastAsia="Arial" w:hAnsi="Arial"/>
                  <w:sz w:val="18"/>
                  <w:szCs w:val="18"/>
                  <w:b w:val="1"/>
                  <w:bCs w:val="1"/>
                  <w:color w:val="0000EE"/>
                  <w:w w:val="97"/>
                </w:rPr>
                <w:t>MANAGEMENT’S DISCUSSION AND ANALYSIS OF FINANCIAL CONDITION AND RESULTS OF OPERATIONS</w:t>
              </w:r>
            </w:hyperlink>
          </w:p>
        </w:tc>
        <w:tc>
          <w:tcPr>
            <w:tcW w:w="18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8"/>
              </w:rPr>
            </w:pPr>
            <w:hyperlink w:anchor="page83">
              <w:r>
                <w:rPr>
                  <w:rFonts w:ascii="Arial" w:cs="Arial" w:eastAsia="Arial" w:hAnsi="Arial"/>
                  <w:sz w:val="18"/>
                  <w:szCs w:val="18"/>
                  <w:b w:val="1"/>
                  <w:bCs w:val="1"/>
                  <w:color w:val="0000EE"/>
                  <w:w w:val="98"/>
                </w:rPr>
                <w:t>PRICE RANGE OF COMMON STOCK</w:t>
              </w:r>
            </w:hyperlink>
          </w:p>
        </w:tc>
        <w:tc>
          <w:tcPr>
            <w:tcW w:w="786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6"/>
              </w:rPr>
            </w:pPr>
            <w:hyperlink w:anchor="page84">
              <w:r>
                <w:rPr>
                  <w:rFonts w:ascii="Arial" w:cs="Arial" w:eastAsia="Arial" w:hAnsi="Arial"/>
                  <w:sz w:val="18"/>
                  <w:szCs w:val="18"/>
                  <w:b w:val="1"/>
                  <w:bCs w:val="1"/>
                  <w:color w:val="0000EE"/>
                  <w:w w:val="96"/>
                </w:rPr>
                <w:t>SALES OF COMMON STOCK BELOW NET ASSET VALUE</w:t>
              </w:r>
            </w:hyperlink>
          </w:p>
        </w:tc>
        <w:tc>
          <w:tcPr>
            <w:tcW w:w="61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DISTRIBUTIONS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91">
              <w:r>
                <w:rPr>
                  <w:rFonts w:ascii="Arial" w:cs="Arial" w:eastAsia="Arial" w:hAnsi="Arial"/>
                  <w:sz w:val="18"/>
                  <w:szCs w:val="18"/>
                  <w:b w:val="1"/>
                  <w:bCs w:val="1"/>
                  <w:color w:val="0000EE"/>
                  <w:w w:val="91"/>
                </w:rPr>
                <w:t>BUSINESS</w:t>
              </w:r>
            </w:hyperlink>
          </w:p>
        </w:tc>
        <w:tc>
          <w:tcPr>
            <w:tcW w:w="580" w:type="dxa"/>
            <w:vAlign w:val="bottom"/>
            <w:tcBorders>
              <w:top w:val="single" w:sz="8" w:color="0000EE"/>
            </w:tcBorders>
            <w:gridSpan w:val="3"/>
          </w:tcPr>
          <w:p>
            <w:pPr>
              <w:spacing w:after="0"/>
              <w:rPr>
                <w:sz w:val="17"/>
                <w:szCs w:val="17"/>
                <w:color w:val="auto"/>
              </w:rPr>
            </w:pPr>
          </w:p>
        </w:tc>
        <w:tc>
          <w:tcPr>
            <w:tcW w:w="9500" w:type="dxa"/>
            <w:vAlign w:val="bottom"/>
            <w:gridSpan w:val="2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8"/>
              </w:rPr>
            </w:pPr>
            <w:hyperlink w:anchor="page95">
              <w:r>
                <w:rPr>
                  <w:rFonts w:ascii="Arial" w:cs="Arial" w:eastAsia="Arial" w:hAnsi="Arial"/>
                  <w:sz w:val="18"/>
                  <w:szCs w:val="18"/>
                  <w:b w:val="1"/>
                  <w:bCs w:val="1"/>
                  <w:color w:val="0000EE"/>
                  <w:w w:val="98"/>
                </w:rPr>
                <w:t>INVESTMENT OBJECTIVES AND POLICIES</w:t>
              </w:r>
            </w:hyperlink>
          </w:p>
        </w:tc>
        <w:tc>
          <w:tcPr>
            <w:tcW w:w="72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7"/>
              </w:rPr>
            </w:pPr>
            <w:hyperlink w:anchor="page102">
              <w:r>
                <w:rPr>
                  <w:rFonts w:ascii="Arial" w:cs="Arial" w:eastAsia="Arial" w:hAnsi="Arial"/>
                  <w:sz w:val="18"/>
                  <w:szCs w:val="18"/>
                  <w:b w:val="1"/>
                  <w:bCs w:val="1"/>
                  <w:color w:val="0000EE"/>
                  <w:w w:val="97"/>
                </w:rPr>
                <w:t>PORTFOLIO COMPANIES</w:t>
              </w:r>
            </w:hyperlink>
          </w:p>
        </w:tc>
        <w:tc>
          <w:tcPr>
            <w:tcW w:w="878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MANAGEMENT</w:t>
              </w:r>
            </w:hyperlink>
          </w:p>
        </w:tc>
        <w:tc>
          <w:tcPr>
            <w:tcW w:w="9600" w:type="dxa"/>
            <w:vAlign w:val="bottom"/>
            <w:gridSpan w:val="2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6"/>
              </w:rPr>
            </w:pPr>
            <w:hyperlink w:anchor="page114">
              <w:r>
                <w:rPr>
                  <w:rFonts w:ascii="Arial" w:cs="Arial" w:eastAsia="Arial" w:hAnsi="Arial"/>
                  <w:sz w:val="18"/>
                  <w:szCs w:val="18"/>
                  <w:b w:val="1"/>
                  <w:bCs w:val="1"/>
                  <w:color w:val="0000EE"/>
                  <w:w w:val="96"/>
                </w:rPr>
                <w:t>CONTROL PERSONS AND PRINCIPAL STOCKHOLDERS</w:t>
              </w:r>
            </w:hyperlink>
          </w:p>
        </w:tc>
        <w:tc>
          <w:tcPr>
            <w:tcW w:w="624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7"/>
              </w:rPr>
            </w:pPr>
            <w:hyperlink w:anchor="page116">
              <w:r>
                <w:rPr>
                  <w:rFonts w:ascii="Arial" w:cs="Arial" w:eastAsia="Arial" w:hAnsi="Arial"/>
                  <w:sz w:val="18"/>
                  <w:szCs w:val="18"/>
                  <w:b w:val="1"/>
                  <w:bCs w:val="1"/>
                  <w:color w:val="0000EE"/>
                  <w:w w:val="97"/>
                </w:rPr>
                <w:t>CERTAIN RELATIONSHIPS AND TRANSACTIONS</w:t>
              </w:r>
            </w:hyperlink>
          </w:p>
        </w:tc>
        <w:tc>
          <w:tcPr>
            <w:tcW w:w="68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DETERMINATION OF NET ASSET VALUE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DIVIDEND REINVESTMENT PLAN</w:t>
              </w:r>
            </w:hyperlink>
          </w:p>
        </w:tc>
        <w:tc>
          <w:tcPr>
            <w:tcW w:w="748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DESCRIPTION OF OUR CAPITAL STOCK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gridSpan w:val="1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DESCRIPTION OF OUR PREFERRED STOCK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6"/>
              </w:rPr>
            </w:pPr>
            <w:hyperlink w:anchor="page134">
              <w:r>
                <w:rPr>
                  <w:rFonts w:ascii="Arial" w:cs="Arial" w:eastAsia="Arial" w:hAnsi="Arial"/>
                  <w:sz w:val="18"/>
                  <w:szCs w:val="18"/>
                  <w:b w:val="1"/>
                  <w:bCs w:val="1"/>
                  <w:color w:val="0000EE"/>
                  <w:w w:val="96"/>
                </w:rPr>
                <w:t>DESCRIPTION OF OUR WARRANTS</w:t>
              </w:r>
            </w:hyperlink>
          </w:p>
        </w:tc>
        <w:tc>
          <w:tcPr>
            <w:tcW w:w="720" w:type="dxa"/>
            <w:vAlign w:val="bottom"/>
            <w:tcBorders>
              <w:top w:val="single" w:sz="8" w:color="0000EE"/>
            </w:tcBorders>
            <w:gridSpan w:val="7"/>
          </w:tcPr>
          <w:p>
            <w:pPr>
              <w:spacing w:after="0"/>
              <w:rPr>
                <w:sz w:val="17"/>
                <w:szCs w:val="17"/>
                <w:color w:val="auto"/>
              </w:rPr>
            </w:pPr>
          </w:p>
        </w:tc>
        <w:tc>
          <w:tcPr>
            <w:tcW w:w="72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7"/>
              </w:rPr>
            </w:pPr>
            <w:hyperlink w:anchor="page136">
              <w:r>
                <w:rPr>
                  <w:rFonts w:ascii="Arial" w:cs="Arial" w:eastAsia="Arial" w:hAnsi="Arial"/>
                  <w:sz w:val="18"/>
                  <w:szCs w:val="18"/>
                  <w:b w:val="1"/>
                  <w:bCs w:val="1"/>
                  <w:color w:val="0000EE"/>
                  <w:w w:val="97"/>
                </w:rPr>
                <w:t>DESCRIPTION OF OUR SUBSCRIPTION RIGHTS</w:t>
              </w:r>
            </w:hyperlink>
          </w:p>
        </w:tc>
        <w:tc>
          <w:tcPr>
            <w:tcW w:w="69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4"/>
            <w:vMerge w:val="restart"/>
          </w:tcPr>
          <w:p>
            <w:pPr>
              <w:spacing w:after="0"/>
              <w:rPr>
                <w:rFonts w:ascii="Arial" w:cs="Arial" w:eastAsia="Arial" w:hAnsi="Arial"/>
                <w:sz w:val="18"/>
                <w:szCs w:val="18"/>
                <w:b w:val="1"/>
                <w:bCs w:val="1"/>
                <w:color w:val="0000EE"/>
                <w:w w:val="97"/>
              </w:rPr>
            </w:pPr>
            <w:hyperlink w:anchor="page137">
              <w:r>
                <w:rPr>
                  <w:rFonts w:ascii="Arial" w:cs="Arial" w:eastAsia="Arial" w:hAnsi="Arial"/>
                  <w:sz w:val="18"/>
                  <w:szCs w:val="18"/>
                  <w:b w:val="1"/>
                  <w:bCs w:val="1"/>
                  <w:color w:val="0000EE"/>
                  <w:w w:val="97"/>
                </w:rPr>
                <w:t>DESCRIPTION OF OUR DEBT SECURITIES</w:t>
              </w:r>
            </w:hyperlink>
          </w:p>
        </w:tc>
        <w:tc>
          <w:tcPr>
            <w:tcW w:w="7420" w:type="dxa"/>
            <w:vAlign w:val="bottom"/>
            <w:gridSpan w:val="6"/>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580" w:type="dxa"/>
            <w:vAlign w:val="bottom"/>
            <w:tcBorders>
              <w:bottom w:val="single" w:sz="8" w:color="0000EE"/>
            </w:tcBorders>
            <w:gridSpan w:val="4"/>
            <w:vMerge w:val="continue"/>
          </w:tcPr>
          <w:p>
            <w:pPr>
              <w:spacing w:after="0"/>
              <w:rPr>
                <w:sz w:val="13"/>
                <w:szCs w:val="13"/>
                <w:color w:val="auto"/>
              </w:rPr>
            </w:pPr>
          </w:p>
        </w:tc>
        <w:tc>
          <w:tcPr>
            <w:tcW w:w="7420" w:type="dxa"/>
            <w:vAlign w:val="bottom"/>
            <w:gridSpan w:val="6"/>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0000EE"/>
            </w:tcBorders>
          </w:tcPr>
          <w:p>
            <w:pPr>
              <w:spacing w:after="0"/>
              <w:rPr>
                <w:rFonts w:ascii="Arial" w:cs="Arial" w:eastAsia="Arial" w:hAnsi="Arial"/>
                <w:sz w:val="18"/>
                <w:szCs w:val="18"/>
                <w:b w:val="1"/>
                <w:bCs w:val="1"/>
                <w:color w:val="0000EE"/>
                <w:w w:val="99"/>
              </w:rPr>
            </w:pPr>
            <w:hyperlink w:anchor="page150">
              <w:r>
                <w:rPr>
                  <w:rFonts w:ascii="Arial" w:cs="Arial" w:eastAsia="Arial" w:hAnsi="Arial"/>
                  <w:sz w:val="18"/>
                  <w:szCs w:val="18"/>
                  <w:b w:val="1"/>
                  <w:bCs w:val="1"/>
                  <w:color w:val="0000EE"/>
                  <w:w w:val="99"/>
                </w:rPr>
                <w:t>REGULATION</w:t>
              </w:r>
            </w:hyperlink>
          </w:p>
        </w:tc>
        <w:tc>
          <w:tcPr>
            <w:tcW w:w="9800" w:type="dxa"/>
            <w:vAlign w:val="bottom"/>
            <w:gridSpan w:val="9"/>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7"/>
              </w:rPr>
            </w:pPr>
            <w:hyperlink w:anchor="page155">
              <w:r>
                <w:rPr>
                  <w:rFonts w:ascii="Arial" w:cs="Arial" w:eastAsia="Arial" w:hAnsi="Arial"/>
                  <w:sz w:val="18"/>
                  <w:szCs w:val="18"/>
                  <w:b w:val="1"/>
                  <w:bCs w:val="1"/>
                  <w:color w:val="0000EE"/>
                  <w:w w:val="97"/>
                </w:rPr>
                <w:t>BROKERAGE ALLOCATIONS AND OTHER PRACTICES</w:t>
              </w:r>
            </w:hyperlink>
          </w:p>
        </w:tc>
        <w:tc>
          <w:tcPr>
            <w:tcW w:w="63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156">
              <w:r>
                <w:rPr>
                  <w:rFonts w:ascii="Arial" w:cs="Arial" w:eastAsia="Arial" w:hAnsi="Arial"/>
                  <w:sz w:val="18"/>
                  <w:szCs w:val="18"/>
                  <w:b w:val="1"/>
                  <w:bCs w:val="1"/>
                  <w:color w:val="0000EE"/>
                  <w:w w:val="98"/>
                </w:rPr>
                <w:t>MATERIAL U.S. FEDERAL INCOME TAX CONSIDERATIONS</w:t>
              </w:r>
            </w:hyperlink>
          </w:p>
        </w:tc>
        <w:tc>
          <w:tcPr>
            <w:tcW w:w="59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9"/>
              </w:rPr>
            </w:pPr>
            <w:hyperlink w:anchor="page162">
              <w:r>
                <w:rPr>
                  <w:rFonts w:ascii="Arial" w:cs="Arial" w:eastAsia="Arial" w:hAnsi="Arial"/>
                  <w:sz w:val="18"/>
                  <w:szCs w:val="18"/>
                  <w:b w:val="1"/>
                  <w:bCs w:val="1"/>
                  <w:color w:val="0000EE"/>
                  <w:w w:val="99"/>
                </w:rPr>
                <w:t>PLAN OF DISTRIBUTION</w:t>
              </w:r>
            </w:hyperlink>
          </w:p>
        </w:tc>
        <w:tc>
          <w:tcPr>
            <w:tcW w:w="88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7"/>
              </w:rPr>
            </w:pPr>
            <w:hyperlink w:anchor="page164">
              <w:r>
                <w:rPr>
                  <w:rFonts w:ascii="Arial" w:cs="Arial" w:eastAsia="Arial" w:hAnsi="Arial"/>
                  <w:sz w:val="18"/>
                  <w:szCs w:val="18"/>
                  <w:b w:val="1"/>
                  <w:bCs w:val="1"/>
                  <w:color w:val="0000EE"/>
                  <w:w w:val="97"/>
                </w:rPr>
                <w:t>SUB-ADMINISTRATOR, CUSTODIAN, TRANSFER AGENT AND TRUSTEE</w:t>
              </w:r>
            </w:hyperlink>
          </w:p>
        </w:tc>
        <w:tc>
          <w:tcPr>
            <w:tcW w:w="49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1000" w:type="dxa"/>
            <w:vAlign w:val="bottom"/>
            <w:gridSpan w:val="10"/>
          </w:tcPr>
          <w:p>
            <w:pPr>
              <w:spacing w:after="0" w:line="196" w:lineRule="exact"/>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0"/>
          </w:tcPr>
          <w:p>
            <w:pPr>
              <w:spacing w:after="0" w:line="196" w:lineRule="exact"/>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96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165">
              <w:r>
                <w:rPr>
                  <w:rFonts w:ascii="Arial" w:cs="Arial" w:eastAsia="Arial" w:hAnsi="Arial"/>
                  <w:sz w:val="18"/>
                  <w:szCs w:val="18"/>
                  <w:b w:val="1"/>
                  <w:bCs w:val="1"/>
                  <w:color w:val="0000EE"/>
                </w:rPr>
                <w:t>INDEX TO CONSOLIDATED FINANCIAL STATEMENTS</w:t>
              </w:r>
            </w:hyperlink>
          </w:p>
        </w:tc>
        <w:tc>
          <w:tcPr>
            <w:tcW w:w="60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subsidiary. Some of the statements in this prospectus supplement and the accompanying prospectus constitute forward-looking statements, which apply to both us and any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the accompanying prospectus. You should read carefully the more detailed information set forth under “Risk Factors” and the other information included in this prospectus supplement and the accompanying prospectus. In this prospectus supplement and the accompanying prospectus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investments purposes,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20"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40"/>
        <w:spacing w:after="0" w:line="259" w:lineRule="auto"/>
        <w:rPr>
          <w:sz w:val="20"/>
          <w:szCs w:val="20"/>
          <w:color w:val="auto"/>
        </w:rPr>
      </w:pPr>
      <w:r>
        <w:rPr>
          <w:rFonts w:ascii="Arial" w:cs="Arial" w:eastAsia="Arial" w:hAnsi="Arial"/>
          <w:sz w:val="18"/>
          <w:szCs w:val="18"/>
          <w:color w:val="auto"/>
        </w:rPr>
        <w:t>economic environment and the competitive environment for the types of investments we make. We have used, and expect to continue to use, our credit facility, or the Credit Facility, proceeds from the rotation of our portfolio and proceeds from public and private offerings of securities to finance our investment objectives.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60" w:firstLine="443"/>
        <w:spacing w:after="0" w:line="306"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regulated investment company, or RIC, under the Internal Revenue Code of 1986, as amended, or the Code.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$1.7 billion in debt and equity capital and has invested approximately $2.5 billion in 244 companies with 110 different financial sponsors through its managed funds.</w:t>
      </w:r>
    </w:p>
    <w:p>
      <w:pPr>
        <w:spacing w:after="0" w:line="120"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1060" w:right="200" w:hanging="431"/>
        <w:spacing w:after="0" w:line="301"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right="180" w:hanging="431"/>
        <w:spacing w:after="0" w:line="262"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or CLO, funds have withdrawn capital from the middle-market resulting in opportunities for alternative funding sources.</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480" w:hanging="431"/>
        <w:spacing w:after="0" w:line="338" w:lineRule="auto"/>
        <w:tabs>
          <w:tab w:leader="none" w:pos="106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We believe that the current credit market dislocation for middle-market companies improves the risk-adjusted returns of our investments. </w:t>
      </w:r>
      <w:r>
        <w:rPr>
          <w:rFonts w:ascii="Arial" w:cs="Arial" w:eastAsia="Arial" w:hAnsi="Arial"/>
          <w:sz w:val="15"/>
          <w:szCs w:val="15"/>
          <w:color w:val="auto"/>
        </w:rPr>
        <w:t>In the current credit environment, market participants have reduced lending to middle-market and non-investment grade</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borrowers. As a result, there is less competition in our market, more conservative capital structures, higher yields and stronger covenants.</w:t>
      </w:r>
    </w:p>
    <w:p>
      <w:pPr>
        <w:ind w:left="1060" w:right="20" w:hanging="431"/>
        <w:spacing w:after="0" w:line="296"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1060" w:right="40" w:hanging="431"/>
        <w:spacing w:after="0" w:line="296"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w:t>
      </w:r>
      <w:r>
        <w:rPr>
          <w:rFonts w:ascii="Arial" w:cs="Arial" w:eastAsia="Arial" w:hAnsi="Arial"/>
          <w:sz w:val="16"/>
          <w:szCs w:val="16"/>
          <w:color w:val="auto"/>
        </w:rPr>
        <w:t>A high volume of financings will come due in the next few years. Additionally,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20 years of experience in mezzanine lending, leveraged finance, distressed debt and private equity businesses. The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13"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Lending to middle-market companies requires in 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43"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c. Ability to Source and Evaluate Transactions through our Investment Adviser’s Research Capability and Established Network</w:t>
      </w:r>
    </w:p>
    <w:p>
      <w:pPr>
        <w:spacing w:after="0" w:line="11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The management team of the Investment Adviser has long-term relationships with financial sponsors, management consultants and management teams</w:t>
      </w:r>
    </w:p>
    <w:p>
      <w:pPr>
        <w:spacing w:after="0" w:line="50" w:lineRule="exact"/>
        <w:rPr>
          <w:sz w:val="20"/>
          <w:szCs w:val="20"/>
          <w:color w:val="auto"/>
        </w:rPr>
      </w:pPr>
    </w:p>
    <w:p>
      <w:pPr>
        <w:ind w:left="200" w:right="160"/>
        <w:spacing w:after="0" w:line="254" w:lineRule="auto"/>
        <w:rPr>
          <w:sz w:val="20"/>
          <w:szCs w:val="20"/>
          <w:color w:val="auto"/>
        </w:rPr>
      </w:pPr>
      <w:r>
        <w:rPr>
          <w:rFonts w:ascii="Arial" w:cs="Arial" w:eastAsia="Arial" w:hAnsi="Arial"/>
          <w:sz w:val="18"/>
          <w:szCs w:val="18"/>
          <w:color w:val="auto"/>
        </w:rPr>
        <w:t>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senior investment professionals of our Investment Adviser have long-term relationships.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left="200" w:right="400" w:firstLine="443"/>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left="200" w:right="280" w:firstLine="443"/>
        <w:spacing w:after="0" w:line="332" w:lineRule="auto"/>
        <w:rPr>
          <w:sz w:val="20"/>
          <w:szCs w:val="20"/>
          <w:color w:val="auto"/>
        </w:rPr>
      </w:pPr>
      <w:r>
        <w:rPr>
          <w:rFonts w:ascii="Arial" w:cs="Arial" w:eastAsia="Arial" w:hAnsi="Arial"/>
          <w:sz w:val="16"/>
          <w:szCs w:val="16"/>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72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80" w:firstLine="443"/>
        <w:spacing w:after="0" w:line="254"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maintain a five-year, $125.0 million Credit Facility, which matures in May 2018, with SunTrust Bank, or the Lender. Through May 14, 2016, or the revolving period, the Credit Facility bears interest at LIBOR plus 200 basis points, and after the revolving period, the rate sets to LIBOR plus 425 basis points for the remaining two years. The Credit Facility is secured by all of the assets held by Funding I, under which we had drawn $34.2 million outstanding with an annual interest rate of 2.21%, excluding the undrawn commitment fee of 0.375%, as of March 31, 2013. We believe that our capital resources provide us with the flexibility to take advantage of market opportunities when they arise. See “Management’s Discussion and Analysis of Financial Condition and Results of Operations—Liquidity and Capital Resources” in the accompanying prospectus for more information.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3"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43" w:lineRule="exact"/>
        <w:rPr>
          <w:sz w:val="20"/>
          <w:szCs w:val="20"/>
          <w:color w:val="auto"/>
        </w:rPr>
      </w:pPr>
    </w:p>
    <w:p>
      <w:pPr>
        <w:jc w:val="both"/>
        <w:ind w:left="200" w:right="140" w:firstLine="443"/>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88"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“Material U.S. Federal Income Tax Considerations” in the accompanying prospectus for more information.</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03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180" w:firstLine="443"/>
        <w:spacing w:after="0" w:line="298" w:lineRule="auto"/>
        <w:rPr>
          <w:sz w:val="20"/>
          <w:szCs w:val="20"/>
          <w:color w:val="auto"/>
        </w:rPr>
      </w:pPr>
      <w:r>
        <w:rPr>
          <w:rFonts w:ascii="Arial" w:cs="Arial" w:eastAsia="Arial" w:hAnsi="Arial"/>
          <w:sz w:val="16"/>
          <w:szCs w:val="16"/>
          <w:color w:val="auto"/>
        </w:rPr>
        <w:t>We may use all of the net proceeds from selling securities pursuant to this prospectus supplement to reduce outstanding obligations under our Credit Facility, to invest in new or existing portfolio companies or for other general corporate or strategic purposes. See “Use of Proceeds” in this prospectus supplement for information regarding our outstanding borrowings as of March 31, 2013,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We intend to continue our monthly distributions to our common stockholders. Our monthly distributions, if any, are determined by our board of directors. See “Distributions” in the accompanying prospectus and “Price Range of Common Stock” in this prospectus supplement and in the accompanying prospectus for more information.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jc w:val="both"/>
        <w:ind w:left="200" w:right="20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 distributions automatically reinvested in additional shares of our common stock rather than receiving the cash dividends. Registered stockholders must notify our transfer agent in writing if they wish to ‘opt-out’ of the dividend reinvestment plan. See “Dividend Reinvestment Plan” in the accompanying prospectus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On July 1, 2013 we declared a dividend of $0.0875 per share payable August 1, 2013 to shareholders of record as of July 19, 2013. Shares purchased in this offering will be entitled to the dividend to be paid on August 1, 2013.</w:t>
      </w:r>
    </w:p>
    <w:p>
      <w:pPr>
        <w:spacing w:after="0" w:line="132"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Set forth below are certain preliminary estimates of our financial condition for the period ended June 30, 2013. These estimates are subject to the completion of our financial closing procedures and are not a comprehensive statement of our financial results for the three and nine months ended June 30, 2013. We advise you that our actual results may differ materially from these estimates as a result of the completion of our financial closing procedures, final adjustments and other developments arising between now and the time that our financial results for the three and nine months ended June 30, 2013 are finalized.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asset value as of June 30, 2013 is estimated to be between $13.95 and $14.00 per share.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2013, we had $85.6 million in borrowings outstanding under our $125.0 million Credit Facility.</w:t>
      </w:r>
    </w:p>
    <w:p>
      <w:pPr>
        <w:spacing w:after="0" w:line="171"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intend to announce final results of operations for the three and nine months ended June 30, 2013 on August 8, 2013 after the close of the financial markets.</w:t>
      </w:r>
    </w:p>
    <w:p>
      <w:pPr>
        <w:spacing w:after="0" w:line="132" w:lineRule="exact"/>
        <w:rPr>
          <w:sz w:val="20"/>
          <w:szCs w:val="20"/>
          <w:color w:val="auto"/>
        </w:rPr>
      </w:pPr>
    </w:p>
    <w:p>
      <w:pPr>
        <w:ind w:left="200" w:right="300" w:firstLine="443"/>
        <w:spacing w:after="0" w:line="306" w:lineRule="auto"/>
        <w:rPr>
          <w:sz w:val="20"/>
          <w:szCs w:val="20"/>
          <w:color w:val="auto"/>
        </w:rPr>
      </w:pPr>
      <w:r>
        <w:rPr>
          <w:rFonts w:ascii="Arial" w:cs="Arial" w:eastAsia="Arial" w:hAnsi="Arial"/>
          <w:sz w:val="16"/>
          <w:szCs w:val="16"/>
          <w:color w:val="auto"/>
        </w:rPr>
        <w:t>The preliminary financial data included herein have been prepared by, and is the responsibility of, management. Our independent registered public accounting firm, has not audited, reviewed, compiled or performed any procedures with respect to the accompanying preliminary financial data. Accordingly, our independent registered public accounting firm does not express an opinion or any other form of assurance with respect thereto.</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supplement or the</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22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922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accompanying prospectus, and you should not consider information contained on our website to be part of this prospectus supplement or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material that we file with the SEC on the EDGAR Database.</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Sales load</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3.00%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0.44%</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10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transaction expenses</w:t>
            </w: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600" w:type="dxa"/>
            <w:vAlign w:val="bottom"/>
            <w:gridSpan w:val="2"/>
            <w:vMerge w:val="continue"/>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Management fees</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1.45%</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1.47%</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1.62%</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
        </w:trPr>
        <w:tc>
          <w:tcPr>
            <w:tcW w:w="10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600" w:type="dxa"/>
            <w:vAlign w:val="bottom"/>
            <w:gridSpan w:val="2"/>
            <w:vMerge w:val="continue"/>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5.74%</w:t>
            </w:r>
            <w:r>
              <w:rPr>
                <w:rFonts w:ascii="Arial" w:cs="Arial" w:eastAsia="Arial" w:hAnsi="Arial"/>
                <w:sz w:val="11"/>
                <w:szCs w:val="11"/>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0" w:hanging="452"/>
        <w:spacing w:after="0" w:line="25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we will pay the entire underwriting discount and commission (sales load), which is a one-time fee, of 3.00% of the offering price. Our Investment Adviser has agreed to bear a portion of this underwriting discount and commission, which is not reflected in the estimated annual expenses but is reflected in the stockholder transaction expenses and which will be determined at pricing. We are not obligated to repay the sales load paid by our Investment Adviser.</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$300,000 and is based on the offering of 4,700,000 shares offered in this offering at the last reported closing price of $14.56 per share of our common stock on July 12, 2013.</w:t>
      </w:r>
    </w:p>
    <w:p>
      <w:pPr>
        <w:jc w:val="both"/>
        <w:ind w:left="460" w:right="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March 31, 2013, plus net proceeds from 450,000 shares issued pursuant to an over allotment option that was exercised on April 8, 2013 in connection with our March 2013 equity offering plus the anticipated net proceeds from this offering but excluding the underwriters’ overallotment option.</w:t>
      </w:r>
    </w:p>
    <w:p>
      <w:pPr>
        <w:spacing w:after="0" w:line="1" w:lineRule="exact"/>
        <w:rPr>
          <w:rFonts w:ascii="Arial" w:cs="Arial" w:eastAsia="Arial" w:hAnsi="Arial"/>
          <w:sz w:val="18"/>
          <w:szCs w:val="18"/>
          <w:color w:val="auto"/>
        </w:rPr>
      </w:pPr>
    </w:p>
    <w:p>
      <w:pPr>
        <w:ind w:left="460" w:right="68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contractual management fee is calculated at an annual rate of 1.00% of our average adjusted gross total assets. See “Certain Relationships and Transactions—Investment Management Agreement” in the accompanying prospectus for more information.</w:t>
      </w:r>
    </w:p>
    <w:p>
      <w:pPr>
        <w:spacing w:after="0" w:line="1" w:lineRule="exact"/>
        <w:rPr>
          <w:rFonts w:ascii="Arial" w:cs="Arial" w:eastAsia="Arial" w:hAnsi="Arial"/>
          <w:sz w:val="16"/>
          <w:szCs w:val="16"/>
          <w:color w:val="auto"/>
        </w:rPr>
      </w:pPr>
    </w:p>
    <w:p>
      <w:pPr>
        <w:ind w:left="460" w:right="20" w:hanging="452"/>
        <w:spacing w:after="0" w:line="28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and payable under our Investment Management Agreement during the three months ended March 31,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2013, our cumulative realized and unrealized capital gains exceeded our cumulative realized and unrealized capital losses and we accrued a capital gains incentive fee of $0.3 million in accordance with U.S. generally accepted accounting principles, or GAAP. However, “Incentive fees” does not include an accrual for capital gains incentive fee for the three months ended March 31, 2013 since no capital gains incentive fee was payable under our Investment Management Agreement as of March 31, 2013. As we cannot predict our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53" w:lineRule="auto"/>
        <w:rPr>
          <w:sz w:val="20"/>
          <w:szCs w:val="20"/>
          <w:color w:val="auto"/>
        </w:rPr>
      </w:pPr>
      <w:r>
        <w:rPr>
          <w:rFonts w:ascii="Arial" w:cs="Arial" w:eastAsia="Arial" w:hAnsi="Arial"/>
          <w:sz w:val="18"/>
          <w:szCs w:val="18"/>
          <w:color w:val="auto"/>
        </w:rPr>
        <w:t>future net investment income or capital gains, the incentive fee paid in future periods, if any, may be substantially different than the fee earned during the three months ended March 31, 2013. For more detailed information about the incentive fee, please see “Certain Relationships and Transactions— Investment Management Agreement” in the accompanying prospectus for more information.</w:t>
      </w:r>
    </w:p>
    <w:p>
      <w:pPr>
        <w:ind w:left="460" w:right="10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March 31, 2013, we had $34.2 million in borrowings outstanding under our $125.0 million Credit Facility. We may use the net proceeds of this offering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 —Risks Relating To Our Business and Structure—We currently use borrowed funds to make investments and are exposed to the typical risks associated with leverage” in the accompanying prospectus for more information.</w:t>
      </w:r>
    </w:p>
    <w:p>
      <w:pPr>
        <w:spacing w:after="0" w:line="4"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2013, annualized for a full year. See the Consolidated Statement of Operations in our Consolidated Financial Statements in this prospectus supplement and in the accompanying prospectus for more information.</w:t>
      </w:r>
    </w:p>
    <w:p>
      <w:pPr>
        <w:spacing w:after="0" w:line="2" w:lineRule="exact"/>
        <w:rPr>
          <w:rFonts w:ascii="Arial" w:cs="Arial" w:eastAsia="Arial" w:hAnsi="Arial"/>
          <w:sz w:val="18"/>
          <w:szCs w:val="18"/>
          <w:color w:val="auto"/>
        </w:rPr>
      </w:pPr>
    </w:p>
    <w:p>
      <w:pPr>
        <w:ind w:left="460" w:right="180" w:hanging="452"/>
        <w:spacing w:after="0" w:line="315"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estimated annual expenses based on average total assets, see page 38 of the accompanying prospectus.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3.00% sales load (underwriting discounts and commissions) (see note 1 above) and included offering expenses totaling 0.44%,</w:t>
      </w:r>
    </w:p>
    <w:p>
      <w:pPr>
        <w:ind w:right="40" w:firstLine="8"/>
        <w:spacing w:after="0" w:line="261"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net estimated annual expenses of 4.27% of average net assets attributable to common shares as set forth in the table above (other than performance-based incentive fees) and (3) a 5% annual return: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188"/>
        </w:trPr>
        <w:tc>
          <w:tcPr>
            <w:tcW w:w="76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You would pay the following expenses on a $1,000 common stock investment, assuming a 5% annual</w:t>
            </w: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w:t>
            </w:r>
            <w:r>
              <w:rPr>
                <w:rFonts w:ascii="Arial" w:cs="Arial" w:eastAsia="Arial" w:hAnsi="Arial"/>
                <w:sz w:val="11"/>
                <w:szCs w:val="11"/>
                <w:color w:val="auto"/>
              </w:rPr>
              <w:t>(1)</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$ 159</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r>
      <w:tr>
        <w:trPr>
          <w:trHeight w:val="208"/>
        </w:trPr>
        <w:tc>
          <w:tcPr>
            <w:tcW w:w="7600" w:type="dxa"/>
            <w:vAlign w:val="bottom"/>
          </w:tcPr>
          <w:p>
            <w:pPr>
              <w:spacing w:after="0"/>
              <w:rPr>
                <w:sz w:val="20"/>
                <w:szCs w:val="20"/>
                <w:color w:val="auto"/>
              </w:rPr>
            </w:pPr>
            <w:r>
              <w:rPr>
                <w:rFonts w:ascii="Arial" w:cs="Arial" w:eastAsia="Arial" w:hAnsi="Arial"/>
                <w:sz w:val="18"/>
                <w:szCs w:val="18"/>
                <w:color w:val="auto"/>
                <w:w w:val="93"/>
              </w:rPr>
              <w:t>You would pay the following expenses on a $1,000 common stock investment, assuming a 5% annual</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600" w:type="dxa"/>
            <w:vAlign w:val="bottom"/>
          </w:tcPr>
          <w:p>
            <w:pPr>
              <w:ind w:left="220"/>
              <w:spacing w:after="0"/>
              <w:rPr>
                <w:sz w:val="20"/>
                <w:szCs w:val="20"/>
                <w:color w:val="auto"/>
              </w:rPr>
            </w:pPr>
            <w:r>
              <w:rPr>
                <w:rFonts w:ascii="Arial" w:cs="Arial" w:eastAsia="Arial" w:hAnsi="Arial"/>
                <w:sz w:val="18"/>
                <w:szCs w:val="18"/>
                <w:color w:val="auto"/>
              </w:rPr>
              <w:t>return</w:t>
            </w:r>
            <w:r>
              <w:rPr>
                <w:rFonts w:ascii="Arial" w:cs="Arial" w:eastAsia="Arial" w:hAnsi="Arial"/>
                <w:sz w:val="11"/>
                <w:szCs w:val="11"/>
                <w:color w:val="auto"/>
              </w:rPr>
              <w:t>(2)</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85</w:t>
            </w:r>
          </w:p>
        </w:tc>
        <w:tc>
          <w:tcPr>
            <w:tcW w:w="940" w:type="dxa"/>
            <w:vAlign w:val="bottom"/>
            <w:gridSpan w:val="2"/>
          </w:tcPr>
          <w:p>
            <w:pPr>
              <w:spacing w:after="0"/>
              <w:rPr>
                <w:sz w:val="20"/>
                <w:szCs w:val="20"/>
                <w:color w:val="auto"/>
              </w:rPr>
            </w:pPr>
            <w:r>
              <w:rPr>
                <w:rFonts w:ascii="Arial" w:cs="Arial" w:eastAsia="Arial" w:hAnsi="Arial"/>
                <w:sz w:val="18"/>
                <w:szCs w:val="18"/>
                <w:color w:val="auto"/>
              </w:rPr>
              <w:t>$ 186</w:t>
            </w:r>
          </w:p>
        </w:tc>
        <w:tc>
          <w:tcPr>
            <w:tcW w:w="940" w:type="dxa"/>
            <w:vAlign w:val="bottom"/>
            <w:gridSpan w:val="2"/>
          </w:tcPr>
          <w:p>
            <w:pPr>
              <w:spacing w:after="0"/>
              <w:rPr>
                <w:sz w:val="20"/>
                <w:szCs w:val="20"/>
                <w:color w:val="auto"/>
              </w:rPr>
            </w:pPr>
            <w:r>
              <w:rPr>
                <w:rFonts w:ascii="Arial" w:cs="Arial" w:eastAsia="Arial" w:hAnsi="Arial"/>
                <w:sz w:val="18"/>
                <w:szCs w:val="18"/>
                <w:color w:val="auto"/>
              </w:rPr>
              <w:t>$ 287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that we will not realize any capital gains computed net of all realized capital losses and unrealized capital appreciation and depreciation.</w:t>
      </w:r>
    </w:p>
    <w:p>
      <w:pPr>
        <w:spacing w:after="0" w:line="38" w:lineRule="exact"/>
        <w:rPr>
          <w:rFonts w:ascii="Arial" w:cs="Arial" w:eastAsia="Arial" w:hAnsi="Arial"/>
          <w:sz w:val="16"/>
          <w:szCs w:val="16"/>
          <w:color w:val="auto"/>
        </w:rPr>
      </w:pPr>
    </w:p>
    <w:p>
      <w:pPr>
        <w:ind w:left="460" w:right="10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no unrealized capital appreciation or depreciation and 5% annual return resulting entirely from net realized capital gains (and therefore subject to the capital gains incentive fee).</w:t>
      </w:r>
    </w:p>
    <w:p>
      <w:pPr>
        <w:spacing w:after="0" w:line="13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 for more information.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This prospectus supplement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3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the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reliance on the forward-looking statements as our actual results could differ materially from those projected in the forward-looking statements for any reason, including the factors set forth in the accompanying prospectus under “Risk Factors” and elsewhere in this prospectus supplement and the accompanying prospectus.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in the future that we may file with the SEC, including annual and quarterly reports on Form 10-K/Q and current reports on Form 8-K.</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80"/>
          </w:cols>
          <w:pgMar w:left="24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RISK FACTORS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may decline, and you may lose all or part of your investment.</w:t>
      </w:r>
    </w:p>
    <w:p>
      <w:pPr>
        <w:spacing w:after="0" w:line="20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There are material limitations with making preliminary estimates of our financial results for the period ended June 30, 2013 prior to the completion of our financial procedures for such period</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preliminary financial estimates contained in “Supplemental Prospectus Summary—Recent Developments” are not a comprehensive statement of our financial results for the period ended June 30, 2013 and have not been audited by our independent registered public accounting firm. Our consolidated financial statements for the period ended June 30, 2013 will not be available until after this offering is completed and, consequently, will not be available to you prior to investing in this offering. Our actual financial results for the period ended June 30, 2013 may differ materially from the preliminary financial estimates we have provided as a result of the completion of our financial closing procedures, final adjustments and other developments arising between now and the time that our financial results for the period ended June 30, 2013 are finalized. The preliminary financial data included herein have been prepared by, and are the responsibility of, management. Our independent registered public accounting firm, has not audited, reviewed, compiled or performed any procedures with respect to such preliminary estimates. Accordingly, our independent registered public accounting firm does not express an opinion or any other form of assurance with respect thereto.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net proceeds we will receive from the sale of 4,700,000 shares of our common stock in this offering will be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$66.1 million (or approximately $76.0 million if the underwriters fully exercise their overallotment option), in each case based on a public offering price of</w:t>
      </w:r>
    </w:p>
    <w:p>
      <w:pPr>
        <w:spacing w:after="0" w:line="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$14.56 per share, which was the last reported closing price of our common stock on July 12, 2013, including the underwriting discounts and commissions of up to approximately $2.1 million (or up to approximately $2.4 million if the underwriters fully exercise their overallotment option) and estimated offering expenses of</w:t>
      </w:r>
    </w:p>
    <w:p>
      <w:pPr>
        <w:spacing w:after="0" w:line="1" w:lineRule="exact"/>
        <w:rPr>
          <w:sz w:val="20"/>
          <w:szCs w:val="20"/>
          <w:color w:val="auto"/>
        </w:rPr>
      </w:pPr>
    </w:p>
    <w:p>
      <w:pPr>
        <w:spacing w:after="0"/>
        <w:tabs>
          <w:tab w:leader="none" w:pos="6340" w:val="left"/>
        </w:tabs>
        <w:rPr>
          <w:sz w:val="20"/>
          <w:szCs w:val="20"/>
          <w:color w:val="auto"/>
        </w:rPr>
      </w:pPr>
      <w:r>
        <w:rPr>
          <w:rFonts w:ascii="Arial" w:cs="Arial" w:eastAsia="Arial" w:hAnsi="Arial"/>
          <w:sz w:val="18"/>
          <w:szCs w:val="18"/>
          <w:color w:val="auto"/>
        </w:rPr>
        <w:t>approximately $300,000 payable by us. The Investment Adviser has agreed to bear $</w:t>
      </w:r>
      <w:r>
        <w:rPr>
          <w:sz w:val="20"/>
          <w:szCs w:val="20"/>
          <w:color w:val="auto"/>
        </w:rPr>
        <w:tab/>
      </w:r>
      <w:r>
        <w:rPr>
          <w:rFonts w:ascii="Arial" w:cs="Arial" w:eastAsia="Arial" w:hAnsi="Arial"/>
          <w:sz w:val="16"/>
          <w:szCs w:val="16"/>
          <w:color w:val="auto"/>
        </w:rPr>
        <w:t>million of underwriting discounts and commissions in connection with</w:t>
      </w:r>
    </w:p>
    <w:p>
      <w:pPr>
        <w:spacing w:after="0" w:line="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offering (or approximately $ million if the underwriters fully exercise their overallotment option). The amount of net proceeds may be more or less than the amount described in this prospectus supplement depending on the public offering price of the common stock and the actual number of shares of common stock we sell in the offering, both of which will be determined at pricing.</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use all of the net proceeds from selling securities pursuant to this prospectus supplement to reduce outstanding obligations under our Credit Facility,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March 31, 2013 and June 30, 2013, we had $34.2 million and $85.6 million, respectively, in borrowings outstanding under our $125.0 million Credit Facility. Borrowings under our Credit Facility bear interest at an annual rate equal to LIBOR plus 200 basis points per annum during the revolving period, and the rate resets to LIBOR plus 425 basis points per annum for the remaining two years. At March 31, 2013 and June 30, 2013, we had an annual interest rate on our Credit Facility at the time of 2.21% and 2.20%, respectively, excluding the 0.375% undrawn commitment fee. The Credit Facility is a revolving facility that matures in May 2018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the accompanying prospectus for more information.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following table sets forth our cash and capitalization on March 31, 2013 (1) on an actual basis and (2) on an as-adjusted basis to reflect the effects of the sale of 4,700,000 shares of our common stock in this offering at an offering price of $14.56 per share, which was the last reported closing price of our</w:t>
      </w:r>
    </w:p>
    <w:p>
      <w:pPr>
        <w:ind w:right="20"/>
        <w:spacing w:after="0" w:line="292" w:lineRule="auto"/>
        <w:rPr>
          <w:sz w:val="20"/>
          <w:szCs w:val="20"/>
          <w:color w:val="auto"/>
        </w:rPr>
      </w:pPr>
      <w:r>
        <w:rPr>
          <w:rFonts w:ascii="Arial" w:cs="Arial" w:eastAsia="Arial" w:hAnsi="Arial"/>
          <w:sz w:val="16"/>
          <w:szCs w:val="16"/>
          <w:color w:val="auto"/>
        </w:rPr>
        <w:t>common stock on July 12, 2013, including the estimated underwriting discounts and commissions of approximately $ million, which is 3.00% of the offering price, and including estimated offering expenses of $300,000.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related notes thereto, in conjunction with “Management’s Discussion and Analysis of Financial Condition and Results of Operations” in the accompanying prospectus for more information.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As of March 31, 2013</w:t>
            </w:r>
          </w:p>
        </w:tc>
      </w:tr>
      <w:tr>
        <w:trPr>
          <w:trHeight w:val="161"/>
        </w:trPr>
        <w:tc>
          <w:tcPr>
            <w:tcW w:w="8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(unaudited)</w:t>
            </w:r>
          </w:p>
        </w:tc>
      </w:tr>
      <w:tr>
        <w:trPr>
          <w:trHeight w:val="115"/>
        </w:trPr>
        <w:tc>
          <w:tcPr>
            <w:tcW w:w="8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rPr>
              <w:t>As-adjusted for</w:t>
            </w:r>
          </w:p>
        </w:tc>
        <w:tc>
          <w:tcPr>
            <w:tcW w:w="100" w:type="dxa"/>
            <w:vAlign w:val="bottom"/>
          </w:tcPr>
          <w:p>
            <w:pPr>
              <w:spacing w:after="0"/>
              <w:rPr>
                <w:sz w:val="10"/>
                <w:szCs w:val="10"/>
                <w:color w:val="auto"/>
              </w:rPr>
            </w:pPr>
          </w:p>
        </w:tc>
      </w:tr>
      <w:tr>
        <w:trPr>
          <w:trHeight w:val="176"/>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line="176" w:lineRule="exact"/>
              <w:rPr>
                <w:sz w:val="20"/>
                <w:szCs w:val="20"/>
                <w:color w:val="auto"/>
              </w:rPr>
            </w:pPr>
            <w:r>
              <w:rPr>
                <w:rFonts w:ascii="Arial" w:cs="Arial" w:eastAsia="Arial" w:hAnsi="Arial"/>
                <w:sz w:val="13"/>
                <w:szCs w:val="13"/>
                <w:b w:val="1"/>
                <w:bCs w:val="1"/>
                <w:color w:val="auto"/>
                <w:w w:val="89"/>
              </w:rPr>
              <w:t xml:space="preserve">the offering </w:t>
            </w:r>
            <w:r>
              <w:rPr>
                <w:rFonts w:ascii="Arial" w:cs="Arial" w:eastAsia="Arial" w:hAnsi="Arial"/>
                <w:sz w:val="20"/>
                <w:szCs w:val="20"/>
                <w:b w:val="1"/>
                <w:bCs w:val="1"/>
                <w:color w:val="auto"/>
                <w:w w:val="89"/>
                <w:vertAlign w:val="superscript"/>
              </w:rPr>
              <w:t>(1)</w:t>
            </w:r>
          </w:p>
        </w:tc>
      </w:tr>
      <w:tr>
        <w:trPr>
          <w:trHeight w:val="210"/>
        </w:trPr>
        <w:tc>
          <w:tcPr>
            <w:tcW w:w="8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2,725,248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75,104,288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187,876,844</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260,255,884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(cost—$34,200,000)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34,200,000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34,200,000</w:t>
            </w:r>
          </w:p>
        </w:tc>
      </w:tr>
      <w:tr>
        <w:trPr>
          <w:trHeight w:val="322"/>
        </w:trPr>
        <w:tc>
          <w:tcPr>
            <w:tcW w:w="84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9,851,151 and 15,001,151 shares, as-adjusted, are issued and outstanding, respectively. Par value is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$0.001 per share and 100,000,000 shares are authorized</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9,851</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136,796,167</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209,170,057</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net investment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(1,030,705)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(1,030,705)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2,771,383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2,771,383</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investments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332,789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332,789</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138,879,485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211,258,525</w:t>
            </w: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173,079,485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245,458,525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4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450,000 shares issued pursuant to an overallotment option that was exercised on April 8, 2013 in connection with our March 2013 equity offering. Does not include the underwriters’ overallotment option in connection with this offering and any shares issued pursuant to our dividend reinvestment plan.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 for our common stock, the closing sale price as a percentage of net asset value, or NAV, and monthly dividends per share since April 8, 2011 (initial public offering). On July 12, 2013, the last reported closing price of our common stock was $14.56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Premium/</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Premium/</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gridSpan w:val="4"/>
          </w:tcPr>
          <w:p>
            <w:pPr>
              <w:ind w:left="180"/>
              <w:spacing w:after="0"/>
              <w:rPr>
                <w:sz w:val="20"/>
                <w:szCs w:val="20"/>
                <w:color w:val="auto"/>
              </w:rPr>
            </w:pPr>
            <w:r>
              <w:rPr>
                <w:rFonts w:ascii="Arial" w:cs="Arial" w:eastAsia="Arial" w:hAnsi="Arial"/>
                <w:sz w:val="14"/>
                <w:szCs w:val="14"/>
                <w:b w:val="1"/>
                <w:bCs w:val="1"/>
                <w:color w:val="auto"/>
              </w:rPr>
              <w:t>Closing Sales Price</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High Sales</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Low Sales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5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gridSpan w:val="2"/>
          </w:tcPr>
          <w:p>
            <w:pPr>
              <w:jc w:val="center"/>
              <w:ind w:right="520"/>
              <w:spacing w:after="0" w:line="102" w:lineRule="exact"/>
              <w:rPr>
                <w:sz w:val="20"/>
                <w:szCs w:val="20"/>
                <w:color w:val="auto"/>
              </w:rPr>
            </w:pPr>
            <w:r>
              <w:rPr>
                <w:rFonts w:ascii="Arial" w:cs="Arial" w:eastAsia="Arial" w:hAnsi="Arial"/>
                <w:sz w:val="11"/>
                <w:szCs w:val="11"/>
                <w:b w:val="1"/>
                <w:bCs w:val="1"/>
                <w:color w:val="auto"/>
              </w:rPr>
              <w:t>Price to</w:t>
            </w:r>
          </w:p>
        </w:tc>
        <w:tc>
          <w:tcPr>
            <w:tcW w:w="108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rPr>
              <w:t>Price to</w:t>
            </w:r>
          </w:p>
        </w:tc>
        <w:tc>
          <w:tcPr>
            <w:tcW w:w="180" w:type="dxa"/>
            <w:vAlign w:val="bottom"/>
          </w:tcPr>
          <w:p>
            <w:pPr>
              <w:spacing w:after="0"/>
              <w:rPr>
                <w:sz w:val="8"/>
                <w:szCs w:val="8"/>
                <w:color w:val="auto"/>
              </w:rPr>
            </w:pPr>
          </w:p>
        </w:tc>
        <w:tc>
          <w:tcPr>
            <w:tcW w:w="76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Dividends</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48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80" w:type="dxa"/>
            <w:vAlign w:val="bottom"/>
            <w:gridSpan w:val="2"/>
          </w:tcPr>
          <w:p>
            <w:pPr>
              <w:jc w:val="center"/>
              <w:ind w:right="52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108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w w:val="96"/>
              </w:rPr>
              <w:t xml:space="preserve">NAV </w:t>
            </w:r>
            <w:r>
              <w:rPr>
                <w:rFonts w:ascii="Arial" w:cs="Arial" w:eastAsia="Arial" w:hAnsi="Arial"/>
                <w:sz w:val="18"/>
                <w:szCs w:val="18"/>
                <w:b w:val="1"/>
                <w:bCs w:val="1"/>
                <w:color w:val="auto"/>
                <w:w w:val="96"/>
                <w:vertAlign w:val="superscript"/>
              </w:rPr>
              <w:t>(2)</w:t>
            </w:r>
          </w:p>
        </w:tc>
        <w:tc>
          <w:tcPr>
            <w:tcW w:w="1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90"/>
        </w:trPr>
        <w:tc>
          <w:tcPr>
            <w:tcW w:w="5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Fourth quarter (through July 12, 2013)</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$14.58</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$14.05</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$0.0875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13.82</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0.2625</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14.10</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14.43</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12.94</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0.2550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12.35</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0.2475</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11.85</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13.94</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11.93</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11.46</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0.2350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10.52</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0.2250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13.68</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11.03</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10.01</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13.44</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12.85</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10.34</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12.27</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dividend of $0.0875 per share payable August 1, 2013 to shareholders of record as of July 19, 2013. Shares purchased in this offering will be entitled to the dividend to be paid August 1, 2013.</w:t>
      </w:r>
    </w:p>
    <w:p>
      <w:pPr>
        <w:spacing w:after="0" w:line="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From April 8, 2011 (initial public offering) to June 30, 2011.</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below our NAV. Our shares traded on the NASDAQ Global Select Market at $13.96 and $12.67 as of March 31, 2013 and September 30, 2012, respectively. Our NAV was $14.10 and $13.98 per share, as of March 31,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 ended September 30, 2012, and for the period from March 4, 2011 (commencement of operation)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 the accompanying prospectus. Interim results as of and for the six months ended March 31, 2013, are not necessarily indicative of the results that may be expected for the year ending September 30, 2013. The unaudited selected financial data for the six months ended March 31, 2013 and 2012, should be read in conjunction with our consolidated financial statements and related notes thereto and “Management’s Discussion and Analysis of Financial Condition and Results of Operations” in the accompanying prospectus.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20" w:type="dxa"/>
            <w:vAlign w:val="bottom"/>
            <w:gridSpan w:val="5"/>
          </w:tcPr>
          <w:p>
            <w:pPr>
              <w:jc w:val="right"/>
              <w:ind w:right="1320"/>
              <w:spacing w:after="0" w:line="149" w:lineRule="exact"/>
              <w:rPr>
                <w:sz w:val="20"/>
                <w:szCs w:val="20"/>
                <w:color w:val="auto"/>
              </w:rPr>
            </w:pPr>
            <w:r>
              <w:rPr>
                <w:rFonts w:ascii="Arial" w:cs="Arial" w:eastAsia="Arial" w:hAnsi="Arial"/>
                <w:sz w:val="14"/>
                <w:szCs w:val="14"/>
                <w:b w:val="1"/>
                <w:bCs w:val="1"/>
                <w:color w:val="auto"/>
              </w:rPr>
              <w:t>Six Months Ended</w:t>
            </w: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640" w:type="dxa"/>
            <w:vAlign w:val="bottom"/>
          </w:tcPr>
          <w:p>
            <w:pPr>
              <w:spacing w:after="0"/>
              <w:rPr>
                <w:sz w:val="12"/>
                <w:szCs w:val="12"/>
                <w:color w:val="auto"/>
              </w:rPr>
            </w:pPr>
          </w:p>
        </w:tc>
        <w:tc>
          <w:tcPr>
            <w:tcW w:w="6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1"/>
                <w:szCs w:val="11"/>
                <w:b w:val="1"/>
                <w:bCs w:val="1"/>
                <w:color w:val="auto"/>
              </w:rPr>
              <w:t>2013</w:t>
            </w:r>
            <w:r>
              <w:rPr>
                <w:rFonts w:ascii="Arial" w:cs="Arial" w:eastAsia="Arial" w:hAnsi="Arial"/>
                <w:sz w:val="16"/>
                <w:szCs w:val="16"/>
                <w:b w:val="1"/>
                <w:bCs w:val="1"/>
                <w:color w:val="auto"/>
                <w:vertAlign w:val="superscript"/>
              </w:rPr>
              <w:t>(1)</w:t>
            </w:r>
          </w:p>
        </w:tc>
        <w:tc>
          <w:tcPr>
            <w:tcW w:w="7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8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0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40" w:type="dxa"/>
            <w:vAlign w:val="bottom"/>
            <w:gridSpan w:val="2"/>
          </w:tcPr>
          <w:p>
            <w:pPr>
              <w:spacing w:after="0"/>
              <w:rPr>
                <w:sz w:val="4"/>
                <w:szCs w:val="4"/>
                <w:color w:val="auto"/>
              </w:rPr>
            </w:pPr>
          </w:p>
        </w:tc>
        <w:tc>
          <w:tcPr>
            <w:tcW w:w="3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Total investment income</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  8,103</w:t>
            </w:r>
          </w:p>
        </w:tc>
        <w:tc>
          <w:tcPr>
            <w:tcW w:w="1520" w:type="dxa"/>
            <w:vAlign w:val="bottom"/>
            <w:gridSpan w:val="3"/>
          </w:tcPr>
          <w:p>
            <w:pPr>
              <w:jc w:val="right"/>
              <w:ind w:right="800"/>
              <w:spacing w:after="0"/>
              <w:rPr>
                <w:sz w:val="20"/>
                <w:szCs w:val="20"/>
                <w:color w:val="auto"/>
              </w:rPr>
            </w:pPr>
            <w:r>
              <w:rPr>
                <w:rFonts w:ascii="Arial" w:cs="Arial" w:eastAsia="Arial" w:hAnsi="Arial"/>
                <w:sz w:val="18"/>
                <w:szCs w:val="18"/>
                <w:color w:val="auto"/>
              </w:rPr>
              <w:t>$  5,411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   12,099</w:t>
            </w:r>
          </w:p>
        </w:tc>
        <w:tc>
          <w:tcPr>
            <w:tcW w:w="780" w:type="dxa"/>
            <w:vAlign w:val="bottom"/>
          </w:tcPr>
          <w:p>
            <w:pPr>
              <w:spacing w:after="0"/>
              <w:rPr>
                <w:sz w:val="18"/>
                <w:szCs w:val="18"/>
                <w:color w:val="auto"/>
              </w:rPr>
            </w:pP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Total expenses after Credit Facility debt issuance and excise taxes</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4,378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2,626</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Net investment income</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3,725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2,920</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1,246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4,971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7,630</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11,961</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gridSpan w:val="2"/>
          </w:tcPr>
          <w:p>
            <w:pPr>
              <w:spacing w:after="0"/>
              <w:rPr>
                <w:sz w:val="5"/>
                <w:szCs w:val="5"/>
                <w:color w:val="auto"/>
              </w:rPr>
            </w:pPr>
          </w:p>
        </w:tc>
        <w:tc>
          <w:tcPr>
            <w:tcW w:w="3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Net asset value (at period end)</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14.10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13.98</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0.54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0.18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xml:space="preserve">Net increase (decrease) in net assets resulting from operations </w:t>
            </w:r>
            <w:r>
              <w:rPr>
                <w:rFonts w:ascii="Arial" w:cs="Arial" w:eastAsia="Arial" w:hAnsi="Arial"/>
                <w:sz w:val="11"/>
                <w:szCs w:val="11"/>
                <w:color w:val="auto"/>
                <w:w w:val="97"/>
              </w:rPr>
              <w:t>(2)</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0.72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(2),(3)</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0.50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0.91</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gridSpan w:val="2"/>
          </w:tcPr>
          <w:p>
            <w:pPr>
              <w:spacing w:after="0"/>
              <w:rPr>
                <w:sz w:val="5"/>
                <w:szCs w:val="5"/>
                <w:color w:val="auto"/>
              </w:rPr>
            </w:pPr>
          </w:p>
        </w:tc>
        <w:tc>
          <w:tcPr>
            <w:tcW w:w="3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Assets and Liabilities</w:t>
            </w: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9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data (at period end):</w:t>
            </w: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187,877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151,174</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178,367</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121,075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183,870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146,188</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171,834</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Credit Facility payable, at fair value</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34,200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47,561</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75,123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11,852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Total net asset value</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138,879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96,722</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95,744</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gridSpan w:val="2"/>
          </w:tcPr>
          <w:p>
            <w:pPr>
              <w:spacing w:after="0"/>
              <w:rPr>
                <w:sz w:val="5"/>
                <w:szCs w:val="5"/>
                <w:color w:val="auto"/>
              </w:rPr>
            </w:pPr>
          </w:p>
        </w:tc>
        <w:tc>
          <w:tcPr>
            <w:tcW w:w="3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2040" w:type="dxa"/>
            <w:vAlign w:val="bottom"/>
            <w:gridSpan w:val="3"/>
          </w:tcPr>
          <w:p>
            <w:pPr>
              <w:jc w:val="right"/>
              <w:ind w:right="512"/>
              <w:spacing w:after="0"/>
              <w:rPr>
                <w:sz w:val="20"/>
                <w:szCs w:val="20"/>
                <w:color w:val="auto"/>
              </w:rPr>
            </w:pPr>
            <w:r>
              <w:rPr>
                <w:rFonts w:ascii="Arial" w:cs="Arial" w:eastAsia="Arial" w:hAnsi="Arial"/>
                <w:sz w:val="18"/>
                <w:szCs w:val="18"/>
                <w:color w:val="auto"/>
              </w:rPr>
              <w:t>14.34%</w:t>
            </w: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15.75%</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29.43%</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(1)</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63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(1)</w:t>
            </w:r>
          </w:p>
        </w:tc>
        <w:tc>
          <w:tcPr>
            <w:tcW w:w="2040" w:type="dxa"/>
            <w:vAlign w:val="bottom"/>
            <w:gridSpan w:val="3"/>
          </w:tcPr>
          <w:p>
            <w:pPr>
              <w:jc w:val="right"/>
              <w:ind w:right="512"/>
              <w:spacing w:after="0"/>
              <w:rPr>
                <w:sz w:val="20"/>
                <w:szCs w:val="20"/>
                <w:color w:val="auto"/>
              </w:rPr>
            </w:pPr>
            <w:r>
              <w:rPr>
                <w:rFonts w:ascii="Arial" w:cs="Arial" w:eastAsia="Arial" w:hAnsi="Arial"/>
                <w:sz w:val="18"/>
                <w:szCs w:val="18"/>
                <w:color w:val="auto"/>
              </w:rPr>
              <w:t>8.8%</w:t>
            </w: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8.6%</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02"/>
        </w:trPr>
        <w:tc>
          <w:tcPr>
            <w:tcW w:w="160" w:type="dxa"/>
            <w:vAlign w:val="bottom"/>
            <w:tcBorders>
              <w:bottom w:val="single" w:sz="8" w:color="auto"/>
            </w:tcBorders>
            <w:gridSpan w:val="2"/>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300"/>
              <w:spacing w:after="0"/>
              <w:rPr>
                <w:sz w:val="20"/>
                <w:szCs w:val="20"/>
                <w:color w:val="auto"/>
              </w:rPr>
            </w:pPr>
            <w:r>
              <w:rPr>
                <w:rFonts w:ascii="Arial" w:cs="Arial" w:eastAsia="Arial" w:hAnsi="Arial"/>
                <w:sz w:val="18"/>
                <w:szCs w:val="18"/>
                <w:color w:val="auto"/>
              </w:rPr>
              <w:t>Not annualized for a period of less than a year.</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40" w:type="dxa"/>
            <w:vAlign w:val="bottom"/>
            <w:gridSpan w:val="3"/>
          </w:tcPr>
          <w:p>
            <w:pPr>
              <w:jc w:val="right"/>
              <w:ind w:right="1192"/>
              <w:spacing w:after="0"/>
              <w:rPr>
                <w:sz w:val="20"/>
                <w:szCs w:val="20"/>
                <w:color w:val="auto"/>
              </w:rPr>
            </w:pPr>
            <w:r>
              <w:rPr>
                <w:rFonts w:ascii="Arial" w:cs="Arial" w:eastAsia="Arial" w:hAnsi="Arial"/>
                <w:sz w:val="18"/>
                <w:szCs w:val="18"/>
                <w:color w:val="auto"/>
              </w:rPr>
              <w:t>S-17</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start-up and organizational costs.</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24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J.P. Morgan Securities LLC and Keefe, Bruyette &amp; Woods,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5"/>
              </w:rPr>
              <w:t>Underwriter Names</w:t>
            </w:r>
          </w:p>
        </w:tc>
        <w:tc>
          <w:tcPr>
            <w:tcW w:w="8300" w:type="dxa"/>
            <w:vAlign w:val="bottom"/>
            <w:vMerge w:val="restart"/>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8300" w:type="dxa"/>
            <w:vAlign w:val="bottom"/>
            <w:vMerge w:val="continue"/>
          </w:tcPr>
          <w:p>
            <w:pPr>
              <w:spacing w:after="0"/>
              <w:rPr>
                <w:sz w:val="14"/>
                <w:szCs w:val="14"/>
                <w:color w:val="auto"/>
              </w:rPr>
            </w:pP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90"/>
        </w:trPr>
        <w:tc>
          <w:tcPr>
            <w:tcW w:w="9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Morgan Stanley &amp; Co. LLC</w:t>
            </w: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initially to offer the shares to the public at the public offering price on the cover page of this prospectus</w:t>
      </w:r>
    </w:p>
    <w:p>
      <w:pPr>
        <w:spacing w:after="0" w:line="3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supplement and to dealers at that price less a concession not in excess of $ per share. After the public offering, the public offering price, concession and discount may be changed.</w:t>
      </w:r>
    </w:p>
    <w:p>
      <w:pPr>
        <w:spacing w:after="0" w:line="13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705,000 shares.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Without</w:t>
            </w:r>
          </w:p>
        </w:tc>
        <w:tc>
          <w:tcPr>
            <w:tcW w:w="6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With</w:t>
            </w:r>
          </w:p>
        </w:tc>
      </w:tr>
      <w:tr>
        <w:trPr>
          <w:trHeight w:val="149"/>
        </w:trPr>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Overallotment</w:t>
            </w:r>
          </w:p>
        </w:tc>
        <w:tc>
          <w:tcPr>
            <w:tcW w:w="64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Overallotment</w:t>
            </w:r>
          </w:p>
        </w:tc>
      </w:tr>
      <w:tr>
        <w:trPr>
          <w:trHeight w:val="161"/>
        </w:trPr>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5"/>
              </w:rPr>
              <w:t>Per Share</w:t>
            </w:r>
          </w:p>
        </w:tc>
        <w:tc>
          <w:tcPr>
            <w:tcW w:w="6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Option</w:t>
            </w:r>
          </w:p>
        </w:tc>
      </w:tr>
      <w:tr>
        <w:trPr>
          <w:trHeight w:val="210"/>
        </w:trPr>
        <w:tc>
          <w:tcPr>
            <w:tcW w:w="2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28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11"/>
                <w:szCs w:val="11"/>
                <w:color w:val="auto"/>
              </w:rPr>
              <w:t>(1)</w:t>
            </w:r>
          </w:p>
        </w:tc>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Proceeds to PennantPark Floating Rate Capital Ltd. (before offering expenses of $300,000)</w:t>
            </w:r>
          </w:p>
        </w:tc>
        <w:tc>
          <w:tcPr>
            <w:tcW w:w="12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8680" w:type="dxa"/>
            <w:vAlign w:val="bottom"/>
            <w:gridSpan w:val="7"/>
          </w:tcPr>
          <w:p>
            <w:pPr>
              <w:spacing w:after="0"/>
              <w:rPr>
                <w:sz w:val="9"/>
                <w:szCs w:val="9"/>
                <w:color w:val="auto"/>
              </w:rPr>
            </w:pPr>
          </w:p>
        </w:tc>
        <w:tc>
          <w:tcPr>
            <w:tcW w:w="1580" w:type="dxa"/>
            <w:vAlign w:val="bottom"/>
            <w:gridSpan w:val="3"/>
          </w:tcPr>
          <w:p>
            <w:pPr>
              <w:spacing w:after="0"/>
              <w:rPr>
                <w:sz w:val="9"/>
                <w:szCs w:val="9"/>
                <w:color w:val="auto"/>
              </w:rPr>
            </w:pPr>
          </w:p>
        </w:tc>
      </w:tr>
      <w:tr>
        <w:trPr>
          <w:trHeight w:val="228"/>
        </w:trPr>
        <w:tc>
          <w:tcPr>
            <w:tcW w:w="9840" w:type="dxa"/>
            <w:vAlign w:val="bottom"/>
            <w:gridSpan w:val="8"/>
          </w:tcPr>
          <w:p>
            <w:pPr>
              <w:spacing w:after="0"/>
              <w:rPr>
                <w:sz w:val="20"/>
                <w:szCs w:val="20"/>
                <w:color w:val="auto"/>
              </w:rPr>
            </w:pPr>
            <w:r>
              <w:rPr>
                <w:rFonts w:ascii="Arial" w:cs="Arial" w:eastAsia="Arial" w:hAnsi="Arial"/>
                <w:sz w:val="18"/>
                <w:szCs w:val="18"/>
                <w:color w:val="auto"/>
                <w:w w:val="90"/>
              </w:rPr>
              <w:t>(1)   Our investment adviser, PennantPark Investment Advisers, LLC, has agreed to pay a portion to the underwriters of approximately $</w:t>
            </w:r>
          </w:p>
        </w:tc>
        <w:tc>
          <w:tcPr>
            <w:tcW w:w="1580" w:type="dxa"/>
            <w:vAlign w:val="bottom"/>
            <w:gridSpan w:val="3"/>
          </w:tcPr>
          <w:p>
            <w:pPr>
              <w:ind w:left="260"/>
              <w:spacing w:after="0"/>
              <w:rPr>
                <w:sz w:val="20"/>
                <w:szCs w:val="20"/>
                <w:color w:val="auto"/>
              </w:rPr>
            </w:pPr>
            <w:r>
              <w:rPr>
                <w:rFonts w:ascii="Arial" w:cs="Arial" w:eastAsia="Arial" w:hAnsi="Arial"/>
                <w:sz w:val="18"/>
                <w:szCs w:val="18"/>
                <w:color w:val="auto"/>
              </w:rPr>
              <w:t>million, or $</w:t>
            </w:r>
          </w:p>
        </w:tc>
      </w:tr>
      <w:tr>
        <w:trPr>
          <w:trHeight w:val="222"/>
        </w:trPr>
        <w:tc>
          <w:tcPr>
            <w:tcW w:w="2720" w:type="dxa"/>
            <w:vAlign w:val="bottom"/>
            <w:gridSpan w:val="2"/>
          </w:tcPr>
          <w:p>
            <w:pPr>
              <w:ind w:left="460"/>
              <w:spacing w:after="0"/>
              <w:rPr>
                <w:sz w:val="20"/>
                <w:szCs w:val="20"/>
                <w:color w:val="auto"/>
              </w:rPr>
            </w:pPr>
            <w:r>
              <w:rPr>
                <w:rFonts w:ascii="Arial" w:cs="Arial" w:eastAsia="Arial" w:hAnsi="Arial"/>
                <w:sz w:val="18"/>
                <w:szCs w:val="18"/>
                <w:color w:val="auto"/>
                <w:w w:val="95"/>
              </w:rPr>
              <w:t>per share (or approximately $</w:t>
            </w:r>
          </w:p>
        </w:tc>
        <w:tc>
          <w:tcPr>
            <w:tcW w:w="1280" w:type="dxa"/>
            <w:vAlign w:val="bottom"/>
          </w:tcPr>
          <w:p>
            <w:pPr>
              <w:ind w:left="200"/>
              <w:spacing w:after="0"/>
              <w:rPr>
                <w:sz w:val="20"/>
                <w:szCs w:val="20"/>
                <w:color w:val="auto"/>
              </w:rPr>
            </w:pPr>
            <w:r>
              <w:rPr>
                <w:rFonts w:ascii="Arial" w:cs="Arial" w:eastAsia="Arial" w:hAnsi="Arial"/>
                <w:sz w:val="18"/>
                <w:szCs w:val="18"/>
                <w:color w:val="auto"/>
              </w:rPr>
              <w:t>million, or $</w:t>
            </w:r>
          </w:p>
        </w:tc>
        <w:tc>
          <w:tcPr>
            <w:tcW w:w="7420" w:type="dxa"/>
            <w:vAlign w:val="bottom"/>
            <w:gridSpan w:val="8"/>
          </w:tcPr>
          <w:p>
            <w:pPr>
              <w:ind w:left="200"/>
              <w:spacing w:after="0"/>
              <w:rPr>
                <w:sz w:val="20"/>
                <w:szCs w:val="20"/>
                <w:color w:val="auto"/>
              </w:rPr>
            </w:pPr>
            <w:r>
              <w:rPr>
                <w:rFonts w:ascii="Arial" w:cs="Arial" w:eastAsia="Arial" w:hAnsi="Arial"/>
                <w:sz w:val="18"/>
                <w:szCs w:val="18"/>
                <w:color w:val="auto"/>
                <w:w w:val="96"/>
              </w:rPr>
              <w:t>per share if the overallotment option is fully exercised) of the sales load in connection with this</w:t>
            </w:r>
          </w:p>
        </w:tc>
      </w:tr>
    </w:tbl>
    <w:p>
      <w:pPr>
        <w:ind w:left="460" w:right="320"/>
        <w:spacing w:after="0" w:line="261" w:lineRule="auto"/>
        <w:rPr>
          <w:sz w:val="20"/>
          <w:szCs w:val="20"/>
          <w:color w:val="auto"/>
        </w:rPr>
      </w:pPr>
      <w:r>
        <w:rPr>
          <w:rFonts w:ascii="Arial" w:cs="Arial" w:eastAsia="Arial" w:hAnsi="Arial"/>
          <w:sz w:val="18"/>
          <w:szCs w:val="18"/>
          <w:color w:val="auto"/>
        </w:rPr>
        <w:t>offering, which is not reflected in the above table. All other expenses of the offering, including the sales load not paid by our investment adviser will be borne by 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granted an option to the underwriters to purchase up to 705,000 additional shares at the public offering price less the underwriting discount solely to cover overallotments. The underwriters may exercise this overallotment option for 30 days from the date of this prospectus supplement.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90 days after the date of this prospectus without first obtaining the written consent of Morgan Stanley &amp; Co. LLC.</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2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“PFLT.”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the Company and may provide from time to time in the future in the ordinary course of their business certain commercial banking, financial advisory, investment banking and other services to us for which they received or will receive customary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us or any of our portfolio companies.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Affiliates of certain of the underwriters may serve as lenders under any future credit facility. Some of the underwriters and their affiliates were underwriters in connection with our initial public offering and subsequent follow-on equity offerings for which they received customary fees.</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The principal business addresses of the underwriters are: Morgan Stanley &amp; Co. LLC, 1585 Broadway, New York, NY 10036; J.P. Morgan Securities LLC, 383 Madison Avenue, New York, NY 10179; Keefe, Bruyette &amp; Woods, Inc., 787 Seventh Avenue, 4 </w:t>
      </w:r>
      <w:r>
        <w:rPr>
          <w:rFonts w:ascii="Arial" w:cs="Arial" w:eastAsia="Arial" w:hAnsi="Arial"/>
          <w:sz w:val="10"/>
          <w:szCs w:val="10"/>
          <w:color w:val="auto"/>
        </w:rPr>
        <w:t>th</w:t>
      </w:r>
      <w:r>
        <w:rPr>
          <w:rFonts w:ascii="Arial" w:cs="Arial" w:eastAsia="Arial" w:hAnsi="Arial"/>
          <w:sz w:val="16"/>
          <w:szCs w:val="16"/>
          <w:color w:val="auto"/>
        </w:rPr>
        <w:t xml:space="preserve"> Floor, New York, NY 10019.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prospectus does not constitute an issue prospectus pursuant to Article 652a or Article 1156 of the Swiss Code of Obligations (“CO”) and the shares will not be listed on the SIX Swiss Exchange. Therefore,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80" w:firstLine="443"/>
        <w:spacing w:after="0" w:line="268"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20" w:firstLine="443"/>
        <w:spacing w:after="0" w:line="298" w:lineRule="auto"/>
        <w:tabs>
          <w:tab w:leader="none" w:pos="11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offering will be passed upon for the underwriters by Fried, Frank, Harris, Shriver &amp; Jacobson LLP, New York, NY.</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75105" cy="317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751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6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$150,000,000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53 of this prospectus for more information.</w:t>
      </w:r>
    </w:p>
    <w:p>
      <w:pPr>
        <w:spacing w:after="0" w:line="4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“PFLT.” The last reported closing price for our common stock on July 1, 2013 was $14.22 per share, and our net asset value on March 31, 2013 was $14.10 per share.</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86995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0"/>
          <w:szCs w:val="20"/>
          <w:color w:val="auto"/>
        </w:rPr>
      </w:pPr>
    </w:p>
    <w:p>
      <w:pPr>
        <w:ind w:right="24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3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Prospectus dated July 5, 2013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0" w:type="dxa"/>
            <w:vAlign w:val="bottom"/>
            <w:gridSpan w:val="32"/>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32"/>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960" w:type="dxa"/>
            <w:vAlign w:val="bottom"/>
            <w:gridSpan w:val="21"/>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USE OF PROCEEDS</w:t>
              </w:r>
            </w:hyperlink>
          </w:p>
        </w:tc>
        <w:tc>
          <w:tcPr>
            <w:tcW w:w="8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SELECTED FINANCIAL DATA</w:t>
              </w:r>
            </w:hyperlink>
          </w:p>
        </w:tc>
        <w:tc>
          <w:tcPr>
            <w:tcW w:w="86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SENIOR SECURITIES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PRICE RANGE OF COMMON STOCK</w:t>
              </w:r>
            </w:hyperlink>
          </w:p>
        </w:tc>
        <w:tc>
          <w:tcPr>
            <w:tcW w:w="81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SALES OF COMMON STOCK BELOW NET ASSET VALUE</w:t>
              </w:r>
            </w:hyperlink>
          </w:p>
        </w:tc>
        <w:tc>
          <w:tcPr>
            <w:tcW w:w="6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DISTRIBUTIONS</w:t>
              </w:r>
            </w:hyperlink>
          </w:p>
        </w:tc>
        <w:tc>
          <w:tcPr>
            <w:tcW w:w="9660" w:type="dxa"/>
            <w:vAlign w:val="bottom"/>
            <w:gridSpan w:val="2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BUSINESS</w:t>
              </w:r>
            </w:hyperlink>
          </w:p>
        </w:tc>
        <w:tc>
          <w:tcPr>
            <w:tcW w:w="1016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PORTFOLIO COMPANIES</w:t>
              </w:r>
            </w:hyperlink>
          </w:p>
        </w:tc>
        <w:tc>
          <w:tcPr>
            <w:tcW w:w="75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7">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0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CONTROL PERSONS AND PRINCIPAL STOCKHOLDERS</w:t>
              </w:r>
            </w:hyperlink>
          </w:p>
        </w:tc>
        <w:tc>
          <w:tcPr>
            <w:tcW w:w="65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CERTAIN RELATIONSHIPS AND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0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126">
              <w:r>
                <w:rPr>
                  <w:rFonts w:ascii="Arial" w:cs="Arial" w:eastAsia="Arial" w:hAnsi="Arial"/>
                  <w:sz w:val="18"/>
                  <w:szCs w:val="18"/>
                  <w:color w:val="0000EE"/>
                  <w:w w:val="96"/>
                </w:rPr>
                <w:t>DIVIDEND REINVESTMENT PLAN</w:t>
              </w:r>
            </w:hyperlink>
          </w:p>
        </w:tc>
        <w:tc>
          <w:tcPr>
            <w:tcW w:w="82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27">
              <w:r>
                <w:rPr>
                  <w:rFonts w:ascii="Arial" w:cs="Arial" w:eastAsia="Arial" w:hAnsi="Arial"/>
                  <w:sz w:val="18"/>
                  <w:szCs w:val="18"/>
                  <w:color w:val="0000EE"/>
                  <w:w w:val="92"/>
                </w:rPr>
                <w:t>DESCRIPTION OF OUR CAPITAL STOCK</w:t>
              </w:r>
            </w:hyperlink>
          </w:p>
        </w:tc>
        <w:tc>
          <w:tcPr>
            <w:tcW w:w="77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DESCRIPTION OF OUR WARRANTS</w:t>
              </w:r>
            </w:hyperlink>
          </w:p>
        </w:tc>
        <w:tc>
          <w:tcPr>
            <w:tcW w:w="75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DESCRIPTION OF OUR SUBSCRIPTION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50">
              <w:r>
                <w:rPr>
                  <w:rFonts w:ascii="Arial" w:cs="Arial" w:eastAsia="Arial" w:hAnsi="Arial"/>
                  <w:sz w:val="18"/>
                  <w:szCs w:val="18"/>
                  <w:color w:val="0000EE"/>
                  <w:w w:val="93"/>
                </w:rPr>
                <w:t>REGULATION</w:t>
              </w:r>
            </w:hyperlink>
          </w:p>
        </w:tc>
        <w:tc>
          <w:tcPr>
            <w:tcW w:w="9880" w:type="dxa"/>
            <w:vAlign w:val="bottom"/>
            <w:gridSpan w:val="3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155">
              <w:r>
                <w:rPr>
                  <w:rFonts w:ascii="Arial" w:cs="Arial" w:eastAsia="Arial" w:hAnsi="Arial"/>
                  <w:sz w:val="18"/>
                  <w:szCs w:val="18"/>
                  <w:color w:val="0000EE"/>
                  <w:w w:val="93"/>
                </w:rPr>
                <w:t>BROKERAGE ALLOCATIONS AND OTHER PRACTICES</w:t>
              </w:r>
            </w:hyperlink>
          </w:p>
        </w:tc>
        <w:tc>
          <w:tcPr>
            <w:tcW w:w="66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56">
              <w:r>
                <w:rPr>
                  <w:rFonts w:ascii="Arial" w:cs="Arial" w:eastAsia="Arial" w:hAnsi="Arial"/>
                  <w:sz w:val="18"/>
                  <w:szCs w:val="18"/>
                  <w:color w:val="0000EE"/>
                  <w:w w:val="94"/>
                </w:rPr>
                <w:t>MATERIAL U.S. FEDERAL INCOME TAX CONSIDERATIONS</w:t>
              </w:r>
            </w:hyperlink>
          </w:p>
        </w:tc>
        <w:tc>
          <w:tcPr>
            <w:tcW w:w="62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LEGAL MATTERS</w:t>
              </w:r>
            </w:hyperlink>
          </w:p>
        </w:tc>
        <w:tc>
          <w:tcPr>
            <w:tcW w:w="52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4"/>
              </w:rPr>
            </w:pPr>
            <w:hyperlink w:anchor="page165">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3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$150,000,000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180" w:firstLine="443"/>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20" w:lineRule="exact"/>
        <w:rPr>
          <w:sz w:val="20"/>
          <w:szCs w:val="20"/>
          <w:color w:val="auto"/>
        </w:rPr>
      </w:pPr>
    </w:p>
    <w:p>
      <w:pPr>
        <w:ind w:left="200" w:right="160" w:firstLine="443"/>
        <w:spacing w:after="0" w:line="298"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as amended, or the Credit Facility, proceeds from the rotation of our portfolio and proceeds from public and private offerings of securities to finance our investment objectives.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60" w:firstLine="443"/>
        <w:spacing w:after="0" w:line="306"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regulated investment company, or RIC, under the Internal Revenue Code of 1986, as amended, or the Code.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$1.7 billion in debt and equity capital and has invested approximately $2.5 billion in 244 companies with 110 different financial sponsors through its managed funds.</w:t>
      </w:r>
    </w:p>
    <w:p>
      <w:pPr>
        <w:spacing w:after="0" w:line="120"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180" w:firstLine="443"/>
        <w:spacing w:after="0" w:line="291" w:lineRule="auto"/>
        <w:rPr>
          <w:sz w:val="20"/>
          <w:szCs w:val="20"/>
          <w:color w:val="auto"/>
        </w:rPr>
      </w:pPr>
      <w:r>
        <w:rPr>
          <w:rFonts w:ascii="Arial" w:cs="Arial" w:eastAsia="Arial" w:hAnsi="Arial"/>
          <w:sz w:val="16"/>
          <w:szCs w:val="16"/>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420" w:firstLine="443"/>
        <w:spacing w:after="0" w:line="323" w:lineRule="auto"/>
        <w:rPr>
          <w:sz w:val="20"/>
          <w:szCs w:val="20"/>
          <w:color w:val="auto"/>
        </w:rPr>
      </w:pPr>
      <w:r>
        <w:rPr>
          <w:rFonts w:ascii="Arial" w:cs="Arial" w:eastAsia="Arial" w:hAnsi="Arial"/>
          <w:sz w:val="15"/>
          <w:szCs w:val="15"/>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0" w:firstLine="443"/>
        <w:spacing w:after="0" w:line="254"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44" w:lineRule="exact"/>
        <w:rPr>
          <w:sz w:val="20"/>
          <w:szCs w:val="20"/>
          <w:color w:val="auto"/>
        </w:rPr>
      </w:pPr>
    </w:p>
    <w:p>
      <w:pPr>
        <w:jc w:val="both"/>
        <w:ind w:left="200" w:right="80" w:firstLine="443"/>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 Relating to our Business and Structure—We operate in a highly competitive market for investment opportunities”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maintain a $125 million Credit Facility, which matures in May 2018, with SunTrust Bank, or the Lender. During the Credit Facility’s period to and including May 14, 2016, or the revolving period, it bears interest at LIBOR plus 200 basis points, and after the revolving period, the rate sets to LIBOR plus 425 basis points for the remaining two years. The Credit Facility is secured by all of the assets held by Funding I, under which we had $34.2 million outstanding with an annual interest rate of 2.21%, excluding the undrawn commitment fee of 0.375%, as of March 31, 2013.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Operations—Liquidity and Capital Resources”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3"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jc w:val="both"/>
        <w:ind w:left="200" w:right="40" w:firstLine="44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March 31, 2013, the corresponding interest rate charged on such borrowings as of that date and the length of time that it may take us to invest any proceeds in new or existing portfolio companies.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On April 8, 2013, we sold an additional 450,000 shares of common stock pursuant to the exercise of the underwriters’ overallotment option that we granted in our March 2013 equity offering at a public offering price of $14.00 per share, generating gross proceeds of $6.3 million. Our Investment Adviser paid the entire sales load of $0.2 million in connection with the sale of these shares.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We intend to continue our monthly distributions to our common stockholders. Our monthly distributions, if any, are determined by our board of directors. See “Distributions” and “Price Range of Common Stock”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60" w:firstLine="44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200" w:right="300" w:firstLine="443"/>
        <w:spacing w:after="0" w:line="268" w:lineRule="auto"/>
        <w:rPr>
          <w:sz w:val="20"/>
          <w:szCs w:val="20"/>
          <w:color w:val="auto"/>
        </w:rPr>
      </w:pPr>
      <w:r>
        <w:rPr>
          <w:rFonts w:ascii="Arial" w:cs="Arial" w:eastAsia="Arial" w:hAnsi="Arial"/>
          <w:sz w:val="18"/>
          <w:szCs w:val="18"/>
          <w:color w:val="auto"/>
        </w:rPr>
        <w:t>We may offer, from time to time, up to $150 million of our securities, on terms to be determined at the time of each such offering and set forth in a supplement to this prospectus.</w:t>
      </w:r>
    </w:p>
    <w:p>
      <w:pPr>
        <w:spacing w:after="0" w:line="132" w:lineRule="exact"/>
        <w:rPr>
          <w:sz w:val="20"/>
          <w:szCs w:val="20"/>
          <w:color w:val="auto"/>
        </w:rPr>
      </w:pPr>
    </w:p>
    <w:p>
      <w:pPr>
        <w:ind w:left="200" w:right="340" w:firstLine="443"/>
        <w:spacing w:after="0" w:line="306"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4650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24650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298" w:lineRule="auto"/>
        <w:rPr>
          <w:sz w:val="20"/>
          <w:szCs w:val="20"/>
          <w:color w:val="auto"/>
        </w:rPr>
      </w:pPr>
      <w:r>
        <w:rPr>
          <w:rFonts w:ascii="Arial" w:cs="Arial" w:eastAsia="Arial" w:hAnsi="Arial"/>
          <w:sz w:val="16"/>
          <w:szCs w:val="16"/>
          <w:color w:val="auto"/>
        </w:rPr>
        <w:t>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3" w:lineRule="exact"/>
        <w:rPr>
          <w:sz w:val="20"/>
          <w:szCs w:val="20"/>
          <w:color w:val="auto"/>
        </w:rPr>
      </w:pPr>
    </w:p>
    <w:p>
      <w:pPr>
        <w:jc w:val="both"/>
        <w:ind w:left="200" w:right="20" w:firstLine="443"/>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or any supplements to this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Sales load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Management fees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(4)</w:t>
            </w: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(7)</w:t>
            </w:r>
          </w:p>
        </w:tc>
      </w:tr>
      <w:tr>
        <w:trPr>
          <w:trHeight w:val="221"/>
        </w:trPr>
        <w:tc>
          <w:tcPr>
            <w:tcW w:w="10360" w:type="dxa"/>
            <w:vAlign w:val="bottom"/>
          </w:tcPr>
          <w:p>
            <w:pPr>
              <w:spacing w:after="0"/>
              <w:rPr>
                <w:sz w:val="20"/>
                <w:szCs w:val="20"/>
                <w:color w:val="auto"/>
              </w:rPr>
            </w:pPr>
            <w:r>
              <w:rPr>
                <w:rFonts w:ascii="Arial" w:cs="Arial" w:eastAsia="Arial" w:hAnsi="Arial"/>
                <w:sz w:val="18"/>
                <w:szCs w:val="18"/>
                <w:b w:val="1"/>
                <w:bCs w:val="1"/>
                <w:color w:val="auto"/>
              </w:rPr>
              <w:t>Total estimated annual expenses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7.64</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6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ind w:left="460" w:right="2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March 31, 2013.</w:t>
      </w:r>
    </w:p>
    <w:p>
      <w:pPr>
        <w:spacing w:after="0" w:line="9" w:lineRule="exact"/>
        <w:rPr>
          <w:rFonts w:ascii="Arial" w:cs="Arial" w:eastAsia="Arial" w:hAnsi="Arial"/>
          <w:sz w:val="18"/>
          <w:szCs w:val="18"/>
          <w:color w:val="auto"/>
        </w:rPr>
      </w:pPr>
    </w:p>
    <w:p>
      <w:pPr>
        <w:ind w:left="460" w:right="9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March 31, 2013. See “Certain Relationships and Transactions—Investment Management Agreement” for more information.</w:t>
      </w:r>
    </w:p>
    <w:p>
      <w:pPr>
        <w:ind w:left="460" w:right="6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and payable under our Investment Management Agreement during the three months ended March 31,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2013, our unrealized capital gains exceeded our cumulative realized and unrealized capital losses and we accrued a capital gains incentive fee of $0.3 million in accordance with U.S. generally accepted accounting principles, or GAAP. However, “Incentive fees” includes an accrual for capital gains incentive fee for the three months ended March 31, 2013 even though no capital gains incentive fee was payable under our Investment Management Agreement as of March 31, 2013. As we cannot predict our future net investment income or capital gains, the incentive fee paid in future periods, if any, may be substantially different than the fee earned during the three months ended March 31, 2013, and we cannot assure you that we will recognize capital gains for the calendar year ending December 31, 2013 in amounts consistent with the accrual for the same period. For more detailed information about the incentive fee, please see “Certain Relationships and Transactions—Investment Management Agreement” for more information.</w:t>
      </w:r>
    </w:p>
    <w:p>
      <w:pPr>
        <w:spacing w:after="0" w:line="9"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March 31, 2013, we had $34.2 million in borrowings outstanding under our $125.0 million Credit Facility. We may use proceeds of an offering of securities under this registration statement to repay outstanding obligations under our Credit Facility. After completing any such offering, we may continue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2" w:lineRule="auto"/>
        <w:rPr>
          <w:sz w:val="20"/>
          <w:szCs w:val="20"/>
          <w:color w:val="auto"/>
        </w:rPr>
      </w:pPr>
      <w:r>
        <w:rPr>
          <w:rFonts w:ascii="Arial" w:cs="Arial" w:eastAsia="Arial" w:hAnsi="Arial"/>
          <w:sz w:val="18"/>
          <w:szCs w:val="18"/>
          <w:color w:val="auto"/>
        </w:rPr>
        <w:t>borrow under our Credit Facility to finance our investment objectives. We have estimated the annual interest expense on borrowed funds, which includes actual (unannualized) amendment costs incurred in connection with amending our Credit Facility, and caution you that our actual interest expense will depend on prevailing interest rates and our rate of borrowing, which may be substantially higher than the estimate provided in this table. See “Risk Factors —Risks Relating To Our Business and Structure—We currently use borrowed funds to make investments and are exposed to the typical risks associated with leverage” for more information.</w:t>
      </w:r>
    </w:p>
    <w:p>
      <w:pPr>
        <w:ind w:left="460" w:right="54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2013 annualized for a full year. See the Consolidated Statement of Operations in our Consolidated Financial Statements.</w:t>
      </w:r>
    </w:p>
    <w:p>
      <w:pPr>
        <w:spacing w:after="0" w:line="2" w:lineRule="exact"/>
        <w:rPr>
          <w:rFonts w:ascii="Arial" w:cs="Arial" w:eastAsia="Arial" w:hAnsi="Arial"/>
          <w:sz w:val="16"/>
          <w:szCs w:val="16"/>
          <w:color w:val="auto"/>
        </w:rPr>
      </w:pPr>
    </w:p>
    <w:p>
      <w:pPr>
        <w:ind w:left="460" w:right="180" w:hanging="452"/>
        <w:spacing w:after="0" w:line="29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38 of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0.83%, (2) total net annual expenses of 5.59%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9"/>
              </w:rPr>
              <w:t>10 years</w:t>
            </w:r>
          </w:p>
        </w:tc>
      </w:tr>
      <w:tr>
        <w:trPr>
          <w:trHeight w:val="210"/>
        </w:trPr>
        <w:tc>
          <w:tcPr>
            <w:tcW w:w="8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1"/>
                <w:shd w:val="clear" w:color="auto" w:fill="CCEEFF"/>
              </w:rPr>
              <w:t>You would pay the following expenses on a $1,000 common stock investment, assuming a 5% annual return</w:t>
            </w:r>
            <w:r>
              <w:rPr>
                <w:rFonts w:ascii="Arial" w:cs="Arial" w:eastAsia="Arial" w:hAnsi="Arial"/>
                <w:sz w:val="11"/>
                <w:szCs w:val="11"/>
                <w:color w:val="auto"/>
                <w:w w:val="91"/>
                <w:shd w:val="clear" w:color="auto" w:fill="CCEEFF"/>
              </w:rPr>
              <w:t>(1)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shd w:val="clear" w:color="auto" w:fill="CCEEFF"/>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92</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$ 198</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$ 303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560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060" w:type="dxa"/>
            <w:vAlign w:val="bottom"/>
          </w:tcPr>
          <w:p>
            <w:pPr>
              <w:spacing w:after="0"/>
              <w:rPr>
                <w:sz w:val="20"/>
                <w:szCs w:val="20"/>
                <w:color w:val="auto"/>
              </w:rPr>
            </w:pPr>
            <w:r>
              <w:rPr>
                <w:rFonts w:ascii="Arial" w:cs="Arial" w:eastAsia="Arial" w:hAnsi="Arial"/>
                <w:sz w:val="18"/>
                <w:szCs w:val="18"/>
                <w:color w:val="auto"/>
                <w:w w:val="91"/>
              </w:rPr>
              <w:t>You would pay the following expenses on a $1,000 common stock investment, assuming a 5% annual return</w:t>
            </w:r>
            <w:r>
              <w:rPr>
                <w:rFonts w:ascii="Arial" w:cs="Arial" w:eastAsia="Arial" w:hAnsi="Arial"/>
                <w:sz w:val="11"/>
                <w:szCs w:val="11"/>
                <w:color w:val="auto"/>
                <w:w w:val="91"/>
              </w:rPr>
              <w:t>(2)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101</w:t>
            </w:r>
          </w:p>
        </w:tc>
        <w:tc>
          <w:tcPr>
            <w:tcW w:w="420" w:type="dxa"/>
            <w:vAlign w:val="bottom"/>
          </w:tcPr>
          <w:p>
            <w:pPr>
              <w:spacing w:after="0"/>
              <w:rPr>
                <w:sz w:val="20"/>
                <w:szCs w:val="20"/>
                <w:color w:val="auto"/>
              </w:rPr>
            </w:pPr>
            <w:r>
              <w:rPr>
                <w:rFonts w:ascii="Arial" w:cs="Arial" w:eastAsia="Arial" w:hAnsi="Arial"/>
                <w:sz w:val="18"/>
                <w:szCs w:val="18"/>
                <w:color w:val="auto"/>
                <w:w w:val="88"/>
              </w:rPr>
              <w:t>$ 224</w:t>
            </w:r>
          </w:p>
        </w:tc>
        <w:tc>
          <w:tcPr>
            <w:tcW w:w="42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$ 343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624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Assumes that we will not realize any capital gains computed net of all realized capital losses and unrealized capital appreciation and depreciation.</w:t>
      </w:r>
    </w:p>
    <w:p>
      <w:pPr>
        <w:spacing w:after="0" w:line="38" w:lineRule="exact"/>
        <w:rPr>
          <w:rFonts w:ascii="Arial" w:cs="Arial" w:eastAsia="Arial" w:hAnsi="Arial"/>
          <w:sz w:val="16"/>
          <w:szCs w:val="16"/>
          <w:color w:val="auto"/>
        </w:rPr>
      </w:pPr>
    </w:p>
    <w:p>
      <w:pPr>
        <w:ind w:left="460" w:right="10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Assumes no unrealized capital appreciation or depreciation and 5% annual return resulting entirely from net realized capital gains (and therefore subject to the capital gains incentive fee).</w:t>
      </w:r>
    </w:p>
    <w:p>
      <w:pPr>
        <w:spacing w:after="0" w:line="13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have a material adverse effect on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including the recent U.S. government spending cuts that took effect March 1, 2013,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our asset coverage, as defined in the 1940 Act, which we refer to as the asset coverage ratio. Declining portfolio values negatively impact our ability to borrow additional funds under our Credit Facility because our net asset value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22"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valuation of our portfolio companies. Negative credit events will lead to a decrease in the fair value of our portfolio companies.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current market conditions have affected consumer confidence levels, which may harm the business of our portfolio companies and result in adverse changes in payment patterns. If interest rates rise, some of our portfolio companies may not be able to pay the escalating interest on our loans and may default. Increased delinquencies and default rates would negatively impact our results of operations. Deterioration in the quality of our credit portfolio could have a material adverse effect on our business, financial condition and results of operations.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investments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investments. Deterioration in a borrower’s financial condition and prospects may be accompanied by deterioration in any related collateral and may have a material adverse effect on our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the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depend on our ability to manage future growth effectively.</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that are lower than the rates we offer. We may lose investment opportunities if we do not match our competitors’ pricing, terms and structure.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if we match our competitors’ pricing, terms and structure, we may experience decreased net interest income and increased risk of credit loss.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replicate the historical performance of other investment companies with which our investment professionals have been affiliated.</w:t>
      </w:r>
    </w:p>
    <w:p>
      <w:pPr>
        <w:spacing w:after="0" w:line="11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status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original issue discount, or OID, or contractual payment-in-kind, or PIK, interest, which represents interest added to the loan balance and due at the end of the loan term. OID, which could be significant relative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91" w:lineRule="exact"/>
        <w:rPr>
          <w:sz w:val="20"/>
          <w:szCs w:val="20"/>
          <w:color w:val="auto"/>
        </w:rPr>
      </w:pPr>
    </w:p>
    <w:p>
      <w:pPr>
        <w:jc w:val="both"/>
        <w:ind w:right="48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60" w:firstLine="456"/>
        <w:spacing w:after="0" w:line="290"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waivers and if Funding I is unable to obtain a waiver, compliance with the covenants may result in a corporate-level income tax on us.</w:t>
      </w:r>
    </w:p>
    <w:p>
      <w:pPr>
        <w:spacing w:after="0" w:line="188" w:lineRule="exact"/>
        <w:rPr>
          <w:sz w:val="20"/>
          <w:szCs w:val="20"/>
          <w:color w:val="auto"/>
        </w:rPr>
      </w:pPr>
    </w:p>
    <w:p>
      <w:pPr>
        <w:jc w:val="center"/>
        <w:ind w:right="360"/>
        <w:spacing w:after="0"/>
        <w:rPr>
          <w:sz w:val="20"/>
          <w:szCs w:val="20"/>
          <w:color w:val="auto"/>
        </w:rPr>
      </w:pPr>
      <w:r>
        <w:rPr>
          <w:rFonts w:ascii="Arial" w:cs="Arial" w:eastAsia="Arial" w:hAnsi="Arial"/>
          <w:sz w:val="15"/>
          <w:szCs w:val="15"/>
          <w:b w:val="1"/>
          <w:bCs w:val="1"/>
          <w:color w:val="auto"/>
        </w:rPr>
        <w:t>Regulations governing our operation as a business development company will affect our ability to, and the way in which we, raise additional capital.</w:t>
      </w:r>
    </w:p>
    <w:p>
      <w:pPr>
        <w:spacing w:after="0" w:line="13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additional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permissable under the asset coverage definition under the 1940 Act. Our ability to pay dividends or issue additional senior securities would be restricted if our asset coverage were not met. If the value of our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4" w:lineRule="exact"/>
        <w:rPr>
          <w:sz w:val="20"/>
          <w:szCs w:val="20"/>
          <w:color w:val="auto"/>
        </w:rPr>
      </w:pPr>
    </w:p>
    <w:p>
      <w:pPr>
        <w:ind w:left="900" w:hanging="446"/>
        <w:spacing w:after="0" w:line="291"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 risk of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39" w:lineRule="exact"/>
        <w:rPr>
          <w:rFonts w:ascii="Arial" w:cs="Arial" w:eastAsia="Arial" w:hAnsi="Arial"/>
          <w:sz w:val="16"/>
          <w:szCs w:val="16"/>
          <w:color w:val="auto"/>
        </w:rPr>
      </w:pPr>
    </w:p>
    <w:p>
      <w:pPr>
        <w:ind w:left="900" w:right="20" w:hanging="446"/>
        <w:spacing w:after="0" w:line="28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on Form N-2, we must then be qualified to register our securities under the requirements of Form S-3. We may actually issue shares above or below a future net asset value. If we raise additional funds by issuing more common stock or warrants or senior securities convertible into, or exchangeable for, our common stock, the percentage ownership of our common stockholders at that time would decrease, and our common stockholders may experience voting dilution.</w:t>
      </w:r>
    </w:p>
    <w:p>
      <w:pPr>
        <w:spacing w:after="0" w:line="39"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met, and any amounts that we use to service our indebtedness are not available for distribution to our common stockholders.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Funding I may fail to meet certain asset coverage tests, which would have an adverse effect on the timing of payments to us, or otherwise fail to satisfy various covenants.</w:t>
      </w:r>
    </w:p>
    <w:p>
      <w:pPr>
        <w:spacing w:after="0" w:line="4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6"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to retain our status as a BDC;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net asset value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have priority over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March 31, 2013, we had outstanding borrowings of $34.2 million under our Credit Facility with a weighted average annual interest rate of 2.21% exclusive of the fees on the undrawn commitment of 0.375%. Accordingly, to cover the annual interest on our borrowings outstanding at March 31, 2013, at the then current rate, we would have to receive an annual yield of at least 0.42%. This example is for illustrative purposes only, and actual interest rates on our Credit Facility or any future borrowings are likely to fluctuate. The costs associated with our borrowings, including any increase in the management fee payable to our Investment Adviser, are and will be borne by our common stockholders.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March 31, 2013 of 18% of total assets (including such borrowed funds), at a weighted average rate at the time of 2.21%, and assuming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20" w:type="dxa"/>
            <w:vAlign w:val="bottom"/>
          </w:tcPr>
          <w:p>
            <w:pPr>
              <w:jc w:val="right"/>
              <w:ind w:right="92"/>
              <w:spacing w:after="0"/>
              <w:rPr>
                <w:sz w:val="20"/>
                <w:szCs w:val="20"/>
                <w:color w:val="auto"/>
              </w:rPr>
            </w:pPr>
            <w:r>
              <w:rPr>
                <w:rFonts w:ascii="Arial" w:cs="Arial" w:eastAsia="Arial" w:hAnsi="Arial"/>
                <w:sz w:val="18"/>
                <w:szCs w:val="18"/>
                <w:color w:val="auto"/>
              </w:rPr>
              <w:t>(14.1)%</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(7.3)%</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6.2%</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interests in Funding I are subordinated.</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receive cash on our equity interests from Funding I.</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9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issue preferred stock, debt securities or convertible debt securities the net asset value and market value of our common stock may become more volatile.</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debt securities and/or convertible debt or of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and/or convertible debt. In addition, we would pay (and the holders of our common stock would bear) all costs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expenses relating to the issuance and ongoing maintenance of the preferred stock, debt securities and/or convertible debt. Holders of preferred stock, debt securities and/or convertible debt may have different interests than holders of common stock and may at times have disproportionate influence over our affairs.</w:t>
      </w:r>
    </w:p>
    <w:p>
      <w:pPr>
        <w:spacing w:after="0" w:line="13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Ltd.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 license agreement, or the Licence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ability to sell investments held by Funding I is limited.</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Credit Facility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or convertible debt may be volatile.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we publicly issue debt securities or convertible debt,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6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credit ratings, if any, are an assessment of our ability to pay our obligations. Consequently, real or anticipated changes in our credit ratings will generally affect the market value of any publicly issued debt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securities. Our credit ratings, however, may not reflect the potential impact of risks related to market conditions generally or other factors discussed above on the market value of, or trading market for, any publicly issued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have a material adverse effect on the return on any debt securities.</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18"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March 31, 2013, all of our investments were recorded at fair value as approved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acquire our investments directly from the issuer in privately negotiated transactions. Substantially all of these securities are subject to legal and other restrictions on resale or are otherwise less liquid than publicly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traded securities. We typically exit our investments when the portfolio company has a liquidity event such as a sale, refinancing, or initial public offering of the company, but we are not required to do so.</w:t>
      </w:r>
    </w:p>
    <w:p>
      <w:pPr>
        <w:spacing w:after="0" w:line="13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rely in part on our over-the-counter securities, which faced liquidity constraints under recent market conditions, to provide us with additional liquidity.</w:t>
      </w:r>
    </w:p>
    <w:p>
      <w:pPr>
        <w:spacing w:after="0" w:line="4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invest primarily in Floating Rate Loans issued by U.S. middle-market companies.</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i w:val="1"/>
          <w:iCs w:val="1"/>
          <w:color w:val="auto"/>
        </w:rPr>
        <w:t>Floating Rate Loans</w:t>
      </w:r>
      <w:r>
        <w:rPr>
          <w:rFonts w:ascii="Arial" w:cs="Arial" w:eastAsia="Arial" w:hAnsi="Arial"/>
          <w:sz w:val="16"/>
          <w:szCs w:val="16"/>
          <w:color w:val="auto"/>
        </w:rPr>
        <w:t>. The Floating Rate Loans we invest in are usually rated below investment grade or may also be unrated. Investments in Floating</w:t>
      </w:r>
      <w:r>
        <w:rPr>
          <w:rFonts w:ascii="Arial" w:cs="Arial" w:eastAsia="Arial" w:hAnsi="Arial"/>
          <w:sz w:val="16"/>
          <w:szCs w:val="16"/>
          <w:i w:val="1"/>
          <w:iCs w:val="1"/>
          <w:color w:val="auto"/>
        </w:rPr>
        <w:t xml:space="preserve"> </w:t>
      </w:r>
      <w:r>
        <w:rPr>
          <w:rFonts w:ascii="Arial" w:cs="Arial" w:eastAsia="Arial" w:hAnsi="Arial"/>
          <w:sz w:val="16"/>
          <w:szCs w:val="16"/>
          <w:color w:val="auto"/>
        </w:rPr>
        <w:t>Rate Loans rated below 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98" w:lineRule="auto"/>
        <w:rPr>
          <w:sz w:val="20"/>
          <w:szCs w:val="20"/>
          <w:color w:val="auto"/>
        </w:rPr>
      </w:pPr>
      <w:r>
        <w:rPr>
          <w:rFonts w:ascii="Arial" w:cs="Arial" w:eastAsia="Arial" w:hAnsi="Arial"/>
          <w:sz w:val="16"/>
          <w:szCs w:val="16"/>
          <w:color w:val="auto"/>
        </w:rPr>
        <w:t>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59" w:lineRule="exact"/>
        <w:rPr>
          <w:sz w:val="20"/>
          <w:szCs w:val="20"/>
          <w:color w:val="auto"/>
        </w:rPr>
      </w:pPr>
    </w:p>
    <w:p>
      <w:pPr>
        <w:ind w:left="9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00" w:firstLine="456"/>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most of our debt and equity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materially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1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stockholders to bear investment advisory fees and other expenses on such investments in addition to our management fees and expenses.</w:t>
      </w:r>
    </w:p>
    <w:p>
      <w:pPr>
        <w:spacing w:after="0" w:line="45"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securities may involve significant risks in addition to the risks inherent in U.S. investments.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any offering of our securities in ways with which you may not agree.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Shares of BDC’s may trade at a market price that is less than the net asset value that is attributable to those shares. Our shares may trade above and below our net asset value, or NAV. Our shares traded on the NASDAQ Global Select Market at $13.96 and $12.67 as of March 31, 2013 and September 30, 2012, respectively. Our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NAV was $14.10 and $13.98 as of March 31,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19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taxes in excess of the cash they receive.</w:t>
      </w:r>
    </w:p>
    <w:p>
      <w:pPr>
        <w:spacing w:after="0" w:line="4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 Oxley Act, and other rules implemented by the SEC and the listing standards of the NASDAQ Stock Market LLC.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31, 2013, we had $34.2 million in borrowings outstanding under our $125.0 million Credit Facility. Borrowings under our Credit Facility bear interest at LIBOR plus 200 basis points per annum during the revolving period, and the rate resets to LIBOR plus 425 basis points per annum for the remaining two years. At March 31, 2013, the interest rate was 2.21%. The Credit Facility is a revolving facility maturing in May 2018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 ended September 30, 2012, and for the period from March 4, 2011 (commencement of operation)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Interim results as of and for the six months ended March 31, 2013, are not necessarily indicative of the results that may be expected for the year ending September 30, 2013. The unaudited selected financial data for the six months ended March 31, 2013 and 2012, should be read in conjunction with our consolidated financial statements and related notes thereto and “Management’s Discussion and Analysis of Financial Condition and Results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6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6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1"/>
                <w:szCs w:val="11"/>
                <w:b w:val="1"/>
                <w:bCs w:val="1"/>
                <w:color w:val="auto"/>
              </w:rPr>
              <w:t>2013</w:t>
            </w:r>
            <w:r>
              <w:rPr>
                <w:rFonts w:ascii="Arial" w:cs="Arial" w:eastAsia="Arial" w:hAnsi="Arial"/>
                <w:sz w:val="16"/>
                <w:szCs w:val="16"/>
                <w:b w:val="1"/>
                <w:bCs w:val="1"/>
                <w:color w:val="auto"/>
                <w:vertAlign w:val="superscript"/>
              </w:rPr>
              <w:t>(1)</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8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8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  8,103</w:t>
            </w:r>
          </w:p>
        </w:tc>
        <w:tc>
          <w:tcPr>
            <w:tcW w:w="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5,411</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w w:val="99"/>
              </w:rPr>
              <w:t>$   12,099</w:t>
            </w: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after Credit Facility debt issuance and excise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5,789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2,626</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3,725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2,920</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6,310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5,651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4,971</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7,630</w:t>
            </w:r>
          </w:p>
        </w:tc>
        <w:tc>
          <w:tcPr>
            <w:tcW w:w="860" w:type="dxa"/>
            <w:vAlign w:val="bottom"/>
          </w:tcPr>
          <w:p>
            <w:pPr>
              <w:spacing w:after="0"/>
              <w:rPr>
                <w:sz w:val="19"/>
                <w:szCs w:val="19"/>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11,961</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asset value (at period end)</w:t>
            </w:r>
          </w:p>
        </w:tc>
        <w:tc>
          <w:tcPr>
            <w:tcW w:w="680" w:type="dxa"/>
            <w:vAlign w:val="bottom"/>
          </w:tcPr>
          <w:p>
            <w:pPr>
              <w:jc w:val="right"/>
              <w:spacing w:after="0"/>
              <w:rPr>
                <w:sz w:val="20"/>
                <w:szCs w:val="20"/>
                <w:color w:val="auto"/>
              </w:rPr>
            </w:pPr>
            <w:r>
              <w:rPr>
                <w:rFonts w:ascii="Arial" w:cs="Arial" w:eastAsia="Arial" w:hAnsi="Arial"/>
                <w:sz w:val="18"/>
                <w:szCs w:val="18"/>
                <w:color w:val="auto"/>
              </w:rPr>
              <w:t>14.10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14.12</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0.92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0.18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0.69</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(2),(3)</w:t>
            </w:r>
          </w:p>
        </w:tc>
        <w:tc>
          <w:tcPr>
            <w:tcW w:w="680" w:type="dxa"/>
            <w:vAlign w:val="bottom"/>
          </w:tcPr>
          <w:p>
            <w:pPr>
              <w:jc w:val="right"/>
              <w:spacing w:after="0"/>
              <w:rPr>
                <w:sz w:val="20"/>
                <w:szCs w:val="20"/>
                <w:color w:val="auto"/>
              </w:rPr>
            </w:pPr>
            <w:r>
              <w:rPr>
                <w:rFonts w:ascii="Arial" w:cs="Arial" w:eastAsia="Arial" w:hAnsi="Arial"/>
                <w:sz w:val="18"/>
                <w:szCs w:val="18"/>
                <w:color w:val="auto"/>
              </w:rPr>
              <w:t>0.50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0.44</w:t>
            </w:r>
          </w:p>
        </w:tc>
        <w:tc>
          <w:tcPr>
            <w:tcW w:w="860" w:type="dxa"/>
            <w:vAlign w:val="bottom"/>
          </w:tcPr>
          <w:p>
            <w:pPr>
              <w:spacing w:after="0"/>
              <w:rPr>
                <w:sz w:val="19"/>
                <w:szCs w:val="19"/>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Assets and Liabilities data (at period end):</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187,877</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151,174</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178,367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121,075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183,870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146,188</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171,834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Credit Facility payable, at fair value</w:t>
            </w:r>
          </w:p>
        </w:tc>
        <w:tc>
          <w:tcPr>
            <w:tcW w:w="680" w:type="dxa"/>
            <w:vAlign w:val="bottom"/>
          </w:tcPr>
          <w:p>
            <w:pPr>
              <w:jc w:val="right"/>
              <w:spacing w:after="0"/>
              <w:rPr>
                <w:sz w:val="20"/>
                <w:szCs w:val="20"/>
                <w:color w:val="auto"/>
              </w:rPr>
            </w:pPr>
            <w:r>
              <w:rPr>
                <w:rFonts w:ascii="Arial" w:cs="Arial" w:eastAsia="Arial" w:hAnsi="Arial"/>
                <w:sz w:val="18"/>
                <w:szCs w:val="18"/>
                <w:color w:val="auto"/>
              </w:rPr>
              <w:t>34,200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47,561</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75,123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3,358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net asset value</w:t>
            </w:r>
          </w:p>
        </w:tc>
        <w:tc>
          <w:tcPr>
            <w:tcW w:w="680" w:type="dxa"/>
            <w:vAlign w:val="bottom"/>
          </w:tcPr>
          <w:p>
            <w:pPr>
              <w:jc w:val="right"/>
              <w:spacing w:after="0"/>
              <w:rPr>
                <w:sz w:val="20"/>
                <w:szCs w:val="20"/>
                <w:color w:val="auto"/>
              </w:rPr>
            </w:pPr>
            <w:r>
              <w:rPr>
                <w:rFonts w:ascii="Arial" w:cs="Arial" w:eastAsia="Arial" w:hAnsi="Arial"/>
                <w:sz w:val="18"/>
                <w:szCs w:val="18"/>
                <w:color w:val="auto"/>
              </w:rPr>
              <w:t>138,879</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96,722</w:t>
            </w:r>
          </w:p>
        </w:tc>
        <w:tc>
          <w:tcPr>
            <w:tcW w:w="860" w:type="dxa"/>
            <w:vAlign w:val="bottom"/>
          </w:tcPr>
          <w:p>
            <w:pPr>
              <w:spacing w:after="0"/>
              <w:rPr>
                <w:sz w:val="19"/>
                <w:szCs w:val="19"/>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95,744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540" w:type="dxa"/>
            <w:vAlign w:val="bottom"/>
            <w:gridSpan w:val="2"/>
          </w:tcPr>
          <w:p>
            <w:pPr>
              <w:jc w:val="right"/>
              <w:ind w:right="652"/>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15.75%</w:t>
            </w: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29.43%</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(1)</w:t>
            </w:r>
          </w:p>
        </w:tc>
        <w:tc>
          <w:tcPr>
            <w:tcW w:w="1540" w:type="dxa"/>
            <w:vAlign w:val="bottom"/>
            <w:gridSpan w:val="2"/>
          </w:tcPr>
          <w:p>
            <w:pPr>
              <w:jc w:val="right"/>
              <w:ind w:right="65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8.6%</w:t>
            </w: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annualized for a period of less than a year.</w:t>
      </w:r>
    </w:p>
    <w:p>
      <w:pPr>
        <w:spacing w:after="0" w:line="1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the basic weighted average shares outstanding for the respective periods.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Included start-up and organizational costs.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Q2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4,140</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1,666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2,059</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1,540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3,206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1,765</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14.10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13.99</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12.70</w:t>
            </w:r>
          </w:p>
        </w:tc>
      </w:tr>
      <w:tr>
        <w:trPr>
          <w:trHeight w:val="365"/>
        </w:trPr>
        <w:tc>
          <w:tcPr>
            <w:tcW w:w="7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Q4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85"/>
              </w:rPr>
              <w:t>Q3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Q2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3,201</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2,944</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1,544</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1,846</w:t>
            </w: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1,545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1,375</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2,400</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(1,459)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2,980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1,730</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3,944</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4,525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3,105</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13.98</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13.94</w:t>
            </w: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14.12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13.68</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12.67</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11.90</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11.75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10.30</w:t>
            </w:r>
          </w:p>
        </w:tc>
      </w:tr>
      <w:tr>
        <w:trPr>
          <w:trHeight w:val="365"/>
        </w:trPr>
        <w:tc>
          <w:tcPr>
            <w:tcW w:w="7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Q4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1,203</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(4,012)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(2,809)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13.44</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10.55</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5420" w:hanging="5612"/>
        <w:spacing w:after="0" w:line="408" w:lineRule="auto"/>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For the period March 4, 2011 (commencement of operations) to June 30, 2011. 35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instruments bearing a variable rate of interest which may, from time to time, include variable-rate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4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generate revenue in the form of interest income on the debt securities we hold. Capital gains, if any, are recorded on a trade date basis upon existing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OID, commitment, origination, structuring or diligence fees, fees for providing managerial assistance and possibly consulting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primary operating expenses include the payment of a management fee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undrawn commitment fees under our Credit Facility. We bear all other direct or indirect costs and expenses of our operations and transactions, including:</w:t>
      </w:r>
    </w:p>
    <w:p>
      <w:pPr>
        <w:spacing w:after="0" w:line="18"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76"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14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SEC requires that “Total Estimated Annual Expenses” be calculated as a percentage of average net assets in the table on page 6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260"/>
              <w:spacing w:after="0"/>
              <w:rPr>
                <w:sz w:val="20"/>
                <w:szCs w:val="20"/>
                <w:color w:val="auto"/>
              </w:rPr>
            </w:pPr>
            <w:r>
              <w:rPr>
                <w:rFonts w:ascii="Arial" w:cs="Arial" w:eastAsia="Arial" w:hAnsi="Arial"/>
                <w:sz w:val="18"/>
                <w:szCs w:val="18"/>
                <w:b w:val="1"/>
                <w:bCs w:val="1"/>
                <w:color w:val="auto"/>
                <w:w w:val="95"/>
              </w:rPr>
              <w:t>Estimated Annual Expenses (as a Percentage of Average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1.22%</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1.35%</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1.00%</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4.57%</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 —Investment Management Agreement” for more information.</w:t>
      </w:r>
    </w:p>
    <w:p>
      <w:pPr>
        <w:spacing w:after="0" w:line="50" w:lineRule="exact"/>
        <w:rPr>
          <w:rFonts w:ascii="Arial" w:cs="Arial" w:eastAsia="Arial" w:hAnsi="Arial"/>
          <w:sz w:val="18"/>
          <w:szCs w:val="18"/>
          <w:color w:val="auto"/>
        </w:rPr>
      </w:pPr>
    </w:p>
    <w:p>
      <w:pPr>
        <w:ind w:left="460" w:right="40" w:hanging="452"/>
        <w:spacing w:after="0" w:line="285"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and payable under our Investment Management Agreement during the three months ended March 31,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2013, our unrealized capital gains exceeded our cumulative realized and unrealized capital losses and we accrued a capital gains incentive fee of $0.3 million in accordance with GAAP. However, “Incentive fees payable under the Investment Management Agreement” includes an accrual for capital gains incentive fee for the three months ended March 31, 2013 even though no capital gains incentive fee was payable under our Investment Management Agreement as of March 31, 2013. As we cannot predict our future net investment income or capital gains, the incentive fee paid in future periods, if any, may be substantially different than the fee earned during the three months ended March 31, 2013, and we cannot assure you that we will recognize capital gains for the calendar year ending December 31, 2013 in amounts consistent with the accrual for the same period. For more detailed information about the incentive fee, please see “Certain Relationships and Transactions—Investment Management Agreement” for more information.</w:t>
      </w:r>
    </w:p>
    <w:p>
      <w:pPr>
        <w:spacing w:after="0" w:line="47" w:lineRule="exact"/>
        <w:rPr>
          <w:rFonts w:ascii="Arial" w:cs="Arial" w:eastAsia="Arial" w:hAnsi="Arial"/>
          <w:sz w:val="16"/>
          <w:szCs w:val="16"/>
          <w:color w:val="auto"/>
        </w:rPr>
      </w:pPr>
    </w:p>
    <w:p>
      <w:pPr>
        <w:ind w:left="460" w:right="80" w:hanging="452"/>
        <w:spacing w:after="0" w:line="30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March 31, 2013, we had $34.2 million in borrowings outstanding under our $125.0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expense on borrowed funds, which includes actual (unannualized) amendment costs incurred in connection with amending our Credit Facility but does not annualize them,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2" w:lineRule="exact"/>
        <w:rPr>
          <w:sz w:val="20"/>
          <w:szCs w:val="20"/>
          <w:color w:val="auto"/>
        </w:rPr>
      </w:pPr>
    </w:p>
    <w:p>
      <w:pPr>
        <w:ind w:left="460" w:right="8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2013. See the Consolidated Statement of Operations in our Consolidated Financial Statements.</w:t>
      </w:r>
    </w:p>
    <w:p>
      <w:pPr>
        <w:spacing w:after="0" w:line="62"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March 31, 2013.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from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valuations and the differences may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three months ended March 31,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2013, we had a net change in unrealized appreciation of zero and $0.4 million, respectively. For the three and six months ended March 31, 2012, we had a net change in unrealized (appreciation) depreciation of $(0.1) million and $0.2 million, respectively. As of March 31,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election, we must, among other requirements, meet certain source-of-income and quarterly asset diversification requirements. We also must annually distribute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March 31, 2013, our portfolio totaled $183.9 million and consisted of $159.7 million of senior secured loans, $10.4 million of second lien secured debt and $13.8 million of subordinated debt, preferred and common equity investments. Our debt portfolio consisted of 88% variable-rate investments (including 83% with a LIBOR or prime floor) and 12% fixed-rate investments. Overall, the portfolio had unrealized appreciation of $0.3 million. Our overall portfolio consisted of 63 companies with an average investment size of $2.9 million, had a weighted average yield on debt investments of 8.8%, and was invested 87% in senior secured loans, 6% in second lien secured debt and 7% in subordinated debt, preferred and common equity investments.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1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As of September 30, 2011, our portfolio totaled $110.7 million and consisted of $91.4 million of senior secured loans, $12.2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weighted average yield on debt investments of 8.0%, and was invested 85% in senior secured loans, 9% in second lien secured debt and 6% in subordinated debt, preferred and common equity investments.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three months ended March 31, 2013, we invested $45.1 million in 16 new and four existing portfolio companies with a weighted average yield on debt investments of 7.9%. Sales and repayments of investments for the three months ended March 31, 2013 totaled $43.9 million. For the six months ended March 31, 2013, we invested $84.0 million in 28 new portfolio companies and six existing portfolio companies with a weighted average yield on debt investments of 8.8%. Sales and repayments of investments for the six months ended March 31, 2013 totaled $74.2 million.</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 $72.2 million in 25 new portfolio companies and two existing portfolio companies with a weighted average yield on debt investments of 9.2%. Sales and repayments of investments for the six months ended March 31, 2012 totaled $41.6 million.</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the fiscal year ended September 30, 2012, we purchased $128.7 million of investments issued by 47 new and seven existing portfolio companies with a weighted average yield of 8.9% on debt investments. For the same period sales and repayments of investments generated proceeds of $71.5 million.</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period from March 4, 2011 (commencement of operations) to September 30, 2011, we purchased $147.5 million of investments issued by 50 portfolio companies with a weighted average yield of 7.6% on debt investments. For the same period sales and repayments of investments generated proceeds of $33.2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six months ended March 31, 2013 and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 income for the three and six months ended March 31, 2013 was $4.1 million and $8.1 million, respectively, and was attributable to $3.6 million and $6.9 million from senior secured loans, $0.2 million and $0.5 million from second lien secured debt investments and $0.3 million and $0.7 million from subordinated debt investments, respectively. This compares to investment income for the three and six months ended March 31, 2012, which was $2.9 million and $5.4 million, respectively, and was attributable to $2.3 million and $4.3 million from senior secured loans, $0.3 million and $0.6 million from second lien secured debt investments and $0.3 million and $0.5 million from subordinated debt investments, respectively. The increase in investment income was due to a larger portfolio which was funded through both our Credit Facility and rotation out of lower yielding assets. We intend to grow our portfolio with the proceeds of our recent offering of common stock and our increased borrowing capacity under our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Expenses for the three and six months ended March 31, 2013 totaled $2.5 million and $4.4 million, respectively. Base management fee for the same periods totaled $0.5 million and $0.9 million, performance-based incentive fee totaled $0.6 million and $1.0 million (including $0.3 million of non-payable incentive fee), Credit Facility expenses totaled $0.5 million and $1.0 million (excluding $0.5 million of Credit Facility amendment expenses), general and administrative expenses totaled $0.4 million and $0.9 million and excise taxes were $0.1 million, respectively. This compares to expenses for the three and six months ended March 31, 2012, which totaled $1.4 million and $2.5 million, respectively. Base management fee for the same periods in the prior year totaled $0.4 million and $0.7 million, performance-based incentive fee totaled $0.2 million and $0.2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million, Credit Facility expenses totaled $0.3 million and $0.6 million and general and administrative expenses totaled $0.5 million and $1.0 million, respectively. The increase in management fee, incentive fee and Credit Facility expenses was due to the growth of our portfolio and expanding our borrowing capacity under our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Net investment income totaled $1.7 million and $3.7 million, or $0.24 and $0.54 per share, for the three and six months ended March 31, 2013, respectively. Net investment income totaled $1.5 million and $2.9 million, or $0.23 and $0.43 per share, for the three and six months ended March 31, 2012, respectively. The increase in net investment income was due to a larger portfolio and higher yielding assets offset by higher Credit Facility expenses and management and incentive fee.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Sales and repayments of investments for the three and six months ended March 31, 2013 totaled $43.9 million and $74.2 million and realized gains totaled $1.1 million and $1.5 million, respectively. Sales and repayments of investments for the three and six months ended March 31, 2012 totaled $19.3 million and $41.6 million and realized gains totaled $0.1 million and $0.4 million, respectively. The increase in realized gains was driven by a higher volume of sales and early repayments than the comparable periods in the prior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three and six months ended March 31, 2013, we reported unrealized appreciation on investments of $0.4 million and $0.1 million, respectively. For the three and six months ended March 31, 2012, we reported unrealized appreciation on investments of $3.0 million and $4.1 million, respectively. As of March 31, 2013 and September 30, 2012, net unrealized appreciation on investments totaled $0.3 million and $0.3 million, respectively. The decrease in unrealized appreciation for current periods compared to prior periods was the result of the reversal of unrealized gains upon exiting our investments and changes in market values.</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For the three and six months ended March 31, 2013, our long-term Credit Facility had a change in unrealized (appreciation) of zero and $(0.4) million, respectively. For the three and six months ended March 31, 2012, our long-term Credit Facility had a change in unrealized (appreciation) depreciation of $(0.1) million and $0.2 million, respectively. As of March 31, 2013 and September 30,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Net increase in net assets resulting from operations totaled $3.2 million and $5.0 million, or $0.45 and $0.72 per share, respectively, for the three and six months ended March 31, 2013. This compares to a net increase in net assets resulting from operations which totaled $4.5 million and $7.6 million, or $0.66 and $1.12 per share, respectively, for the three and six months ended March 31, 2012. The decrease in net assets resulting from operations compared to last year was due to changes in fair value of our investments due to changes in the market values of our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Set forth below are the results of operations for the year ended September 30, 2012 and the period from March 4, 2011 (commencement of operations) to September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Investment income for the year ended September 30, 2012 was $12.1 million and was primarily attributable to $9.9 million from senior secured loans, $1.0 million from second lien secured debt investments and $1.2 million from subordinated debt investments. This compares to investment income for the period March 4, 2011 (commencement of operations) to September 30, 2011, which was $2.9 million, and was attributable to $2.3 million from senior secured loan investments, $0.5 million from second lien secured debt investments, and $0.1 million from subordinated debt investments. The increase in interest income over the prior year was due to both a full year of operation and the increased size of our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Expenses for the year ended September 30, 2012 totaled $5.8 million. Base management fees for the same period totaled $1.5 million, performance-based incentive fees totaled $0.6 million (including $0.3 million accrued but not to be paid under GAAP unless the net unrealized gains are realized), Credit Facility expenses totaled $1.8 million (including $0.3 million of amendment expenses) and general and administrative expenses totaled $1.9 million. We expect our Credit Facility expenses and management fees to continue to increase as a result of growth in our portfolio. Additionally, general and administrative costs increased over the prior year due to a full year of operations.</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Net investment income totaled $6.3 million, or $0.92 per share, for the year ended September 30, 2012. This compares to net investment income which totaled $0.3 million or $0.05 per share for the period March 4, 2011 (commencement of operations) to September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Sales and repayments of investments for the year ended September 30, 2012 totaled $71.5 million and realized gains totaled $0.9 million, due to sales and repayments of our debt investments. This compares to sales and repayments of long-term investments for the period March 4, 2011 (commencement of operations) to September 30, 2011 which totaled $33.2 million and net realized gains which totaled $0.3 million. The increase in sales and repayments of investments was due to shorter-term investment opportunities.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For the year ended September 30, 2012 and for the period March 4, 2011 (commencement of operations) to September 30, 2011, we reported unrealized appreciation (depreciation) on investments of $4.4 million and $(4.1) million, respectively. As of September 30, 2012 and September 30, 2011, net unrealized appreciation (depreciation) on investments totaled $0.3 million and $(4.1) million, respectively. Net change in unrealized appreciation on investments over the prior year was the result of changes in the overall leveraged finance markets.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year ended September 30, 2012 and for the period March 4, 2011 (commencement of operations) to September 30, 2011, our long-term Credit Facility had a change in unrealized depreciation of $0.4 million and zero, respectively. As of September 30, 2012 and September 30, 2011, net unrealized depreciation on our long-term Credit Facility totaled $0.4 million and zero, respectively. The net change in unrealized appreciation on the Credit Facility over the prior year was due to amending the terms and changes in the leveraged finance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or Decrease in Net Assets Resulting from Operations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Net increase in net assets resulting from operations totaled $12.0 million, or $1.75 per share, respectively, for the year ended September 30, 2012. This increase in net assets from operations was due to the continued growth in net investment income and both realized and unrealized appreciation on investments. We continue to find both long-term and short-term investment opportunities to grow net assets from operations.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$3.5 million, or $0.51 per share for the period March 4, 2011 (commencement of operations) to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29, 2013, we amended Funding I’s Credit Facility with the Lender, to expand the size of its Credit Facility from $100 million to $125 million, subject to satisfaction of certain conditions and the regulatory restrictions that the 1940 Act imposes on us as a BDC, to reduce the interest rate spread above LIBOR from 225 to 200 basis points, to reduce the undrawn commitment fee and to extend the maturity date to May 2018 and the revolving period to May 2016. As of March 31, 2013 and September 30, 2012 and 2011, Funding I had $34.2 million, $75.5 million and $24.7 million of outstanding borrowings under the Credit Facility, respectively, and carried an interest rate of 2.21%, 2.47% and 2.53%, respectively, excluding the 0.375%, 0.375% and 0.500% undrawn commitment fee, respectively.</w:t>
      </w:r>
    </w:p>
    <w:p>
      <w:pPr>
        <w:spacing w:after="0" w:line="144"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amended and restated revolving credit and security agreement filed as an exhibit to Form 10-Q filed on August 9, 2012 and the third amendment thereto filed as an exhibit to Form 10-Q filed May 9, 2013. As of March 31, 2013, we were in compliance with the covenants relating to our Credit Facility.</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 owed with respect to such services are to be paid to the Company so long as the Investment Adviser remains the collateral manager.</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or strategic purposes. On March 26, 2013, we completed a follow-on public offering of 3,000,000 shares of common stock at a public offering price of $14.00 per share for gross proceeds of $42.0 million and net proceeds of $41.6 million after offering expenses. Our Investment Adviser paid the entire sales load of $1.3 million in connection with this offering.</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At March 31, 2013 and September 30, 2012 and 2011, we had cash equivalents of $2.7 million, $3.8 million and $7.0 million, respectively, available for investing and general corporate purposes. We believe our liquidity and capital resources are sufficient to take advantage of market opportunities.</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operating activities provided cash of $4.0 million for the six months ended March 31, 2013, and our financing activities used cash of $5.1 million for the same period. Our operating activities provided cash primarily from our investment activity that offset our financing activities, which used cash primarily to pay the deferred sales load and net repayments under the Credit Facility that was partially financed by the proceeds of our offering.</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operating activities used cash of $23.3 million for the six months ended March 31, 2012, and our financing activities provided cash of $20.2 million for the same period. Our operating activities used cash primarily for our investment activity that was financed by net draws under the Credit Facility.</w:t>
      </w:r>
    </w:p>
    <w:p>
      <w:pPr>
        <w:spacing w:after="0" w:line="85"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Our operating activities used cash of $47.8 million for the year ended September 30, 2012, and our financing activities provided net cash proceeds of $44.7 million for the same period. Our operating activities used cash primarily for our investment activity that was provided from net draws under the Credit Facility.</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our investment activity that was provided from, primarily, proceeds from our initial public offering of common stock and draws under our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as of March 31, 2013, including borrowings under our Credit Facility and other contractual obligations,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85"/>
              </w:rPr>
              <w:t>Payments due by period (in millions)</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4"/>
                <w:szCs w:val="14"/>
                <w:b w:val="1"/>
                <w:bCs w:val="1"/>
                <w:color w:val="auto"/>
                <w:w w:val="79"/>
              </w:rPr>
              <w:t>Less than</w:t>
            </w:r>
          </w:p>
        </w:tc>
        <w:tc>
          <w:tcPr>
            <w:tcW w:w="580" w:type="dxa"/>
            <w:vAlign w:val="bottom"/>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rPr>
              <w:t>1-3</w:t>
            </w:r>
          </w:p>
        </w:tc>
        <w:tc>
          <w:tcPr>
            <w:tcW w:w="600" w:type="dxa"/>
            <w:vAlign w:val="bottom"/>
            <w:gridSpan w:val="2"/>
          </w:tcPr>
          <w:p>
            <w:pPr>
              <w:jc w:val="right"/>
              <w:ind w:right="42"/>
              <w:spacing w:after="0" w:line="129" w:lineRule="exact"/>
              <w:rPr>
                <w:sz w:val="20"/>
                <w:szCs w:val="20"/>
                <w:color w:val="auto"/>
              </w:rPr>
            </w:pPr>
            <w:r>
              <w:rPr>
                <w:rFonts w:ascii="Arial" w:cs="Arial" w:eastAsia="Arial" w:hAnsi="Arial"/>
                <w:sz w:val="14"/>
                <w:szCs w:val="14"/>
                <w:b w:val="1"/>
                <w:bCs w:val="1"/>
                <w:color w:val="auto"/>
              </w:rPr>
              <w:t>3-5</w:t>
            </w:r>
          </w:p>
        </w:tc>
        <w:tc>
          <w:tcPr>
            <w:tcW w:w="2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33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210"/>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4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92"/>
              </w:rPr>
              <w:t>$—</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363"/>
        </w:trPr>
        <w:tc>
          <w:tcPr>
            <w:tcW w:w="3320" w:type="dxa"/>
            <w:vAlign w:val="bottom"/>
          </w:tcPr>
          <w:p>
            <w:pPr>
              <w:spacing w:after="0"/>
              <w:rPr>
                <w:sz w:val="24"/>
                <w:szCs w:val="24"/>
                <w:color w:val="auto"/>
              </w:rPr>
            </w:pPr>
          </w:p>
        </w:tc>
        <w:tc>
          <w:tcPr>
            <w:tcW w:w="4840" w:type="dxa"/>
            <w:vAlign w:val="bottom"/>
          </w:tcPr>
          <w:p>
            <w:pPr>
              <w:jc w:val="right"/>
              <w:ind w:right="2272"/>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4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Under our Administration Agreement, which was re-approved by the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 to purchase shares of our common stock in the secondary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capital gain net income for the one-year period ending on October 31 of the calendar year and (3) the sum of any net ordinary income and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During the three and six months ended March 31, 2013, we declared to stockholders distributions of $0.255 and $0.503 per share, for total distributions of $1.7 million and $3.4 million, respectively. For the same periods in the prior year, we declared distributions of $0.225 and $0.435 per share, respectively, for total distributions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$1.5 million and $3.0 million, respectively. During the year ended September 30, 2012, we declared distributions of $0.91 per share for total distributions of $6.2 million. For the period March 4, 2011 (commencement of operations) to September 30, 2011, we declared distributions of $0.25 per share for a total distribution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intend to continue to distribute monthly distributions to our stockholders. Our monthly distributions, if any, are determined by our board of directors quarterly.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8, 2013, we sold an additional 450,000 shares of common stock pursuant to the exercise of the underwriters’ overallotment option at a public offering price of $14.00 per share, generating gross proceeds of $6.3 million. Our Investment Adviser paid the entire sales load of $0.2 million in connection with the sale of these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March 31, 2013, our debt portfolio consisted of 88% variable-rate investments (including 83% with a LIBOR or prime floor) and 12%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Information about our senior securities shown in the following table as of March 31, 2013 has been derived from our unaudited Consolidated Financial Statements. Information about our senior securities shown in the following table as of September 30, 2012 and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Asset Coverage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9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20" w:type="dxa"/>
            <w:vAlign w:val="bottom"/>
            <w:gridSpan w:val="3"/>
          </w:tcPr>
          <w:p>
            <w:pPr>
              <w:jc w:val="right"/>
              <w:ind w:right="1140"/>
              <w:spacing w:after="0" w:line="149" w:lineRule="exact"/>
              <w:rPr>
                <w:sz w:val="20"/>
                <w:szCs w:val="20"/>
                <w:color w:val="auto"/>
              </w:rPr>
            </w:pPr>
            <w:r>
              <w:rPr>
                <w:rFonts w:ascii="Arial" w:cs="Arial" w:eastAsia="Arial" w:hAnsi="Arial"/>
                <w:sz w:val="14"/>
                <w:szCs w:val="14"/>
                <w:b w:val="1"/>
                <w:bCs w:val="1"/>
                <w:color w:val="auto"/>
                <w:w w:val="95"/>
              </w:rPr>
              <w:t>Total Amount</w:t>
            </w:r>
          </w:p>
        </w:tc>
        <w:tc>
          <w:tcPr>
            <w:tcW w:w="100" w:type="dxa"/>
            <w:vAlign w:val="bottom"/>
          </w:tcPr>
          <w:p>
            <w:pPr>
              <w:spacing w:after="0"/>
              <w:rPr>
                <w:sz w:val="12"/>
                <w:szCs w:val="12"/>
                <w:color w:val="auto"/>
              </w:rPr>
            </w:pPr>
          </w:p>
        </w:tc>
        <w:tc>
          <w:tcPr>
            <w:tcW w:w="1880" w:type="dxa"/>
            <w:vAlign w:val="bottom"/>
            <w:gridSpan w:val="2"/>
          </w:tcPr>
          <w:p>
            <w:pPr>
              <w:jc w:val="center"/>
              <w:ind w:right="118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Average Market</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4460" w:type="dxa"/>
            <w:vAlign w:val="bottom"/>
          </w:tcPr>
          <w:p>
            <w:pPr>
              <w:spacing w:after="0"/>
              <w:rPr>
                <w:sz w:val="15"/>
                <w:szCs w:val="15"/>
                <w:color w:val="auto"/>
              </w:rPr>
            </w:pPr>
          </w:p>
        </w:tc>
        <w:tc>
          <w:tcPr>
            <w:tcW w:w="2020" w:type="dxa"/>
            <w:vAlign w:val="bottom"/>
            <w:gridSpan w:val="3"/>
          </w:tcPr>
          <w:p>
            <w:pPr>
              <w:jc w:val="right"/>
              <w:ind w:right="1120"/>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88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9"/>
              </w:rPr>
              <w:t>(unaudited)</w:t>
            </w:r>
          </w:p>
        </w:tc>
        <w:tc>
          <w:tcPr>
            <w:tcW w:w="1100" w:type="dxa"/>
            <w:vAlign w:val="bottom"/>
            <w:gridSpan w:val="2"/>
          </w:tcPr>
          <w:p>
            <w:pPr>
              <w:jc w:val="right"/>
              <w:ind w:right="100"/>
              <w:spacing w:after="0" w:line="162" w:lineRule="exact"/>
              <w:rPr>
                <w:sz w:val="20"/>
                <w:szCs w:val="20"/>
                <w:color w:val="auto"/>
              </w:rPr>
            </w:pPr>
            <w:r>
              <w:rPr>
                <w:rFonts w:ascii="Arial" w:cs="Arial" w:eastAsia="Arial" w:hAnsi="Arial"/>
                <w:sz w:val="12"/>
                <w:szCs w:val="12"/>
                <w:b w:val="1"/>
                <w:bCs w:val="1"/>
                <w:color w:val="auto"/>
              </w:rPr>
              <w:t>Value Per Unit</w:t>
            </w:r>
            <w:r>
              <w:rPr>
                <w:rFonts w:ascii="Arial" w:cs="Arial" w:eastAsia="Arial" w:hAnsi="Arial"/>
                <w:sz w:val="18"/>
                <w:szCs w:val="18"/>
                <w:b w:val="1"/>
                <w:bCs w:val="1"/>
                <w:color w:val="auto"/>
                <w:vertAlign w:val="superscript"/>
              </w:rPr>
              <w:t>(3)</w:t>
            </w:r>
          </w:p>
        </w:tc>
      </w:tr>
      <w:tr>
        <w:trPr>
          <w:trHeight w:val="190"/>
        </w:trPr>
        <w:tc>
          <w:tcPr>
            <w:tcW w:w="5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Fiscal 2013 (as of March 31, 2013)</w:t>
            </w:r>
          </w:p>
        </w:tc>
        <w:tc>
          <w:tcPr>
            <w:tcW w:w="280" w:type="dxa"/>
            <w:vAlign w:val="bottom"/>
          </w:tcPr>
          <w:p>
            <w:pPr>
              <w:jc w:val="right"/>
              <w:ind w:right="102"/>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080"/>
              <w:spacing w:after="0"/>
              <w:rPr>
                <w:sz w:val="20"/>
                <w:szCs w:val="20"/>
                <w:color w:val="auto"/>
              </w:rPr>
            </w:pPr>
            <w:r>
              <w:rPr>
                <w:rFonts w:ascii="Arial" w:cs="Arial" w:eastAsia="Arial" w:hAnsi="Arial"/>
                <w:sz w:val="18"/>
                <w:szCs w:val="18"/>
                <w:color w:val="auto"/>
              </w:rPr>
              <w:t>34,200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5,061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75,500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2,268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80" w:type="dxa"/>
            <w:vAlign w:val="bottom"/>
          </w:tcPr>
          <w:p>
            <w:pPr>
              <w:jc w:val="right"/>
              <w:ind w:right="102"/>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080"/>
              <w:spacing w:after="0"/>
              <w:rPr>
                <w:sz w:val="20"/>
                <w:szCs w:val="20"/>
                <w:color w:val="auto"/>
              </w:rPr>
            </w:pPr>
            <w:r>
              <w:rPr>
                <w:rFonts w:ascii="Arial" w:cs="Arial" w:eastAsia="Arial" w:hAnsi="Arial"/>
                <w:sz w:val="18"/>
                <w:szCs w:val="18"/>
                <w:color w:val="auto"/>
              </w:rPr>
              <w:t>24,650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4,735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 for our common stock, the closing sale price as a percentage of net asset value, or NAV, and monthly distributions per share since April 8, 2011 (initial public offering). On July 1, 2013, the last reported closing price of our common stock was $14.22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Premium/</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Premium/</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Closing Price</w:t>
            </w: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(Discount) of</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(Discount) of</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gridSpan w:val="2"/>
            <w:vMerge w:val="restart"/>
          </w:tcPr>
          <w:p>
            <w:pPr>
              <w:jc w:val="center"/>
              <w:ind w:right="580"/>
              <w:spacing w:after="0" w:line="108" w:lineRule="exact"/>
              <w:rPr>
                <w:sz w:val="20"/>
                <w:szCs w:val="20"/>
                <w:color w:val="auto"/>
              </w:rPr>
            </w:pPr>
            <w:r>
              <w:rPr>
                <w:rFonts w:ascii="Arial" w:cs="Arial" w:eastAsia="Arial" w:hAnsi="Arial"/>
                <w:sz w:val="12"/>
                <w:szCs w:val="12"/>
                <w:b w:val="1"/>
                <w:bCs w:val="1"/>
                <w:color w:val="auto"/>
              </w:rPr>
              <w:t>High Closing</w:t>
            </w:r>
          </w:p>
        </w:tc>
        <w:tc>
          <w:tcPr>
            <w:tcW w:w="1100" w:type="dxa"/>
            <w:vAlign w:val="bottom"/>
            <w:gridSpan w:val="2"/>
            <w:vMerge w:val="restart"/>
          </w:tcPr>
          <w:p>
            <w:pPr>
              <w:jc w:val="center"/>
              <w:ind w:right="360"/>
              <w:spacing w:after="0" w:line="108" w:lineRule="exact"/>
              <w:rPr>
                <w:sz w:val="20"/>
                <w:szCs w:val="20"/>
                <w:color w:val="auto"/>
              </w:rPr>
            </w:pPr>
            <w:r>
              <w:rPr>
                <w:rFonts w:ascii="Arial" w:cs="Arial" w:eastAsia="Arial" w:hAnsi="Arial"/>
                <w:sz w:val="12"/>
                <w:szCs w:val="12"/>
                <w:b w:val="1"/>
                <w:bCs w:val="1"/>
                <w:color w:val="auto"/>
              </w:rPr>
              <w:t>Low Closing</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Price to</w:t>
            </w: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149"/>
        </w:trPr>
        <w:tc>
          <w:tcPr>
            <w:tcW w:w="4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Period</w:t>
            </w:r>
          </w:p>
        </w:tc>
        <w:tc>
          <w:tcPr>
            <w:tcW w:w="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96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Low</w:t>
            </w:r>
          </w:p>
        </w:tc>
        <w:tc>
          <w:tcPr>
            <w:tcW w:w="1380" w:type="dxa"/>
            <w:vAlign w:val="bottom"/>
            <w:gridSpan w:val="2"/>
          </w:tcPr>
          <w:p>
            <w:pPr>
              <w:jc w:val="center"/>
              <w:ind w:right="580"/>
              <w:spacing w:after="0" w:line="129"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4"/>
                <w:szCs w:val="14"/>
                <w:b w:val="1"/>
                <w:bCs w:val="1"/>
                <w:color w:val="auto"/>
                <w:vertAlign w:val="superscript"/>
              </w:rPr>
              <w:t>(2)</w:t>
            </w:r>
          </w:p>
        </w:tc>
        <w:tc>
          <w:tcPr>
            <w:tcW w:w="1100" w:type="dxa"/>
            <w:vAlign w:val="bottom"/>
            <w:gridSpan w:val="2"/>
          </w:tcPr>
          <w:p>
            <w:pPr>
              <w:jc w:val="center"/>
              <w:ind w:right="360"/>
              <w:spacing w:after="0" w:line="129"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4"/>
                <w:szCs w:val="14"/>
                <w:b w:val="1"/>
                <w:bCs w:val="1"/>
                <w:color w:val="auto"/>
                <w:vertAlign w:val="superscript"/>
              </w:rPr>
              <w:t>(2)</w:t>
            </w:r>
          </w:p>
        </w:tc>
        <w:tc>
          <w:tcPr>
            <w:tcW w:w="220" w:type="dxa"/>
            <w:vAlign w:val="bottom"/>
          </w:tcPr>
          <w:p>
            <w:pPr>
              <w:spacing w:after="0"/>
              <w:rPr>
                <w:sz w:val="12"/>
                <w:szCs w:val="12"/>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ending September 30, 2013</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 N/A</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$14.90</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$13.82</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0.2625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14.43</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13.99</w:t>
            </w:r>
          </w:p>
        </w:tc>
        <w:tc>
          <w:tcPr>
            <w:tcW w:w="2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13.30</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12.35</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13.03</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11.85</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11.93</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11.46</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12.10</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10.52</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11.03</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10.01</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12.85</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10.34</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13.70</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12.27</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8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for more information.</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April 8, 2011 (initial public offering) to June 30, 2011.</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traded on the NASDAQ Global Select Market at $13.96 and $12.67 as of March 31, 2013 and September 30, 2012, respectively. Our NAV was $14.10 and $13.98 per share, as of March 31,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26" w:lineRule="exact"/>
        <w:rPr>
          <w:sz w:val="20"/>
          <w:szCs w:val="20"/>
          <w:color w:val="auto"/>
        </w:rPr>
      </w:pPr>
    </w:p>
    <w:p>
      <w:pPr>
        <w:ind w:left="900" w:right="2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4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a premium to NAV per share.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86"/>
              </w:rPr>
              <w:t>Example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4"/>
              </w:rPr>
              <w:t>5%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80" w:type="dxa"/>
            <w:vAlign w:val="bottom"/>
          </w:tcPr>
          <w:p>
            <w:pPr>
              <w:spacing w:after="0"/>
              <w:rPr>
                <w:sz w:val="12"/>
                <w:szCs w:val="12"/>
                <w:color w:val="auto"/>
              </w:rPr>
            </w:pPr>
          </w:p>
        </w:tc>
        <w:tc>
          <w:tcPr>
            <w:tcW w:w="1260" w:type="dxa"/>
            <w:vAlign w:val="bottom"/>
            <w:gridSpan w:val="2"/>
          </w:tcPr>
          <w:p>
            <w:pPr>
              <w:jc w:val="center"/>
              <w:ind w:left="341"/>
              <w:spacing w:after="0" w:line="149" w:lineRule="exact"/>
              <w:rPr>
                <w:sz w:val="20"/>
                <w:szCs w:val="20"/>
                <w:color w:val="auto"/>
              </w:rPr>
            </w:pPr>
            <w:r>
              <w:rPr>
                <w:rFonts w:ascii="Arial" w:cs="Arial" w:eastAsia="Arial" w:hAnsi="Arial"/>
                <w:sz w:val="14"/>
                <w:szCs w:val="14"/>
                <w:b w:val="1"/>
                <w:bCs w:val="1"/>
                <w:color w:val="auto"/>
                <w:w w:val="92"/>
              </w:rPr>
              <w:t>20% Offering</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9"/>
              </w:rPr>
              <w:t>Prior to Sale</w:t>
            </w:r>
          </w:p>
        </w:tc>
        <w:tc>
          <w:tcPr>
            <w:tcW w:w="100" w:type="dxa"/>
            <w:vAlign w:val="bottom"/>
          </w:tcPr>
          <w:p>
            <w:pPr>
              <w:spacing w:after="0"/>
              <w:rPr>
                <w:sz w:val="14"/>
                <w:szCs w:val="14"/>
                <w:color w:val="auto"/>
              </w:rPr>
            </w:pPr>
          </w:p>
        </w:tc>
        <w:tc>
          <w:tcPr>
            <w:tcW w:w="2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at 5%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at 10% Discount</w:t>
            </w:r>
          </w:p>
        </w:tc>
        <w:tc>
          <w:tcPr>
            <w:tcW w:w="80" w:type="dxa"/>
            <w:vAlign w:val="bottom"/>
          </w:tcPr>
          <w:p>
            <w:pPr>
              <w:spacing w:after="0"/>
              <w:rPr>
                <w:sz w:val="14"/>
                <w:szCs w:val="14"/>
                <w:color w:val="auto"/>
              </w:rPr>
            </w:pPr>
          </w:p>
        </w:tc>
        <w:tc>
          <w:tcPr>
            <w:tcW w:w="2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8"/>
              </w:rPr>
              <w:t>Following</w:t>
            </w:r>
          </w:p>
        </w:tc>
        <w:tc>
          <w:tcPr>
            <w:tcW w:w="50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3"/>
              </w:rPr>
              <w:t>Below NAV</w:t>
            </w: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Sale</w:t>
            </w: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10.05</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20" w:type="dxa"/>
            <w:vAlign w:val="bottom"/>
          </w:tcPr>
          <w:p>
            <w:pPr>
              <w:spacing w:after="0"/>
              <w:rPr>
                <w:sz w:val="18"/>
                <w:szCs w:val="18"/>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8.47</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offering proceeds per share to issuer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1,050,000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1,200,000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8"/>
        </w:trPr>
        <w:tc>
          <w:tcPr>
            <w:tcW w:w="3120" w:type="dxa"/>
            <w:vAlign w:val="bottom"/>
          </w:tcPr>
          <w:p>
            <w:pPr>
              <w:spacing w:after="0"/>
              <w:rPr>
                <w:sz w:val="20"/>
                <w:szCs w:val="20"/>
                <w:color w:val="auto"/>
              </w:rPr>
            </w:pPr>
            <w:r>
              <w:rPr>
                <w:rFonts w:ascii="Arial" w:cs="Arial" w:eastAsia="Arial" w:hAnsi="Arial"/>
                <w:sz w:val="18"/>
                <w:szCs w:val="18"/>
                <w:color w:val="auto"/>
              </w:rPr>
              <w:t>NAV per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9.98</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9.67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tcPr>
          <w:p>
            <w:pPr>
              <w:spacing w:after="0"/>
              <w:rPr>
                <w:sz w:val="18"/>
                <w:szCs w:val="18"/>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10,000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(17.00)%</w:t>
            </w: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Example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6"/>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16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9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6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8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 Values</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Total NAV held by stockholder 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99,800</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99,100</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96,700</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 by stockholder A (assumed to be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$10.00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100,000</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100,000</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100,000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40" w:type="dxa"/>
            <w:vAlign w:val="bottom"/>
          </w:tcPr>
          <w:p>
            <w:pPr>
              <w:ind w:left="440"/>
              <w:spacing w:after="0"/>
              <w:rPr>
                <w:sz w:val="20"/>
                <w:szCs w:val="20"/>
                <w:color w:val="auto"/>
              </w:rPr>
            </w:pPr>
            <w:r>
              <w:rPr>
                <w:rFonts w:ascii="Arial" w:cs="Arial" w:eastAsia="Arial" w:hAnsi="Arial"/>
                <w:sz w:val="18"/>
                <w:szCs w:val="18"/>
                <w:color w:val="auto"/>
              </w:rPr>
              <w:t>Total dilution to stockholder A (total NAV less total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tcPr>
          <w:p>
            <w:pPr>
              <w:ind w:left="66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9"/>
                <w:szCs w:val="19"/>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120" w:type="dxa"/>
            <w:vAlign w:val="bottom"/>
          </w:tcPr>
          <w:p>
            <w:pPr>
              <w:spacing w:after="0"/>
              <w:rPr>
                <w:sz w:val="18"/>
                <w:szCs w:val="18"/>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9.67</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Investment per share held by stockholder A (assumed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to be $10.00 per share on shares held prior to sale)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4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120" w:type="dxa"/>
            <w:vAlign w:val="bottom"/>
          </w:tcPr>
          <w:p>
            <w:pPr>
              <w:spacing w:after="0"/>
              <w:rPr>
                <w:sz w:val="19"/>
                <w:szCs w:val="19"/>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(0.02)</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(0.33)</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(0.90)%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2"/>
              </w:rPr>
              <w:t>Prior to Sale</w:t>
            </w:r>
          </w:p>
        </w:tc>
        <w:tc>
          <w:tcPr>
            <w:tcW w:w="80" w:type="dxa"/>
            <w:vAlign w:val="bottom"/>
          </w:tcPr>
          <w:p>
            <w:pPr>
              <w:spacing w:after="0"/>
              <w:rPr>
                <w:sz w:val="14"/>
                <w:szCs w:val="14"/>
                <w:color w:val="auto"/>
              </w:rPr>
            </w:pPr>
          </w:p>
        </w:tc>
        <w:tc>
          <w:tcPr>
            <w:tcW w:w="22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9"/>
              </w:rPr>
              <w:t>Below NAV</w:t>
            </w:r>
          </w:p>
        </w:tc>
        <w:tc>
          <w:tcPr>
            <w:tcW w:w="80" w:type="dxa"/>
            <w:vAlign w:val="bottom"/>
          </w:tcPr>
          <w:p>
            <w:pPr>
              <w:spacing w:after="0"/>
              <w:rPr>
                <w:sz w:val="14"/>
                <w:szCs w:val="14"/>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8.47</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8.00</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1,200,000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NAV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9.67</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(3.30)%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11,000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6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106,370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140" w:type="dxa"/>
            <w:vAlign w:val="bottom"/>
          </w:tcPr>
          <w:p>
            <w:pPr>
              <w:ind w:left="440"/>
              <w:spacing w:after="0"/>
              <w:rPr>
                <w:sz w:val="20"/>
                <w:szCs w:val="20"/>
                <w:color w:val="auto"/>
              </w:rPr>
            </w:pPr>
            <w:r>
              <w:rPr>
                <w:rFonts w:ascii="Arial" w:cs="Arial" w:eastAsia="Arial" w:hAnsi="Arial"/>
                <w:sz w:val="18"/>
                <w:szCs w:val="18"/>
                <w:color w:val="auto"/>
                <w:w w:val="95"/>
              </w:rPr>
              <w:t>Total investment by stockholder A (assumed to be $10.00 per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660"/>
              <w:spacing w:after="0"/>
              <w:rPr>
                <w:sz w:val="20"/>
                <w:szCs w:val="20"/>
                <w:color w:val="auto"/>
              </w:rPr>
            </w:pPr>
            <w:r>
              <w:rPr>
                <w:rFonts w:ascii="Arial" w:cs="Arial" w:eastAsia="Arial" w:hAnsi="Arial"/>
                <w:sz w:val="18"/>
                <w:szCs w:val="18"/>
                <w:color w:val="auto"/>
              </w:rPr>
              <w:t>share on shares held prior to sale)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108,470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8.47%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125,410</w:t>
            </w:r>
          </w:p>
        </w:tc>
        <w:tc>
          <w:tcPr>
            <w:tcW w:w="6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Total (dilution)/accretion to stockholder A (total NAV less total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investment)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(2,100)</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9.67</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40" w:type="dxa"/>
            <w:vAlign w:val="bottom"/>
          </w:tcPr>
          <w:p>
            <w:pPr>
              <w:ind w:left="440"/>
              <w:spacing w:after="0"/>
              <w:rPr>
                <w:sz w:val="20"/>
                <w:szCs w:val="20"/>
                <w:color w:val="auto"/>
              </w:rPr>
            </w:pPr>
            <w:r>
              <w:rPr>
                <w:rFonts w:ascii="Arial" w:cs="Arial" w:eastAsia="Arial" w:hAnsi="Arial"/>
                <w:sz w:val="18"/>
                <w:szCs w:val="18"/>
                <w:color w:val="auto"/>
                <w:w w:val="98"/>
              </w:rPr>
              <w:t>Investment per share held by stockholder A (assumed to be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660"/>
              <w:spacing w:after="0"/>
              <w:rPr>
                <w:sz w:val="20"/>
                <w:szCs w:val="20"/>
                <w:color w:val="auto"/>
              </w:rPr>
            </w:pPr>
            <w:r>
              <w:rPr>
                <w:rFonts w:ascii="Arial" w:cs="Arial" w:eastAsia="Arial" w:hAnsi="Arial"/>
                <w:sz w:val="18"/>
                <w:szCs w:val="18"/>
                <w:color w:val="auto"/>
              </w:rPr>
              <w:t>$10.00 per share on shares held prior to sale)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9.86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6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(Dilution)/accretion per share held by stockholder A (NAV per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less investment per share)</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(0.19)</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40" w:type="dxa"/>
            <w:vAlign w:val="bottom"/>
          </w:tcPr>
          <w:p>
            <w:pPr>
              <w:ind w:left="440"/>
              <w:spacing w:after="0"/>
              <w:rPr>
                <w:sz w:val="20"/>
                <w:szCs w:val="20"/>
                <w:color w:val="auto"/>
              </w:rPr>
            </w:pPr>
            <w:r>
              <w:rPr>
                <w:rFonts w:ascii="Arial" w:cs="Arial" w:eastAsia="Arial" w:hAnsi="Arial"/>
                <w:sz w:val="18"/>
                <w:szCs w:val="18"/>
                <w:color w:val="auto"/>
              </w:rPr>
              <w:t>Percentage (dilution)/accretion to stockholder 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660"/>
              <w:spacing w:after="0"/>
              <w:rPr>
                <w:sz w:val="20"/>
                <w:szCs w:val="20"/>
                <w:color w:val="auto"/>
              </w:rPr>
            </w:pPr>
            <w:r>
              <w:rPr>
                <w:rFonts w:ascii="Arial" w:cs="Arial" w:eastAsia="Arial" w:hAnsi="Arial"/>
                <w:sz w:val="18"/>
                <w:szCs w:val="18"/>
                <w:color w:val="auto"/>
              </w:rPr>
              <w:t>(dilution/accretion per share divided by investment per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660"/>
              <w:spacing w:after="0"/>
              <w:rPr>
                <w:sz w:val="20"/>
                <w:szCs w:val="20"/>
                <w:color w:val="auto"/>
              </w:rPr>
            </w:pPr>
            <w:r>
              <w:rPr>
                <w:rFonts w:ascii="Arial" w:cs="Arial" w:eastAsia="Arial" w:hAnsi="Arial"/>
                <w:sz w:val="18"/>
                <w:szCs w:val="18"/>
                <w:color w:val="auto"/>
              </w:rPr>
              <w:t>share)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7"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4"/>
              </w:rPr>
              <w:t>Prior to Sale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2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8"/>
              </w:rPr>
              <w:t>at 10% Discount</w:t>
            </w:r>
          </w:p>
        </w:tc>
        <w:tc>
          <w:tcPr>
            <w:tcW w:w="80" w:type="dxa"/>
            <w:vAlign w:val="bottom"/>
          </w:tcPr>
          <w:p>
            <w:pPr>
              <w:spacing w:after="0"/>
              <w:rPr>
                <w:sz w:val="14"/>
                <w:szCs w:val="14"/>
                <w:color w:val="auto"/>
              </w:rPr>
            </w:pPr>
          </w:p>
        </w:tc>
        <w:tc>
          <w:tcPr>
            <w:tcW w:w="19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88"/>
              </w:rPr>
              <w:t>Below NAV</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1,100,000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NAV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5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2,000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0.09%</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Total Asset Values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19,340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5,025</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9,952</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16,940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390</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Per Share Amounts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00" w:type="dxa"/>
            <w:vAlign w:val="bottom"/>
          </w:tcPr>
          <w:p>
            <w:pPr>
              <w:ind w:left="440"/>
              <w:spacing w:after="0"/>
              <w:rPr>
                <w:sz w:val="20"/>
                <w:szCs w:val="20"/>
                <w:color w:val="auto"/>
              </w:rPr>
            </w:pPr>
            <w:r>
              <w:rPr>
                <w:rFonts w:ascii="Arial" w:cs="Arial" w:eastAsia="Arial" w:hAnsi="Arial"/>
                <w:sz w:val="18"/>
                <w:szCs w:val="18"/>
                <w:color w:val="auto"/>
              </w:rPr>
              <w:t>Investment per share held by</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660"/>
              <w:spacing w:after="0"/>
              <w:rPr>
                <w:sz w:val="20"/>
                <w:szCs w:val="20"/>
                <w:color w:val="auto"/>
              </w:rPr>
            </w:pPr>
            <w:r>
              <w:rPr>
                <w:rFonts w:ascii="Arial" w:cs="Arial" w:eastAsia="Arial" w:hAnsi="Arial"/>
                <w:sz w:val="18"/>
                <w:szCs w:val="18"/>
                <w:color w:val="auto"/>
              </w:rPr>
              <w:t>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500" w:type="dxa"/>
            <w:vAlign w:val="bottom"/>
          </w:tcPr>
          <w:p>
            <w:pPr>
              <w:spacing w:after="0"/>
              <w:rPr>
                <w:sz w:val="19"/>
                <w:szCs w:val="19"/>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Dilution per share held by stockholder</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 (NAV per share less investment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(0.07)</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0.39</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00" w:type="dxa"/>
            <w:vAlign w:val="bottom"/>
          </w:tcPr>
          <w:p>
            <w:pPr>
              <w:ind w:left="440"/>
              <w:spacing w:after="0"/>
              <w:rPr>
                <w:sz w:val="20"/>
                <w:szCs w:val="20"/>
                <w:color w:val="auto"/>
              </w:rPr>
            </w:pPr>
            <w:r>
              <w:rPr>
                <w:rFonts w:ascii="Arial" w:cs="Arial" w:eastAsia="Arial" w:hAnsi="Arial"/>
                <w:sz w:val="18"/>
                <w:szCs w:val="18"/>
                <w:color w:val="auto"/>
              </w:rPr>
              <w:t>Percentage dilution to stockholder A</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660"/>
              <w:spacing w:after="0"/>
              <w:rPr>
                <w:sz w:val="20"/>
                <w:szCs w:val="20"/>
                <w:color w:val="auto"/>
              </w:rPr>
            </w:pPr>
            <w:r>
              <w:rPr>
                <w:rFonts w:ascii="Arial" w:cs="Arial" w:eastAsia="Arial" w:hAnsi="Arial"/>
                <w:sz w:val="18"/>
                <w:szCs w:val="18"/>
                <w:color w:val="auto"/>
              </w:rPr>
              <w:t>(dilution per share divided by</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14.17%</w:t>
            </w:r>
          </w:p>
        </w:tc>
        <w:tc>
          <w:tcPr>
            <w:tcW w:w="0" w:type="dxa"/>
            <w:vAlign w:val="bottom"/>
          </w:tcPr>
          <w:p>
            <w:pPr>
              <w:spacing w:after="0"/>
              <w:rPr>
                <w:sz w:val="1"/>
                <w:szCs w:val="1"/>
                <w:color w:val="auto"/>
              </w:rPr>
            </w:pPr>
          </w:p>
        </w:tc>
      </w:tr>
      <w:tr>
        <w:trPr>
          <w:trHeight w:val="365"/>
        </w:trPr>
        <w:tc>
          <w:tcPr>
            <w:tcW w:w="3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3860" w:type="dxa"/>
            <w:vAlign w:val="bottom"/>
            <w:vMerge w:val="restart"/>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tcPr>
          <w:p>
            <w:pPr>
              <w:ind w:left="320"/>
              <w:spacing w:after="0" w:line="148" w:lineRule="exact"/>
              <w:rPr>
                <w:sz w:val="20"/>
                <w:szCs w:val="20"/>
                <w:color w:val="auto"/>
              </w:rPr>
            </w:pPr>
            <w:r>
              <w:rPr>
                <w:rFonts w:ascii="Arial" w:cs="Arial" w:eastAsia="Arial" w:hAnsi="Arial"/>
                <w:sz w:val="14"/>
                <w:szCs w:val="14"/>
                <w:b w:val="1"/>
                <w:bCs w:val="1"/>
                <w:color w:val="auto"/>
              </w:rPr>
              <w:t>Payment Dates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18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July 19, 2013</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August 1, 2013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2013</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July 1, 2013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May 20, 2013</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June 3, 2013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19, 2013</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May 1, 2013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March 22, 2013</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April 1, 2013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19, 2013</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March 1, 2013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January 22, 2013</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February 1, 2013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21,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January 2, 2013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November 20,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December 3, 2012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19,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November 1, 2012</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8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September 20,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October 1, 2012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20,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7"/>
              </w:rPr>
              <w:t>September 4, 2012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July 20,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August 1, 2012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July 2, 2012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May 22,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June 1, 2012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20,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May 1, 2012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March 22,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April 2, 2012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20,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March 1, 2012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January 20,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February 1, 2012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2011</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January 3, 2012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November 21, 2011</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December 1, 2011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21, 2011</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November 1, 2011</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18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September 23, 2011</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October 3, 2011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22, 2011</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7"/>
              </w:rPr>
              <w:t>September 1, 2011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July 22, 2011</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August 1, 2011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2011</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July 1, 2011</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January 2014, a Form 1099-DIV will be sent to stockholders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at a particular level.</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instruments bearing a variable-rate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lesser extent equity investments. Our investment size may generally range between $1 million and $10 million, on average, although we expect that this investment size will vary proportionately with the size of our capital base.</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elected to be treated, and intend to qualify annually as a RIC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utilize the investing experience and contacts of PennantPark Investment Advisers in developing what we belive is an attractive and diversified portfolio. The senior investment professionals of the Investment Adviser have worked together for many years and average over 20 years of experience in the mezzanine lending,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$1.7 billion in debt and equity capital and has invested approximately $2.5 billion in 244 companies with 110 different financial sponsors through its managed funds.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900" w:hanging="446"/>
        <w:spacing w:after="0" w:line="25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securities.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40" w:hanging="446"/>
        <w:spacing w:after="0" w:line="29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w:t>
      </w:r>
      <w:r>
        <w:rPr>
          <w:rFonts w:ascii="Arial" w:cs="Arial" w:eastAsia="Arial" w:hAnsi="Arial"/>
          <w:sz w:val="16"/>
          <w:szCs w:val="16"/>
          <w:color w:val="auto"/>
        </w:rPr>
        <w:t>A high volume of financings will come due in the next few years. Additionally,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20 years of experience in mezzanine lending, leveraged finance, distressed debt and private equity businesses. These senior investment in each of these business across economic and market cycles. We believe this extensive experience and history has resulted in a strong reputation across the capital markets.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Lending to middle-market companies requires in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senior investment professionals of our Investment Adviser have long-term relationships.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8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maintain a $125.0 million Credit Facility, which matures in May 2018, with the Lender. During the Credit Facility’s revolving period, it bears interest at LIBOR plus 200 basis points, and after the revolving period, the rate sets to LIBOR plus 425 basis points for the remaining two years. The Credit Facility is secured by all of the assets held by Funding I, under which we had drawn $34.2 million outstanding with a weighted average interest rate of 2.21%, excluding the undrawn commitment fee of 0.375%, as of March 31, 2013.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sponsorship</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360"/>
          </w:cols>
          <w:pgMar w:left="240" w:top="459" w:right="299" w:bottom="1440" w:gutter="0" w:footer="0" w:header="0"/>
        </w:sectPr>
      </w:pPr>
    </w:p>
    <w:p>
      <w:pPr>
        <w:spacing w:after="0" w:line="181" w:lineRule="exact"/>
        <w:rPr>
          <w:sz w:val="20"/>
          <w:szCs w:val="20"/>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Beverage, Food and Tobacco</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Consumer Goods: Durable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Consumer Goods: Non-Durable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Diversified/Conglomerate Manufacturing</w:t>
      </w:r>
    </w:p>
    <w:p>
      <w:pPr>
        <w:spacing w:after="0" w:line="113" w:lineRule="exact"/>
        <w:rPr>
          <w:rFonts w:ascii="Arial" w:cs="Arial" w:eastAsia="Arial" w:hAnsi="Arial"/>
          <w:sz w:val="16"/>
          <w:szCs w:val="16"/>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Energy / Utilities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 Tech Industries</w:t>
      </w:r>
    </w:p>
    <w:p>
      <w:pPr>
        <w:spacing w:after="0" w:line="90" w:lineRule="exact"/>
        <w:rPr>
          <w:rFonts w:ascii="Arial" w:cs="Arial" w:eastAsia="Arial" w:hAnsi="Arial"/>
          <w:sz w:val="18"/>
          <w:szCs w:val="18"/>
          <w:color w:val="auto"/>
        </w:rPr>
      </w:pPr>
    </w:p>
    <w:p>
      <w:pPr>
        <w:ind w:left="1300" w:right="120" w:hanging="429"/>
        <w:spacing w:after="0" w:line="268" w:lineRule="auto"/>
        <w:tabs>
          <w:tab w:leader="none" w:pos="11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5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Manufacturing / Basic Industries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Media; Broadcasting and Subscription</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Mining, Steel, Iron and Non-Precious Metals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Media</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Retail Stores</w:t>
      </w:r>
    </w:p>
    <w:p>
      <w:pPr>
        <w:spacing w:after="0" w:line="90" w:lineRule="exact"/>
        <w:rPr>
          <w:rFonts w:ascii="Arial" w:cs="Arial" w:eastAsia="Arial" w:hAnsi="Arial"/>
          <w:sz w:val="18"/>
          <w:szCs w:val="18"/>
          <w:color w:val="auto"/>
        </w:rPr>
      </w:pPr>
    </w:p>
    <w:p>
      <w:pPr>
        <w:ind w:left="1140" w:hanging="269"/>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900" w:space="720"/>
            <w:col w:w="5740"/>
          </w:cols>
          <w:pgMar w:left="240" w:top="459" w:right="29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Portfolio Company</w:t>
            </w:r>
          </w:p>
        </w:tc>
        <w:tc>
          <w:tcPr>
            <w:tcW w:w="3400" w:type="dxa"/>
            <w:vAlign w:val="bottom"/>
            <w:vMerge w:val="restart"/>
          </w:tcPr>
          <w:p>
            <w:pPr>
              <w:spacing w:after="0"/>
              <w:rPr>
                <w:sz w:val="14"/>
                <w:szCs w:val="14"/>
                <w:color w:val="auto"/>
              </w:rPr>
            </w:pPr>
          </w:p>
        </w:tc>
        <w:tc>
          <w:tcPr>
            <w:tcW w:w="10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vMerge w:val="restart"/>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Portfolio Company</w:t>
            </w:r>
          </w:p>
        </w:tc>
        <w:tc>
          <w:tcPr>
            <w:tcW w:w="3280" w:type="dxa"/>
            <w:vAlign w:val="bottom"/>
            <w:vMerge w:val="restart"/>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53"/>
        </w:trPr>
        <w:tc>
          <w:tcPr>
            <w:tcW w:w="1220" w:type="dxa"/>
            <w:vAlign w:val="bottom"/>
            <w:tcBorders>
              <w:bottom w:val="single" w:sz="8" w:color="auto"/>
            </w:tcBorders>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62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ALG USA Holdings, LLC</w:t>
            </w:r>
          </w:p>
        </w:tc>
        <w:tc>
          <w:tcPr>
            <w:tcW w:w="62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44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w w:val="87"/>
              </w:rPr>
              <w:t>%</w:t>
            </w:r>
          </w:p>
        </w:tc>
        <w:tc>
          <w:tcPr>
            <w:tcW w:w="4760" w:type="dxa"/>
            <w:vAlign w:val="bottom"/>
            <w:gridSpan w:val="5"/>
            <w:vMerge w:val="restart"/>
            <w:shd w:val="clear" w:color="auto" w:fill="CCEEFF"/>
          </w:tcPr>
          <w:p>
            <w:pPr>
              <w:ind w:left="280"/>
              <w:spacing w:after="0"/>
              <w:rPr>
                <w:sz w:val="20"/>
                <w:szCs w:val="20"/>
                <w:color w:val="auto"/>
              </w:rPr>
            </w:pPr>
            <w:r>
              <w:rPr>
                <w:rFonts w:ascii="Arial" w:cs="Arial" w:eastAsia="Arial" w:hAnsi="Arial"/>
                <w:sz w:val="18"/>
                <w:szCs w:val="18"/>
                <w:color w:val="auto"/>
              </w:rPr>
              <w:t>Healogics Inc. (f/k/a National Healing Corp.)</w:t>
            </w: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3"/>
            <w:vMerge w:val="continue"/>
            <w:shd w:val="clear" w:color="auto" w:fill="CCEEFF"/>
          </w:tcPr>
          <w:p>
            <w:pPr>
              <w:spacing w:after="0"/>
              <w:rPr>
                <w:sz w:val="17"/>
                <w:szCs w:val="17"/>
                <w:color w:val="auto"/>
              </w:rPr>
            </w:pPr>
          </w:p>
        </w:tc>
        <w:tc>
          <w:tcPr>
            <w:tcW w:w="620" w:type="dxa"/>
            <w:vAlign w:val="bottom"/>
            <w:tcBorders>
              <w:left w:val="single" w:sz="8" w:color="CCEEFF"/>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440" w:type="dxa"/>
            <w:vAlign w:val="bottom"/>
            <w:vMerge w:val="continue"/>
            <w:shd w:val="clear" w:color="auto" w:fill="CCEEFF"/>
          </w:tcPr>
          <w:p>
            <w:pPr>
              <w:spacing w:after="0"/>
              <w:rPr>
                <w:sz w:val="17"/>
                <w:szCs w:val="17"/>
                <w:color w:val="auto"/>
              </w:rPr>
            </w:pPr>
          </w:p>
        </w:tc>
        <w:tc>
          <w:tcPr>
            <w:tcW w:w="4760" w:type="dxa"/>
            <w:vAlign w:val="bottom"/>
            <w:gridSpan w:val="5"/>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K2 Pure Solutions NoCal, L.P.</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4760" w:type="dxa"/>
            <w:vAlign w:val="bottom"/>
            <w:gridSpan w:val="5"/>
          </w:tcPr>
          <w:p>
            <w:pPr>
              <w:ind w:left="280"/>
              <w:spacing w:after="0"/>
              <w:rPr>
                <w:sz w:val="20"/>
                <w:szCs w:val="20"/>
                <w:color w:val="auto"/>
              </w:rPr>
            </w:pPr>
            <w:r>
              <w:rPr>
                <w:rFonts w:ascii="Arial" w:cs="Arial" w:eastAsia="Arial" w:hAnsi="Arial"/>
                <w:sz w:val="18"/>
                <w:szCs w:val="18"/>
                <w:color w:val="auto"/>
              </w:rPr>
              <w:t>Instant Web, Inc.</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476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K2 Pure Solutions NoCal, L.P.</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Trusthouse Services Group, Inc</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4760" w:type="dxa"/>
            <w:vAlign w:val="bottom"/>
            <w:gridSpan w:val="5"/>
          </w:tcPr>
          <w:p>
            <w:pPr>
              <w:ind w:left="280"/>
              <w:spacing w:after="0"/>
              <w:rPr>
                <w:sz w:val="20"/>
                <w:szCs w:val="20"/>
                <w:color w:val="auto"/>
              </w:rPr>
            </w:pPr>
            <w:r>
              <w:rPr>
                <w:rFonts w:ascii="Arial" w:cs="Arial" w:eastAsia="Arial" w:hAnsi="Arial"/>
                <w:sz w:val="18"/>
                <w:szCs w:val="18"/>
                <w:color w:val="auto"/>
              </w:rPr>
              <w:t>KIK Custom Products Inc.</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KIK Custom Products Inc.</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476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Mood Media Corporation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4760" w:type="dxa"/>
            <w:vAlign w:val="bottom"/>
            <w:gridSpan w:val="5"/>
          </w:tcPr>
          <w:p>
            <w:pPr>
              <w:ind w:left="280"/>
              <w:spacing w:after="0"/>
              <w:rPr>
                <w:sz w:val="20"/>
                <w:szCs w:val="20"/>
                <w:color w:val="auto"/>
              </w:rPr>
            </w:pPr>
            <w:r>
              <w:rPr>
                <w:rFonts w:ascii="Arial" w:cs="Arial" w:eastAsia="Arial" w:hAnsi="Arial"/>
                <w:sz w:val="18"/>
                <w:szCs w:val="18"/>
                <w:color w:val="auto"/>
              </w:rPr>
              <w:t>Penton Media, Inc.</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Northfield Park Associates LLC</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476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Trusthouse Services Group, Inc.</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RiverBoat Corporation of Mississippi</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4760" w:type="dxa"/>
            <w:vAlign w:val="bottom"/>
            <w:gridSpan w:val="5"/>
          </w:tcPr>
          <w:p>
            <w:pPr>
              <w:ind w:left="280"/>
              <w:spacing w:after="0"/>
              <w:rPr>
                <w:sz w:val="20"/>
                <w:szCs w:val="20"/>
                <w:color w:val="auto"/>
              </w:rPr>
            </w:pPr>
            <w:r>
              <w:rPr>
                <w:rFonts w:ascii="Arial" w:cs="Arial" w:eastAsia="Arial" w:hAnsi="Arial"/>
                <w:sz w:val="18"/>
                <w:szCs w:val="18"/>
                <w:color w:val="auto"/>
              </w:rPr>
              <w:t>Yonkers Racing Corporation</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DS Waters of America, Inc.</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476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DS Waters of America, Inc.</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620" w:type="dxa"/>
            <w:vAlign w:val="bottom"/>
            <w:gridSpan w:val="3"/>
          </w:tcPr>
          <w:p>
            <w:pPr>
              <w:spacing w:after="0"/>
              <w:rPr>
                <w:sz w:val="20"/>
                <w:szCs w:val="20"/>
                <w:color w:val="auto"/>
              </w:rPr>
            </w:pPr>
            <w:r>
              <w:rPr>
                <w:rFonts w:ascii="Arial" w:cs="Arial" w:eastAsia="Arial" w:hAnsi="Arial"/>
                <w:sz w:val="18"/>
                <w:szCs w:val="18"/>
                <w:color w:val="auto"/>
              </w:rPr>
              <w:t>Orbitz Worldwide, Inc.</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4760" w:type="dxa"/>
            <w:vAlign w:val="bottom"/>
            <w:gridSpan w:val="5"/>
          </w:tcPr>
          <w:p>
            <w:pPr>
              <w:ind w:left="280"/>
              <w:spacing w:after="0"/>
              <w:rPr>
                <w:sz w:val="20"/>
                <w:szCs w:val="20"/>
                <w:color w:val="auto"/>
              </w:rPr>
            </w:pPr>
            <w:r>
              <w:rPr>
                <w:rFonts w:ascii="Arial" w:cs="Arial" w:eastAsia="Arial" w:hAnsi="Arial"/>
                <w:sz w:val="18"/>
                <w:szCs w:val="18"/>
                <w:color w:val="auto"/>
              </w:rPr>
              <w:t>Viamedia Services Corp.</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3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7"/>
              </w:rPr>
              <w:t>Industry</w:t>
            </w:r>
          </w:p>
        </w:tc>
        <w:tc>
          <w:tcPr>
            <w:tcW w:w="4060" w:type="dxa"/>
            <w:vAlign w:val="bottom"/>
            <w:gridSpan w:val="2"/>
            <w:vMerge w:val="restart"/>
          </w:tcPr>
          <w:p>
            <w:pPr>
              <w:spacing w:after="0"/>
              <w:rPr>
                <w:sz w:val="24"/>
                <w:szCs w:val="24"/>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w w:val="86"/>
              </w:rPr>
              <w:t>March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7"/>
              </w:rPr>
              <w:t>Industry</w:t>
            </w:r>
          </w:p>
        </w:tc>
        <w:tc>
          <w:tcPr>
            <w:tcW w:w="3900" w:type="dxa"/>
            <w:vAlign w:val="bottom"/>
            <w:gridSpan w:val="2"/>
            <w:vMerge w:val="restart"/>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53"/>
        </w:trPr>
        <w:tc>
          <w:tcPr>
            <w:tcW w:w="560" w:type="dxa"/>
            <w:vAlign w:val="bottom"/>
            <w:tcBorders>
              <w:bottom w:val="single" w:sz="8" w:color="auto"/>
            </w:tcBorders>
            <w:vMerge w:val="continue"/>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62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62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3"/>
            <w:vMerge w:val="continue"/>
            <w:shd w:val="clear" w:color="auto" w:fill="CCEEFF"/>
          </w:tcPr>
          <w:p>
            <w:pPr>
              <w:spacing w:after="0"/>
              <w:rPr>
                <w:sz w:val="17"/>
                <w:szCs w:val="17"/>
                <w:color w:val="auto"/>
              </w:rPr>
            </w:pPr>
          </w:p>
        </w:tc>
        <w:tc>
          <w:tcPr>
            <w:tcW w:w="1060" w:type="dxa"/>
            <w:vAlign w:val="bottom"/>
            <w:tcBorders>
              <w:left w:val="single" w:sz="8" w:color="CCEEFF"/>
            </w:tcBorders>
            <w:gridSpan w:val="2"/>
            <w:shd w:val="clear" w:color="auto" w:fill="CCEEFF"/>
          </w:tcPr>
          <w:p>
            <w:pPr>
              <w:jc w:val="right"/>
              <w:ind w:right="232"/>
              <w:spacing w:after="0" w:line="203"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60" w:type="dxa"/>
            <w:vAlign w:val="bottom"/>
            <w:gridSpan w:val="3"/>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462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Business Services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2"/>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4620" w:type="dxa"/>
            <w:vAlign w:val="bottom"/>
            <w:gridSpan w:val="3"/>
          </w:tcPr>
          <w:p>
            <w:pPr>
              <w:spacing w:after="0"/>
              <w:rPr>
                <w:sz w:val="20"/>
                <w:szCs w:val="20"/>
                <w:color w:val="auto"/>
              </w:rPr>
            </w:pPr>
            <w:r>
              <w:rPr>
                <w:rFonts w:ascii="Arial" w:cs="Arial" w:eastAsia="Arial" w:hAnsi="Arial"/>
                <w:sz w:val="18"/>
                <w:szCs w:val="18"/>
                <w:color w:val="auto"/>
              </w:rPr>
              <w:t>Consumer Services</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2"/>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4620" w:type="dxa"/>
            <w:vAlign w:val="bottom"/>
            <w:gridSpan w:val="3"/>
          </w:tcPr>
          <w:p>
            <w:pPr>
              <w:spacing w:after="0"/>
              <w:rPr>
                <w:sz w:val="20"/>
                <w:szCs w:val="20"/>
                <w:color w:val="auto"/>
              </w:rPr>
            </w:pPr>
            <w:r>
              <w:rPr>
                <w:rFonts w:ascii="Arial" w:cs="Arial" w:eastAsia="Arial" w:hAnsi="Arial"/>
                <w:sz w:val="18"/>
                <w:szCs w:val="18"/>
                <w:color w:val="auto"/>
              </w:rPr>
              <w:t>Business Services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2"/>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4620" w:type="dxa"/>
            <w:vAlign w:val="bottom"/>
            <w:gridSpan w:val="3"/>
          </w:tcPr>
          <w:p>
            <w:pPr>
              <w:spacing w:after="0"/>
              <w:rPr>
                <w:sz w:val="20"/>
                <w:szCs w:val="20"/>
                <w:color w:val="auto"/>
              </w:rPr>
            </w:pPr>
            <w:r>
              <w:rPr>
                <w:rFonts w:ascii="Arial" w:cs="Arial" w:eastAsia="Arial" w:hAnsi="Arial"/>
                <w:sz w:val="18"/>
                <w:szCs w:val="18"/>
                <w:color w:val="auto"/>
              </w:rPr>
              <w:t>Media: Advertising, Printing and Publishing</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2"/>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Automotive</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462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Telecommunications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Accordingly they may have obligations to investors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sought, and there can be no assurance that we will obtain, such order.</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2013, our portfolio consisted of 63 companies and was invested 87% in senior secured loans, 6% in second lien secured debt and 7% in subordinated debt and preferred and common equity investments.</w:t>
      </w:r>
    </w:p>
    <w:p>
      <w:pPr>
        <w:spacing w:after="0" w:line="132" w:lineRule="exact"/>
        <w:rPr>
          <w:sz w:val="20"/>
          <w:szCs w:val="20"/>
          <w:color w:val="auto"/>
        </w:rPr>
      </w:pPr>
    </w:p>
    <w:p>
      <w:pPr>
        <w:jc w:val="center"/>
        <w:ind w:right="120"/>
        <w:spacing w:after="0" w:line="440" w:lineRule="auto"/>
        <w:rPr>
          <w:sz w:val="20"/>
          <w:szCs w:val="20"/>
          <w:color w:val="auto"/>
        </w:rPr>
      </w:pPr>
      <w:r>
        <w:rPr>
          <w:rFonts w:ascii="Arial" w:cs="Arial" w:eastAsia="Arial" w:hAnsi="Arial"/>
          <w:sz w:val="18"/>
          <w:szCs w:val="18"/>
          <w:color w:val="auto"/>
        </w:rPr>
        <w:t>As of March 31, 2013, there was no portfolio company in which we have made an investment that represents greater than 5% of our total assets. 70</w:t>
      </w:r>
    </w:p>
    <w:p>
      <w:pPr>
        <w:sectPr>
          <w:pgSz w:w="11900" w:h="16838" w:orient="portrait"/>
          <w:cols w:equalWidth="0" w:num="1">
            <w:col w:w="11180"/>
          </w:cols>
          <w:pgMar w:left="24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is a listing of each portfolio company or its affiliate, together referred to as portfolio companies, in which we had an investment at March 31,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March 31, 2013 Consolidated Financial Statements included elsewhere in this prospectus.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740" w:type="dxa"/>
            <w:vAlign w:val="bottom"/>
            <w:tcBorders>
              <w:top w:val="single" w:sz="8" w:color="CCEEFF"/>
            </w:tcBorders>
            <w:shd w:val="clear" w:color="auto" w:fill="CCEEFF"/>
          </w:tcPr>
          <w:p>
            <w:pPr>
              <w:spacing w:after="0"/>
              <w:rPr>
                <w:sz w:val="10"/>
                <w:szCs w:val="10"/>
                <w:color w:val="auto"/>
              </w:rPr>
            </w:pPr>
          </w:p>
        </w:tc>
        <w:tc>
          <w:tcPr>
            <w:tcW w:w="35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20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Affinion Group Holdings,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Consumer Goods: Non-Durable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ALG USA Holdings, LLC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Hotel, Gaming and Leisure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 Campus Boulevard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Newtown Square, PA 19073</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American Gilsonite Company</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Metals and Mining</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1717 St. James Place</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Houston, TX 77056</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ARC Auto Group, Inc. and Casco Auto Group,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91"/>
              </w:rPr>
              <w:t>Automotive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855 Main Street, 10th Floor</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Bridgeport, CT 06604</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Aspen Dental Management,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Consumer Services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281 Sanders Creek Parkway</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East Syracuse, NY 13057</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ATI Holdings,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790 Remington Boulevard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Bolingbrook, IL 60440</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Attachmate Corporation</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High Tech Industries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1500 Dexter Avenue N.</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Seattle, WA 98109</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Autoparts Holdings Limited</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91"/>
              </w:rPr>
              <w:t>Automotive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 Old Ridgebury Road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Danbury, CT 06810</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BBB Industries, LLC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Automotive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5640 Commerce Blvd. East</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Mobile, AL 36619</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740" w:type="dxa"/>
            <w:vAlign w:val="bottom"/>
          </w:tcPr>
          <w:p>
            <w:pPr>
              <w:spacing w:after="0"/>
              <w:rPr>
                <w:sz w:val="3"/>
                <w:szCs w:val="3"/>
                <w:color w:val="auto"/>
              </w:rPr>
            </w:pPr>
          </w:p>
        </w:tc>
        <w:tc>
          <w:tcPr>
            <w:tcW w:w="354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Berlin Packaging L.L.C.</w:t>
            </w:r>
          </w:p>
        </w:tc>
        <w:tc>
          <w:tcPr>
            <w:tcW w:w="39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525 West Monroe Street</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86"/>
              </w:rPr>
              <w:t>Second Lien Secured Debt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60661</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Brand Energy and Infrastructure Services,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Energy: Oil and Gas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600 Travis Street, Suite 600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Houston, TX 77002</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Cannery Casino Resorts, LLC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Hotel, Gaming and Leisure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6"/>
              </w:rPr>
              <w:t>Second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2121 E Craig Road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North Las Vegas, NV 89030</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DCS Business Services,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3"/>
              </w:rPr>
              <w:t>Business Services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Livermore, CA 94551</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3"/>
              </w:rPr>
              <w:t>Business Services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DS Waters Of America,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4"/>
              </w:rPr>
              <w:t>Beverage, Food and Tobacco</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Atlanta, GA 30328</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3"/>
              </w:rPr>
              <w:t>Business Services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Edmenturn, Inc. (f/k/a Archipelago Learning,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Media: Broadcasting and Subscription</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5600 West 83rd Street, Suite 300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8200 Tower, Bloomington, MN 55437</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EIG Investors Corp.</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High Tech Industries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 Corporate Drive</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Burlington, MA 01803</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Emerald Performance Materials, LLC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6"/>
              </w:rPr>
              <w:t>Chemicals, Plastics and Rubber</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2020 Front Street, Suite 100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Cuyahoga Falls, OH 44221</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eResearchtechnology,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1818 Market Street</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Philandelphia, PA 19103</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Fishnet Security,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High Tech Industries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6130 Sprint Parkway, Suite 400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Overland Park, KS 66211</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GFA Brands,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Beverage, Food and Tobacco</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115 West Century Road, Suite 260</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Paramus, NJ 07652</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Graton Economic Development Authority</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Hotel, Gaming and Leisure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Federated Indians of Graton Rancheria</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6400 Redwood Drive, Suite 300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Rohnert Park, CA 94928</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GSE Environmental,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Environmental Industries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19103 Gundle Road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77073</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HMK Intermediate Holding LLC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Retail</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1000 South Oyster Bay Road</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Hicksville, NY 11801</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40" w:type="dxa"/>
            <w:vAlign w:val="bottom"/>
          </w:tcPr>
          <w:p>
            <w:pPr>
              <w:spacing w:after="0"/>
              <w:rPr>
                <w:sz w:val="15"/>
                <w:szCs w:val="15"/>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740" w:type="dxa"/>
            <w:vAlign w:val="bottom"/>
          </w:tcPr>
          <w:p>
            <w:pPr>
              <w:spacing w:after="0"/>
              <w:rPr>
                <w:sz w:val="3"/>
                <w:szCs w:val="3"/>
                <w:color w:val="auto"/>
              </w:rPr>
            </w:pPr>
          </w:p>
        </w:tc>
        <w:tc>
          <w:tcPr>
            <w:tcW w:w="354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Howard Berger Co. LLC</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Wholesale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324A Half Acre Road</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Cranbury, NJ 08512</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IDQ Holdings,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Automotive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2901 West Kingsley Road</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Garland, TX 75041</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Ikaria, Inc.</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Perryville III Corporate Park</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53 Frontage Road, 3rd FL.</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 BOX 9001</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Hampton, NJ 08827</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InfuSystem Holdings,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4"/>
              </w:rPr>
              <w:t>Healthcare and Pharmaceuticals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31700 Reseach Park Drive</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Madison Heights, MI 48071</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90"/>
              </w:rPr>
              <w:t>Media: Advertising, Printing and Publishing</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Jackson Hewitt Tax Service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Consumer Services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 Sylvan Way</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Parsippany, NJ 07054</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6"/>
              </w:rPr>
              <w:t>Chemicals, Plastics and Rubber</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Soho Centre</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260 Queen St.</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W. Toronto, Canada</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KIK Custom Products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Consumer Goods: Non-Durable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101 Macintosh Boulevard</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Concord, ON L4K 4L5</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Canada</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Milk Specialties Company</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Consumer Goods: Non-Durable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7500 Flying Cloud Drive, Suite 500</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MModal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3"/>
              </w:rPr>
              <w:t>Business Services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9009 Carothers Parkway, Suite C-1</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Franklin, TN 37067</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Mood Media Corporation</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Toronto, ON M2P 2C2</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Canada</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MOSAID Technologies Incorporated</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High Tech Industries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11 Hines Road, Suite 203</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Ottawa, Ontario, Canada</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K2K 2X1</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MX USA, INC.</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930 Ridgebrook Rd, 3rd FL</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Sparks, MD 21152</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NAB Holdings, LLC</w:t>
            </w:r>
          </w:p>
        </w:tc>
        <w:tc>
          <w:tcPr>
            <w:tcW w:w="1740" w:type="dxa"/>
            <w:vAlign w:val="bottom"/>
          </w:tcPr>
          <w:p>
            <w:pPr>
              <w:spacing w:after="0"/>
              <w:rPr>
                <w:sz w:val="17"/>
                <w:szCs w:val="17"/>
                <w:color w:val="auto"/>
              </w:rPr>
            </w:pPr>
          </w:p>
        </w:tc>
        <w:tc>
          <w:tcPr>
            <w:tcW w:w="396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Banking, Finance, Insurance and Real Estate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250 Stephenson Highway</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Troy, MI 48083</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Northfield Park Associates LLC</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Hotel, Gaming and Leisure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10705 Northfield Road</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Northfield, OH 44067</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Orbitz Worldwide,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6"/>
              </w:rPr>
              <w:t>Transportation: Consumer</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500 W. Madison Street, Suite 1000</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Chicago, IL 60661</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Nature of Business</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Type of Investment</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820" w:type="dxa"/>
            <w:vAlign w:val="bottom"/>
          </w:tcPr>
          <w:p>
            <w:pPr>
              <w:spacing w:after="0"/>
              <w:rPr>
                <w:sz w:val="3"/>
                <w:szCs w:val="3"/>
                <w:color w:val="auto"/>
              </w:rPr>
            </w:pPr>
          </w:p>
        </w:tc>
        <w:tc>
          <w:tcPr>
            <w:tcW w:w="348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98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Pelican Products, Inc.</w:t>
            </w:r>
          </w:p>
        </w:tc>
        <w:tc>
          <w:tcPr>
            <w:tcW w:w="390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23215 Early Avenue</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Torrance, CA 90505</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Media: Diversified and Production</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360" w:type="dxa"/>
            <w:vAlign w:val="bottom"/>
            <w:gridSpan w:val="3"/>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New York, NY 10011</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Premier Dental Services,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5"/>
              </w:rPr>
              <w:t>Consumer Services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530 S Main Street, 6th FL</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Orange CA 92868</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RiverBoat Corporation of Mississippi</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Hotel, Gaming and Leisure</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1510 West Loop South</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Houston, TX 77027</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Sabre Industries,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90"/>
              </w:rPr>
              <w:t>Construction and Building</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8653 East Highway 67</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Alvarado, TX 76009</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3"/>
          </w:tcPr>
          <w:p>
            <w:pPr>
              <w:spacing w:after="0"/>
              <w:rPr>
                <w:sz w:val="20"/>
                <w:szCs w:val="20"/>
                <w:color w:val="auto"/>
              </w:rPr>
            </w:pPr>
            <w:r>
              <w:rPr>
                <w:rFonts w:ascii="Arial" w:cs="Arial" w:eastAsia="Arial" w:hAnsi="Arial"/>
                <w:sz w:val="14"/>
                <w:szCs w:val="14"/>
                <w:color w:val="auto"/>
              </w:rPr>
              <w:t>Seven Seas Cruises R.L.</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Hotel, Gaming and Leisure</w:t>
            </w:r>
          </w:p>
        </w:tc>
        <w:tc>
          <w:tcPr>
            <w:tcW w:w="2400" w:type="dxa"/>
            <w:vAlign w:val="bottom"/>
            <w:gridSpan w:val="2"/>
          </w:tcPr>
          <w:p>
            <w:pPr>
              <w:jc w:val="center"/>
              <w:ind w:right="44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360" w:type="dxa"/>
            <w:vAlign w:val="bottom"/>
            <w:gridSpan w:val="3"/>
          </w:tcPr>
          <w:p>
            <w:pPr>
              <w:spacing w:after="0" w:line="165" w:lineRule="exact"/>
              <w:rPr>
                <w:sz w:val="20"/>
                <w:szCs w:val="20"/>
                <w:color w:val="auto"/>
              </w:rPr>
            </w:pPr>
            <w:r>
              <w:rPr>
                <w:rFonts w:ascii="Arial" w:cs="Arial" w:eastAsia="Arial" w:hAnsi="Arial"/>
                <w:sz w:val="12"/>
                <w:szCs w:val="12"/>
                <w:color w:val="auto"/>
              </w:rPr>
              <w:t>8300 NW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Street, Suite 308</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Miami, FL 33122</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5"/>
              </w:rPr>
              <w:t>Aerospace and Defense</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St. George’s University Scholastic Services LLC</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Consumer Services</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3500 Sunrise Highway, Bldg. 300</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Great River, NY 11739</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Sutherland Global Services,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3"/>
              </w:rPr>
              <w:t>Business Services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1160 Pittsford Victor Road</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Pittsford, NY 14534</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Tekelec Global, Inc.</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Telecommunications</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173"/>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5200 Paramount Parkway</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Morrisville, NC 27560</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Therakos,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1001 US Route 202</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Raritan, NJ 08869</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TrustHouse Services Group, Inc.</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4"/>
              </w:rPr>
              <w:t>Beverage, Food and Tobacco</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Subordinated Debt</w:t>
            </w:r>
          </w:p>
        </w:tc>
        <w:tc>
          <w:tcPr>
            <w:tcW w:w="760" w:type="dxa"/>
            <w:vAlign w:val="bottom"/>
          </w:tcPr>
          <w:p>
            <w:pPr>
              <w:jc w:val="right"/>
              <w:ind w:right="173"/>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2201 Water Ridge Parkway, Suite 320</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Charlotte, NC 28217</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UniTek Global Services,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Telecommunications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1777 Sentry Parkway West</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Gwynedd Hall Suite 202</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Blue Bell, PA 19422</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Univita Health, Inc.</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Consumer Services</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Scottsdale, AZ 85253</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Valitas Health Services,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12647 Olive Boulevard</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 63141</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Varel International Energy Mezzanine Funding Corp.</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Energy: Oil and Gas</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1625W. Crossby Road, Suite 124</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Carrollton, Dallas County, TX 75006</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Vestcom International,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90"/>
              </w:rPr>
              <w:t>Media: Advertising, Printing and Publishing</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Subordinated Debt</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7302 Kanis Road</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Little Rock, AR 72204</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00" w:type="dxa"/>
            <w:vAlign w:val="bottom"/>
          </w:tcPr>
          <w:p>
            <w:pPr>
              <w:spacing w:after="0"/>
              <w:rPr>
                <w:sz w:val="15"/>
                <w:szCs w:val="15"/>
                <w:color w:val="auto"/>
              </w:rPr>
            </w:pPr>
          </w:p>
        </w:tc>
        <w:tc>
          <w:tcPr>
            <w:tcW w:w="4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Nature of Business</w:t>
            </w:r>
          </w:p>
        </w:tc>
        <w:tc>
          <w:tcPr>
            <w:tcW w:w="2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Type of Investment</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362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96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700" w:type="dxa"/>
            <w:vAlign w:val="bottom"/>
            <w:shd w:val="clear" w:color="auto" w:fill="CCEEFF"/>
          </w:tcPr>
          <w:p>
            <w:pPr>
              <w:spacing w:after="0"/>
              <w:rPr>
                <w:sz w:val="11"/>
                <w:szCs w:val="11"/>
                <w:color w:val="auto"/>
              </w:rPr>
            </w:pPr>
          </w:p>
        </w:tc>
        <w:tc>
          <w:tcPr>
            <w:tcW w:w="404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90"/>
              </w:rPr>
              <w:t>Media: Advertising, Printing and Publishing</w:t>
            </w:r>
          </w:p>
        </w:tc>
        <w:tc>
          <w:tcPr>
            <w:tcW w:w="238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17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Lexington, KY 40503</w:t>
            </w:r>
          </w:p>
        </w:tc>
        <w:tc>
          <w:tcPr>
            <w:tcW w:w="17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Virtual Radiologic Corporation</w:t>
            </w:r>
          </w:p>
        </w:tc>
        <w:tc>
          <w:tcPr>
            <w:tcW w:w="1700" w:type="dxa"/>
            <w:vAlign w:val="bottom"/>
          </w:tcPr>
          <w:p>
            <w:pPr>
              <w:spacing w:after="0"/>
              <w:rPr>
                <w:sz w:val="17"/>
                <w:szCs w:val="17"/>
                <w:color w:val="auto"/>
              </w:rPr>
            </w:pPr>
          </w:p>
        </w:tc>
        <w:tc>
          <w:tcPr>
            <w:tcW w:w="404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Business Services</w:t>
            </w:r>
          </w:p>
        </w:tc>
        <w:tc>
          <w:tcPr>
            <w:tcW w:w="2380" w:type="dxa"/>
            <w:vAlign w:val="bottom"/>
            <w:gridSpan w:val="2"/>
          </w:tcPr>
          <w:p>
            <w:pPr>
              <w:jc w:val="center"/>
              <w:ind w:right="44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17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Eden Prairie, MN 55344</w:t>
            </w:r>
          </w:p>
        </w:tc>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Water Pik, Inc.</w:t>
            </w:r>
          </w:p>
        </w:tc>
        <w:tc>
          <w:tcPr>
            <w:tcW w:w="1700" w:type="dxa"/>
            <w:vAlign w:val="bottom"/>
            <w:shd w:val="clear" w:color="auto" w:fill="CCEEFF"/>
          </w:tcPr>
          <w:p>
            <w:pPr>
              <w:spacing w:after="0"/>
              <w:rPr>
                <w:sz w:val="11"/>
                <w:szCs w:val="11"/>
                <w:color w:val="auto"/>
              </w:rPr>
            </w:pPr>
          </w:p>
        </w:tc>
        <w:tc>
          <w:tcPr>
            <w:tcW w:w="404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6"/>
              </w:rPr>
              <w:t>Consumer Goods: Durable</w:t>
            </w:r>
          </w:p>
        </w:tc>
        <w:tc>
          <w:tcPr>
            <w:tcW w:w="238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1730 East Prospect Road</w:t>
            </w:r>
          </w:p>
        </w:tc>
        <w:tc>
          <w:tcPr>
            <w:tcW w:w="17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Fort Collins, CO 80553</w:t>
            </w:r>
          </w:p>
        </w:tc>
        <w:tc>
          <w:tcPr>
            <w:tcW w:w="17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Wilton Brands, LLC</w:t>
            </w:r>
          </w:p>
        </w:tc>
        <w:tc>
          <w:tcPr>
            <w:tcW w:w="1700" w:type="dxa"/>
            <w:vAlign w:val="bottom"/>
          </w:tcPr>
          <w:p>
            <w:pPr>
              <w:spacing w:after="0"/>
              <w:rPr>
                <w:sz w:val="17"/>
                <w:szCs w:val="17"/>
                <w:color w:val="auto"/>
              </w:rPr>
            </w:pPr>
          </w:p>
        </w:tc>
        <w:tc>
          <w:tcPr>
            <w:tcW w:w="4040" w:type="dxa"/>
            <w:vAlign w:val="bottom"/>
            <w:gridSpan w:val="2"/>
          </w:tcPr>
          <w:p>
            <w:pPr>
              <w:jc w:val="center"/>
              <w:ind w:right="440"/>
              <w:spacing w:after="0"/>
              <w:rPr>
                <w:sz w:val="20"/>
                <w:szCs w:val="20"/>
                <w:color w:val="auto"/>
              </w:rPr>
            </w:pPr>
            <w:r>
              <w:rPr>
                <w:rFonts w:ascii="Arial" w:cs="Arial" w:eastAsia="Arial" w:hAnsi="Arial"/>
                <w:sz w:val="14"/>
                <w:szCs w:val="14"/>
                <w:color w:val="auto"/>
                <w:w w:val="87"/>
              </w:rPr>
              <w:t>Consumer Goods: Non-Durable</w:t>
            </w:r>
          </w:p>
        </w:tc>
        <w:tc>
          <w:tcPr>
            <w:tcW w:w="2380" w:type="dxa"/>
            <w:vAlign w:val="bottom"/>
            <w:gridSpan w:val="2"/>
          </w:tcPr>
          <w:p>
            <w:pPr>
              <w:jc w:val="center"/>
              <w:ind w:right="44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2240 W. 75th Street</w:t>
            </w:r>
          </w:p>
        </w:tc>
        <w:tc>
          <w:tcPr>
            <w:tcW w:w="17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Woodridge, IL 60517</w:t>
            </w:r>
          </w:p>
        </w:tc>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Z Wireless</w:t>
            </w:r>
          </w:p>
        </w:tc>
        <w:tc>
          <w:tcPr>
            <w:tcW w:w="1700" w:type="dxa"/>
            <w:vAlign w:val="bottom"/>
            <w:shd w:val="clear" w:color="auto" w:fill="CCEEFF"/>
          </w:tcPr>
          <w:p>
            <w:pPr>
              <w:spacing w:after="0"/>
              <w:rPr>
                <w:sz w:val="11"/>
                <w:szCs w:val="11"/>
                <w:color w:val="auto"/>
              </w:rPr>
            </w:pPr>
          </w:p>
        </w:tc>
        <w:tc>
          <w:tcPr>
            <w:tcW w:w="404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9"/>
              </w:rPr>
              <w:t>Retail</w:t>
            </w:r>
          </w:p>
        </w:tc>
        <w:tc>
          <w:tcPr>
            <w:tcW w:w="238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3109 West 41st Street, # 113</w:t>
            </w:r>
          </w:p>
        </w:tc>
        <w:tc>
          <w:tcPr>
            <w:tcW w:w="17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Sioux Falls, SD 57105</w:t>
            </w:r>
          </w:p>
        </w:tc>
        <w:tc>
          <w:tcPr>
            <w:tcW w:w="17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have voting rights.</w:t>
      </w:r>
    </w:p>
    <w:p>
      <w:pPr>
        <w:spacing w:after="0" w:line="15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March 31, 2013 and September 30,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440" w:type="dxa"/>
            <w:vAlign w:val="bottom"/>
          </w:tcPr>
          <w:p>
            <w:pPr>
              <w:spacing w:after="0"/>
              <w:rPr>
                <w:sz w:val="14"/>
                <w:szCs w:val="14"/>
                <w:color w:val="auto"/>
              </w:rPr>
            </w:pPr>
          </w:p>
        </w:tc>
        <w:tc>
          <w:tcPr>
            <w:tcW w:w="226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88"/>
              </w:rPr>
              <w:t>March 31, 2013</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Hotel, Gaming and Leisure</w:t>
            </w:r>
          </w:p>
        </w:tc>
        <w:tc>
          <w:tcPr>
            <w:tcW w:w="344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right"/>
              <w:ind w:right="1200"/>
              <w:spacing w:after="0" w:line="203" w:lineRule="exact"/>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9%</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Oil and Gas</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Metals and Mining</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3440" w:type="dxa"/>
            <w:vAlign w:val="bottom"/>
          </w:tcPr>
          <w:p>
            <w:pPr>
              <w:spacing w:after="0"/>
              <w:rPr>
                <w:sz w:val="18"/>
                <w:szCs w:val="18"/>
                <w:color w:val="auto"/>
              </w:rPr>
            </w:pP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40" w:type="dxa"/>
            <w:vAlign w:val="bottom"/>
            <w:vMerge w:val="restart"/>
          </w:tcPr>
          <w:p>
            <w:pPr>
              <w:jc w:val="right"/>
              <w:ind w:right="1932"/>
              <w:spacing w:after="0"/>
              <w:rPr>
                <w:sz w:val="20"/>
                <w:szCs w:val="20"/>
                <w:color w:val="auto"/>
              </w:rPr>
            </w:pPr>
            <w:r>
              <w:rPr>
                <w:rFonts w:ascii="Arial" w:cs="Arial" w:eastAsia="Arial" w:hAnsi="Arial"/>
                <w:sz w:val="18"/>
                <w:szCs w:val="18"/>
                <w:color w:val="auto"/>
              </w:rPr>
              <w:t>75</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3"/>
              </w:rPr>
              <w:t>Position</w:t>
            </w:r>
          </w:p>
        </w:tc>
        <w:tc>
          <w:tcPr>
            <w:tcW w:w="3860" w:type="dxa"/>
            <w:vAlign w:val="bottom"/>
            <w:vMerge w:val="restart"/>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Director</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66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3"/>
              </w:rPr>
              <w:t>Age</w:t>
            </w:r>
          </w:p>
        </w:tc>
        <w:tc>
          <w:tcPr>
            <w:tcW w:w="48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9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Since</w:t>
            </w:r>
          </w:p>
        </w:tc>
        <w:tc>
          <w:tcPr>
            <w:tcW w:w="6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81"/>
        </w:trPr>
        <w:tc>
          <w:tcPr>
            <w:tcW w:w="47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362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160" w:type="dxa"/>
            <w:vAlign w:val="bottom"/>
          </w:tcPr>
          <w:p>
            <w:pPr>
              <w:spacing w:after="0"/>
              <w:rPr>
                <w:sz w:val="15"/>
                <w:szCs w:val="15"/>
                <w:color w:val="auto"/>
              </w:rPr>
            </w:pPr>
          </w:p>
        </w:tc>
      </w:tr>
      <w:tr>
        <w:trPr>
          <w:trHeight w:val="209"/>
        </w:trPr>
        <w:tc>
          <w:tcPr>
            <w:tcW w:w="920" w:type="dxa"/>
            <w:vAlign w:val="bottom"/>
          </w:tcPr>
          <w:p>
            <w:pPr>
              <w:spacing w:after="0" w:line="202" w:lineRule="exact"/>
              <w:rPr>
                <w:sz w:val="20"/>
                <w:szCs w:val="20"/>
                <w:color w:val="auto"/>
              </w:rPr>
            </w:pPr>
            <w:r>
              <w:rPr>
                <w:rFonts w:ascii="Arial" w:cs="Arial" w:eastAsia="Arial" w:hAnsi="Arial"/>
                <w:sz w:val="18"/>
                <w:szCs w:val="18"/>
                <w:color w:val="auto"/>
              </w:rPr>
              <w:t>Aviv Efrat</w:t>
            </w:r>
          </w:p>
        </w:tc>
        <w:tc>
          <w:tcPr>
            <w:tcW w:w="362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49</w:t>
            </w:r>
          </w:p>
        </w:tc>
        <w:tc>
          <w:tcPr>
            <w:tcW w:w="320" w:type="dxa"/>
            <w:vAlign w:val="bottom"/>
          </w:tcPr>
          <w:p>
            <w:pPr>
              <w:spacing w:after="0"/>
              <w:rPr>
                <w:sz w:val="18"/>
                <w:szCs w:val="18"/>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w w:val="88"/>
              </w:rPr>
              <w:t>Chief Financial Officer and Treasurer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360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1340" w:type="dxa"/>
            <w:vAlign w:val="bottom"/>
          </w:tcPr>
          <w:p>
            <w:pPr>
              <w:spacing w:after="0"/>
              <w:rPr>
                <w:sz w:val="15"/>
                <w:szCs w:val="15"/>
                <w:color w:val="auto"/>
              </w:rPr>
            </w:pPr>
          </w:p>
        </w:tc>
      </w:tr>
      <w:tr>
        <w:trPr>
          <w:trHeight w:val="209"/>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Guy F. Talarico</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57</w:t>
            </w:r>
          </w:p>
        </w:tc>
        <w:tc>
          <w:tcPr>
            <w:tcW w:w="320" w:type="dxa"/>
            <w:vAlign w:val="bottom"/>
          </w:tcPr>
          <w:p>
            <w:pPr>
              <w:spacing w:after="0"/>
              <w:rPr>
                <w:sz w:val="18"/>
                <w:szCs w:val="18"/>
                <w:color w:val="auto"/>
              </w:rPr>
            </w:pPr>
          </w:p>
        </w:tc>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w w:val="89"/>
              </w:rPr>
              <w:t>Chief Compliance Officer</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590 Madison Avenue, 15th Floor, New York, New York 10022.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positions of our Chief Executive Officer and Chairman of the board of directors results in efficiencies in managing us by eliminating the need to transfer substantial information quickly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we are in compliance with our asset coverage ratio, as set forth in the 1940 Act,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to ensure that they meet our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Adam K. Bernstein (49),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43"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Marshall Brozost (45), Director. Mr. Brozost became a Director of PennantPark Floating Rate Capital Ltd. and PennantPark Investment Corporation in October 2010 and February 2007, respectively. Since May 2012, Mr. Brozost has been a Partner at Schulte Roth &amp; Zabel, LLP, where he practices in the real estate and private equity groups. Prior to Schulte Roth &amp; Zabel, Mr. Brozost practiced law at O’Melveny &amp; Myers LLP from 2001 to 2004 and Solomon &amp; Weinberg LLP from 2004 to 2005 and Dewey &amp; LeBoeuf LLP from 2005 to 2012. Mr. Brozost also served as a Vice President of Nomura Asset Capital Corporation from 1997 through 2000.</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Jeffrey Flug (50), Director. Mr. Flug became a Director of PennantPark Floating Rate Capital Ltd. and PennantPark Investment Corporation in October 2010 and February 2007, respectively. Since October 2012, Mr. Flug has been a director of Sears Hometown and outlet store.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Samuel L. Katz (47), Director. Mr. Katz became a Director of PennantPark Floating Rate Capital Ltd. and PennantPark Investment Corporation in October 2010 and February 2007, respectively. Since 2007, Mr. Katz has been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Arthur H. Penn (49),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Aviv Efrat (49),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4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Guy F. Talarico (57), Chief Compliance Officer. Mr. Talarico became the Chief Compliance Officer of PennantPark Floating Rate Capital Ltd. and PennantPark Investment Corporation in March 2011 and May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For the fiscal year ended September 30, 2012,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requires each director to make a diligent effort to attend all board of directors and committee meetings, and encourage directors to attend the annual stockholders meetings.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our board of directors in fair value pricing of debt and equity securities. The board of directors and Audit Committee use the services of nationally recognized independent valuation firms to help them determine the fair value of certain securities. The Company’s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5"/>
          <w:szCs w:val="15"/>
          <w:i w:val="1"/>
          <w:iCs w:val="1"/>
          <w:u w:val="single" w:color="auto"/>
          <w:color w:val="auto"/>
        </w:rPr>
        <w:t>www.pennantpark.com</w:t>
      </w:r>
      <w:r>
        <w:rPr>
          <w:rFonts w:ascii="Arial" w:cs="Arial" w:eastAsia="Arial" w:hAnsi="Arial"/>
          <w:sz w:val="15"/>
          <w:szCs w:val="15"/>
          <w:i w:val="1"/>
          <w:iCs w:val="1"/>
          <w:color w:val="auto"/>
        </w:rPr>
        <w:t>.</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2012. No compensation is paid directly by us to any interested director or executive officer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1"/>
              </w:rPr>
              <w:t>PennantPark Floating Rate Capital Ltd.</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89"/>
              </w:rPr>
              <w:t>PennantPark Investment Corporation</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Pension or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2"/>
              </w:rPr>
              <w:t>Pension or</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Aggregate</w:t>
            </w: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Aggregate</w:t>
            </w: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benefits</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benefits</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5"/>
              </w:rPr>
              <w:t>from the</w:t>
            </w:r>
          </w:p>
        </w:tc>
        <w:tc>
          <w:tcPr>
            <w:tcW w:w="14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1100" w:type="dxa"/>
            <w:vAlign w:val="bottom"/>
            <w:gridSpan w:val="3"/>
          </w:tcPr>
          <w:p>
            <w:pPr>
              <w:jc w:val="right"/>
              <w:ind w:right="300"/>
              <w:spacing w:after="0" w:line="135" w:lineRule="exact"/>
              <w:rPr>
                <w:sz w:val="20"/>
                <w:szCs w:val="20"/>
                <w:color w:val="auto"/>
              </w:rPr>
            </w:pPr>
            <w:r>
              <w:rPr>
                <w:rFonts w:ascii="Arial" w:cs="Arial" w:eastAsia="Arial" w:hAnsi="Arial"/>
                <w:sz w:val="14"/>
                <w:szCs w:val="14"/>
                <w:b w:val="1"/>
                <w:bCs w:val="1"/>
                <w:color w:val="auto"/>
                <w:w w:val="93"/>
              </w:rPr>
              <w:t>Total paid to</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9"/>
              </w:rPr>
              <w:t>from the</w:t>
            </w:r>
          </w:p>
        </w:tc>
        <w:tc>
          <w:tcPr>
            <w:tcW w:w="14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Company</w:t>
            </w:r>
          </w:p>
        </w:tc>
        <w:tc>
          <w:tcPr>
            <w:tcW w:w="1420" w:type="dxa"/>
            <w:vAlign w:val="bottom"/>
            <w:gridSpan w:val="2"/>
          </w:tcPr>
          <w:p>
            <w:pPr>
              <w:jc w:val="right"/>
              <w:ind w:right="440"/>
              <w:spacing w:after="0" w:line="162" w:lineRule="exact"/>
              <w:rPr>
                <w:sz w:val="20"/>
                <w:szCs w:val="20"/>
                <w:color w:val="auto"/>
              </w:rPr>
            </w:pPr>
            <w:r>
              <w:rPr>
                <w:rFonts w:ascii="Arial" w:cs="Arial" w:eastAsia="Arial" w:hAnsi="Arial"/>
                <w:sz w:val="12"/>
                <w:szCs w:val="12"/>
                <w:b w:val="1"/>
                <w:bCs w:val="1"/>
                <w:color w:val="auto"/>
                <w:w w:val="95"/>
              </w:rPr>
              <w:t>of our expense</w:t>
            </w:r>
            <w:r>
              <w:rPr>
                <w:rFonts w:ascii="Arial" w:cs="Arial" w:eastAsia="Arial" w:hAnsi="Arial"/>
                <w:sz w:val="18"/>
                <w:szCs w:val="18"/>
                <w:b w:val="1"/>
                <w:bCs w:val="1"/>
                <w:color w:val="auto"/>
                <w:w w:val="95"/>
                <w:vertAlign w:val="superscript"/>
              </w:rPr>
              <w:t>(1)</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Company</w:t>
            </w:r>
          </w:p>
        </w:tc>
        <w:tc>
          <w:tcPr>
            <w:tcW w:w="1420" w:type="dxa"/>
            <w:vAlign w:val="bottom"/>
            <w:gridSpan w:val="2"/>
          </w:tcPr>
          <w:p>
            <w:pPr>
              <w:jc w:val="right"/>
              <w:ind w:right="440"/>
              <w:spacing w:after="0" w:line="162" w:lineRule="exact"/>
              <w:rPr>
                <w:sz w:val="20"/>
                <w:szCs w:val="20"/>
                <w:color w:val="auto"/>
              </w:rPr>
            </w:pPr>
            <w:r>
              <w:rPr>
                <w:rFonts w:ascii="Arial" w:cs="Arial" w:eastAsia="Arial" w:hAnsi="Arial"/>
                <w:sz w:val="12"/>
                <w:szCs w:val="12"/>
                <w:b w:val="1"/>
                <w:bCs w:val="1"/>
                <w:color w:val="auto"/>
                <w:w w:val="95"/>
              </w:rPr>
              <w:t>of our expense</w:t>
            </w:r>
            <w:r>
              <w:rPr>
                <w:rFonts w:ascii="Arial" w:cs="Arial" w:eastAsia="Arial" w:hAnsi="Arial"/>
                <w:sz w:val="18"/>
                <w:szCs w:val="18"/>
                <w:b w:val="1"/>
                <w:bCs w:val="1"/>
                <w:color w:val="auto"/>
                <w:w w:val="95"/>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r>
      <w:tr>
        <w:trPr>
          <w:trHeight w:val="190"/>
        </w:trPr>
        <w:tc>
          <w:tcPr>
            <w:tcW w:w="2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0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56,250</w:t>
            </w:r>
          </w:p>
        </w:tc>
        <w:tc>
          <w:tcPr>
            <w:tcW w:w="4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56,250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102,500</w:t>
            </w:r>
          </w:p>
        </w:tc>
        <w:tc>
          <w:tcPr>
            <w:tcW w:w="4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102,500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56,250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102,500</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58,750</w:t>
            </w:r>
          </w:p>
        </w:tc>
        <w:tc>
          <w:tcPr>
            <w:tcW w:w="4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58,750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112,500</w:t>
            </w:r>
          </w:p>
        </w:tc>
        <w:tc>
          <w:tcPr>
            <w:tcW w:w="4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112,500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58,750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112,500</w:t>
            </w:r>
          </w:p>
        </w:tc>
        <w:tc>
          <w:tcPr>
            <w:tcW w:w="100" w:type="dxa"/>
            <w:vAlign w:val="bottom"/>
            <w:shd w:val="clear" w:color="auto" w:fill="CCEEFF"/>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16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 (as defined in the 1940 Act).”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March 31, 2013 our portfolio managers also managed investments on behalf of the following entities: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40" w:type="dxa"/>
            <w:vAlign w:val="bottom"/>
            <w:vMerge w:val="restart"/>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Investment Focus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Gross Assets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1680" w:type="dxa"/>
            <w:vAlign w:val="bottom"/>
          </w:tcPr>
          <w:p>
            <w:pPr>
              <w:ind w:left="680"/>
              <w:spacing w:after="0" w:line="148" w:lineRule="exact"/>
              <w:rPr>
                <w:sz w:val="20"/>
                <w:szCs w:val="20"/>
                <w:color w:val="auto"/>
              </w:rPr>
            </w:pPr>
            <w:r>
              <w:rPr>
                <w:rFonts w:ascii="Arial" w:cs="Arial" w:eastAsia="Arial" w:hAnsi="Arial"/>
                <w:sz w:val="14"/>
                <w:szCs w:val="14"/>
                <w:b w:val="1"/>
                <w:bCs w:val="1"/>
                <w:color w:val="auto"/>
              </w:rPr>
              <w:t>Entity</w:t>
            </w:r>
          </w:p>
        </w:tc>
        <w:tc>
          <w:tcPr>
            <w:tcW w:w="320" w:type="dxa"/>
            <w:vAlign w:val="bottom"/>
          </w:tcPr>
          <w:p>
            <w:pPr>
              <w:spacing w:after="0"/>
              <w:rPr>
                <w:sz w:val="14"/>
                <w:szCs w:val="14"/>
                <w:color w:val="auto"/>
              </w:rPr>
            </w:pPr>
          </w:p>
        </w:tc>
        <w:tc>
          <w:tcPr>
            <w:tcW w:w="4100" w:type="dxa"/>
            <w:vAlign w:val="bottom"/>
            <w:gridSpan w:val="2"/>
            <w:vMerge w:val="continue"/>
          </w:tcPr>
          <w:p>
            <w:pPr>
              <w:spacing w:after="0"/>
              <w:rPr>
                <w:sz w:val="14"/>
                <w:szCs w:val="14"/>
                <w:color w:val="auto"/>
              </w:rPr>
            </w:pPr>
          </w:p>
        </w:tc>
        <w:tc>
          <w:tcPr>
            <w:tcW w:w="100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 in millions)</w:t>
            </w:r>
          </w:p>
        </w:tc>
        <w:tc>
          <w:tcPr>
            <w:tcW w:w="0" w:type="dxa"/>
            <w:vAlign w:val="bottom"/>
          </w:tcPr>
          <w:p>
            <w:pPr>
              <w:spacing w:after="0"/>
              <w:rPr>
                <w:sz w:val="1"/>
                <w:szCs w:val="1"/>
                <w:color w:val="auto"/>
              </w:rPr>
            </w:pPr>
          </w:p>
        </w:tc>
      </w:tr>
      <w:tr>
        <w:trPr>
          <w:trHeight w:val="195"/>
        </w:trPr>
        <w:tc>
          <w:tcPr>
            <w:tcW w:w="43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PennantPark Investment Corporation</w:t>
            </w:r>
            <w:r>
              <w:rPr>
                <w:rFonts w:ascii="Arial" w:cs="Arial" w:eastAsia="Arial" w:hAnsi="Arial"/>
                <w:sz w:val="11"/>
                <w:szCs w:val="11"/>
                <w:color w:val="auto"/>
              </w:rPr>
              <w:t>(1)</w:t>
            </w:r>
          </w:p>
        </w:tc>
        <w:tc>
          <w:tcPr>
            <w:tcW w:w="1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Business development</w:t>
            </w:r>
          </w:p>
        </w:tc>
        <w:tc>
          <w:tcPr>
            <w:tcW w:w="32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Primarily in U.S. middle-market companies in the</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4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form of senior secured loans, mezzanine debt and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equity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5"/>
        </w:trPr>
        <w:tc>
          <w:tcPr>
            <w:tcW w:w="4320" w:type="dxa"/>
            <w:vAlign w:val="bottom"/>
            <w:gridSpan w:val="2"/>
          </w:tcPr>
          <w:p>
            <w:pPr>
              <w:spacing w:after="0"/>
              <w:rPr>
                <w:sz w:val="20"/>
                <w:szCs w:val="20"/>
                <w:color w:val="auto"/>
              </w:rPr>
            </w:pPr>
            <w:r>
              <w:rPr>
                <w:rFonts w:ascii="Arial" w:cs="Arial" w:eastAsia="Arial" w:hAnsi="Arial"/>
                <w:sz w:val="18"/>
                <w:szCs w:val="18"/>
                <w:color w:val="auto"/>
              </w:rPr>
              <w:t>Other Managed Fund</w:t>
            </w:r>
            <w:r>
              <w:rPr>
                <w:rFonts w:ascii="Arial" w:cs="Arial" w:eastAsia="Arial" w:hAnsi="Arial"/>
                <w:sz w:val="11"/>
                <w:szCs w:val="11"/>
                <w:color w:val="auto"/>
              </w:rPr>
              <w:t>(1)</w:t>
            </w:r>
          </w:p>
        </w:tc>
        <w:tc>
          <w:tcPr>
            <w:tcW w:w="1680" w:type="dxa"/>
            <w:vAlign w:val="bottom"/>
          </w:tcPr>
          <w:p>
            <w:pPr>
              <w:spacing w:after="0"/>
              <w:rPr>
                <w:sz w:val="20"/>
                <w:szCs w:val="20"/>
                <w:color w:val="auto"/>
              </w:rPr>
            </w:pPr>
            <w:r>
              <w:rPr>
                <w:rFonts w:ascii="Arial" w:cs="Arial" w:eastAsia="Arial" w:hAnsi="Arial"/>
                <w:sz w:val="18"/>
                <w:szCs w:val="18"/>
                <w:color w:val="auto"/>
              </w:rPr>
              <w:t>Private Investment</w:t>
            </w:r>
          </w:p>
        </w:tc>
        <w:tc>
          <w:tcPr>
            <w:tcW w:w="4420" w:type="dxa"/>
            <w:vAlign w:val="bottom"/>
            <w:gridSpan w:val="3"/>
          </w:tcPr>
          <w:p>
            <w:pPr>
              <w:ind w:left="320"/>
              <w:spacing w:after="0"/>
              <w:rPr>
                <w:sz w:val="20"/>
                <w:szCs w:val="20"/>
                <w:color w:val="auto"/>
              </w:rPr>
            </w:pPr>
            <w:r>
              <w:rPr>
                <w:rFonts w:ascii="Arial" w:cs="Arial" w:eastAsia="Arial" w:hAnsi="Arial"/>
                <w:sz w:val="18"/>
                <w:szCs w:val="18"/>
                <w:color w:val="auto"/>
              </w:rPr>
              <w:t>Other credit opportunities</w:t>
            </w:r>
          </w:p>
        </w:tc>
        <w:tc>
          <w:tcPr>
            <w:tcW w:w="1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Fund</w:t>
            </w:r>
          </w:p>
        </w:tc>
        <w:tc>
          <w:tcPr>
            <w:tcW w:w="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4460" w:hanging="5612"/>
        <w:spacing w:after="0" w:line="525" w:lineRule="auto"/>
        <w:tabs>
          <w:tab w:leader="none" w:pos="44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management and incentive fees are based on gross assets and performance, respectively. 82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following table sets forth, as of July 1,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35"/>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600" w:type="dxa"/>
            <w:vAlign w:val="bottom"/>
            <w:vMerge w:val="restart"/>
          </w:tcPr>
          <w:p>
            <w:pPr>
              <w:spacing w:after="0"/>
              <w:rPr>
                <w:sz w:val="11"/>
                <w:szCs w:val="11"/>
                <w:color w:val="auto"/>
              </w:rPr>
            </w:pPr>
          </w:p>
        </w:tc>
        <w:tc>
          <w:tcPr>
            <w:tcW w:w="2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420" w:type="dxa"/>
            <w:vAlign w:val="bottom"/>
            <w:gridSpan w:val="2"/>
            <w:vMerge w:val="continue"/>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81"/>
        </w:trPr>
        <w:tc>
          <w:tcPr>
            <w:tcW w:w="68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Morgan Stanley and Co. Inc.</w:t>
            </w:r>
          </w:p>
        </w:tc>
        <w:tc>
          <w:tcPr>
            <w:tcW w:w="16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1585 Broadway</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10036-8293</w:t>
            </w: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598,858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Adam K. Bernstein</w:t>
            </w: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Marshall Brozost</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Jeffrey Flug</w:t>
            </w: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Samuel L. Katz</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59,500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149,209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Aviv Efrat</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13,750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219,459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Floating Rate Capital Ltd., 590 Madison Avenue, 15th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149,209 shares held by PennantPark Investment Advisers, LLC.</w:t>
      </w:r>
    </w:p>
    <w:p>
      <w:pPr>
        <w:spacing w:after="0" w:line="1"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July 1, 2013. Information as to the beneficial ownerships is based on information furnished to us by such persons. We are not part of a “family of investment companies,” as that term is defined in the 1940 Act.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1540" w:type="dxa"/>
            <w:vAlign w:val="bottom"/>
          </w:tcPr>
          <w:p>
            <w:pPr>
              <w:spacing w:after="0"/>
              <w:rPr>
                <w:sz w:val="22"/>
                <w:szCs w:val="22"/>
                <w:color w:val="auto"/>
              </w:rPr>
            </w:pPr>
          </w:p>
        </w:tc>
        <w:tc>
          <w:tcPr>
            <w:tcW w:w="3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Dollar Range of the Common Stock of each Company</w:t>
            </w:r>
            <w:r>
              <w:rPr>
                <w:rFonts w:ascii="Arial" w:cs="Arial" w:eastAsia="Arial" w:hAnsi="Arial"/>
                <w:sz w:val="22"/>
                <w:szCs w:val="22"/>
                <w:b w:val="1"/>
                <w:bCs w:val="1"/>
                <w:color w:val="auto"/>
                <w:w w:val="86"/>
                <w:vertAlign w:val="superscript"/>
              </w:rPr>
              <w:t>(1)</w:t>
            </w:r>
          </w:p>
        </w:tc>
        <w:tc>
          <w:tcPr>
            <w:tcW w:w="1540" w:type="dxa"/>
            <w:vAlign w:val="bottom"/>
          </w:tcPr>
          <w:p>
            <w:pPr>
              <w:spacing w:after="0"/>
              <w:rPr>
                <w:sz w:val="22"/>
                <w:szCs w:val="22"/>
                <w:color w:val="auto"/>
              </w:rPr>
            </w:pPr>
          </w:p>
        </w:tc>
      </w:tr>
      <w:tr>
        <w:trPr>
          <w:trHeight w:val="136"/>
        </w:trPr>
        <w:tc>
          <w:tcPr>
            <w:tcW w:w="560" w:type="dxa"/>
            <w:vAlign w:val="bottom"/>
            <w:tcBorders>
              <w:top w:val="single" w:sz="8" w:color="auto"/>
            </w:tcBorders>
          </w:tcPr>
          <w:p>
            <w:pPr>
              <w:spacing w:after="0"/>
              <w:rPr>
                <w:sz w:val="11"/>
                <w:szCs w:val="11"/>
                <w:color w:val="auto"/>
              </w:rPr>
            </w:pPr>
          </w:p>
        </w:tc>
        <w:tc>
          <w:tcPr>
            <w:tcW w:w="444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82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gridSpan w:val="2"/>
          </w:tcPr>
          <w:p>
            <w:pPr>
              <w:jc w:val="center"/>
              <w:ind w:right="840"/>
              <w:spacing w:after="0" w:line="136" w:lineRule="exact"/>
              <w:rPr>
                <w:sz w:val="20"/>
                <w:szCs w:val="20"/>
                <w:color w:val="auto"/>
              </w:rPr>
            </w:pPr>
            <w:r>
              <w:rPr>
                <w:rFonts w:ascii="Arial" w:cs="Arial" w:eastAsia="Arial" w:hAnsi="Arial"/>
                <w:sz w:val="14"/>
                <w:szCs w:val="14"/>
                <w:b w:val="1"/>
                <w:bCs w:val="1"/>
                <w:color w:val="auto"/>
                <w:w w:val="88"/>
              </w:rPr>
              <w:t>PennantPark Investment</w:t>
            </w:r>
          </w:p>
        </w:tc>
        <w:tc>
          <w:tcPr>
            <w:tcW w:w="1540" w:type="dxa"/>
            <w:vAlign w:val="bottom"/>
            <w:tcBorders>
              <w:top w:val="single" w:sz="8" w:color="auto"/>
            </w:tcBorders>
          </w:tcPr>
          <w:p>
            <w:pPr>
              <w:spacing w:after="0"/>
              <w:rPr>
                <w:sz w:val="11"/>
                <w:szCs w:val="11"/>
                <w:color w:val="auto"/>
              </w:rPr>
            </w:pPr>
          </w:p>
        </w:tc>
      </w:tr>
      <w:tr>
        <w:trPr>
          <w:trHeight w:val="161"/>
        </w:trPr>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Rate Capital Ltd.</w:t>
            </w:r>
          </w:p>
        </w:tc>
        <w:tc>
          <w:tcPr>
            <w:tcW w:w="820" w:type="dxa"/>
            <w:vAlign w:val="bottom"/>
          </w:tcPr>
          <w:p>
            <w:pPr>
              <w:spacing w:after="0"/>
              <w:rPr>
                <w:sz w:val="14"/>
                <w:szCs w:val="14"/>
                <w:color w:val="auto"/>
              </w:rPr>
            </w:pPr>
          </w:p>
        </w:tc>
        <w:tc>
          <w:tcPr>
            <w:tcW w:w="25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Corporation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5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5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$ 50,001–$  100,000</w:t>
            </w:r>
          </w:p>
        </w:tc>
        <w:tc>
          <w:tcPr>
            <w:tcW w:w="820" w:type="dxa"/>
            <w:vAlign w:val="bottom"/>
          </w:tcPr>
          <w:p>
            <w:pPr>
              <w:spacing w:after="0"/>
              <w:rPr>
                <w:sz w:val="18"/>
                <w:szCs w:val="18"/>
                <w:color w:val="auto"/>
              </w:rPr>
            </w:pPr>
          </w:p>
        </w:tc>
        <w:tc>
          <w:tcPr>
            <w:tcW w:w="2520" w:type="dxa"/>
            <w:vAlign w:val="bottom"/>
            <w:gridSpan w:val="2"/>
          </w:tcPr>
          <w:p>
            <w:pPr>
              <w:jc w:val="center"/>
              <w:ind w:right="820"/>
              <w:spacing w:after="0"/>
              <w:rPr>
                <w:sz w:val="20"/>
                <w:szCs w:val="20"/>
                <w:color w:val="auto"/>
              </w:rPr>
            </w:pPr>
            <w:r>
              <w:rPr>
                <w:rFonts w:ascii="Arial" w:cs="Arial" w:eastAsia="Arial" w:hAnsi="Arial"/>
                <w:sz w:val="18"/>
                <w:szCs w:val="18"/>
                <w:color w:val="auto"/>
                <w:w w:val="87"/>
              </w:rPr>
              <w:t>$500,001–$1,000,000</w:t>
            </w:r>
            <w:r>
              <w:rPr>
                <w:rFonts w:ascii="Arial" w:cs="Arial" w:eastAsia="Arial" w:hAnsi="Arial"/>
                <w:sz w:val="11"/>
                <w:szCs w:val="11"/>
                <w:color w:val="auto"/>
                <w:w w:val="87"/>
              </w:rPr>
              <w:t>(2)</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Over $1,000,000</w:t>
            </w: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0"/>
              </w:rPr>
              <w:t>$100,001–$  500,000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$100,001–$  500,000</w:t>
            </w: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820" w:type="dxa"/>
            <w:vAlign w:val="bottom"/>
          </w:tcPr>
          <w:p>
            <w:pPr>
              <w:spacing w:after="0"/>
              <w:rPr>
                <w:sz w:val="18"/>
                <w:szCs w:val="18"/>
                <w:color w:val="auto"/>
              </w:rPr>
            </w:pPr>
          </w:p>
        </w:tc>
        <w:tc>
          <w:tcPr>
            <w:tcW w:w="2520" w:type="dxa"/>
            <w:vAlign w:val="bottom"/>
            <w:gridSpan w:val="2"/>
          </w:tcPr>
          <w:p>
            <w:pPr>
              <w:jc w:val="center"/>
              <w:ind w:right="820"/>
              <w:spacing w:after="0"/>
              <w:rPr>
                <w:sz w:val="20"/>
                <w:szCs w:val="20"/>
                <w:color w:val="auto"/>
              </w:rPr>
            </w:pPr>
            <w:r>
              <w:rPr>
                <w:rFonts w:ascii="Arial" w:cs="Arial" w:eastAsia="Arial" w:hAnsi="Arial"/>
                <w:sz w:val="18"/>
                <w:szCs w:val="18"/>
                <w:color w:val="auto"/>
                <w:w w:val="87"/>
              </w:rPr>
              <w:t>Over $1,000,000</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Over $1,000,000</w:t>
            </w: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$500,001–$1,000,000</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7"/>
              </w:rPr>
              <w:t>Over $1,000,000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Over $1,000,000</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7"/>
              </w:rPr>
              <w:t>Over $1,000,000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$100,001–$  500,000</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0"/>
              </w:rPr>
              <w:t>$100,001–$  500,000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$500,001–$1,000,000</w:t>
            </w: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Jose A. Briones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$500,001–$1,000,000</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7"/>
              </w:rPr>
              <w:t>$500,001–$1,000,000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Salvatore Giannetti III</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$500,001–$1,000,000</w:t>
            </w:r>
          </w:p>
        </w:tc>
        <w:tc>
          <w:tcPr>
            <w:tcW w:w="820" w:type="dxa"/>
            <w:vAlign w:val="bottom"/>
          </w:tcPr>
          <w:p>
            <w:pPr>
              <w:spacing w:after="0"/>
              <w:rPr>
                <w:sz w:val="18"/>
                <w:szCs w:val="18"/>
                <w:color w:val="auto"/>
              </w:rPr>
            </w:pPr>
          </w:p>
        </w:tc>
        <w:tc>
          <w:tcPr>
            <w:tcW w:w="252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$100,001–$  500,000</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$500,001–$1,000,000</w:t>
            </w: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 Whitridge Williams, Jr.</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$500,001–$1,000,000</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7"/>
              </w:rPr>
              <w:t>$500,001–$1,000,000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66"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 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2013, the Investment Adviser earned base management fee of $0.5 million and $0.9 million, respectively, from us. For the three and six months ended March 31, 2012, the Investment Adviser earned base management fee of $0.4 million and $0.7 million, respectively, from us. For the fiscal year ended September 30, 2012, and for the period March 4, 2011 (commencement of operations) to September 30, 2011, the Investment Adviser earned base management fees of $1.5 million and $0.4 million, respectively, from us.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460" w:right="412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20XX = $20 million Adjusted gross assets as of March 31, 20XX = $180 million</w:t>
      </w:r>
    </w:p>
    <w:p>
      <w:pPr>
        <w:spacing w:after="0" w:line="57"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diligence and consulting fees or other fees that we receive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w:t>
      </w:r>
    </w:p>
    <w:p>
      <w:pPr>
        <w:spacing w:after="0" w:line="4" w:lineRule="exact"/>
        <w:rPr>
          <w:sz w:val="20"/>
          <w:szCs w:val="20"/>
          <w:color w:val="auto"/>
        </w:rPr>
      </w:pPr>
    </w:p>
    <w:p>
      <w:pPr>
        <w:ind w:right="60" w:firstLine="8"/>
        <w:spacing w:after="0" w:line="308" w:lineRule="auto"/>
        <w:tabs>
          <w:tab w:leader="none" w:pos="249" w:val="left"/>
        </w:tabs>
        <w:numPr>
          <w:ilvl w:val="0"/>
          <w:numId w:val="59"/>
        </w:numPr>
        <w:rPr>
          <w:rFonts w:ascii="Arial" w:cs="Arial" w:eastAsia="Arial" w:hAnsi="Arial"/>
          <w:sz w:val="15"/>
          <w:szCs w:val="15"/>
          <w:color w:val="auto"/>
        </w:rPr>
      </w:pPr>
      <w:r>
        <w:rPr>
          <w:rFonts w:ascii="Arial" w:cs="Arial" w:eastAsia="Arial" w:hAnsi="Arial"/>
          <w:sz w:val="15"/>
          <w:szCs w:val="15"/>
          <w:color w:val="auto"/>
        </w:rPr>
        <w:t>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six months ended March 31, 2013, the Investment Adviser earned a performance based incentive fee on net investment income as calculated under the Investment Management Agreement of $0.3 million and $0.7 million, respectively. For the three and six months ended March 31, 2012, the Investment Adviser earned a performance based incentive fee on net investment income as calculated under the Investment Management Agreement, which resulted in an accrual of less than $0.1 million.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5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120015</wp:posOffset>
            </wp:positionV>
            <wp:extent cx="2435225" cy="4718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3522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second part of the incentive fee is determined and payable in arrears as of the end of each calendar year commencing on December 31, 2011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For the three and six months ended March 31, 2013 and 2012, the Investment Adviser did not earn a performance based incentive fee on capital gains as calculated under the Investment Management Agreement.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six months ended March 31, 2013, the Investment Adviser earned a performance based incentive fee on unrealized and realized capital gains as calculated under GAAP of approximately $0.3 million. For the three and six months ended March 31, 2012, the Investment Adviser earned a performance based incentive fee on unrealized and realized capital gains as calculated under GAAP, which resulted in an accrual of less than $0.1 million.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right="4240"/>
        <w:spacing w:after="0" w:line="402" w:lineRule="auto"/>
        <w:rPr>
          <w:sz w:val="20"/>
          <w:szCs w:val="20"/>
          <w:color w:val="auto"/>
        </w:rPr>
      </w:pPr>
      <w:r>
        <w:rPr>
          <w:rFonts w:ascii="Arial" w:cs="Arial" w:eastAsia="Arial" w:hAnsi="Arial"/>
          <w:sz w:val="16"/>
          <w:szCs w:val="16"/>
          <w:color w:val="auto"/>
        </w:rPr>
        <w:t>(investment income—(base management fee + other expenses)) = 0.80% Pre-incentive net investment income does not exceed hurdle; therefore there is no incentive fee.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12" w:lineRule="exact"/>
        <w:rPr>
          <w:sz w:val="20"/>
          <w:szCs w:val="20"/>
          <w:color w:val="auto"/>
        </w:rPr>
      </w:pPr>
    </w:p>
    <w:p>
      <w:pPr>
        <w:ind w:left="920"/>
        <w:spacing w:after="0"/>
        <w:tabs>
          <w:tab w:leader="none" w:pos="25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15" w:lineRule="exact"/>
        <w:rPr>
          <w:sz w:val="20"/>
          <w:szCs w:val="20"/>
          <w:color w:val="auto"/>
        </w:rPr>
      </w:pPr>
    </w:p>
    <w:p>
      <w:pPr>
        <w:ind w:left="2700" w:hanging="139"/>
        <w:spacing w:after="0"/>
        <w:tabs>
          <w:tab w:leader="none" w:pos="2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9" w:lineRule="exact"/>
        <w:rPr>
          <w:rFonts w:ascii="Arial" w:cs="Arial" w:eastAsia="Arial" w:hAnsi="Arial"/>
          <w:sz w:val="18"/>
          <w:szCs w:val="18"/>
          <w:color w:val="auto"/>
        </w:rPr>
      </w:pPr>
    </w:p>
    <w:p>
      <w:pPr>
        <w:ind w:left="2700" w:hanging="139"/>
        <w:spacing w:after="0"/>
        <w:tabs>
          <w:tab w:leader="none" w:pos="2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0.25%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4.00%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3.55%</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Incentive fee</w:t>
            </w:r>
          </w:p>
        </w:tc>
        <w:tc>
          <w:tcPr>
            <w:tcW w:w="840" w:type="dxa"/>
            <w:vAlign w:val="bottom"/>
          </w:tcPr>
          <w:p>
            <w:pPr>
              <w:ind w:left="360"/>
              <w:spacing w:after="0"/>
              <w:rPr>
                <w:sz w:val="20"/>
                <w:szCs w:val="20"/>
                <w:color w:val="auto"/>
              </w:rPr>
            </w:pPr>
            <w:r>
              <w:rPr>
                <w:rFonts w:ascii="Arial" w:cs="Arial" w:eastAsia="Arial" w:hAnsi="Arial"/>
                <w:sz w:val="18"/>
                <w:szCs w:val="18"/>
                <w:color w:val="auto"/>
                <w:w w:val="89"/>
              </w:rPr>
              <w:t>= 20%</w:t>
            </w:r>
          </w:p>
        </w:tc>
        <w:tc>
          <w:tcPr>
            <w:tcW w:w="5580" w:type="dxa"/>
            <w:vAlign w:val="bottom"/>
          </w:tcPr>
          <w:p>
            <w:pPr>
              <w:ind w:left="20"/>
              <w:spacing w:after="0"/>
              <w:rPr>
                <w:sz w:val="20"/>
                <w:szCs w:val="20"/>
                <w:color w:val="auto"/>
              </w:rPr>
            </w:pPr>
            <w:r>
              <w:rPr>
                <w:rFonts w:ascii="Arial" w:cs="Arial" w:eastAsia="Arial" w:hAnsi="Arial"/>
                <w:sz w:val="18"/>
                <w:szCs w:val="18"/>
                <w:color w:val="auto"/>
              </w:rPr>
              <w:t>X Pre-Incentive Fee Net Investment Income, subject to “catch-up”</w:t>
            </w:r>
            <w:r>
              <w:rPr>
                <w:rFonts w:ascii="Arial" w:cs="Arial" w:eastAsia="Arial" w:hAnsi="Arial"/>
                <w:sz w:val="11"/>
                <w:szCs w:val="11"/>
                <w:color w:val="auto"/>
              </w:rPr>
              <w:t>(4)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Incentive fee</w:t>
            </w:r>
          </w:p>
        </w:tc>
        <w:tc>
          <w:tcPr>
            <w:tcW w:w="840" w:type="dxa"/>
            <w:vAlign w:val="bottom"/>
          </w:tcPr>
          <w:p>
            <w:pPr>
              <w:ind w:left="360"/>
              <w:spacing w:after="0"/>
              <w:rPr>
                <w:sz w:val="20"/>
                <w:szCs w:val="20"/>
                <w:color w:val="auto"/>
              </w:rPr>
            </w:pPr>
            <w:r>
              <w:rPr>
                <w:rFonts w:ascii="Arial" w:cs="Arial" w:eastAsia="Arial" w:hAnsi="Arial"/>
                <w:sz w:val="18"/>
                <w:szCs w:val="18"/>
                <w:color w:val="auto"/>
                <w:w w:val="89"/>
              </w:rPr>
              <w:t>= 50%</w:t>
            </w:r>
          </w:p>
        </w:tc>
        <w:tc>
          <w:tcPr>
            <w:tcW w:w="5580" w:type="dxa"/>
            <w:vAlign w:val="bottom"/>
          </w:tcPr>
          <w:p>
            <w:pPr>
              <w:ind w:left="20"/>
              <w:spacing w:after="0"/>
              <w:rPr>
                <w:sz w:val="20"/>
                <w:szCs w:val="20"/>
                <w:color w:val="auto"/>
              </w:rPr>
            </w:pPr>
            <w:r>
              <w:rPr>
                <w:rFonts w:ascii="Arial" w:cs="Arial" w:eastAsia="Arial" w:hAnsi="Arial"/>
                <w:sz w:val="18"/>
                <w:szCs w:val="18"/>
                <w:color w:val="auto"/>
                <w:w w:val="89"/>
              </w:rPr>
              <w:t>X “catch-up” + (20% x (Pre-Incentive Fee Net Investment Income - 2.9167%))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Catch-up</w:t>
            </w: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=2.9167%-1.75%</w:t>
            </w:r>
          </w:p>
        </w:tc>
      </w:tr>
      <w:tr>
        <w:trPr>
          <w:trHeight w:val="216"/>
        </w:trPr>
        <w:tc>
          <w:tcPr>
            <w:tcW w:w="1280" w:type="dxa"/>
            <w:vAlign w:val="bottom"/>
          </w:tcPr>
          <w:p>
            <w:pPr>
              <w:spacing w:after="0"/>
              <w:rPr>
                <w:sz w:val="18"/>
                <w:szCs w:val="18"/>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=1.1667%</w:t>
            </w:r>
          </w:p>
        </w:tc>
      </w:tr>
      <w:tr>
        <w:trPr>
          <w:trHeight w:val="216"/>
        </w:trPr>
        <w:tc>
          <w:tcPr>
            <w:tcW w:w="1280" w:type="dxa"/>
            <w:vAlign w:val="bottom"/>
          </w:tcPr>
          <w:p>
            <w:pPr>
              <w:spacing w:after="0"/>
              <w:rPr>
                <w:sz w:val="18"/>
                <w:szCs w:val="18"/>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=(50% X 1.1667%) + (20% X (3.55% -2.9167%))</w:t>
            </w:r>
          </w:p>
        </w:tc>
      </w:tr>
      <w:tr>
        <w:trPr>
          <w:trHeight w:val="222"/>
        </w:trPr>
        <w:tc>
          <w:tcPr>
            <w:tcW w:w="1280" w:type="dxa"/>
            <w:vAlign w:val="bottom"/>
          </w:tcPr>
          <w:p>
            <w:pPr>
              <w:spacing w:after="0"/>
              <w:rPr>
                <w:sz w:val="19"/>
                <w:szCs w:val="19"/>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=0.5833% + (20% X 0.6333%)</w:t>
            </w:r>
          </w:p>
        </w:tc>
      </w:tr>
    </w:tbl>
    <w:p>
      <w:pPr>
        <w:ind w:left="2560"/>
        <w:spacing w:after="0"/>
        <w:rPr>
          <w:sz w:val="20"/>
          <w:szCs w:val="20"/>
          <w:color w:val="auto"/>
        </w:rPr>
      </w:pPr>
      <w:r>
        <w:rPr>
          <w:rFonts w:ascii="Arial" w:cs="Arial" w:eastAsia="Arial" w:hAnsi="Arial"/>
          <w:sz w:val="18"/>
          <w:szCs w:val="18"/>
          <w:color w:val="auto"/>
        </w:rPr>
        <w:t>=0.5833% + 0.1267%</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1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1.0% annualized base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1: $20 million investment made in Company A (“Investment A”), and $30 million investment made in Company B (“Investment B”)</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$25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Investment B sold for $31 million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240" w:top="459" w:right="5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$6 million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460" w:right="240"/>
        <w:spacing w:after="0" w:line="254"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w:t>
      </w:r>
    </w:p>
    <w:p>
      <w:pPr>
        <w:ind w:left="460"/>
        <w:spacing w:after="0"/>
        <w:rPr>
          <w:sz w:val="20"/>
          <w:szCs w:val="20"/>
          <w:color w:val="auto"/>
        </w:rPr>
      </w:pPr>
      <w:r>
        <w:rPr>
          <w:rFonts w:ascii="Arial" w:cs="Arial" w:eastAsia="Arial" w:hAnsi="Arial"/>
          <w:sz w:val="18"/>
          <w:szCs w:val="18"/>
          <w:color w:val="auto"/>
        </w:rPr>
        <w:t>(previous capital gains fee paid in Year 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$5 million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 multiplied by $25 million ($30 million realized capital gains on sale of Investment A less $5 million unrealized capital depreciation on Investment B)</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( 1)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$6.4 million cumulative fee (20% multiplied by $32 million ($35 million cumulative realized capital gains less $3 million unrealized capital depreciation))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$5 million (previous capital gains fee paid in Year 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None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right="120" w:hanging="452"/>
        <w:spacing w:after="0" w:line="252" w:lineRule="auto"/>
        <w:tabs>
          <w:tab w:leader="none" w:pos="460" w:val="left"/>
        </w:tabs>
        <w:numPr>
          <w:ilvl w:val="0"/>
          <w:numId w:val="63"/>
        </w:numPr>
        <w:rPr>
          <w:rFonts w:ascii="Arial" w:cs="Arial" w:eastAsia="Arial" w:hAnsi="Arial"/>
          <w:sz w:val="21"/>
          <w:szCs w:val="21"/>
          <w:color w:val="auto"/>
          <w:vertAlign w:val="superscript"/>
        </w:rPr>
      </w:pPr>
      <w:r>
        <w:rPr>
          <w:rFonts w:ascii="Arial" w:cs="Arial" w:eastAsia="Arial" w:hAnsi="Arial"/>
          <w:sz w:val="17"/>
          <w:szCs w:val="17"/>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Investment Management Agreement was re-approved by our board of directors, including a majority of our directors who are not interested persons of us or the Investment Adviser, in February 2013. Unless terminated earlier as described below, the Investment Management Agreement will continue in effect for a period of one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0"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six months ended March 31, 2013, the Investment Adviser was reimbursed approximately $0.1 million and $0.2 million, respectively, from us, including expenses it incurred on behalf of the Administrator, for services described above. For the three and six months ended March 31, 2012, the Investment Adviser was reimbursed approximately $0.1 million in total from us, including expenses it incurred on behalf of the Administrator, for services described above.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the Investment Adviser incurred on behalf of the Administrator, for the services described above.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Administration Agreement was re-approved by our board of directors, including a majority of our directors who are not interested persons of us, in February 2013. 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The Administration Agreement may be terminated by either party without penalty upon not more than 60 days’ written notice to the other. See “Risk Factors—Risks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 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 Repayment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amounts to purchase shares of our common stock in the secondary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jc w:val="center"/>
        <w:ind w:left="280" w:right="420"/>
        <w:spacing w:after="0" w:line="440" w:lineRule="auto"/>
        <w:rPr>
          <w:sz w:val="20"/>
          <w:szCs w:val="20"/>
          <w:color w:val="auto"/>
        </w:rPr>
      </w:pPr>
      <w:r>
        <w:rPr>
          <w:rFonts w:ascii="Arial" w:cs="Arial" w:eastAsia="Arial" w:hAnsi="Arial"/>
          <w:sz w:val="18"/>
          <w:szCs w:val="18"/>
          <w:color w:val="auto"/>
        </w:rPr>
        <w:t>To the extent we invest in derivative instruments in the future, such instruments would be valued at fair value in accordance with our valuation policy. 92</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is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3</w:t>
      </w:r>
      <w:r>
        <w:rPr>
          <w:rFonts w:ascii="Arial" w:cs="Arial" w:eastAsia="Arial" w:hAnsi="Arial"/>
          <w:sz w:val="10"/>
          <w:szCs w:val="10"/>
          <w:color w:val="auto"/>
        </w:rPr>
        <w:t>rd</w:t>
      </w:r>
      <w:r>
        <w:rPr>
          <w:rFonts w:ascii="Arial" w:cs="Arial" w:eastAsia="Arial" w:hAnsi="Arial"/>
          <w:sz w:val="16"/>
          <w:szCs w:val="16"/>
          <w:color w:val="auto"/>
        </w:rPr>
        <w:t xml:space="preserve"> Floor, Brooklyn, New York 11219,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July 1, 2013,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last reported closing market price of our common stock on July 1, 2013 was $14.22 per share. As of July 1, 2013, we had three stockholders of record.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July 1,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Amount Held by</w:t>
            </w:r>
          </w:p>
        </w:tc>
        <w:tc>
          <w:tcPr>
            <w:tcW w:w="102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Amount</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664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Authorized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203"/>
        </w:trPr>
        <w:tc>
          <w:tcPr>
            <w:tcW w:w="7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$0.001 per share</w:t>
            </w:r>
          </w:p>
        </w:tc>
        <w:tc>
          <w:tcPr>
            <w:tcW w:w="1380" w:type="dxa"/>
            <w:vAlign w:val="bottom"/>
            <w:tcBorders>
              <w:top w:val="single" w:sz="8" w:color="auto"/>
            </w:tcBorders>
            <w:shd w:val="clear" w:color="auto" w:fill="CCEEFF"/>
          </w:tcPr>
          <w:p>
            <w:pPr>
              <w:jc w:val="right"/>
              <w:ind w:right="26"/>
              <w:spacing w:after="0" w:line="203" w:lineRule="exact"/>
              <w:rPr>
                <w:sz w:val="20"/>
                <w:szCs w:val="20"/>
                <w:color w:val="auto"/>
              </w:rPr>
            </w:pPr>
            <w:r>
              <w:rPr>
                <w:rFonts w:ascii="Arial" w:cs="Arial" w:eastAsia="Arial" w:hAnsi="Arial"/>
                <w:sz w:val="18"/>
                <w:szCs w:val="18"/>
                <w:color w:val="auto"/>
              </w:rPr>
              <w:t>100,000,000</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10,304,692</w:t>
            </w: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in 2015, 2016, and 2014, respectively, and in each case,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those directors will serve until their successors are duly elected and qualify. Upon expiration of their current terms, directors of each class will be elected to serve for three-year terms or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until the next annual meeting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33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300" w:hanging="446"/>
        <w:spacing w:after="0" w:line="357" w:lineRule="auto"/>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64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400" w:hanging="446"/>
        <w:spacing w:after="0" w:line="33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10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2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hanging="446"/>
        <w:spacing w:after="0" w:line="318" w:lineRule="auto"/>
        <w:tabs>
          <w:tab w:leader="none" w:pos="9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18" w:lineRule="exact"/>
        <w:rPr>
          <w:rFonts w:ascii="Arial" w:cs="Arial" w:eastAsia="Arial" w:hAnsi="Arial"/>
          <w:sz w:val="15"/>
          <w:szCs w:val="15"/>
          <w:color w:val="auto"/>
        </w:rPr>
      </w:pPr>
    </w:p>
    <w:p>
      <w:pPr>
        <w:ind w:left="900" w:right="120" w:hanging="446"/>
        <w:spacing w:after="0" w:line="370" w:lineRule="auto"/>
        <w:tabs>
          <w:tab w:leader="none" w:pos="9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6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260" w:hanging="446"/>
        <w:spacing w:after="0" w:line="256"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00"/>
          </w:cols>
          <w:pgMar w:left="24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91"/>
        </w:numPr>
        <w:rPr>
          <w:rFonts w:ascii="Arial" w:cs="Arial" w:eastAsia="Arial" w:hAnsi="Arial"/>
          <w:sz w:val="16"/>
          <w:szCs w:val="16"/>
          <w:color w:val="auto"/>
        </w:rPr>
      </w:pPr>
      <w:r>
        <w:rPr>
          <w:rFonts w:ascii="Arial" w:cs="Arial" w:eastAsia="Arial" w:hAnsi="Arial"/>
          <w:sz w:val="16"/>
          <w:szCs w:val="16"/>
          <w:color w:val="auto"/>
        </w:rPr>
        <w:t>has any class of securities listed on a national securities exchange subject to a maximum market capitalization of $250.0 million; or</w:t>
      </w:r>
    </w:p>
    <w:p>
      <w:pPr>
        <w:spacing w:after="0" w:line="113" w:lineRule="exact"/>
        <w:rPr>
          <w:rFonts w:ascii="Arial" w:cs="Arial" w:eastAsia="Arial" w:hAnsi="Arial"/>
          <w:sz w:val="16"/>
          <w:szCs w:val="16"/>
          <w:color w:val="auto"/>
        </w:rPr>
      </w:pPr>
    </w:p>
    <w:p>
      <w:pPr>
        <w:ind w:left="1920" w:right="140" w:hanging="440"/>
        <w:spacing w:after="0" w:line="259" w:lineRule="auto"/>
        <w:tabs>
          <w:tab w:leader="none" w:pos="19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306"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5"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compliant with the 1940 Act.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our total assets for temporary or emergency purposes without regard to asset coverage.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8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6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firm; and</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20"/>
          </w:cols>
          <w:pgMar w:left="240" w:top="460"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RIC tax election we must, among other requirements, meet certain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source-of-income and quarterly asset diversification requirements (as described below). We also must annually distribute dividends of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gains net income for the one-year period ending on October 31 of the calendar year and (3) the sum of any net ordinary income plus capital gains net income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90"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4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the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Recent legislation requires reporting of adjusted cost basis information for covered securities, which generally include shares of a RIC acquired after January 1, 2012, to the Internal Revenue Service and to taxpayers. Stockholders should contact their financial intermediaries with respect to reporting of cost basis and available elections for their accounts.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8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Effective January 1, 2014, withholding agents will be required to withhold U.S. tax (at a 30% rate) on payments of taxable dividends and (effective January 1, 2017) redemption proceeds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1"/>
          <w:szCs w:val="11"/>
          <w:color w:val="auto"/>
        </w:rPr>
        <w:t>th</w:t>
      </w:r>
      <w:r>
        <w:rPr>
          <w:rFonts w:ascii="Arial" w:cs="Arial" w:eastAsia="Arial" w:hAnsi="Arial"/>
          <w:sz w:val="18"/>
          <w:szCs w:val="18"/>
          <w:color w:val="auto"/>
        </w:rPr>
        <w:t xml:space="preserve">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 telephone number: (800) 937-5449. American Stock Transfer &amp; Trust Company, LLC may also serve as trustee for offerings of our debt securities.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360" w:type="dxa"/>
            <w:vAlign w:val="bottom"/>
            <w:gridSpan w:val="15"/>
          </w:tcPr>
          <w:p>
            <w:pPr>
              <w:jc w:val="center"/>
              <w:ind w:right="26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620" w:type="dxa"/>
            <w:vAlign w:val="bottom"/>
          </w:tcPr>
          <w:p>
            <w:pPr>
              <w:spacing w:after="0"/>
              <w:rPr>
                <w:sz w:val="19"/>
                <w:szCs w:val="19"/>
                <w:color w:val="auto"/>
              </w:rPr>
            </w:pPr>
          </w:p>
        </w:tc>
      </w:tr>
      <w:tr>
        <w:trPr>
          <w:trHeight w:val="419"/>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PennantPark Floating Rate Capital Ltd. and subsidiary</w:t>
            </w:r>
          </w:p>
        </w:tc>
        <w:tc>
          <w:tcPr>
            <w:tcW w:w="620" w:type="dxa"/>
            <w:vAlign w:val="bottom"/>
          </w:tcPr>
          <w:p>
            <w:pPr>
              <w:spacing w:after="0"/>
              <w:rPr>
                <w:sz w:val="24"/>
                <w:szCs w:val="24"/>
                <w:color w:val="auto"/>
              </w:rPr>
            </w:pPr>
          </w:p>
        </w:tc>
      </w:tr>
      <w:tr>
        <w:trPr>
          <w:trHeight w:val="324"/>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Annual Financial Statements</w:t>
            </w:r>
          </w:p>
        </w:tc>
        <w:tc>
          <w:tcPr>
            <w:tcW w:w="620" w:type="dxa"/>
            <w:vAlign w:val="bottom"/>
          </w:tcPr>
          <w:p>
            <w:pPr>
              <w:spacing w:after="0"/>
              <w:rPr>
                <w:sz w:val="24"/>
                <w:szCs w:val="24"/>
                <w:color w:val="auto"/>
              </w:rPr>
            </w:pPr>
          </w:p>
        </w:tc>
      </w:tr>
      <w:tr>
        <w:trPr>
          <w:trHeight w:val="286"/>
        </w:trPr>
        <w:tc>
          <w:tcPr>
            <w:tcW w:w="4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66">
              <w:r>
                <w:rPr>
                  <w:rFonts w:ascii="Arial" w:cs="Arial" w:eastAsia="Arial" w:hAnsi="Arial"/>
                  <w:sz w:val="18"/>
                  <w:szCs w:val="18"/>
                  <w:color w:val="0000EE"/>
                  <w:w w:val="89"/>
                </w:rPr>
                <w:t>Management’s Report on Internal Control Over Financial Reporting</w:t>
              </w:r>
            </w:hyperlink>
          </w:p>
        </w:tc>
        <w:tc>
          <w:tcPr>
            <w:tcW w:w="590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0700" w:type="dxa"/>
            <w:vAlign w:val="bottom"/>
            <w:gridSpan w:val="19"/>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Report of Independent Registered Public Accounting Firm</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0700" w:type="dxa"/>
            <w:vAlign w:val="bottom"/>
            <w:gridSpan w:val="19"/>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Report of Independent Registered Public Accounting Firm On Internal Control Over Financial Reporting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60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69">
              <w:r>
                <w:rPr>
                  <w:rFonts w:ascii="Arial" w:cs="Arial" w:eastAsia="Arial" w:hAnsi="Arial"/>
                  <w:sz w:val="18"/>
                  <w:szCs w:val="18"/>
                  <w:color w:val="0000EE"/>
                  <w:w w:val="87"/>
                </w:rPr>
                <w:t>Consolidated Statements of Assets and Liabilities as of September 30, 2012 and 2011</w:t>
              </w:r>
            </w:hyperlink>
          </w:p>
        </w:tc>
        <w:tc>
          <w:tcPr>
            <w:tcW w:w="1360" w:type="dxa"/>
            <w:vAlign w:val="bottom"/>
            <w:tcBorders>
              <w:top w:val="single" w:sz="8" w:color="0000EE"/>
            </w:tcBorders>
            <w:gridSpan w:val="4"/>
          </w:tcPr>
          <w:p>
            <w:pPr>
              <w:spacing w:after="0"/>
              <w:rPr>
                <w:sz w:val="24"/>
                <w:szCs w:val="24"/>
                <w:color w:val="auto"/>
              </w:rPr>
            </w:pPr>
          </w:p>
        </w:tc>
        <w:tc>
          <w:tcPr>
            <w:tcW w:w="332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700" w:type="dxa"/>
            <w:vAlign w:val="bottom"/>
            <w:gridSpan w:val="19"/>
          </w:tcPr>
          <w:p>
            <w:pPr>
              <w:spacing w:after="0"/>
              <w:rPr>
                <w:rFonts w:ascii="Arial" w:cs="Arial" w:eastAsia="Arial" w:hAnsi="Arial"/>
                <w:sz w:val="18"/>
                <w:szCs w:val="18"/>
                <w:color w:val="0000EE"/>
                <w:w w:val="90"/>
              </w:rPr>
            </w:pPr>
            <w:hyperlink w:anchor="page170">
              <w:r>
                <w:rPr>
                  <w:rFonts w:ascii="Arial" w:cs="Arial" w:eastAsia="Arial" w:hAnsi="Arial"/>
                  <w:sz w:val="18"/>
                  <w:szCs w:val="18"/>
                  <w:color w:val="0000EE"/>
                  <w:w w:val="90"/>
                </w:rPr>
                <w:t>Consolidated Statements of Operations for the year ended September 30, 2012 and for the period March 4, 2011 (commencement of operations) to</w:t>
              </w:r>
            </w:hyperlink>
          </w:p>
        </w:tc>
        <w:tc>
          <w:tcPr>
            <w:tcW w:w="6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September 30, 2011</w:t>
              </w:r>
            </w:hyperlink>
          </w:p>
        </w:tc>
        <w:tc>
          <w:tcPr>
            <w:tcW w:w="36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0700" w:type="dxa"/>
            <w:vAlign w:val="bottom"/>
            <w:gridSpan w:val="19"/>
          </w:tcPr>
          <w:p>
            <w:pPr>
              <w:spacing w:after="0"/>
              <w:rPr>
                <w:rFonts w:ascii="Arial" w:cs="Arial" w:eastAsia="Arial" w:hAnsi="Arial"/>
                <w:sz w:val="18"/>
                <w:szCs w:val="18"/>
                <w:color w:val="0000EE"/>
                <w:w w:val="92"/>
              </w:rPr>
            </w:pPr>
            <w:hyperlink w:anchor="page171">
              <w:r>
                <w:rPr>
                  <w:rFonts w:ascii="Arial" w:cs="Arial" w:eastAsia="Arial" w:hAnsi="Arial"/>
                  <w:sz w:val="18"/>
                  <w:szCs w:val="18"/>
                  <w:color w:val="0000EE"/>
                  <w:w w:val="92"/>
                </w:rPr>
                <w:t>Consolidated Statements of Changes in Net Assets for the year ended September 30, 2012 and for the period March 4, 2011 (commencement of</w:t>
              </w:r>
            </w:hyperlink>
          </w:p>
        </w:tc>
        <w:tc>
          <w:tcPr>
            <w:tcW w:w="6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operations) to September 30, 2011</w:t>
              </w:r>
            </w:hyperlink>
          </w:p>
        </w:tc>
        <w:tc>
          <w:tcPr>
            <w:tcW w:w="56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0700" w:type="dxa"/>
            <w:vAlign w:val="bottom"/>
            <w:gridSpan w:val="19"/>
          </w:tcPr>
          <w:p>
            <w:pPr>
              <w:spacing w:after="0"/>
              <w:rPr>
                <w:rFonts w:ascii="Arial" w:cs="Arial" w:eastAsia="Arial" w:hAnsi="Arial"/>
                <w:sz w:val="18"/>
                <w:szCs w:val="18"/>
                <w:color w:val="0000EE"/>
                <w:w w:val="90"/>
              </w:rPr>
            </w:pPr>
            <w:hyperlink w:anchor="page172">
              <w:r>
                <w:rPr>
                  <w:rFonts w:ascii="Arial" w:cs="Arial" w:eastAsia="Arial" w:hAnsi="Arial"/>
                  <w:sz w:val="18"/>
                  <w:szCs w:val="18"/>
                  <w:color w:val="0000EE"/>
                  <w:w w:val="90"/>
                </w:rPr>
                <w:t>Consolidated Statements of Cash Flows for the year ended September 30, 2012 and for the period March 4, 2011 (commencement of operations) to</w:t>
              </w:r>
            </w:hyperlink>
          </w:p>
        </w:tc>
        <w:tc>
          <w:tcPr>
            <w:tcW w:w="6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September 30, 2011</w:t>
              </w:r>
            </w:hyperlink>
          </w:p>
        </w:tc>
        <w:tc>
          <w:tcPr>
            <w:tcW w:w="3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636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Consolidated Schedules of Investments as of September 30, 2012 and September 30, 2011</w:t>
              </w:r>
            </w:hyperlink>
          </w:p>
        </w:tc>
        <w:tc>
          <w:tcPr>
            <w:tcW w:w="434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334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78">
              <w:r>
                <w:rPr>
                  <w:rFonts w:ascii="Arial" w:cs="Arial" w:eastAsia="Arial" w:hAnsi="Arial"/>
                  <w:sz w:val="18"/>
                  <w:szCs w:val="18"/>
                  <w:color w:val="0000EE"/>
                  <w:w w:val="87"/>
                </w:rPr>
                <w:t>Notes to the Consolidated Financial Statements</w:t>
              </w:r>
            </w:hyperlink>
          </w:p>
        </w:tc>
        <w:tc>
          <w:tcPr>
            <w:tcW w:w="736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343"/>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Interim Financial Statements</w:t>
            </w:r>
          </w:p>
        </w:tc>
        <w:tc>
          <w:tcPr>
            <w:tcW w:w="620" w:type="dxa"/>
            <w:vAlign w:val="bottom"/>
          </w:tcPr>
          <w:p>
            <w:pPr>
              <w:spacing w:after="0"/>
              <w:rPr>
                <w:sz w:val="24"/>
                <w:szCs w:val="24"/>
                <w:color w:val="auto"/>
              </w:rPr>
            </w:pPr>
          </w:p>
        </w:tc>
      </w:tr>
      <w:tr>
        <w:trPr>
          <w:trHeight w:val="286"/>
        </w:trPr>
        <w:tc>
          <w:tcPr>
            <w:tcW w:w="10700" w:type="dxa"/>
            <w:vAlign w:val="bottom"/>
            <w:gridSpan w:val="19"/>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Report of Independent Registered Public Accounting Firm</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F-29</w:t>
            </w:r>
          </w:p>
        </w:tc>
      </w:tr>
      <w:tr>
        <w:trPr>
          <w:trHeight w:val="20"/>
        </w:trPr>
        <w:tc>
          <w:tcPr>
            <w:tcW w:w="394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76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94">
              <w:r>
                <w:rPr>
                  <w:rFonts w:ascii="Arial" w:cs="Arial" w:eastAsia="Arial" w:hAnsi="Arial"/>
                  <w:sz w:val="18"/>
                  <w:szCs w:val="18"/>
                  <w:color w:val="0000EE"/>
                  <w:w w:val="87"/>
                </w:rPr>
                <w:t>Consolidated Statements of Assets and Liabilities as of March 31, 2013 (unaudited) and September 30, 2012</w:t>
              </w:r>
            </w:hyperlink>
          </w:p>
        </w:tc>
        <w:tc>
          <w:tcPr>
            <w:tcW w:w="306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304"/>
        </w:trPr>
        <w:tc>
          <w:tcPr>
            <w:tcW w:w="79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95">
              <w:r>
                <w:rPr>
                  <w:rFonts w:ascii="Arial" w:cs="Arial" w:eastAsia="Arial" w:hAnsi="Arial"/>
                  <w:sz w:val="18"/>
                  <w:szCs w:val="18"/>
                  <w:color w:val="0000EE"/>
                  <w:w w:val="87"/>
                </w:rPr>
                <w:t>Consolidated Statements of Operations for the three and six months ended March 31, 2013 and 2012 (unaudited)</w:t>
              </w:r>
            </w:hyperlink>
          </w:p>
        </w:tc>
        <w:tc>
          <w:tcPr>
            <w:tcW w:w="276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304"/>
        </w:trPr>
        <w:tc>
          <w:tcPr>
            <w:tcW w:w="80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96">
              <w:r>
                <w:rPr>
                  <w:rFonts w:ascii="Arial" w:cs="Arial" w:eastAsia="Arial" w:hAnsi="Arial"/>
                  <w:sz w:val="18"/>
                  <w:szCs w:val="18"/>
                  <w:color w:val="0000EE"/>
                  <w:w w:val="87"/>
                </w:rPr>
                <w:t>Consolidated Statements of Changes in Net Assets for the six months ended March 31, 2013 and 2012 (unaudited)</w:t>
              </w:r>
            </w:hyperlink>
          </w:p>
        </w:tc>
        <w:tc>
          <w:tcPr>
            <w:tcW w:w="264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304"/>
        </w:trPr>
        <w:tc>
          <w:tcPr>
            <w:tcW w:w="73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97">
              <w:r>
                <w:rPr>
                  <w:rFonts w:ascii="Arial" w:cs="Arial" w:eastAsia="Arial" w:hAnsi="Arial"/>
                  <w:sz w:val="18"/>
                  <w:szCs w:val="18"/>
                  <w:color w:val="0000EE"/>
                  <w:w w:val="87"/>
                </w:rPr>
                <w:t>Consolidated Statements of Cash Flows for the six months ended March 31, 2013 and 2012 (unaudited)</w:t>
              </w:r>
            </w:hyperlink>
          </w:p>
        </w:tc>
        <w:tc>
          <w:tcPr>
            <w:tcW w:w="340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F-33</w:t>
            </w:r>
          </w:p>
        </w:tc>
      </w:tr>
      <w:tr>
        <w:trPr>
          <w:trHeight w:val="304"/>
        </w:trPr>
        <w:tc>
          <w:tcPr>
            <w:tcW w:w="69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98">
              <w:r>
                <w:rPr>
                  <w:rFonts w:ascii="Arial" w:cs="Arial" w:eastAsia="Arial" w:hAnsi="Arial"/>
                  <w:sz w:val="18"/>
                  <w:szCs w:val="18"/>
                  <w:color w:val="0000EE"/>
                  <w:w w:val="87"/>
                </w:rPr>
                <w:t>Consolidated Schedules of Investments as of March 31, 2013 (unaudited) and September 30, 2012</w:t>
              </w:r>
            </w:hyperlink>
          </w:p>
        </w:tc>
        <w:tc>
          <w:tcPr>
            <w:tcW w:w="378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04"/>
        </w:trPr>
        <w:tc>
          <w:tcPr>
            <w:tcW w:w="10700" w:type="dxa"/>
            <w:vAlign w:val="bottom"/>
            <w:gridSpan w:val="19"/>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Notes to Consolidated Financial Statements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F-40</w:t>
            </w:r>
          </w:p>
        </w:tc>
      </w:tr>
      <w:tr>
        <w:trPr>
          <w:trHeight w:val="383"/>
        </w:trPr>
        <w:tc>
          <w:tcPr>
            <w:tcW w:w="22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gridSpan w:val="12"/>
          </w:tcPr>
          <w:p>
            <w:pPr>
              <w:jc w:val="center"/>
              <w:ind w:right="4060"/>
              <w:spacing w:after="0"/>
              <w:rPr>
                <w:sz w:val="20"/>
                <w:szCs w:val="20"/>
                <w:color w:val="auto"/>
              </w:rPr>
            </w:pPr>
            <w:r>
              <w:rPr>
                <w:rFonts w:ascii="Arial" w:cs="Arial" w:eastAsia="Arial" w:hAnsi="Arial"/>
                <w:sz w:val="18"/>
                <w:szCs w:val="18"/>
                <w:color w:val="auto"/>
                <w:w w:val="88"/>
              </w:rPr>
              <w:t>F-1</w:t>
            </w:r>
          </w:p>
        </w:tc>
        <w:tc>
          <w:tcPr>
            <w:tcW w:w="6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management of PennantPark Floating Rate Capital, Ltd., or “we,” “us,” “our” and “Company,”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September 30, 2012. In making this assessment, we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Based on the assessment management believes that, as of September 30, 2012, our internal control over financial reporting is effective based on those criteria.</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that audited the financial statements has issued an audit report on the effectiveness of our internal control over financial reporting as of September 30, 2012. This report appears on page F-4.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8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2012 and 2011, and the related consolidated statements of operations, changes in net assets, and cash flows for the year ended September 30,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0"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PennantPark Floating Rate Capital Ltd. and its Subsidiary as of September 30, 2012 and 2011, and the results of their operations and their cash flows for the year ended September 30, 2012 and for the period March 4, 2011 (commencement of operations) to September 30, 2011, in conformity with U.S. generally accepted accounting principles.</w:t>
      </w:r>
    </w:p>
    <w:p>
      <w:pPr>
        <w:spacing w:after="0" w:line="8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2012,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issued by the Committee of Sponsoring Organizations of the Treadway Commission (COSO), and our report dated November 14, 2012 expressed an</w:t>
      </w:r>
      <w:r>
        <w:rPr>
          <w:rFonts w:ascii="Arial" w:cs="Arial" w:eastAsia="Arial" w:hAnsi="Arial"/>
          <w:sz w:val="16"/>
          <w:szCs w:val="16"/>
          <w:i w:val="1"/>
          <w:iCs w:val="1"/>
          <w:color w:val="auto"/>
        </w:rPr>
        <w:t xml:space="preserve"> </w:t>
      </w:r>
      <w:r>
        <w:rPr>
          <w:rFonts w:ascii="Arial" w:cs="Arial" w:eastAsia="Arial" w:hAnsi="Arial"/>
          <w:sz w:val="16"/>
          <w:szCs w:val="16"/>
          <w:color w:val="auto"/>
        </w:rPr>
        <w:t>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8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We have audited PennantPark Floating Rate Capital Ltd. and its Subsidiary (the “Company”) internal control over financial reporting as of September 30,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53 of the Annual Report on Form 10-K, and Item 9A., Controls and Procedures— 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In our opinion, PennantPark Floating Rate Capital, Ltd. and its Subsidiary maintained, in all material respects, effective internal control over financial reporting as of September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Floating Rate Capital Ltd. and its Subsidiary, including the schedules of investments as of September 30, 2012 and 2011, and the related statements of operations, changes in net assets, and cash flows for the year ended September 30, 2012 and for the period March 4, 2011 (commencement of operations) to September 30, 2011 and our report dated November 14, 2012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3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(cost—$171,578,009 and $114,829,621, 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171,834,400</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110,724,241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3,845,803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1,388,867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986,278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311,313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178,366,661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121,075,260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Distributions payable</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548,053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3,357,500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Unfunded investments</w:t>
            </w: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(cost—$75,500,000 and $24,650,000, respectively) (See Notes 5 and 10)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75,122,500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161,550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424,747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Performance-based incentive fees payable (See Note 3)</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506,314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447,120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Accrued sales load charges (See Note 3)</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2,055,000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82,622,784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29,003,155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6,851</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95,192,222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97,251,174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(1,313,000)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1,223,913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256,391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unrealized appreciation on Credit Facility</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377,500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95,743,877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178,366,661</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121,075,260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13.98</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For the period 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6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11,856,483</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242,065</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12,098,548</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2,946,599</w:t>
            </w: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1,494,616</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Performance-based incentive fees (Note 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564,540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1,482,339</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583,613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182,995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1,310,084</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Expenses before Credit Facility costs and excise tax expense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5,435,192</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1,260,417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issuance costs (See Note 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311,648</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Excise tax</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42,027</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5,788,867</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6,309,681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320,139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911,925</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4,361,772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(See Note 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tcPr>
          <w:p>
            <w:pPr>
              <w:ind w:left="640"/>
              <w:spacing w:after="0"/>
              <w:rPr>
                <w:sz w:val="20"/>
                <w:szCs w:val="20"/>
                <w:color w:val="auto"/>
              </w:rPr>
            </w:pPr>
            <w:r>
              <w:rPr>
                <w:rFonts w:ascii="Arial" w:cs="Arial" w:eastAsia="Arial" w:hAnsi="Arial"/>
                <w:sz w:val="18"/>
                <w:szCs w:val="18"/>
                <w:b w:val="1"/>
                <w:bCs w:val="1"/>
                <w:color w:val="auto"/>
              </w:rPr>
              <w:t>Facility</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4,739,272</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5,651,197</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(3,793,392)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11,960,878</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(decrease) in net assets resulting from operations per common share (See Note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0.92</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For the period 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(decrease) in net assets resulting from operations:</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6,309,681</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320,139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911,925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4,361,772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377,500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11,960,878</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(6,234,106)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(1,712,667)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102,760,000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sales load charges (See Notes 1 and 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(2,055,000)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(5,501,975)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420"/>
              <w:spacing w:after="0"/>
              <w:rPr>
                <w:sz w:val="20"/>
                <w:szCs w:val="20"/>
                <w:color w:val="auto"/>
              </w:rPr>
            </w:pPr>
            <w:r>
              <w:rPr>
                <w:rFonts w:ascii="Arial" w:cs="Arial" w:eastAsia="Arial" w:hAnsi="Arial"/>
                <w:sz w:val="18"/>
                <w:szCs w:val="18"/>
                <w:b w:val="1"/>
                <w:bCs w:val="1"/>
                <w:color w:val="auto"/>
                <w:w w:val="96"/>
              </w:rPr>
              <w:t>Net (decrease) increase in net assets resulting from capital transactions</w:t>
            </w: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(2,055,000)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97,258,025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3,671,772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3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92,072,105</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420"/>
              <w:spacing w:after="0"/>
              <w:rPr>
                <w:sz w:val="20"/>
                <w:szCs w:val="20"/>
                <w:color w:val="auto"/>
              </w:rPr>
            </w:pPr>
            <w:r>
              <w:rPr>
                <w:rFonts w:ascii="Arial" w:cs="Arial" w:eastAsia="Arial" w:hAnsi="Arial"/>
                <w:sz w:val="18"/>
                <w:szCs w:val="18"/>
                <w:color w:val="auto"/>
              </w:rPr>
              <w:t>End of period</w:t>
            </w: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95,743,877</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(1,313,000)</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Capital Share Activity:</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shares from offerings</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For the period March 04, 2011</w:t>
            </w: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54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(commencement of operations) to</w:t>
            </w: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2011</w:t>
            </w: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11,960,878</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r>
      <w:tr>
        <w:trPr>
          <w:trHeight w:val="208"/>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Adjustments to reconcile net increase (decrease) in net assets resulting from</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operations to net cash used by operating activities: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(4,361,772)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4,105,380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on Credit Facility</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(377,500)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Net realized gain on investments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(911,925)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(311,988)</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(704,452)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(136,975)</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(128,673,695)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(147,545,077)</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(119,552)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(42,074)</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71,499,356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33,206,493</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receivable for investments sold</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1,481,222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(2,467,500)</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(Increase) in interest receivable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(656,172)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(732,695)</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prepaid expenses and other assets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(147,939)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(163,374)</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Increase in payable for investments purchased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2,367,500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990,000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(161,370)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2,323,250</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11,304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158,315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fees payable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506,314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expenses</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303,440</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420" w:type="dxa"/>
            <w:vAlign w:val="bottom"/>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(47,826,048)</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(113,687,455)</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Proceeds from offerings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102,760,000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(5,501,975)</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Distributions paid to stockholders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(6,165,599)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(1,233,120)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under Credit Facility (See Notes 5 and 10)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97,650,000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29,000,000</w:t>
            </w:r>
          </w:p>
        </w:tc>
      </w:tr>
      <w:tr>
        <w:trPr>
          <w:trHeight w:val="223"/>
        </w:trPr>
        <w:tc>
          <w:tcPr>
            <w:tcW w:w="20" w:type="dxa"/>
            <w:vAlign w:val="bottom"/>
          </w:tcPr>
          <w:p>
            <w:pPr>
              <w:spacing w:after="0"/>
              <w:rPr>
                <w:sz w:val="19"/>
                <w:szCs w:val="19"/>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Repayments under Credit Facility (See Notes 5 and 10)</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(46,800,000)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(4,350,000)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44,684,401</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120,674,905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(3,141,647)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3,845,803</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1,471,035</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5,556</w:t>
            </w:r>
          </w:p>
        </w:tc>
      </w:tr>
      <w:tr>
        <w:trPr>
          <w:trHeight w:val="27"/>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3,952</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Current</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5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Maturity</w:t>
            </w:r>
          </w:p>
        </w:tc>
        <w:tc>
          <w:tcPr>
            <w:tcW w:w="820" w:type="dxa"/>
            <w:vAlign w:val="bottom"/>
          </w:tcPr>
          <w:p>
            <w:pPr>
              <w:spacing w:after="0"/>
              <w:rPr>
                <w:sz w:val="15"/>
                <w:szCs w:val="15"/>
                <w:color w:val="auto"/>
              </w:rPr>
            </w:pPr>
          </w:p>
        </w:tc>
        <w:tc>
          <w:tcPr>
            <w:tcW w:w="13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7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760" w:type="dxa"/>
            <w:vAlign w:val="bottom"/>
            <w:gridSpan w:val="2"/>
          </w:tcPr>
          <w:p>
            <w:pPr>
              <w:jc w:val="right"/>
              <w:ind w:right="3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52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Non-Affiliated</w:t>
            </w:r>
          </w:p>
        </w:tc>
        <w:tc>
          <w:tcPr>
            <w:tcW w:w="8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Portfolio Companies—179.5%</w:t>
            </w:r>
            <w:r>
              <w:rPr>
                <w:rFonts w:ascii="Arial" w:cs="Arial" w:eastAsia="Arial" w:hAnsi="Arial"/>
                <w:sz w:val="20"/>
                <w:szCs w:val="20"/>
                <w:b w:val="1"/>
                <w:bCs w:val="1"/>
                <w:color w:val="auto"/>
                <w:vertAlign w:val="superscript"/>
              </w:rPr>
              <w:t>(3),(4)</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03/25/2015</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Telecommunications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L+800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214,286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214,838</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214,018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rPr>
              <w:t>Archipelago Learning, Inc.</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05/17/2018</w:t>
            </w:r>
          </w:p>
        </w:tc>
        <w:tc>
          <w:tcPr>
            <w:tcW w:w="21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Media, Broadcasting and</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7.50%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987,500</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959,574</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987,500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8"/>
              </w:rPr>
              <w:t>Subscription</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10/06/2016</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2,977,500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2,937,079</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2,962,613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11/22/2017</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2,943,750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2,888,381</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2,960,309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07/28/2017</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985,747</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02/15/2018</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3,975,000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3,902,979</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4,014,750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08/17/2017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Consumer Goods: Durable</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3,866,119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3,801,408</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3,859,675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03/19/2018</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3,733,125</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3,673,063</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3,677,128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12/01/2016</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981,827</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DS Waters of America,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08/29/2017</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L+900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3,980,000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3,904,846</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4,109,350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07/28/2017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P+350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950,104</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946,081</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945,353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EIG Investors Corp.</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04/20/2018</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L+625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3,990,000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3,952,867</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4,009,950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05/18/2018</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Chemicals, Plastics and Rubber</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1,995,000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1,975,762</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2,004,975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rPr>
              <w:t>eResearchtechnology, Inc.</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05/02/2018</w:t>
            </w:r>
          </w:p>
        </w:tc>
        <w:tc>
          <w:tcPr>
            <w:tcW w:w="21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6"/>
              </w:rPr>
              <w:t>Healthcare and</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8.00%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L+650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3,000,000</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2,884,003</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2,962,500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4"/>
              </w:rPr>
              <w:t>Pharmaceuticals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2,977,500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2,898,672</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GFA Brands,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07/02/2018</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1,995,000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1,956,496</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2,012,456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(8)</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09/02/2019</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Hotel, Gaming and Leisure</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9.63%</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05/27/2016</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Environmental Industries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2,956,829</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2,933,351</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2,934,653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Healogics, Inc. (f/k/a National Healing Corp.)</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Healthcare and</w:t>
            </w: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11/30/2017</w:t>
            </w:r>
          </w:p>
        </w:tc>
        <w:tc>
          <w:tcPr>
            <w:tcW w:w="218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4"/>
              </w:rPr>
              <w:t>Pharmaceuticals</w:t>
            </w: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8.25%</w:t>
            </w: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L+675</w:t>
            </w:r>
          </w:p>
        </w:tc>
        <w:tc>
          <w:tcPr>
            <w:tcW w:w="7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4,962,500</w:t>
            </w:r>
          </w:p>
        </w:tc>
        <w:tc>
          <w:tcPr>
            <w:tcW w:w="7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4,742,008</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4,925,281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04/01/2019</w:t>
            </w:r>
          </w:p>
        </w:tc>
        <w:tc>
          <w:tcPr>
            <w:tcW w:w="820" w:type="dxa"/>
            <w:vAlign w:val="bottom"/>
          </w:tcPr>
          <w:p>
            <w:pPr>
              <w:spacing w:after="0"/>
              <w:rPr>
                <w:sz w:val="12"/>
                <w:szCs w:val="12"/>
                <w:color w:val="auto"/>
              </w:rPr>
            </w:pPr>
          </w:p>
        </w:tc>
        <w:tc>
          <w:tcPr>
            <w:tcW w:w="136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89"/>
              </w:rPr>
              <w:t>Retail</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2,985,000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2,929,228</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2,992,463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08/03/2017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Wholesale</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2,743,125</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2,702,953</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2,715,694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 (8)</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03/30/2017</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11.50%</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1,963,159</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2,125,000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Ikaria,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06/22/2016</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L+650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1,700,000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1,691,500</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1,649,000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rPr>
              <w:t>Instant Web, Inc.</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08/07/2014</w:t>
            </w:r>
          </w:p>
        </w:tc>
        <w:tc>
          <w:tcPr>
            <w:tcW w:w="21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90"/>
              </w:rPr>
              <w:t>Media: Advertising,</w:t>
            </w:r>
          </w:p>
        </w:tc>
        <w:tc>
          <w:tcPr>
            <w:tcW w:w="900" w:type="dxa"/>
            <w:vAlign w:val="bottom"/>
            <w:gridSpan w:val="2"/>
          </w:tcPr>
          <w:p>
            <w:pPr>
              <w:jc w:val="right"/>
              <w:ind w:right="120"/>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L+338</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6,836,508</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6,534,349</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5,247,020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9"/>
              </w:rPr>
              <w:t>Printing and Publishing</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09/10/2015</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Chemicals, Plastics and Rubber</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5,476,250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5,512,699</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5,558,394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0"/>
                <w:szCs w:val="10"/>
                <w:color w:val="auto"/>
              </w:rPr>
              <w:t>KIK Custom Products Inc.</w:t>
            </w:r>
            <w:r>
              <w:rPr>
                <w:rFonts w:ascii="Arial" w:cs="Arial" w:eastAsia="Arial" w:hAnsi="Arial"/>
                <w:sz w:val="15"/>
                <w:szCs w:val="15"/>
                <w:color w:val="auto"/>
                <w:vertAlign w:val="superscript"/>
              </w:rPr>
              <w:t>(6), (8)</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06/02/2014</w:t>
            </w:r>
          </w:p>
        </w:tc>
        <w:tc>
          <w:tcPr>
            <w:tcW w:w="21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6"/>
              </w:rPr>
              <w:t>Consumer Goods:</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8.50%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L+700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4,937,500</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4,845,282</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4,863,438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8"/>
              </w:rPr>
              <w:t>Non-Durable</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06/19/2017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1,844,649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1,821,373</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1,766,252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MModal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08/16/2019</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3,400,000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3,349,374</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3,351,125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05/07/2018</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3,950,000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3,916,596</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MOSAID Technologies Incorporated</w:t>
            </w:r>
            <w:r>
              <w:rPr>
                <w:rFonts w:ascii="Arial" w:cs="Arial" w:eastAsia="Arial" w:hAnsi="Arial"/>
                <w:sz w:val="17"/>
                <w:szCs w:val="17"/>
                <w:color w:val="auto"/>
                <w:vertAlign w:val="superscript"/>
              </w:rPr>
              <w:t>(6)</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12/23/2016</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2,887,500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2,826,368</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2,887,500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MX USA, INC and KAN-DI-KI, LLC</w:t>
            </w:r>
          </w:p>
        </w:tc>
        <w:tc>
          <w:tcPr>
            <w:tcW w:w="15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05/01/2017</w:t>
            </w:r>
          </w:p>
        </w:tc>
        <w:tc>
          <w:tcPr>
            <w:tcW w:w="218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Healthcare and</w:t>
            </w:r>
          </w:p>
        </w:tc>
        <w:tc>
          <w:tcPr>
            <w:tcW w:w="9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L+525</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2,985,000</w:t>
            </w:r>
          </w:p>
        </w:tc>
        <w:tc>
          <w:tcPr>
            <w:tcW w:w="7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2,943,607</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2,955,150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8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4"/>
              </w:rPr>
              <w:t>Pharmaceuticals</w:t>
            </w: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rPr>
              <w:t>NAB Holdings, LLC</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04/24/2018</w:t>
            </w:r>
          </w:p>
        </w:tc>
        <w:tc>
          <w:tcPr>
            <w:tcW w:w="21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6"/>
              </w:rPr>
              <w:t>Banking, Finance, Insurance and</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7.00%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987,500</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973,817</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997,375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5"/>
              </w:rPr>
              <w:t>Real Estate</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07/11/2018</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Containers, Packaging and Glass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1,496,250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1,467,389</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1,492,509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rPr>
              <w:t>Penton Media, Inc.</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08/01/2014</w:t>
            </w:r>
          </w:p>
        </w:tc>
        <w:tc>
          <w:tcPr>
            <w:tcW w:w="21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90"/>
              </w:rPr>
              <w:t>Media: Diversified and</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5.00%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L+400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5,497,407</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4,931,995</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4,439,156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Production</w:t>
            </w:r>
          </w:p>
        </w:tc>
        <w:tc>
          <w:tcPr>
            <w:tcW w:w="900" w:type="dxa"/>
            <w:vAlign w:val="bottom"/>
            <w:gridSpan w:val="2"/>
          </w:tcPr>
          <w:p>
            <w:pPr>
              <w:spacing w:after="0"/>
              <w:rPr>
                <w:sz w:val="20"/>
                <w:szCs w:val="20"/>
                <w:color w:val="auto"/>
              </w:rPr>
            </w:pPr>
            <w:r>
              <w:rPr>
                <w:rFonts w:ascii="Arial" w:cs="Arial" w:eastAsia="Arial" w:hAnsi="Arial"/>
                <w:sz w:val="14"/>
                <w:szCs w:val="14"/>
                <w:color w:val="auto"/>
              </w:rPr>
              <w:t>(PIK 1.00%)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05/08/2017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Containers, Packaging and Glass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L+450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1,975,000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1,958,715</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1,967,594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Basis Point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94"/>
              </w:rPr>
              <w:t>Current</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180" w:type="dxa"/>
            <w:vAlign w:val="bottom"/>
          </w:tcPr>
          <w:p>
            <w:pPr>
              <w:spacing w:after="0"/>
              <w:rPr>
                <w:sz w:val="11"/>
                <w:szCs w:val="11"/>
                <w:color w:val="auto"/>
              </w:rPr>
            </w:pPr>
          </w:p>
        </w:tc>
        <w:tc>
          <w:tcPr>
            <w:tcW w:w="78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Maturity</w:t>
            </w:r>
          </w:p>
        </w:tc>
        <w:tc>
          <w:tcPr>
            <w:tcW w:w="66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Industry</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Coupon</w:t>
            </w:r>
          </w:p>
        </w:tc>
        <w:tc>
          <w:tcPr>
            <w:tcW w:w="84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Pro Mach, Inc.</w:t>
            </w:r>
          </w:p>
        </w:tc>
        <w:tc>
          <w:tcPr>
            <w:tcW w:w="166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07/06/2017</w:t>
            </w:r>
          </w:p>
        </w:tc>
        <w:tc>
          <w:tcPr>
            <w:tcW w:w="178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Capital Equipment</w:t>
            </w:r>
          </w:p>
        </w:tc>
        <w:tc>
          <w:tcPr>
            <w:tcW w:w="9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6.25%</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L+475</w:t>
            </w:r>
          </w:p>
        </w:tc>
        <w:tc>
          <w:tcPr>
            <w:tcW w:w="96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978,077</w:t>
            </w:r>
          </w:p>
        </w:tc>
        <w:tc>
          <w:tcPr>
            <w:tcW w:w="880" w:type="dxa"/>
            <w:vAlign w:val="bottom"/>
            <w:gridSpan w:val="4"/>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970,036</w:t>
            </w:r>
          </w:p>
        </w:tc>
        <w:tc>
          <w:tcPr>
            <w:tcW w:w="88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967,889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Renaissance Learning, Inc.</w:t>
            </w:r>
          </w:p>
        </w:tc>
        <w:tc>
          <w:tcPr>
            <w:tcW w:w="16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10/19/2017</w:t>
            </w:r>
          </w:p>
        </w:tc>
        <w:tc>
          <w:tcPr>
            <w:tcW w:w="17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7.75%</w:t>
            </w: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L+625</w:t>
            </w:r>
          </w:p>
        </w:tc>
        <w:tc>
          <w:tcPr>
            <w:tcW w:w="96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1,980,000</w:t>
            </w:r>
          </w:p>
        </w:tc>
        <w:tc>
          <w:tcPr>
            <w:tcW w:w="880" w:type="dxa"/>
            <w:vAlign w:val="bottom"/>
            <w:gridSpan w:val="4"/>
          </w:tcPr>
          <w:p>
            <w:pPr>
              <w:jc w:val="right"/>
              <w:ind w:right="140"/>
              <w:spacing w:after="0" w:line="138" w:lineRule="exact"/>
              <w:rPr>
                <w:sz w:val="20"/>
                <w:szCs w:val="20"/>
                <w:color w:val="auto"/>
              </w:rPr>
            </w:pPr>
            <w:r>
              <w:rPr>
                <w:rFonts w:ascii="Arial" w:cs="Arial" w:eastAsia="Arial" w:hAnsi="Arial"/>
                <w:sz w:val="14"/>
                <w:szCs w:val="14"/>
                <w:color w:val="auto"/>
              </w:rPr>
              <w:t>1,909,788</w:t>
            </w:r>
          </w:p>
        </w:tc>
        <w:tc>
          <w:tcPr>
            <w:tcW w:w="88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1,994,850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color w:val="auto"/>
                <w:w w:val="88"/>
              </w:rPr>
              <w:t>Subscription</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02/08/2018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7.00%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3,970,000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3,898,141</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Sabre Industries, Inc.</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08/24/2018</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7.00%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3,000,000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2,955,509</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2,973,126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05/31/2017</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2,962,500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2,938,182</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2,960,648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Seven Seas Cruises S. DE R.L.</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12/21/2018</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1,500,000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1,485,300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04/21/2017</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7.00%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2,962,512</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2,939,052</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2,932,887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01/29/2018</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L+750</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147,935</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01/29/2018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L+1,200</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1,875,000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1,823,914</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1,914,375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10/27/2017</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8.00%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L+650</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992,500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958,036</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04/16/2018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L+750</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1,995,000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1,935,550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1,950,113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06/19/2017</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2,962,500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2,938,318</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2,844,000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Valitas Health Services, Inc.</w:t>
            </w:r>
          </w:p>
        </w:tc>
        <w:tc>
          <w:tcPr>
            <w:tcW w:w="166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06/02/2017</w:t>
            </w:r>
          </w:p>
        </w:tc>
        <w:tc>
          <w:tcPr>
            <w:tcW w:w="178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Healthcare and</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5.75%</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L+450</w:t>
            </w:r>
          </w:p>
        </w:tc>
        <w:tc>
          <w:tcPr>
            <w:tcW w:w="96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1,481,250</w:t>
            </w:r>
          </w:p>
        </w:tc>
        <w:tc>
          <w:tcPr>
            <w:tcW w:w="880" w:type="dxa"/>
            <w:vAlign w:val="bottom"/>
            <w:gridSpan w:val="4"/>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1,474,945</w:t>
            </w:r>
          </w:p>
        </w:tc>
        <w:tc>
          <w:tcPr>
            <w:tcW w:w="88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1,466,438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Pharmaceuticals</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Vantage Specialties, Inc.</w:t>
            </w:r>
          </w:p>
        </w:tc>
        <w:tc>
          <w:tcPr>
            <w:tcW w:w="16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02/09/2018</w:t>
            </w:r>
          </w:p>
        </w:tc>
        <w:tc>
          <w:tcPr>
            <w:tcW w:w="17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7.00%</w:t>
            </w: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L+550</w:t>
            </w:r>
          </w:p>
        </w:tc>
        <w:tc>
          <w:tcPr>
            <w:tcW w:w="96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2,985,000</w:t>
            </w:r>
          </w:p>
        </w:tc>
        <w:tc>
          <w:tcPr>
            <w:tcW w:w="880" w:type="dxa"/>
            <w:vAlign w:val="bottom"/>
            <w:gridSpan w:val="4"/>
          </w:tcPr>
          <w:p>
            <w:pPr>
              <w:jc w:val="right"/>
              <w:ind w:right="140"/>
              <w:spacing w:after="0" w:line="138" w:lineRule="exact"/>
              <w:rPr>
                <w:sz w:val="20"/>
                <w:szCs w:val="20"/>
                <w:color w:val="auto"/>
              </w:rPr>
            </w:pPr>
            <w:r>
              <w:rPr>
                <w:rFonts w:ascii="Arial" w:cs="Arial" w:eastAsia="Arial" w:hAnsi="Arial"/>
                <w:sz w:val="14"/>
                <w:szCs w:val="14"/>
                <w:color w:val="auto"/>
              </w:rPr>
              <w:t>2,930,559</w:t>
            </w:r>
          </w:p>
        </w:tc>
        <w:tc>
          <w:tcPr>
            <w:tcW w:w="88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2,999,925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gridSpan w:val="2"/>
          </w:tcPr>
          <w:p>
            <w:pPr>
              <w:jc w:val="center"/>
              <w:ind w:right="600"/>
              <w:spacing w:after="0" w:line="159" w:lineRule="exact"/>
              <w:rPr>
                <w:sz w:val="20"/>
                <w:szCs w:val="20"/>
                <w:color w:val="auto"/>
              </w:rPr>
            </w:pPr>
            <w:r>
              <w:rPr>
                <w:rFonts w:ascii="Arial" w:cs="Arial" w:eastAsia="Arial" w:hAnsi="Arial"/>
                <w:sz w:val="14"/>
                <w:szCs w:val="14"/>
                <w:color w:val="auto"/>
                <w:w w:val="87"/>
              </w:rPr>
              <w:t>Rubber</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66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04/19/2016</w:t>
            </w:r>
          </w:p>
        </w:tc>
        <w:tc>
          <w:tcPr>
            <w:tcW w:w="178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7.00%</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4,187,556</w:t>
            </w:r>
          </w:p>
        </w:tc>
        <w:tc>
          <w:tcPr>
            <w:tcW w:w="880" w:type="dxa"/>
            <w:vAlign w:val="bottom"/>
            <w:gridSpan w:val="4"/>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4,147,483</w:t>
            </w:r>
          </w:p>
        </w:tc>
        <w:tc>
          <w:tcPr>
            <w:tcW w:w="88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4,187,556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Printing and Publishing</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12/22/2016</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7.75%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P+450</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2,970,000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2,940,842</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2,643,300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W3 CO.</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10/31/2017</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Energy: Oil and Gas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1,985,000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1,916,035</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1,982,519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08/10/2017</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6.75%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3,465,000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3,434,281</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3,456,338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03/23/2018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L+425</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995,000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985,787</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998,316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Wilton Brands, LLC</w:t>
            </w:r>
          </w:p>
        </w:tc>
        <w:tc>
          <w:tcPr>
            <w:tcW w:w="16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08/30/2018</w:t>
            </w:r>
          </w:p>
        </w:tc>
        <w:tc>
          <w:tcPr>
            <w:tcW w:w="17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6"/>
              </w:rPr>
              <w:t>Consumer Goods: Non-</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7.50%</w:t>
            </w: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L+625</w:t>
            </w:r>
          </w:p>
        </w:tc>
        <w:tc>
          <w:tcPr>
            <w:tcW w:w="96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3,400,000</w:t>
            </w:r>
          </w:p>
        </w:tc>
        <w:tc>
          <w:tcPr>
            <w:tcW w:w="880" w:type="dxa"/>
            <w:vAlign w:val="bottom"/>
            <w:gridSpan w:val="4"/>
          </w:tcPr>
          <w:p>
            <w:pPr>
              <w:jc w:val="right"/>
              <w:ind w:right="140"/>
              <w:spacing w:after="0" w:line="138" w:lineRule="exact"/>
              <w:rPr>
                <w:sz w:val="20"/>
                <w:szCs w:val="20"/>
                <w:color w:val="auto"/>
              </w:rPr>
            </w:pPr>
            <w:r>
              <w:rPr>
                <w:rFonts w:ascii="Arial" w:cs="Arial" w:eastAsia="Arial" w:hAnsi="Arial"/>
                <w:sz w:val="14"/>
                <w:szCs w:val="14"/>
                <w:color w:val="auto"/>
              </w:rPr>
              <w:t>3,332,763</w:t>
            </w:r>
          </w:p>
        </w:tc>
        <w:tc>
          <w:tcPr>
            <w:tcW w:w="88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3,417,000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gridSpan w:val="2"/>
          </w:tcPr>
          <w:p>
            <w:pPr>
              <w:jc w:val="center"/>
              <w:ind w:right="600"/>
              <w:spacing w:after="0" w:line="159" w:lineRule="exact"/>
              <w:rPr>
                <w:sz w:val="20"/>
                <w:szCs w:val="20"/>
                <w:color w:val="auto"/>
              </w:rPr>
            </w:pPr>
            <w:r>
              <w:rPr>
                <w:rFonts w:ascii="Arial" w:cs="Arial" w:eastAsia="Arial" w:hAnsi="Arial"/>
                <w:sz w:val="14"/>
                <w:szCs w:val="14"/>
                <w:color w:val="auto"/>
                <w:w w:val="89"/>
              </w:rPr>
              <w:t>Durable</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Corporation</w:t>
            </w:r>
            <w:r>
              <w:rPr>
                <w:rFonts w:ascii="Arial" w:cs="Arial" w:eastAsia="Arial" w:hAnsi="Arial"/>
                <w:sz w:val="17"/>
                <w:szCs w:val="17"/>
                <w:color w:val="auto"/>
                <w:vertAlign w:val="superscript"/>
              </w:rPr>
              <w:t>(5), (8)</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07/15/2016</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11.38%</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4,000,000</w:t>
            </w: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4"/>
          </w:tcPr>
          <w:p>
            <w:pPr>
              <w:jc w:val="right"/>
              <w:ind w:right="140"/>
              <w:spacing w:after="0" w:line="155" w:lineRule="exact"/>
              <w:rPr>
                <w:sz w:val="20"/>
                <w:szCs w:val="20"/>
                <w:color w:val="auto"/>
              </w:rPr>
            </w:pPr>
            <w:r>
              <w:rPr>
                <w:rFonts w:ascii="Arial" w:cs="Arial" w:eastAsia="Arial" w:hAnsi="Arial"/>
                <w:sz w:val="14"/>
                <w:szCs w:val="14"/>
                <w:color w:val="auto"/>
                <w:w w:val="92"/>
              </w:rPr>
              <w:t>150,258,038</w:t>
            </w:r>
          </w:p>
        </w:tc>
        <w:tc>
          <w:tcPr>
            <w:tcW w:w="8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150,209,747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American Gilsonite Company</w:t>
            </w:r>
            <w:r>
              <w:rPr>
                <w:rFonts w:ascii="Arial" w:cs="Arial" w:eastAsia="Arial" w:hAnsi="Arial"/>
                <w:sz w:val="17"/>
                <w:szCs w:val="17"/>
                <w:color w:val="auto"/>
                <w:vertAlign w:val="superscript"/>
              </w:rPr>
              <w:t>(8)</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09/01/2017</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Metals and Mining</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11.50%</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3,000,000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w w:val="92"/>
              </w:rPr>
              <w:t>$  3,000,000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3,082,500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01/29/2018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995,180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Cannery Casino Resorts, LLC</w:t>
            </w:r>
            <w:r>
              <w:rPr>
                <w:rFonts w:ascii="Arial" w:cs="Arial" w:eastAsia="Arial" w:hAnsi="Arial"/>
                <w:sz w:val="17"/>
                <w:szCs w:val="17"/>
                <w:color w:val="auto"/>
                <w:vertAlign w:val="superscript"/>
              </w:rPr>
              <w:t>(8)</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10/02/2019</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1,700,000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1,666,000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1,691,500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(6)</w:t>
            </w:r>
          </w:p>
        </w:tc>
        <w:tc>
          <w:tcPr>
            <w:tcW w:w="166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11/06/2018</w:t>
            </w:r>
          </w:p>
        </w:tc>
        <w:tc>
          <w:tcPr>
            <w:tcW w:w="178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Media: Diversified and</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10.25%</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L+875</w:t>
            </w:r>
          </w:p>
        </w:tc>
        <w:tc>
          <w:tcPr>
            <w:tcW w:w="96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1,500,000</w:t>
            </w:r>
          </w:p>
        </w:tc>
        <w:tc>
          <w:tcPr>
            <w:tcW w:w="880" w:type="dxa"/>
            <w:vAlign w:val="bottom"/>
            <w:gridSpan w:val="4"/>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1,486,780</w:t>
            </w:r>
          </w:p>
        </w:tc>
        <w:tc>
          <w:tcPr>
            <w:tcW w:w="88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1,475,250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Production</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(8)</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09/01/2018</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12.13%</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2,000,000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1,969,103</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05/09/2018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Utilities: Water</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991,580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 (6), (8)</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05/15/2019</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9.13%</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1,560,000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11,608,643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12,025,500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60" w:type="dxa"/>
            <w:vAlign w:val="bottom"/>
          </w:tcPr>
          <w:p>
            <w:pPr>
              <w:spacing w:after="0"/>
              <w:rPr>
                <w:sz w:val="11"/>
                <w:szCs w:val="11"/>
                <w:color w:val="auto"/>
              </w:rPr>
            </w:pPr>
          </w:p>
        </w:tc>
        <w:tc>
          <w:tcPr>
            <w:tcW w:w="58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right"/>
              <w:ind w:right="32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2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Maturity</w:t>
            </w:r>
          </w:p>
        </w:tc>
        <w:tc>
          <w:tcPr>
            <w:tcW w:w="780" w:type="dxa"/>
            <w:vAlign w:val="bottom"/>
          </w:tcPr>
          <w:p>
            <w:pPr>
              <w:spacing w:after="0"/>
              <w:rPr>
                <w:sz w:val="15"/>
                <w:szCs w:val="15"/>
                <w:color w:val="auto"/>
              </w:rPr>
            </w:pPr>
          </w:p>
        </w:tc>
        <w:tc>
          <w:tcPr>
            <w:tcW w:w="14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Coupon</w:t>
            </w:r>
          </w:p>
        </w:tc>
        <w:tc>
          <w:tcPr>
            <w:tcW w:w="6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2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5"/>
                <w:szCs w:val="15"/>
                <w:color w:val="auto"/>
              </w:rPr>
            </w:pPr>
          </w:p>
        </w:tc>
        <w:tc>
          <w:tcPr>
            <w:tcW w:w="90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22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Subordinated Debt/Corporate Notes—8.7%</w:t>
            </w:r>
            <w:r>
              <w:rPr>
                <w:rFonts w:ascii="Arial" w:cs="Arial" w:eastAsia="Arial" w:hAnsi="Arial"/>
                <w:sz w:val="16"/>
                <w:szCs w:val="16"/>
                <w:b w:val="1"/>
                <w:bCs w:val="1"/>
                <w:color w:val="auto"/>
                <w:vertAlign w:val="superscript"/>
              </w:rPr>
              <w:t>(8)</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11/15/2015</w:t>
            </w:r>
          </w:p>
        </w:tc>
        <w:tc>
          <w:tcPr>
            <w:tcW w:w="22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Consumer Goods: Non-Durable</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11.63%</w:t>
            </w: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3,782,015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2,788,000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12/01/2017</w:t>
            </w:r>
          </w:p>
        </w:tc>
        <w:tc>
          <w:tcPr>
            <w:tcW w:w="22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13.00%</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980,074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102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06/03/2019</w:t>
            </w:r>
          </w:p>
        </w:tc>
        <w:tc>
          <w:tcPr>
            <w:tcW w:w="220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14.25%</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4,508,719</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4,432,092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4,508,719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(PIK 2.25%)</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9,194,181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Equity/Partnership Interests—0.2%</w:t>
            </w:r>
            <w:r>
              <w:rPr>
                <w:rFonts w:ascii="Arial" w:cs="Arial" w:eastAsia="Arial" w:hAnsi="Arial"/>
                <w:sz w:val="18"/>
                <w:szCs w:val="18"/>
                <w:b w:val="1"/>
                <w:bCs w:val="1"/>
                <w:color w:val="auto"/>
                <w:vertAlign w:val="superscript"/>
              </w:rPr>
              <w:t>(7), (8)</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1"/>
              </w:rPr>
              <w:t>TrustHouse Services Holdings, LLC (TrustHouse Services Group, Inc.)</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Beverage, Food and Tobacco</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12.50%</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w:t>
            </w:r>
          </w:p>
        </w:tc>
        <w:tc>
          <w:tcPr>
            <w:tcW w:w="1000" w:type="dxa"/>
            <w:vAlign w:val="bottom"/>
            <w:gridSpan w:val="5"/>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110,697</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Equity/Partnership Interests—1.1%</w:t>
            </w:r>
            <w:r>
              <w:rPr>
                <w:rFonts w:ascii="Arial" w:cs="Arial" w:eastAsia="Arial" w:hAnsi="Arial"/>
                <w:sz w:val="18"/>
                <w:szCs w:val="18"/>
                <w:b w:val="1"/>
                <w:bCs w:val="1"/>
                <w:color w:val="auto"/>
                <w:vertAlign w:val="superscript"/>
              </w:rPr>
              <w:t>(7), (8)</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Telecommunications</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401,797</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401,450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1,091,018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w w:val="91"/>
              </w:rPr>
              <w:t>TrustHouse Services Holdings, LLC (TrustHouse Services Group, Inc.)</w:t>
            </w:r>
          </w:p>
        </w:tc>
        <w:tc>
          <w:tcPr>
            <w:tcW w:w="220" w:type="dxa"/>
            <w:vAlign w:val="bottom"/>
          </w:tcPr>
          <w:p>
            <w:pPr>
              <w:spacing w:after="0"/>
              <w:rPr>
                <w:sz w:val="13"/>
                <w:szCs w:val="13"/>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Beverage, Food and Tobacco</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10,845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406,450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1,101,863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4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w w:val="99"/>
              </w:rPr>
              <w:t>Total Investments in Non-Controlled, Non-Affiliated Portfolio</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Companies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171,578,009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84"/>
              </w:rPr>
              <w:t>171,834,400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Equivalents—183.5%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175,423,812</w:t>
            </w:r>
          </w:p>
        </w:tc>
        <w:tc>
          <w:tcPr>
            <w:tcW w:w="1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4"/>
              </w:rPr>
              <w:t>175,680,203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Assets—(83.5)%</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88"/>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340" w:right="60" w:hanging="332"/>
        <w:spacing w:after="0" w:line="230"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Basis Point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6"/>
              </w:rPr>
              <w:t>Current</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78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Maturity</w:t>
            </w:r>
          </w:p>
        </w:tc>
        <w:tc>
          <w:tcPr>
            <w:tcW w:w="840" w:type="dxa"/>
            <w:vAlign w:val="bottom"/>
          </w:tcPr>
          <w:p>
            <w:pPr>
              <w:spacing w:after="0"/>
              <w:rPr>
                <w:sz w:val="14"/>
                <w:szCs w:val="14"/>
                <w:color w:val="auto"/>
              </w:rPr>
            </w:pPr>
          </w:p>
        </w:tc>
        <w:tc>
          <w:tcPr>
            <w:tcW w:w="1420" w:type="dxa"/>
            <w:vAlign w:val="bottom"/>
            <w:gridSpan w:val="2"/>
          </w:tcPr>
          <w:p>
            <w:pPr>
              <w:jc w:val="center"/>
              <w:ind w:right="920"/>
              <w:spacing w:after="0" w:line="142" w:lineRule="exact"/>
              <w:rPr>
                <w:sz w:val="20"/>
                <w:szCs w:val="20"/>
                <w:color w:val="auto"/>
              </w:rPr>
            </w:pPr>
            <w:r>
              <w:rPr>
                <w:rFonts w:ascii="Arial" w:cs="Arial" w:eastAsia="Arial" w:hAnsi="Arial"/>
                <w:sz w:val="14"/>
                <w:szCs w:val="14"/>
                <w:b w:val="1"/>
                <w:bCs w:val="1"/>
                <w:color w:val="auto"/>
                <w:w w:val="90"/>
              </w:rPr>
              <w:t>Industry</w:t>
            </w: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1"/>
                <w:szCs w:val="11"/>
                <w:b w:val="1"/>
                <w:bCs w:val="1"/>
                <w:color w:val="auto"/>
              </w:rPr>
              <w:t>Index</w:t>
            </w:r>
            <w:r>
              <w:rPr>
                <w:rFonts w:ascii="Arial" w:cs="Arial" w:eastAsia="Arial" w:hAnsi="Arial"/>
                <w:sz w:val="16"/>
                <w:szCs w:val="16"/>
                <w:b w:val="1"/>
                <w:bCs w:val="1"/>
                <w:color w:val="auto"/>
                <w:vertAlign w:val="superscript"/>
              </w:rPr>
              <w:t>(1)</w:t>
            </w:r>
          </w:p>
        </w:tc>
        <w:tc>
          <w:tcPr>
            <w:tcW w:w="120" w:type="dxa"/>
            <w:vAlign w:val="bottom"/>
          </w:tcPr>
          <w:p>
            <w:pPr>
              <w:spacing w:after="0"/>
              <w:rPr>
                <w:sz w:val="14"/>
                <w:szCs w:val="14"/>
                <w:color w:val="auto"/>
              </w:rPr>
            </w:pPr>
          </w:p>
        </w:tc>
        <w:tc>
          <w:tcPr>
            <w:tcW w:w="7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4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76"/>
              </w:rPr>
              <w:t>Cost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180"/>
              <w:spacing w:after="0" w:line="142"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92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w:t>
            </w: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Portfolio Companies—120.2%</w:t>
            </w:r>
            <w:r>
              <w:rPr>
                <w:rFonts w:ascii="Arial" w:cs="Arial" w:eastAsia="Arial" w:hAnsi="Arial"/>
                <w:sz w:val="20"/>
                <w:szCs w:val="20"/>
                <w:b w:val="1"/>
                <w:bCs w:val="1"/>
                <w:color w:val="auto"/>
                <w:vertAlign w:val="superscript"/>
              </w:rPr>
              <w:t>(3), (4)</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Debt—99.2%</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03/25/2015</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Telecommunications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L+800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1,209,524</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$ 1,213,365</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Artel, LLC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06/01/2016</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Telecommunications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L+425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987,500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978,043</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07/29/2017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Automotive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Chester Downs and Marina, LLC</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07/31/2016</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Hotel, Gaming and Leisure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L+988</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478,873</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488,220</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08/17/2017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Consumer Goods: Durable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4,000,000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3,921,236</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EAG, Inc.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07/28/2017</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P+350</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987,500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982,590</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05/13/2016</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L+475</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2,966,250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2,939,107</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Frac Tech International, LLC</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05/06/2016</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Energy: Oil and Gas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L+475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2,073,930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2,054,330</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05/27/2016</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Environmental Industries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7.01%</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2,964,467</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20" w:type="dxa"/>
            <w:vAlign w:val="bottom"/>
            <w:gridSpan w:val="2"/>
          </w:tcPr>
          <w:p>
            <w:pPr>
              <w:spacing w:after="0" w:line="122" w:lineRule="exact"/>
              <w:rPr>
                <w:sz w:val="20"/>
                <w:szCs w:val="20"/>
                <w:color w:val="auto"/>
              </w:rPr>
            </w:pPr>
            <w:r>
              <w:rPr>
                <w:rFonts w:ascii="Arial" w:cs="Arial" w:eastAsia="Arial" w:hAnsi="Arial"/>
                <w:sz w:val="14"/>
                <w:szCs w:val="14"/>
                <w:color w:val="auto"/>
              </w:rPr>
              <w:t>Harmony Foods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60" w:type="dxa"/>
            <w:vAlign w:val="bottom"/>
            <w:gridSpan w:val="3"/>
          </w:tcPr>
          <w:p>
            <w:pPr>
              <w:jc w:val="center"/>
              <w:ind w:right="80"/>
              <w:spacing w:after="0" w:line="122" w:lineRule="exact"/>
              <w:rPr>
                <w:sz w:val="20"/>
                <w:szCs w:val="20"/>
                <w:color w:val="auto"/>
              </w:rPr>
            </w:pPr>
            <w:r>
              <w:rPr>
                <w:rFonts w:ascii="Arial" w:cs="Arial" w:eastAsia="Arial" w:hAnsi="Arial"/>
                <w:sz w:val="14"/>
                <w:szCs w:val="14"/>
                <w:color w:val="auto"/>
                <w:w w:val="86"/>
              </w:rPr>
              <w:t>Beverage, Food and</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tcPr>
          <w:p>
            <w:pPr>
              <w:ind w:left="200"/>
              <w:spacing w:after="0" w:line="176" w:lineRule="exact"/>
              <w:rPr>
                <w:sz w:val="20"/>
                <w:szCs w:val="20"/>
                <w:color w:val="auto"/>
              </w:rPr>
            </w:pPr>
            <w:r>
              <w:rPr>
                <w:rFonts w:ascii="Arial" w:cs="Arial" w:eastAsia="Arial" w:hAnsi="Arial"/>
                <w:sz w:val="20"/>
                <w:szCs w:val="20"/>
                <w:color w:val="auto"/>
                <w:vertAlign w:val="subscript"/>
              </w:rPr>
              <w:t>Corporation</w:t>
            </w:r>
            <w:r>
              <w:rPr>
                <w:rFonts w:ascii="Arial" w:cs="Arial" w:eastAsia="Arial" w:hAnsi="Arial"/>
                <w:sz w:val="9"/>
                <w:szCs w:val="9"/>
                <w:color w:val="auto"/>
              </w:rPr>
              <w:t>(5), (6), (11)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05/01/2016</w:t>
            </w:r>
          </w:p>
        </w:tc>
        <w:tc>
          <w:tcPr>
            <w:tcW w:w="840" w:type="dxa"/>
            <w:vAlign w:val="bottom"/>
          </w:tcPr>
          <w:p>
            <w:pPr>
              <w:spacing w:after="0"/>
              <w:rPr>
                <w:sz w:val="15"/>
                <w:szCs w:val="15"/>
                <w:color w:val="auto"/>
              </w:rPr>
            </w:pPr>
          </w:p>
        </w:tc>
        <w:tc>
          <w:tcPr>
            <w:tcW w:w="1420" w:type="dxa"/>
            <w:vAlign w:val="bottom"/>
            <w:gridSpan w:val="2"/>
          </w:tcPr>
          <w:p>
            <w:pPr>
              <w:jc w:val="center"/>
              <w:ind w:right="920"/>
              <w:spacing w:after="0"/>
              <w:rPr>
                <w:sz w:val="20"/>
                <w:szCs w:val="20"/>
                <w:color w:val="auto"/>
              </w:rPr>
            </w:pPr>
            <w:r>
              <w:rPr>
                <w:rFonts w:ascii="Arial" w:cs="Arial" w:eastAsia="Arial" w:hAnsi="Arial"/>
                <w:sz w:val="14"/>
                <w:szCs w:val="14"/>
                <w:color w:val="auto"/>
                <w:w w:val="85"/>
              </w:rPr>
              <w:t>Tobacco</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80"/>
              <w:spacing w:after="0"/>
              <w:rPr>
                <w:sz w:val="20"/>
                <w:szCs w:val="20"/>
                <w:color w:val="auto"/>
              </w:rPr>
            </w:pPr>
            <w:r>
              <w:rPr>
                <w:rFonts w:ascii="Arial" w:cs="Arial" w:eastAsia="Arial" w:hAnsi="Arial"/>
                <w:sz w:val="14"/>
                <w:szCs w:val="14"/>
                <w:color w:val="auto"/>
                <w:w w:val="96"/>
              </w:rPr>
              <w:t>2,000,000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2,000,000</w:t>
            </w: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Insight Global,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08/16/2017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2,493,750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tcPr>
          <w:p>
            <w:pPr>
              <w:spacing w:after="0" w:line="138" w:lineRule="exact"/>
              <w:rPr>
                <w:sz w:val="20"/>
                <w:szCs w:val="20"/>
                <w:color w:val="auto"/>
              </w:rPr>
            </w:pPr>
            <w:r>
              <w:rPr>
                <w:rFonts w:ascii="Arial" w:cs="Arial" w:eastAsia="Arial" w:hAnsi="Arial"/>
                <w:sz w:val="10"/>
                <w:szCs w:val="10"/>
                <w:color w:val="auto"/>
              </w:rPr>
              <w:t>Instant Web, Inc.</w:t>
            </w:r>
            <w:r>
              <w:rPr>
                <w:rFonts w:ascii="Arial" w:cs="Arial" w:eastAsia="Arial" w:hAnsi="Arial"/>
                <w:sz w:val="15"/>
                <w:szCs w:val="15"/>
                <w:color w:val="auto"/>
                <w:vertAlign w:val="superscript"/>
              </w:rPr>
              <w:t>(5), (7)</w:t>
            </w:r>
          </w:p>
        </w:tc>
        <w:tc>
          <w:tcPr>
            <w:tcW w:w="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1"/>
              </w:rPr>
              <w:t>08/07/2014</w:t>
            </w:r>
          </w:p>
        </w:tc>
        <w:tc>
          <w:tcPr>
            <w:tcW w:w="226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90"/>
              </w:rPr>
              <w:t>Media: Advertising, Printing and</w:t>
            </w:r>
          </w:p>
        </w:tc>
        <w:tc>
          <w:tcPr>
            <w:tcW w:w="94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3.61%</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L+338</w:t>
            </w:r>
          </w:p>
        </w:tc>
        <w:tc>
          <w:tcPr>
            <w:tcW w:w="9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w w:val="96"/>
              </w:rPr>
              <w:t>6,981,823</w:t>
            </w: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6,523,240</w:t>
            </w:r>
          </w:p>
        </w:tc>
        <w:tc>
          <w:tcPr>
            <w:tcW w:w="11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9"/>
              </w:rPr>
              <w:t>Publishing</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09/10/2015</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Chemicals, Plastics and Rubber</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P+675</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5,476,250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5,525,637</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KAR Auction Services, Inc.</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05/19/2017</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4"/>
              </w:rPr>
              <w:t>Automotive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L+375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2,978,487</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(5), (7)</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05/31/2014</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Consumer Goods: Non-Durable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8.50%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L+700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4,987,500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4,847,186</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Medpace Holdings, Inc.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06/17/2017</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1,995,000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1,966,025</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(7)</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05/06/2018</w:t>
            </w:r>
          </w:p>
        </w:tc>
        <w:tc>
          <w:tcPr>
            <w:tcW w:w="226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3,990,000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3,951,886</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Penton Media, Inc.</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08/01/2014</w:t>
            </w:r>
          </w:p>
        </w:tc>
        <w:tc>
          <w:tcPr>
            <w:tcW w:w="22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(8)</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L+400</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5,498,048</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4,675,936</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3,802,818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05/08/2017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1,995,000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1,976,257</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Pro Mach, Inc.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07/06/2017</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9"/>
              </w:rPr>
              <w:t>Capital Equipment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L+475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997,500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987,986</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05/31/2017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Telecommunications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Select Medical Corporation</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06/01/2018</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L+375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2,963,943</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04/22/2017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Aerospace and Defense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2,964,848</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Tank Intermediate Holding Corp.</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04/15/2016</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L+375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1,835,472</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1,831,420</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1,807,940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04/28/2017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Capital Equipment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1,980,598</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04/14/2016</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High Tech Industries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L+475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4,968,750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4,923,769</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06/19/2017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Consumer Services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L+475</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2,964,110</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tcPr>
          <w:p>
            <w:pPr>
              <w:spacing w:after="0" w:line="138" w:lineRule="exact"/>
              <w:rPr>
                <w:sz w:val="20"/>
                <w:szCs w:val="20"/>
                <w:color w:val="auto"/>
              </w:rPr>
            </w:pPr>
            <w:r>
              <w:rPr>
                <w:rFonts w:ascii="Arial" w:cs="Arial" w:eastAsia="Arial" w:hAnsi="Arial"/>
                <w:sz w:val="14"/>
                <w:szCs w:val="14"/>
                <w:color w:val="auto"/>
              </w:rPr>
              <w:t>U.S. Healthworks Holding</w:t>
            </w:r>
          </w:p>
        </w:tc>
        <w:tc>
          <w:tcPr>
            <w:tcW w:w="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1"/>
              </w:rPr>
              <w:t>06/15/2016</w:t>
            </w:r>
          </w:p>
        </w:tc>
        <w:tc>
          <w:tcPr>
            <w:tcW w:w="226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6.25%</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L+475</w:t>
            </w:r>
          </w:p>
        </w:tc>
        <w:tc>
          <w:tcPr>
            <w:tcW w:w="9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w w:val="96"/>
              </w:rPr>
              <w:t>2,992,500</w:t>
            </w: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2,964,480</w:t>
            </w:r>
          </w:p>
        </w:tc>
        <w:tc>
          <w:tcPr>
            <w:tcW w:w="11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2,887,763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Company, Inc.</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06/02/2017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1,496,250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1,489,223</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tcPr>
          <w:p>
            <w:pPr>
              <w:spacing w:after="0" w:line="138" w:lineRule="exact"/>
              <w:rPr>
                <w:sz w:val="20"/>
                <w:szCs w:val="20"/>
                <w:color w:val="auto"/>
              </w:rPr>
            </w:pPr>
            <w:r>
              <w:rPr>
                <w:rFonts w:ascii="Arial" w:cs="Arial" w:eastAsia="Arial" w:hAnsi="Arial"/>
                <w:sz w:val="10"/>
                <w:szCs w:val="10"/>
                <w:color w:val="auto"/>
              </w:rPr>
              <w:t>Viamedia Services Corp.</w:t>
            </w:r>
            <w:r>
              <w:rPr>
                <w:rFonts w:ascii="Arial" w:cs="Arial" w:eastAsia="Arial" w:hAnsi="Arial"/>
                <w:sz w:val="15"/>
                <w:szCs w:val="15"/>
                <w:color w:val="auto"/>
                <w:vertAlign w:val="superscript"/>
              </w:rPr>
              <w:t>(5)</w:t>
            </w:r>
          </w:p>
        </w:tc>
        <w:tc>
          <w:tcPr>
            <w:tcW w:w="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1"/>
              </w:rPr>
              <w:t>04/19/2016</w:t>
            </w:r>
          </w:p>
        </w:tc>
        <w:tc>
          <w:tcPr>
            <w:tcW w:w="226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90"/>
              </w:rPr>
              <w:t>Media: Advertising, Printing and</w:t>
            </w:r>
          </w:p>
        </w:tc>
        <w:tc>
          <w:tcPr>
            <w:tcW w:w="94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7.00%</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L+550</w:t>
            </w:r>
          </w:p>
        </w:tc>
        <w:tc>
          <w:tcPr>
            <w:tcW w:w="9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w w:val="96"/>
              </w:rPr>
              <w:t>4,750,000</w:t>
            </w: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4,694,273</w:t>
            </w:r>
          </w:p>
        </w:tc>
        <w:tc>
          <w:tcPr>
            <w:tcW w:w="11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4,690,625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9"/>
              </w:rPr>
              <w:t>Publishing</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12/22/2016</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P+450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2,963,172</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08/10/2017</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Consumer Goods: Durable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L+525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3,500,000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3,465,501</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Yonkers Racing</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6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4"/>
                <w:szCs w:val="14"/>
                <w:color w:val="auto"/>
                <w:w w:val="87"/>
              </w:rPr>
              <w:t>Hotel, Gaming and</w:t>
            </w: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20"/>
                <w:szCs w:val="20"/>
                <w:color w:val="auto"/>
                <w:vertAlign w:val="subscript"/>
              </w:rPr>
              <w:t>Corporation</w:t>
            </w:r>
            <w:r>
              <w:rPr>
                <w:rFonts w:ascii="Arial" w:cs="Arial" w:eastAsia="Arial" w:hAnsi="Arial"/>
                <w:sz w:val="9"/>
                <w:szCs w:val="9"/>
                <w:color w:val="auto"/>
              </w:rPr>
              <w:t>(11), (6), (5)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1"/>
              </w:rPr>
              <w:t>07/15/2016</w:t>
            </w:r>
          </w:p>
        </w:tc>
        <w:tc>
          <w:tcPr>
            <w:tcW w:w="8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920"/>
              <w:spacing w:after="0"/>
              <w:rPr>
                <w:sz w:val="20"/>
                <w:szCs w:val="20"/>
                <w:color w:val="auto"/>
              </w:rPr>
            </w:pPr>
            <w:r>
              <w:rPr>
                <w:rFonts w:ascii="Arial" w:cs="Arial" w:eastAsia="Arial" w:hAnsi="Arial"/>
                <w:sz w:val="14"/>
                <w:szCs w:val="14"/>
                <w:color w:val="auto"/>
                <w:w w:val="91"/>
              </w:rPr>
              <w:t>Leisure</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w w:val="96"/>
              </w:rPr>
              <w:t>4,000,000</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4,355,966</w:t>
            </w:r>
          </w:p>
        </w:tc>
        <w:tc>
          <w:tcPr>
            <w:tcW w:w="440" w:type="dxa"/>
            <w:vAlign w:val="bottom"/>
            <w:shd w:val="clear" w:color="auto" w:fill="CCEEFF"/>
          </w:tcPr>
          <w:p>
            <w:pPr>
              <w:spacing w:after="0"/>
              <w:rPr>
                <w:sz w:val="15"/>
                <w:szCs w:val="15"/>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4,080,000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94,975,314</w:t>
            </w:r>
          </w:p>
        </w:tc>
        <w:tc>
          <w:tcPr>
            <w:tcW w:w="11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91,363,126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Debt—13.3%</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Autoparts Holdings Limited</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01/29/2018</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4"/>
              </w:rPr>
              <w:t>Automotive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L+900</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1,000,000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995,000</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Ernest Health, Inc.</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05/13/2017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L+850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4,000,000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(5), (7)</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11/06/2018</w:t>
            </w:r>
          </w:p>
        </w:tc>
        <w:tc>
          <w:tcPr>
            <w:tcW w:w="22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L+875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1,500,000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1,485,581</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09/01/2018</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Hotel, Gaming and Leisure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Sensus USA Inc.</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05/09/2018</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0"/>
              </w:rPr>
              <w:t>Utilities: Water</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L+725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1,000,000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990,624</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(11), (6), (7), (5)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05/15/2019</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Hotel, Gaming and Leisure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9.13%</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3,000,000</w:t>
            </w: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440" w:type="dxa"/>
            <w:vAlign w:val="bottom"/>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12,379,445</w:t>
            </w:r>
          </w:p>
        </w:tc>
        <w:tc>
          <w:tcPr>
            <w:tcW w:w="44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12,255,000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Above</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8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Maturity</w:t>
            </w:r>
          </w:p>
        </w:tc>
        <w:tc>
          <w:tcPr>
            <w:tcW w:w="660" w:type="dxa"/>
            <w:vAlign w:val="bottom"/>
          </w:tcPr>
          <w:p>
            <w:pPr>
              <w:spacing w:after="0"/>
              <w:rPr>
                <w:sz w:val="12"/>
                <w:szCs w:val="12"/>
                <w:color w:val="auto"/>
              </w:rPr>
            </w:pPr>
          </w:p>
        </w:tc>
        <w:tc>
          <w:tcPr>
            <w:tcW w:w="114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72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2"/>
                <w:szCs w:val="12"/>
                <w:color w:val="auto"/>
              </w:rPr>
            </w:pPr>
          </w:p>
        </w:tc>
        <w:tc>
          <w:tcPr>
            <w:tcW w:w="960" w:type="dxa"/>
            <w:vAlign w:val="bottom"/>
            <w:gridSpan w:val="4"/>
          </w:tcPr>
          <w:p>
            <w:pPr>
              <w:ind w:left="16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ind w:right="22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64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Notes—7.6%</w:t>
            </w: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40" w:type="dxa"/>
            <w:vAlign w:val="bottom"/>
            <w:gridSpan w:val="2"/>
          </w:tcPr>
          <w:p>
            <w:pPr>
              <w:spacing w:after="0" w:line="138" w:lineRule="exact"/>
              <w:rPr>
                <w:sz w:val="20"/>
                <w:szCs w:val="20"/>
                <w:color w:val="auto"/>
              </w:rPr>
            </w:pPr>
            <w:r>
              <w:rPr>
                <w:rFonts w:ascii="Arial" w:cs="Arial" w:eastAsia="Arial" w:hAnsi="Arial"/>
                <w:sz w:val="10"/>
                <w:szCs w:val="10"/>
                <w:color w:val="auto"/>
              </w:rPr>
              <w:t>Affinion Group Holdings, Inc.</w:t>
            </w:r>
            <w:r>
              <w:rPr>
                <w:rFonts w:ascii="Arial" w:cs="Arial" w:eastAsia="Arial" w:hAnsi="Arial"/>
                <w:sz w:val="15"/>
                <w:szCs w:val="15"/>
                <w:color w:val="auto"/>
                <w:vertAlign w:val="superscript"/>
              </w:rPr>
              <w:t>(5), (11)</w:t>
            </w:r>
          </w:p>
        </w:tc>
        <w:tc>
          <w:tcPr>
            <w:tcW w:w="78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w w:val="91"/>
              </w:rPr>
              <w:t>11/15/2015</w:t>
            </w:r>
          </w:p>
        </w:tc>
        <w:tc>
          <w:tcPr>
            <w:tcW w:w="180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6"/>
              </w:rPr>
              <w:t>Consumer Goods: Non-</w:t>
            </w:r>
          </w:p>
        </w:tc>
        <w:tc>
          <w:tcPr>
            <w:tcW w:w="80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11.63%</w:t>
            </w:r>
          </w:p>
        </w:tc>
        <w:tc>
          <w:tcPr>
            <w:tcW w:w="8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89"/>
              </w:rPr>
              <w:t>1,500,000</w:t>
            </w:r>
          </w:p>
        </w:tc>
        <w:tc>
          <w:tcPr>
            <w:tcW w:w="80" w:type="dxa"/>
            <w:vAlign w:val="bottom"/>
          </w:tcPr>
          <w:p>
            <w:pPr>
              <w:spacing w:after="0"/>
              <w:rPr>
                <w:sz w:val="11"/>
                <w:szCs w:val="11"/>
                <w:color w:val="auto"/>
              </w:rPr>
            </w:pPr>
          </w:p>
        </w:tc>
        <w:tc>
          <w:tcPr>
            <w:tcW w:w="960" w:type="dxa"/>
            <w:vAlign w:val="bottom"/>
            <w:gridSpan w:val="4"/>
          </w:tcPr>
          <w:p>
            <w:pPr>
              <w:jc w:val="right"/>
              <w:ind w:right="280"/>
              <w:spacing w:after="0" w:line="138" w:lineRule="exact"/>
              <w:rPr>
                <w:sz w:val="20"/>
                <w:szCs w:val="20"/>
                <w:color w:val="auto"/>
              </w:rPr>
            </w:pPr>
            <w:r>
              <w:rPr>
                <w:rFonts w:ascii="Arial" w:cs="Arial" w:eastAsia="Arial" w:hAnsi="Arial"/>
                <w:sz w:val="14"/>
                <w:szCs w:val="14"/>
                <w:color w:val="auto"/>
              </w:rPr>
              <w:t>1,524,891</w:t>
            </w: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1,155,000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gridSpan w:val="2"/>
          </w:tcPr>
          <w:p>
            <w:pPr>
              <w:jc w:val="center"/>
              <w:ind w:right="620"/>
              <w:spacing w:after="0" w:line="159" w:lineRule="exact"/>
              <w:rPr>
                <w:sz w:val="20"/>
                <w:szCs w:val="20"/>
                <w:color w:val="auto"/>
              </w:rPr>
            </w:pPr>
            <w:r>
              <w:rPr>
                <w:rFonts w:ascii="Arial" w:cs="Arial" w:eastAsia="Arial" w:hAnsi="Arial"/>
                <w:sz w:val="14"/>
                <w:szCs w:val="14"/>
                <w:color w:val="auto"/>
                <w:w w:val="89"/>
              </w:rPr>
              <w:t>Durable</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TrustHouse Services</w:t>
            </w: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w w:val="94"/>
              </w:rPr>
              <w:t>14.00%</w:t>
            </w:r>
            <w:r>
              <w:rPr>
                <w:rFonts w:ascii="Arial" w:cs="Arial" w:eastAsia="Arial" w:hAnsi="Arial"/>
                <w:sz w:val="22"/>
                <w:szCs w:val="22"/>
                <w:color w:val="auto"/>
                <w:w w:val="94"/>
                <w:vertAlign w:val="superscript"/>
              </w:rPr>
              <w:t>(8)</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20"/>
                <w:szCs w:val="20"/>
                <w:color w:val="auto"/>
                <w:vertAlign w:val="subscript"/>
              </w:rPr>
              <w:t>Group, Inc.</w:t>
            </w:r>
            <w:r>
              <w:rPr>
                <w:rFonts w:ascii="Arial" w:cs="Arial" w:eastAsia="Arial" w:hAnsi="Arial"/>
                <w:sz w:val="9"/>
                <w:szCs w:val="9"/>
                <w:color w:val="auto"/>
              </w:rPr>
              <w:t>(11), (7), (5)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1"/>
              </w:rPr>
              <w:t>07/31/2018</w:t>
            </w:r>
          </w:p>
        </w:tc>
        <w:tc>
          <w:tcPr>
            <w:tcW w:w="180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vMerge w:val="continue"/>
            <w:shd w:val="clear" w:color="auto" w:fill="CCEEFF"/>
          </w:tcPr>
          <w:p>
            <w:pPr>
              <w:spacing w:after="0"/>
              <w:rPr>
                <w:sz w:val="15"/>
                <w:szCs w:val="15"/>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3,762,500</w:t>
            </w:r>
          </w:p>
        </w:tc>
        <w:tc>
          <w:tcPr>
            <w:tcW w:w="8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280"/>
              <w:spacing w:after="0"/>
              <w:rPr>
                <w:sz w:val="20"/>
                <w:szCs w:val="20"/>
                <w:color w:val="auto"/>
              </w:rPr>
            </w:pPr>
            <w:r>
              <w:rPr>
                <w:rFonts w:ascii="Arial" w:cs="Arial" w:eastAsia="Arial" w:hAnsi="Arial"/>
                <w:sz w:val="14"/>
                <w:szCs w:val="14"/>
                <w:color w:val="auto"/>
              </w:rPr>
              <w:t>3,688,091</w:t>
            </w: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3,687,250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40" w:type="dxa"/>
            <w:vAlign w:val="bottom"/>
            <w:gridSpan w:val="2"/>
          </w:tcPr>
          <w:p>
            <w:pPr>
              <w:spacing w:after="0" w:line="122" w:lineRule="exact"/>
              <w:rPr>
                <w:sz w:val="20"/>
                <w:szCs w:val="20"/>
                <w:color w:val="auto"/>
              </w:rPr>
            </w:pPr>
            <w:r>
              <w:rPr>
                <w:rFonts w:ascii="Arial" w:cs="Arial" w:eastAsia="Arial" w:hAnsi="Arial"/>
                <w:sz w:val="14"/>
                <w:szCs w:val="14"/>
                <w:color w:val="auto"/>
              </w:rPr>
              <w:t>TrustHouse Services</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gridSpan w:val="2"/>
          </w:tcPr>
          <w:p>
            <w:pPr>
              <w:ind w:left="200"/>
              <w:spacing w:after="0" w:line="176" w:lineRule="exact"/>
              <w:rPr>
                <w:sz w:val="20"/>
                <w:szCs w:val="20"/>
                <w:color w:val="auto"/>
              </w:rPr>
            </w:pPr>
            <w:r>
              <w:rPr>
                <w:rFonts w:ascii="Arial" w:cs="Arial" w:eastAsia="Arial" w:hAnsi="Arial"/>
                <w:sz w:val="20"/>
                <w:szCs w:val="20"/>
                <w:color w:val="auto"/>
                <w:vertAlign w:val="subscript"/>
              </w:rPr>
              <w:t>Group, Inc.</w:t>
            </w:r>
            <w:r>
              <w:rPr>
                <w:rFonts w:ascii="Arial" w:cs="Arial" w:eastAsia="Arial" w:hAnsi="Arial"/>
                <w:sz w:val="9"/>
                <w:szCs w:val="9"/>
                <w:color w:val="auto"/>
              </w:rPr>
              <w:t xml:space="preserve"> (11), (9), (5)</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07/31/2018</w:t>
            </w:r>
          </w:p>
        </w:tc>
        <w:tc>
          <w:tcPr>
            <w:tcW w:w="1800" w:type="dxa"/>
            <w:vAlign w:val="bottom"/>
            <w:gridSpan w:val="3"/>
          </w:tcPr>
          <w:p>
            <w:pPr>
              <w:jc w:val="center"/>
              <w:spacing w:after="0"/>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2,206,000</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2,161,880</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2,161,880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7,374,862</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Equity/Partnership Interests—0.1%</w:t>
            </w:r>
            <w:r>
              <w:rPr>
                <w:rFonts w:ascii="Arial" w:cs="Arial" w:eastAsia="Arial" w:hAnsi="Arial"/>
                <w:sz w:val="18"/>
                <w:szCs w:val="18"/>
                <w:b w:val="1"/>
                <w:bCs w:val="1"/>
                <w:color w:val="auto"/>
                <w:vertAlign w:val="superscript"/>
              </w:rPr>
              <w:t>(5), (10)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TrustHouse Services Holdings, LLC (TrustHouse Services Group, Inc.)</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12.50%</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(5), (10)</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 (TrustHouse Services Group, Inc.)</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Beverage, Food and</w:t>
            </w: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right="600"/>
              <w:spacing w:after="0" w:line="159" w:lineRule="exact"/>
              <w:rPr>
                <w:sz w:val="20"/>
                <w:szCs w:val="20"/>
                <w:color w:val="auto"/>
              </w:rPr>
            </w:pPr>
            <w:r>
              <w:rPr>
                <w:rFonts w:ascii="Arial" w:cs="Arial" w:eastAsia="Arial" w:hAnsi="Arial"/>
                <w:sz w:val="14"/>
                <w:szCs w:val="14"/>
                <w:color w:val="auto"/>
                <w:w w:val="85"/>
              </w:rPr>
              <w:t>Tobacco</w:t>
            </w:r>
          </w:p>
        </w:tc>
        <w:tc>
          <w:tcPr>
            <w:tcW w:w="8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6"/>
              </w:rPr>
              <w:t>Total Investments in Non-Controlled, Non-Affiliated Portfolio Companies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114,829,621</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110,724,241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Equivalents—7.6%</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6,987,450</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96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w w:val="84"/>
              </w:rPr>
              <w:t>121,817,071</w:t>
            </w:r>
          </w:p>
        </w:tc>
        <w:tc>
          <w:tcPr>
            <w:tcW w:w="80" w:type="dxa"/>
            <w:vAlign w:val="bottom"/>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w w:val="84"/>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Assets—(27.8%)</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88"/>
              </w:rPr>
              <w:t>(25,639,586)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Net Assets—100.0%</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92,072,105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right="60" w:hanging="332"/>
        <w:spacing w:after="0" w:line="221"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Coupon is payable in cash and/or through payment-in-kind, or PIK.</w:t>
      </w:r>
    </w:p>
    <w:p>
      <w:pPr>
        <w:ind w:left="340" w:hanging="332"/>
        <w:spacing w:after="0" w:line="221"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PennantPark Floating Rate Capital Ltd. was organized as a Maryland corporation in October 2010. We are a closed-end, externally managed, non-diversified investment company that has elected to be treated as a business development company, or BDC, under the 1940 Act.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to a lesser extent, equity investments.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April 2011, we closed our initial public offering and our common stock trades on the NASDAQ Global Select Market under the symbol “PFLT.” Also in April 2011, we issued 6,700,000 shares of common stock, and in May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In March 2011, we sold 667 shares of common stock for $10,000 ($15.00 per share) to the Investment Adviser.</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10.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all intercompany balances and transactions, if any. References to the Accounting Standards Codification, or ASC, serve as a single source of accounting literature.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Subsequent events are evaluated and disclosed as appropriate for events occurring through the date the Consolidated Financial Statements are issued.</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93" w:lineRule="exact"/>
        <w:rPr>
          <w:sz w:val="20"/>
          <w:szCs w:val="20"/>
          <w:color w:val="auto"/>
        </w:rPr>
      </w:pPr>
    </w:p>
    <w:p>
      <w:pPr>
        <w:ind w:left="1480" w:hanging="567"/>
        <w:spacing w:after="0"/>
        <w:tabs>
          <w:tab w:leader="none" w:pos="1480" w:val="left"/>
        </w:tabs>
        <w:numPr>
          <w:ilvl w:val="0"/>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left="900" w:right="180" w:hanging="446"/>
        <w:spacing w:after="0" w:line="332"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54" w:lineRule="exact"/>
        <w:rPr>
          <w:sz w:val="20"/>
          <w:szCs w:val="20"/>
          <w:color w:val="auto"/>
        </w:rPr>
      </w:pPr>
    </w:p>
    <w:p>
      <w:pPr>
        <w:ind w:left="1480" w:hanging="567"/>
        <w:spacing w:after="0"/>
        <w:tabs>
          <w:tab w:leader="none" w:pos="1480" w:val="left"/>
        </w:tabs>
        <w:numPr>
          <w:ilvl w:val="0"/>
          <w:numId w:val="1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567"/>
        <w:spacing w:after="0"/>
        <w:tabs>
          <w:tab w:leader="none" w:pos="1480" w:val="left"/>
        </w:tabs>
        <w:numPr>
          <w:ilvl w:val="0"/>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March 2011, PennantPark Floating Rate Capital Ltd. has complied with the requirements of Subchapter M of the Internal Revenue Code of 1986, as amended, or the Code, and has elected to be treated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election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 Our tax return for our federal tax year 2011 remain subject to examination by the Internal Revenue Service.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800"/>
        <w:spacing w:after="0" w:line="262"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SEPTEMBER 30, 2012</w:t>
      </w:r>
    </w:p>
    <w:p>
      <w:pPr>
        <w:spacing w:after="0" w:line="12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65" w:lineRule="exact"/>
        <w:rPr>
          <w:sz w:val="20"/>
          <w:szCs w:val="20"/>
          <w:color w:val="auto"/>
        </w:rPr>
      </w:pPr>
    </w:p>
    <w:p>
      <w:pPr>
        <w:ind w:left="1480" w:hanging="567"/>
        <w:spacing w:after="0"/>
        <w:tabs>
          <w:tab w:leader="none" w:pos="148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567"/>
        <w:spacing w:after="0"/>
        <w:tabs>
          <w:tab w:leader="none" w:pos="1480" w:val="left"/>
        </w:tabs>
        <w:numPr>
          <w:ilvl w:val="0"/>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65" w:lineRule="exact"/>
        <w:rPr>
          <w:sz w:val="20"/>
          <w:szCs w:val="20"/>
          <w:color w:val="auto"/>
        </w:rPr>
      </w:pPr>
    </w:p>
    <w:p>
      <w:pPr>
        <w:ind w:left="1480" w:hanging="567"/>
        <w:spacing w:after="0"/>
        <w:tabs>
          <w:tab w:leader="none" w:pos="1480" w:val="left"/>
        </w:tabs>
        <w:numPr>
          <w:ilvl w:val="0"/>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 Transfers and Servicing</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any its assets and are not intended to be available to the creditors of PennantPark Floating Rate Capital Ltd. (or any affiliate of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fiscal year ended September 30, 2012, and for the period March 4, 2011 (commencement of operations) to September 30, 2011, the Investment Adviser earned base management fees of $1.5 million and $0.4 million, respectively, from us.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w:t>
      </w:r>
    </w:p>
    <w:p>
      <w:pPr>
        <w:spacing w:after="0" w:line="4" w:lineRule="exact"/>
        <w:rPr>
          <w:sz w:val="20"/>
          <w:szCs w:val="20"/>
          <w:color w:val="auto"/>
        </w:rPr>
      </w:pPr>
    </w:p>
    <w:p>
      <w:pPr>
        <w:ind w:right="80" w:firstLine="8"/>
        <w:spacing w:after="0" w:line="288" w:lineRule="auto"/>
        <w:tabs>
          <w:tab w:leader="none" w:pos="24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it incurred on behalf of the Administrator, for services described above.</w:t>
      </w:r>
    </w:p>
    <w:p>
      <w:pPr>
        <w:spacing w:after="0" w:line="12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2012, as well as the likelihood of future activity that may generate additional returns, management determined that the 7.0% return on Pre-Incentive Fee Net Investment Income for four consecutive calendar quarter periods was probable. Accordingly, we recorded a liability for this $2.1 million of accrued sales load charges. Management continues to assess performance to determine whether the 7.0% return on Pre-Incentive Fee Net Investment Income will continue to be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Purchases of long-term investments, including PIK, for the year ended September 30, 2012 totaled $128.8 million. Sales and repayments of long-term investments for the year ended September 30, 2012 totaled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$71.5 million. Purchases of long-term investments, including PIK, for the period March 4, 2011 (commencement of operations) to September 30, 2011, totaled $147.5 million. Sales and repayments for the same period totaled $33.2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540" w:type="dxa"/>
            <w:vAlign w:val="bottom"/>
          </w:tcPr>
          <w:p>
            <w:pPr>
              <w:spacing w:after="0"/>
              <w:rPr>
                <w:sz w:val="14"/>
                <w:szCs w:val="14"/>
                <w:color w:val="auto"/>
              </w:rPr>
            </w:pPr>
          </w:p>
        </w:tc>
        <w:tc>
          <w:tcPr>
            <w:tcW w:w="250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September 30, 2012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9"/>
        </w:trPr>
        <w:tc>
          <w:tcPr>
            <w:tcW w:w="428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tcBorders>
              <w:top w:val="single" w:sz="8" w:color="auto"/>
            </w:tcBorders>
            <w:gridSpan w:val="2"/>
          </w:tcPr>
          <w:p>
            <w:pPr>
              <w:ind w:left="380"/>
              <w:spacing w:after="0" w:line="129"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7"/>
              <w:spacing w:after="0" w:line="129"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$ 150,258,038</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$ 150,209,747</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94,975,314</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91,363,126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3000" w:type="dxa"/>
            <w:vAlign w:val="bottom"/>
            <w:gridSpan w:val="3"/>
          </w:tcPr>
          <w:p>
            <w:pPr>
              <w:jc w:val="right"/>
              <w:ind w:right="420"/>
              <w:spacing w:after="0"/>
              <w:rPr>
                <w:sz w:val="20"/>
                <w:szCs w:val="20"/>
                <w:color w:val="auto"/>
              </w:rPr>
            </w:pPr>
            <w:r>
              <w:rPr>
                <w:rFonts w:ascii="Arial" w:cs="Arial" w:eastAsia="Arial" w:hAnsi="Arial"/>
                <w:sz w:val="18"/>
                <w:szCs w:val="18"/>
                <w:color w:val="auto"/>
              </w:rPr>
              <w:t>11,608,643</w:t>
            </w:r>
          </w:p>
        </w:tc>
        <w:tc>
          <w:tcPr>
            <w:tcW w:w="1040" w:type="dxa"/>
            <w:vAlign w:val="bottom"/>
          </w:tcPr>
          <w:p>
            <w:pPr>
              <w:jc w:val="right"/>
              <w:spacing w:after="0"/>
              <w:rPr>
                <w:sz w:val="20"/>
                <w:szCs w:val="20"/>
                <w:color w:val="auto"/>
              </w:rPr>
            </w:pPr>
            <w:r>
              <w:rPr>
                <w:rFonts w:ascii="Arial" w:cs="Arial" w:eastAsia="Arial" w:hAnsi="Arial"/>
                <w:sz w:val="18"/>
                <w:szCs w:val="18"/>
                <w:color w:val="auto"/>
              </w:rPr>
              <w:t>12,025,500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12,379,445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9,194,181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8,296,719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7,374,862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517,147</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171,578,009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171,834,400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114,829,621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110,724,241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$ 175,423,812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$ 175,680,203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121,817,071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 Classification</w:t>
            </w:r>
          </w:p>
        </w:tc>
        <w:tc>
          <w:tcPr>
            <w:tcW w:w="2260" w:type="dxa"/>
            <w:vAlign w:val="bottom"/>
          </w:tcPr>
          <w:p>
            <w:pPr>
              <w:spacing w:after="0"/>
              <w:rPr>
                <w:sz w:val="14"/>
                <w:szCs w:val="14"/>
                <w:color w:val="auto"/>
              </w:rPr>
            </w:pPr>
          </w:p>
        </w:tc>
        <w:tc>
          <w:tcPr>
            <w:tcW w:w="28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200" w:type="dxa"/>
            <w:vAlign w:val="bottom"/>
          </w:tcPr>
          <w:p>
            <w:pPr>
              <w:spacing w:after="0"/>
              <w:rPr>
                <w:sz w:val="14"/>
                <w:szCs w:val="14"/>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0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2020" w:type="dxa"/>
            <w:vAlign w:val="bottom"/>
            <w:vMerge w:val="continue"/>
            <w:shd w:val="clear" w:color="auto" w:fill="CCEEFF"/>
          </w:tcPr>
          <w:p>
            <w:pPr>
              <w:spacing w:after="0"/>
              <w:rPr>
                <w:sz w:val="17"/>
                <w:szCs w:val="17"/>
                <w:color w:val="auto"/>
              </w:rPr>
            </w:pPr>
          </w:p>
        </w:tc>
        <w:tc>
          <w:tcPr>
            <w:tcW w:w="2000" w:type="dxa"/>
            <w:vAlign w:val="bottom"/>
            <w:gridSpan w:val="2"/>
            <w:shd w:val="clear" w:color="auto" w:fill="CCEEFF"/>
          </w:tcPr>
          <w:p>
            <w:pPr>
              <w:jc w:val="right"/>
              <w:ind w:right="1060"/>
              <w:spacing w:after="0" w:line="203" w:lineRule="exact"/>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Energy: Oil and Gas</w:t>
            </w:r>
          </w:p>
        </w:tc>
        <w:tc>
          <w:tcPr>
            <w:tcW w:w="2020" w:type="dxa"/>
            <w:vAlign w:val="bottom"/>
          </w:tcPr>
          <w:p>
            <w:pPr>
              <w:spacing w:after="0"/>
              <w:rPr>
                <w:sz w:val="18"/>
                <w:szCs w:val="18"/>
                <w:color w:val="auto"/>
              </w:rPr>
            </w:pPr>
          </w:p>
        </w:tc>
        <w:tc>
          <w:tcPr>
            <w:tcW w:w="20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20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20" w:type="dxa"/>
            <w:vAlign w:val="bottom"/>
          </w:tcPr>
          <w:p>
            <w:pPr>
              <w:spacing w:after="0"/>
              <w:rPr>
                <w:sz w:val="19"/>
                <w:szCs w:val="19"/>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20" w:type="dxa"/>
            <w:vAlign w:val="bottom"/>
            <w:gridSpan w:val="3"/>
          </w:tcPr>
          <w:p>
            <w:pPr>
              <w:jc w:val="right"/>
              <w:ind w:right="3160"/>
              <w:spacing w:after="0"/>
              <w:rPr>
                <w:sz w:val="20"/>
                <w:szCs w:val="20"/>
                <w:color w:val="auto"/>
              </w:rPr>
            </w:pPr>
            <w:r>
              <w:rPr>
                <w:rFonts w:ascii="Arial" w:cs="Arial" w:eastAsia="Arial" w:hAnsi="Arial"/>
                <w:sz w:val="18"/>
                <w:szCs w:val="18"/>
                <w:color w:val="auto"/>
              </w:rPr>
              <w:t>F-20</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impacting Level 3 of the fair value hierarchy are reported as transfers in or out of the Level 3 category as of the end of the quarter in which the reclassifications occur. During the fiscal year ended September 30, 2012 and the period March 4, 2011 (commencement of operations) to September 30, 2011, our ability to observe valuation inputs has resulted in no reclassification of assets amongst Levels 1, 2 and 3.</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May 2011, the FASB issued Accounting Standards Update No. 2011-04, “Fair Value Measurement: Amendments to Achieve Common Fair Value Measurement and Disclosure Requirements in U.S. GAAP and IFRS”. ASU 2011-04 was effective for interim and annual periods after December 15, 2011. The Company adopted ASU 2011-04 on December 31, 2011. 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classified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1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Fair Value as of</w:t>
            </w: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7"/>
              </w:rPr>
              <w:t>September 30, 2012</w:t>
            </w:r>
          </w:p>
        </w:tc>
        <w:tc>
          <w:tcPr>
            <w:tcW w:w="22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23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2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81"/>
        </w:trPr>
        <w:tc>
          <w:tcPr>
            <w:tcW w:w="30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155,983,312</w:t>
            </w:r>
          </w:p>
        </w:tc>
        <w:tc>
          <w:tcPr>
            <w:tcW w:w="2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Broker/Dealer bid quotes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 – 6</w:t>
            </w:r>
          </w:p>
        </w:tc>
        <w:tc>
          <w:tcPr>
            <w:tcW w:w="0" w:type="dxa"/>
            <w:vAlign w:val="bottom"/>
          </w:tcPr>
          <w:p>
            <w:pPr>
              <w:spacing w:after="0"/>
              <w:rPr>
                <w:sz w:val="1"/>
                <w:szCs w:val="1"/>
                <w:color w:val="auto"/>
              </w:rPr>
            </w:pP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11,760,650</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Market Yield</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7.3% – 15.3% (11.9%)</w:t>
            </w:r>
          </w:p>
        </w:tc>
        <w:tc>
          <w:tcPr>
            <w:tcW w:w="0" w:type="dxa"/>
            <w:vAlign w:val="bottom"/>
          </w:tcPr>
          <w:p>
            <w:pPr>
              <w:spacing w:after="0"/>
              <w:rPr>
                <w:sz w:val="1"/>
                <w:szCs w:val="1"/>
                <w:color w:val="auto"/>
              </w:rPr>
            </w:pPr>
          </w:p>
        </w:tc>
      </w:tr>
      <w:tr>
        <w:trPr>
          <w:trHeight w:val="218"/>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1,302,438</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Enterprise Market Value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EBITDA multiple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6.5x – 8.5x (6.8x)</w:t>
            </w:r>
          </w:p>
        </w:tc>
        <w:tc>
          <w:tcPr>
            <w:tcW w:w="0" w:type="dxa"/>
            <w:vAlign w:val="bottom"/>
          </w:tcPr>
          <w:p>
            <w:pPr>
              <w:spacing w:after="0"/>
              <w:rPr>
                <w:sz w:val="1"/>
                <w:szCs w:val="1"/>
                <w:color w:val="auto"/>
              </w:rPr>
            </w:pPr>
          </w:p>
        </w:tc>
      </w:tr>
      <w:tr>
        <w:trPr>
          <w:trHeight w:val="222"/>
        </w:trPr>
        <w:tc>
          <w:tcPr>
            <w:tcW w:w="308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169,046,400</w:t>
            </w: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75,122,500</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363"/>
        </w:trPr>
        <w:tc>
          <w:tcPr>
            <w:tcW w:w="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ind w:left="820"/>
              <w:spacing w:after="0"/>
              <w:rPr>
                <w:sz w:val="20"/>
                <w:szCs w:val="20"/>
                <w:color w:val="auto"/>
              </w:rPr>
            </w:pPr>
            <w:r>
              <w:rPr>
                <w:rFonts w:ascii="Arial" w:cs="Arial" w:eastAsia="Arial" w:hAnsi="Arial"/>
                <w:sz w:val="18"/>
                <w:szCs w:val="18"/>
                <w:color w:val="auto"/>
              </w:rPr>
              <w:t>F-22</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02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w w:val="95"/>
              </w:rPr>
              <w:t>Fair Value Measurements at September 30, 2012</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tcPr>
          <w:p>
            <w:pPr>
              <w:jc w:val="right"/>
              <w:ind w:right="480"/>
              <w:spacing w:after="0" w:line="129" w:lineRule="exact"/>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9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$150,209,747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12,025,500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8,296,719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7"/>
              </w:rPr>
              <w:t>2,788,000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1,302,434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171,834,400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7"/>
              </w:rPr>
              <w:t>2,788,000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3,845,803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3,845,803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175,680,203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3,845,803</w:t>
            </w:r>
          </w:p>
        </w:tc>
        <w:tc>
          <w:tcPr>
            <w:tcW w:w="142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7"/>
              </w:rPr>
              <w:t>2,788,000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91"/>
              </w:rPr>
              <w:t>$ 75,122,500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ind w:right="12"/>
              <w:spacing w:after="0"/>
              <w:rPr>
                <w:sz w:val="20"/>
                <w:szCs w:val="20"/>
                <w:color w:val="auto"/>
              </w:rPr>
            </w:pPr>
            <w:r>
              <w:rPr>
                <w:rFonts w:ascii="Arial" w:cs="Arial" w:eastAsia="Arial" w:hAnsi="Arial"/>
                <w:sz w:val="5"/>
                <w:szCs w:val="5"/>
                <w:color w:val="auto"/>
                <w:w w:val="70"/>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0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ind w:left="240"/>
              <w:spacing w:after="0"/>
              <w:rPr>
                <w:sz w:val="20"/>
                <w:szCs w:val="20"/>
                <w:color w:val="auto"/>
              </w:rPr>
            </w:pPr>
            <w:r>
              <w:rPr>
                <w:rFonts w:ascii="Arial" w:cs="Arial" w:eastAsia="Arial" w:hAnsi="Arial"/>
                <w:sz w:val="14"/>
                <w:szCs w:val="14"/>
                <w:b w:val="1"/>
                <w:bCs w:val="1"/>
                <w:color w:val="auto"/>
                <w:w w:val="93"/>
              </w:rPr>
              <w:t>Fair Value Measurements at September 30, 2011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4"/>
              </w:rPr>
              <w:t>Level 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91,363,126</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$2,033,747</w:t>
            </w: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12,255,000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1,155,000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101,985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110,724,241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6,987,450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4"/>
              </w:rPr>
              <w:t>6,987,450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117,711,691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4"/>
              </w:rPr>
              <w:t>6,987,450</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24,650,000</w:t>
            </w: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Year Ended September 30, 2012</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subordinated debt and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 Lien</w:t>
            </w:r>
          </w:p>
        </w:tc>
        <w:tc>
          <w:tcPr>
            <w:tcW w:w="420" w:type="dxa"/>
            <w:vAlign w:val="bottom"/>
          </w:tcPr>
          <w:p>
            <w:pPr>
              <w:spacing w:after="0"/>
              <w:rPr>
                <w:sz w:val="14"/>
                <w:szCs w:val="14"/>
                <w:color w:val="auto"/>
              </w:rPr>
            </w:pPr>
          </w:p>
        </w:tc>
        <w:tc>
          <w:tcPr>
            <w:tcW w:w="1780" w:type="dxa"/>
            <w:vAlign w:val="bottom"/>
            <w:gridSpan w:val="3"/>
          </w:tcPr>
          <w:p>
            <w:pPr>
              <w:jc w:val="center"/>
              <w:ind w:right="460"/>
              <w:spacing w:after="0" w:line="162" w:lineRule="exact"/>
              <w:rPr>
                <w:sz w:val="20"/>
                <w:szCs w:val="20"/>
                <w:color w:val="auto"/>
              </w:rPr>
            </w:pPr>
            <w:r>
              <w:rPr>
                <w:rFonts w:ascii="Arial" w:cs="Arial" w:eastAsia="Arial" w:hAnsi="Arial"/>
                <w:sz w:val="12"/>
                <w:szCs w:val="12"/>
                <w:b w:val="1"/>
                <w:bCs w:val="1"/>
                <w:color w:val="auto"/>
                <w:w w:val="97"/>
              </w:rPr>
              <w:t xml:space="preserve">equity investments </w:t>
            </w:r>
            <w:r>
              <w:rPr>
                <w:rFonts w:ascii="Arial" w:cs="Arial" w:eastAsia="Arial" w:hAnsi="Arial"/>
                <w:sz w:val="18"/>
                <w:szCs w:val="18"/>
                <w:b w:val="1"/>
                <w:bCs w:val="1"/>
                <w:color w:val="auto"/>
                <w:w w:val="97"/>
                <w:vertAlign w:val="superscript"/>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630,647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278,832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3,543,311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1,422,002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114,967,516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7,945,929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122,913,445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 / exchanges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(58,261,106)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(9,016,225)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(67,277,331)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150,209,747</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18,836,653</w:t>
            </w: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w w:val="92"/>
              </w:rPr>
              <w:t>Net change in unrealized appreciation for the year ended September 30, 2012 reported</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4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w w:val="93"/>
              </w:rPr>
              <w:t>within the net change in unrealized appreciation on investments in our Consolidated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rPr>
              <w:t>date.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4,140,166</w:t>
            </w:r>
          </w:p>
        </w:tc>
        <w:tc>
          <w:tcPr>
            <w:tcW w:w="220" w:type="dxa"/>
            <w:vAlign w:val="bottom"/>
          </w:tcPr>
          <w:p>
            <w:pPr>
              <w:spacing w:after="0"/>
              <w:rPr>
                <w:sz w:val="19"/>
                <w:szCs w:val="19"/>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1,424,404</w:t>
            </w:r>
          </w:p>
        </w:tc>
        <w:tc>
          <w:tcPr>
            <w:tcW w:w="4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5,564,570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20" w:type="dxa"/>
            <w:vAlign w:val="bottom"/>
            <w:vMerge w:val="restart"/>
          </w:tcPr>
          <w:p>
            <w:pPr>
              <w:ind w:left="4820"/>
              <w:spacing w:after="0"/>
              <w:rPr>
                <w:sz w:val="20"/>
                <w:szCs w:val="20"/>
                <w:color w:val="auto"/>
              </w:rPr>
            </w:pPr>
            <w:r>
              <w:rPr>
                <w:rFonts w:ascii="Arial" w:cs="Arial" w:eastAsia="Arial" w:hAnsi="Arial"/>
                <w:sz w:val="18"/>
                <w:szCs w:val="18"/>
                <w:color w:val="auto"/>
              </w:rPr>
              <w:t>F-23</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For the period March 4, 2011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September 30, 2011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subordinated debt and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400"/>
              <w:spacing w:after="0" w:line="148" w:lineRule="exact"/>
              <w:rPr>
                <w:sz w:val="20"/>
                <w:szCs w:val="20"/>
                <w:color w:val="auto"/>
              </w:rPr>
            </w:pPr>
            <w:r>
              <w:rPr>
                <w:rFonts w:ascii="Arial" w:cs="Arial" w:eastAsia="Arial" w:hAnsi="Arial"/>
                <w:sz w:val="14"/>
                <w:szCs w:val="14"/>
                <w:b w:val="1"/>
                <w:bCs w:val="1"/>
                <w:color w:val="auto"/>
              </w:rPr>
              <w:t>First Lien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equity 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960"/>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218,684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93,319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(3,591,606)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(123,301)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121,246,206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22,766,732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144,012,938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(28,543,905)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(4,530,635)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(33,074,540)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89,329,379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18,206,115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w w:val="99"/>
              </w:rPr>
              <w:t>Net change in unrealized appreciation (depreciation) for the period reported within the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w w:val="97"/>
              </w:rPr>
              <w:t>net change in unrealized depreciation on investments in our Consolidated Statement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of Operations attributable to our Level 3 assets still held at the reporting date.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(3,591,606)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(123,301)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89"/>
              </w:rPr>
              <w:t>Carrying / Fair Value</w:t>
            </w: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For the period March 4, 2011</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(commencement of</w:t>
            </w: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Year Ended</w:t>
            </w:r>
          </w:p>
        </w:tc>
        <w:tc>
          <w:tcPr>
            <w:tcW w:w="104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operations) to September 30,</w:t>
            </w: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 2012</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3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Credit Facility</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Beginning Balance, September 30, 2011 (cost— $24,650,000)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24,650,000</w:t>
            </w:r>
          </w:p>
        </w:tc>
        <w:tc>
          <w:tcPr>
            <w:tcW w:w="160" w:type="dxa"/>
            <w:vAlign w:val="bottom"/>
          </w:tcPr>
          <w:p>
            <w:pPr>
              <w:spacing w:after="0"/>
              <w:rPr>
                <w:sz w:val="18"/>
                <w:szCs w:val="18"/>
                <w:color w:val="auto"/>
              </w:rPr>
            </w:pP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depreciation included in earnings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(377,500)</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97,650,000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29,000,000</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(46,800,000)</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(4,350,000)</w:t>
            </w:r>
          </w:p>
        </w:tc>
      </w:tr>
      <w:tr>
        <w:trPr>
          <w:trHeight w:val="223"/>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2012 (cost—$75,500,000 and</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$24,650,000, 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75,122,500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24,650,000</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and expensed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Consolidated Statement of Operations. For the year ended September 30, 2012 and for the period March 4, 2011 (commencement of operations to September 30, 2011), the Credit Facility had a net change in unrealized appreciation of approximately $0.4 million and zero, respectively. As of September 30, 2012 and 2011, the Credit Facility had unrealized appreciation of $0.4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534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6"/>
              </w:rPr>
              <w:t>Year Ended</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53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3"/>
          </w:tcPr>
          <w:p>
            <w:pPr>
              <w:jc w:val="right"/>
              <w:ind w:right="660"/>
              <w:spacing w:after="0" w:line="148" w:lineRule="exact"/>
              <w:rPr>
                <w:sz w:val="20"/>
                <w:szCs w:val="20"/>
                <w:color w:val="auto"/>
              </w:rPr>
            </w:pPr>
            <w:r>
              <w:rPr>
                <w:rFonts w:ascii="Arial" w:cs="Arial" w:eastAsia="Arial" w:hAnsi="Arial"/>
                <w:sz w:val="14"/>
                <w:szCs w:val="14"/>
                <w:b w:val="1"/>
                <w:bCs w:val="1"/>
                <w:color w:val="auto"/>
                <w:w w:val="84"/>
              </w:rPr>
              <w:t>September 30, 2012</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September 30, 2011*</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(decrease) in net assets resulting from operations</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11,960,878</w:t>
            </w: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6"/>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(3,473,253)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6,850,667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6,826,105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Basic and diluted net increase (decrease) in net assets per share resulting from</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w:t>
            </w:r>
          </w:p>
        </w:tc>
        <w:tc>
          <w:tcPr>
            <w:tcW w:w="8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Weighted average shares is based on the initial public offering issuance date of April 13, 2011.</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$3.8 million and $7.0 million, respectively, including amounts in money market funds.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40" w:right="2780"/>
        <w:spacing w:after="0" w:line="262"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SEPTEMBER 30, 2012</w:t>
      </w:r>
    </w:p>
    <w:p>
      <w:pPr>
        <w:spacing w:after="0" w:line="12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September 30, 2012 and 2011, the cost of investments for federal income tax purposes was $171.6 million and $114.8 million, respectively, resulting in a gross unrealized appreciation of $3.6 million and $0.1 million, respectively, and depreciation of $3.3 million and $4.2 million, respectively.</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permanent differences were reclassified for tax purposes for the year ended September 30, 2012 and there were no reclassifications for the period March 4, 2011 (commencement of operations) to September 30, 2011:</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080" w:type="dxa"/>
            <w:vAlign w:val="bottom"/>
          </w:tcPr>
          <w:p>
            <w:pPr>
              <w:spacing w:after="0"/>
              <w:rPr>
                <w:sz w:val="12"/>
                <w:szCs w:val="12"/>
                <w:color w:val="auto"/>
              </w:rPr>
            </w:pPr>
          </w:p>
        </w:tc>
        <w:tc>
          <w:tcPr>
            <w:tcW w:w="2680" w:type="dxa"/>
            <w:vAlign w:val="bottom"/>
            <w:gridSpan w:val="4"/>
          </w:tcPr>
          <w:p>
            <w:pPr>
              <w:ind w:left="170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61"/>
        </w:trPr>
        <w:tc>
          <w:tcPr>
            <w:tcW w:w="50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paid-in capital</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Increase in undistributed net investment income</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March 4, 2011</w:t>
            </w: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(commencement of operations) to</w:t>
            </w: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September 30, 2011</w:t>
            </w: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11,960,878</w:t>
            </w:r>
          </w:p>
        </w:tc>
        <w:tc>
          <w:tcPr>
            <w:tcW w:w="6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investments and Credit Facility transactions not taxable</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(4,739,272)</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4,105,380</w:t>
            </w: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book-to-tax differences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307,975</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1,297,741</w:t>
            </w: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non deductible expenses</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42,027</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Taxable net income before deductions for distribution</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7,571,608</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1,929,868</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accumulated surplus (deficit) on book basis and a reconciliation to accumulated surplus (deficit) on a tax basis are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2,139,738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Dividends payable and other temporary differences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(2,228,826)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(1,777,288)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633,891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(4,105,380)</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Total accumulated surplus (deficit)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544,803</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(5,185,920)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Section 19(a) under the 1940 Act, $103,884 of the Company’s distributions paid to stockholders during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represent a distribution of long-term realized capital gains. The tax characteristics of dividends accrued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2"/>
          </w:tcPr>
          <w:p>
            <w:pPr>
              <w:jc w:val="right"/>
              <w:ind w:right="16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2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5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2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Ordinary income</w:t>
            </w:r>
          </w:p>
        </w:tc>
        <w:tc>
          <w:tcPr>
            <w:tcW w:w="2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6,130,222</w:t>
            </w:r>
          </w:p>
        </w:tc>
        <w:tc>
          <w:tcPr>
            <w:tcW w:w="1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Long-Term capital gain</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2"/>
          </w:tcPr>
          <w:p>
            <w:pPr>
              <w:jc w:val="right"/>
              <w:ind w:right="1400"/>
              <w:spacing w:after="0"/>
              <w:rPr>
                <w:sz w:val="20"/>
                <w:szCs w:val="20"/>
                <w:color w:val="auto"/>
              </w:rPr>
            </w:pPr>
            <w:r>
              <w:rPr>
                <w:rFonts w:ascii="Arial" w:cs="Arial" w:eastAsia="Arial" w:hAnsi="Arial"/>
                <w:sz w:val="18"/>
                <w:szCs w:val="18"/>
                <w:color w:val="auto"/>
              </w:rPr>
              <w:t>103,884</w:t>
            </w:r>
          </w:p>
        </w:tc>
        <w:tc>
          <w:tcPr>
            <w:tcW w:w="240" w:type="dxa"/>
            <w:vAlign w:val="bottom"/>
          </w:tcPr>
          <w:p>
            <w:pPr>
              <w:spacing w:after="0"/>
              <w:rPr>
                <w:sz w:val="18"/>
                <w:szCs w:val="18"/>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6,234,106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w:t>
            </w: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gridSpan w:val="2"/>
            <w:vMerge w:val="continue"/>
          </w:tcPr>
          <w:p>
            <w:pPr>
              <w:spacing w:after="0"/>
              <w:rPr>
                <w:sz w:val="18"/>
                <w:szCs w:val="18"/>
                <w:color w:val="auto"/>
              </w:rPr>
            </w:pPr>
          </w:p>
        </w:tc>
        <w:tc>
          <w:tcPr>
            <w:tcW w:w="258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1400"/>
              <w:spacing w:after="0"/>
              <w:rPr>
                <w:sz w:val="20"/>
                <w:szCs w:val="20"/>
                <w:color w:val="auto"/>
              </w:rPr>
            </w:pPr>
            <w:r>
              <w:rPr>
                <w:rFonts w:ascii="Arial" w:cs="Arial" w:eastAsia="Arial" w:hAnsi="Arial"/>
                <w:sz w:val="18"/>
                <w:szCs w:val="18"/>
                <w:color w:val="auto"/>
              </w:rPr>
              <w:t>0.91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80" w:type="dxa"/>
            <w:vAlign w:val="bottom"/>
            <w:gridSpan w:val="2"/>
          </w:tcPr>
          <w:p>
            <w:pPr>
              <w:ind w:left="1560"/>
              <w:spacing w:after="0"/>
              <w:rPr>
                <w:sz w:val="20"/>
                <w:szCs w:val="20"/>
                <w:color w:val="auto"/>
              </w:rPr>
            </w:pPr>
            <w:r>
              <w:rPr>
                <w:rFonts w:ascii="Arial" w:cs="Arial" w:eastAsia="Arial" w:hAnsi="Arial"/>
                <w:sz w:val="18"/>
                <w:szCs w:val="18"/>
                <w:color w:val="auto"/>
              </w:rPr>
              <w:t>F-26</w:t>
            </w: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net assets and net asset value per share on September 30, 2012 and 2011 were $95.7 million and $13.98 per share and $92.1 million and $13.44 per share, respectively. Below are the financial highlights: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2"/>
          </w:tcPr>
          <w:p>
            <w:pPr>
              <w:jc w:val="right"/>
              <w:ind w:right="18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change in realized and unrealized gain (loss)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0.83</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(2)</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right"/>
              <w:ind w:right="156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Offering costs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2"/>
          </w:tcPr>
          <w:p>
            <w:pPr>
              <w:jc w:val="right"/>
              <w:ind w:right="156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0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40" w:type="dxa"/>
            <w:vAlign w:val="bottom"/>
            <w:gridSpan w:val="2"/>
          </w:tcPr>
          <w:p>
            <w:pPr>
              <w:spacing w:after="0"/>
              <w:rPr>
                <w:sz w:val="20"/>
                <w:szCs w:val="20"/>
                <w:color w:val="auto"/>
              </w:rPr>
            </w:pPr>
            <w:r>
              <w:rPr>
                <w:rFonts w:ascii="Arial" w:cs="Arial" w:eastAsia="Arial" w:hAnsi="Arial"/>
                <w:sz w:val="18"/>
                <w:szCs w:val="18"/>
                <w:color w:val="auto"/>
              </w:rPr>
              <w:t>Per share market value, end of period</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620"/>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right"/>
              <w:ind w:right="1620"/>
              <w:spacing w:after="0"/>
              <w:rPr>
                <w:sz w:val="20"/>
                <w:szCs w:val="20"/>
                <w:color w:val="auto"/>
              </w:rPr>
            </w:pPr>
            <w:r>
              <w:rPr>
                <w:rFonts w:ascii="Arial" w:cs="Arial" w:eastAsia="Arial" w:hAnsi="Arial"/>
                <w:sz w:val="18"/>
                <w:szCs w:val="18"/>
                <w:color w:val="auto"/>
              </w:rPr>
              <w:t>6,850,667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6,850,667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right"/>
              <w:ind w:right="148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interest and expenses to average net assets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right"/>
              <w:ind w:right="148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620"/>
              <w:spacing w:after="0"/>
              <w:rPr>
                <w:sz w:val="20"/>
                <w:szCs w:val="20"/>
                <w:color w:val="auto"/>
              </w:rPr>
            </w:pPr>
            <w:r>
              <w:rPr>
                <w:rFonts w:ascii="Arial" w:cs="Arial" w:eastAsia="Arial" w:hAnsi="Arial"/>
                <w:sz w:val="18"/>
                <w:szCs w:val="18"/>
                <w:color w:val="auto"/>
              </w:rPr>
              <w:t>95,743,877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92,072,105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46,133,607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7,550,877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62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 annualized for period less than a year.</w:t>
      </w:r>
    </w:p>
    <w:p>
      <w:pPr>
        <w:spacing w:after="0" w:line="15"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period except for net asset value.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dividends and distributions, if any, reinvested in accordance with our dividend reinvestment plan.</w:t>
      </w: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Operating expenses exclude Credit Facility related costs.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May 2012, Funding I amended and restated its Credit Facility with affiliates of SunTrust Bank, or the Lender, to extend the maturity date to May 2017 and reinvestment period to May 2015 while increasing our investment flexibility under the Credit Facility.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September 30, 2012 and September 30, 2011, Funding I had $75.5 million and $24.7 million of outstanding borrowings under the Credit Facility, and carried an interest rate of 2.47% and 2.53%, in each case excluding the 0.375% and 0.500% undrawn commitment fee,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 As of September 30, 2012 and 2011, our asset coverage ratios were 227% and 474%, respectively.</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reviewed the accompanying consolidated statement of assets and liabilities of PennantPark Floating Rate Capital Ltd. and its Subsidiary (the “Company”), including the consolidated schedule of investments, as of March 31, 2013 and the consolidated statements of operations for the three and six months ended March 31, 2013 and 2012, and the consolidated statements of changes in net assets, and cash flows for the six months ended March 31, 2013 and 2012. These consolidated financial statements are the responsibility of the Company’s management.</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0090" cy="205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2013</w:t>
            </w:r>
          </w:p>
        </w:tc>
        <w:tc>
          <w:tcPr>
            <w:tcW w:w="34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September 30,</w:t>
            </w: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(cost—$183,536,973 and $171,578,009, respectively)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183,869,762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171,834,400</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2,725,248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3,845,803</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1,388,867</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986,278</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50,735</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311,313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187,876,844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178,366,661</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Distributions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599,476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548,053</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11,852,369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3,357,500</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2"/>
              </w:rPr>
              <w:t>Credit Facility payable (cost—$34,200,000 and $75,500,000, respectively) (See Notes 5 and 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34,200,000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75,122,500</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161,550</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456,637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424,747</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506,314</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other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859,334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447,120</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load charges (See Note 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48,997,359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82,622,784</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6"/>
              </w:rPr>
              <w:t>Common stock, 9,851,151 and 6,850,667 shares are issued and outstanding, respectively.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136,796,167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95,192,222</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(1,030,705)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(1,313,000)</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2,771,383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1,223,913</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256,391</w:t>
            </w: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138,879,485</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95,743,877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3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187,876,844</w:t>
            </w:r>
          </w:p>
        </w:tc>
        <w:tc>
          <w:tcPr>
            <w:tcW w:w="3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178,366,661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0219"/>
          </w:cols>
          <w:pgMar w:left="240" w:top="460" w:right="1440"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3,976,016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2,824,557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7,614,243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5,267,364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163,861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119,173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488,307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4,139,877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2,943,730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8,102,550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5,410,758</w:t>
            </w: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370,352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563,191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175,740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980,220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175,740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495,395</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342,496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966,463</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153,679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149,624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308,824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360,618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Expenses before excise tax expense and amendment costs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1,940,611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1,398,830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3,810,339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2,490,959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Credit Facility amendment costs (See Note 9)</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2,473,952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1,398,830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4,377,752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2,490,959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1,665,925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1,544,900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3,724,798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2,919,799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1,104,627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95,712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1,547,470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405,887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435,183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2,996,463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4,065,554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depreciation (See Note 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(112,000)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(377,500)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b w:val="1"/>
                <w:bCs w:val="1"/>
                <w:color w:val="auto"/>
                <w:w w:val="97"/>
              </w:rPr>
              <w:t>Net change in unrealized appreciation (depreciation) on investments and Credit</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640"/>
              <w:spacing w:after="0"/>
              <w:rPr>
                <w:sz w:val="20"/>
                <w:szCs w:val="20"/>
                <w:color w:val="auto"/>
              </w:rPr>
            </w:pPr>
            <w:r>
              <w:rPr>
                <w:rFonts w:ascii="Arial" w:cs="Arial" w:eastAsia="Arial" w:hAnsi="Arial"/>
                <w:sz w:val="18"/>
                <w:szCs w:val="18"/>
                <w:b w:val="1"/>
                <w:bCs w:val="1"/>
                <w:color w:val="auto"/>
              </w:rPr>
              <w:t>Facility</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435,183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2,884,463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(301,102)</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4,304,554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1,539,810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2,980,175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1,246,368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4,710,441</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3,205,735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4,525,075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4,971,166</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7,630,240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Basic—Net increase in net assets resulting from operations per common share (See Note 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Basic—Net investment income per common share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0.54</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Diluted—Net increase in net assets resulting from operations per common share (See Note 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Diluted—Net investment income per common share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0.53</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3,724,798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2,919,799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1,547,470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on investments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76,398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4,065,554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4,971,166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7,630,240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(3,442,503)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(2,980,040)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Public offering and distributions reinvested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42,006,945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net assets</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43,135,608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4,650,200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Beginning of period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95,743,877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92,072,105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period</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138,879,485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96,722,305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(1,030,705)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(1,452,769)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Shares issued from public offering</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4,971,166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7,630,240</w:t>
            </w:r>
          </w:p>
        </w:tc>
        <w:tc>
          <w:tcPr>
            <w:tcW w:w="0" w:type="dxa"/>
            <w:vAlign w:val="bottom"/>
          </w:tcPr>
          <w:p>
            <w:pPr>
              <w:spacing w:after="0"/>
              <w:rPr>
                <w:sz w:val="1"/>
                <w:szCs w:val="1"/>
                <w:color w:val="auto"/>
              </w:rPr>
            </w:pPr>
          </w:p>
        </w:tc>
      </w:tr>
      <w:tr>
        <w:trPr>
          <w:trHeight w:val="208"/>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Adjustments to reconcile net increase in net assets resulting from operations to net cash provided by (used for)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rPr>
              <w:t>(76,398)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(4,065,554)</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w w:val="95"/>
              </w:rPr>
              <w:t>(1,547,470)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(405,887)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(565,957)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(333,296)</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(83,971,182)</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(72,216,125)</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Payments-in-kind interest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(101,480)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(47,292)</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74,227,125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41,604,263</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(353,235)</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Decrease in receivables for investments sold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986,278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260,578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112,632</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Increase in payables for investments purchased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8,494,869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1,788,630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payable on Credit Facility</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(8,074)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192,249</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31,890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103,920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175,740</w:t>
            </w:r>
          </w:p>
        </w:tc>
        <w:tc>
          <w:tcPr>
            <w:tcW w:w="0" w:type="dxa"/>
            <w:vAlign w:val="bottom"/>
          </w:tcPr>
          <w:p>
            <w:pPr>
              <w:spacing w:after="0"/>
              <w:rPr>
                <w:sz w:val="1"/>
                <w:szCs w:val="1"/>
                <w:color w:val="auto"/>
              </w:rPr>
            </w:pPr>
          </w:p>
        </w:tc>
      </w:tr>
      <w:tr>
        <w:trPr>
          <w:trHeight w:val="223"/>
        </w:trPr>
        <w:tc>
          <w:tcPr>
            <w:tcW w:w="8760" w:type="dxa"/>
            <w:vAlign w:val="bottom"/>
          </w:tcPr>
          <w:p>
            <w:pPr>
              <w:ind w:left="880"/>
              <w:spacing w:after="0"/>
              <w:rPr>
                <w:sz w:val="20"/>
                <w:szCs w:val="20"/>
                <w:color w:val="auto"/>
              </w:rPr>
            </w:pPr>
            <w:r>
              <w:rPr>
                <w:rFonts w:ascii="Arial" w:cs="Arial" w:eastAsia="Arial" w:hAnsi="Arial"/>
                <w:sz w:val="18"/>
                <w:szCs w:val="18"/>
                <w:color w:val="auto"/>
              </w:rPr>
              <w:t>Increase in accrued other expenses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412,214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for) 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4,018,580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(23,342,303)</w:t>
            </w:r>
          </w:p>
        </w:tc>
        <w:tc>
          <w:tcPr>
            <w:tcW w:w="0" w:type="dxa"/>
            <w:vAlign w:val="bottom"/>
          </w:tcPr>
          <w:p>
            <w:pPr>
              <w:spacing w:after="0"/>
              <w:rPr>
                <w:sz w:val="1"/>
                <w:szCs w:val="1"/>
                <w:color w:val="auto"/>
              </w:rPr>
            </w:pPr>
          </w:p>
        </w:tc>
      </w:tr>
      <w:tr>
        <w:trPr>
          <w:trHeight w:val="222"/>
        </w:trPr>
        <w:tc>
          <w:tcPr>
            <w:tcW w:w="8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Public offering</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42,000,000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sales load paid</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5"/>
              </w:rPr>
              <w:t>(2,055,000)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Distributions paid to stockholders</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w w:val="95"/>
              </w:rPr>
              <w:t>(3,384,135)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(2,945,787)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Notes 5 and 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45,250,000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54,050,000</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Notes 5 and 9)</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(86,550,000)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(30,900,000)</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for) provided by financing activities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5"/>
              </w:rPr>
              <w:t>(5,139,135)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20,204,213</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w w:val="95"/>
              </w:rPr>
              <w:t>(1,120,555)</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(3,138,090)</w:t>
            </w:r>
          </w:p>
        </w:tc>
        <w:tc>
          <w:tcPr>
            <w:tcW w:w="0" w:type="dxa"/>
            <w:vAlign w:val="bottom"/>
          </w:tcPr>
          <w:p>
            <w:pPr>
              <w:spacing w:after="0"/>
              <w:rPr>
                <w:sz w:val="1"/>
                <w:szCs w:val="1"/>
                <w:color w:val="auto"/>
              </w:rPr>
            </w:pPr>
          </w:p>
        </w:tc>
      </w:tr>
      <w:tr>
        <w:trPr>
          <w:trHeight w:val="218"/>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3,845,803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2,725,248</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3,849,360</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974,538</w:t>
            </w:r>
          </w:p>
        </w:tc>
        <w:tc>
          <w:tcPr>
            <w:tcW w:w="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taxes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tcPr>
          <w:p>
            <w:pPr>
              <w:ind w:left="440"/>
              <w:spacing w:after="0"/>
              <w:rPr>
                <w:sz w:val="20"/>
                <w:szCs w:val="20"/>
                <w:color w:val="auto"/>
              </w:rPr>
            </w:pPr>
            <w:r>
              <w:rPr>
                <w:rFonts w:ascii="Arial" w:cs="Arial" w:eastAsia="Arial" w:hAnsi="Arial"/>
                <w:sz w:val="18"/>
                <w:szCs w:val="18"/>
                <w:color w:val="auto"/>
              </w:rPr>
              <w:t>Dividend reinvested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w:t>
            </w:r>
          </w:p>
        </w:tc>
        <w:tc>
          <w:tcPr>
            <w:tcW w:w="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72"/>
              <w:spacing w:after="0" w:line="135" w:lineRule="exact"/>
              <w:rPr>
                <w:sz w:val="20"/>
                <w:szCs w:val="20"/>
                <w:color w:val="auto"/>
              </w:rPr>
            </w:pPr>
            <w:r>
              <w:rPr>
                <w:rFonts w:ascii="Arial" w:cs="Arial" w:eastAsia="Arial" w:hAnsi="Arial"/>
                <w:sz w:val="14"/>
                <w:szCs w:val="14"/>
                <w:b w:val="1"/>
                <w:bCs w:val="1"/>
                <w:color w:val="auto"/>
              </w:rPr>
              <w:t>Par /</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120" w:type="dxa"/>
            <w:vAlign w:val="bottom"/>
          </w:tcPr>
          <w:p>
            <w:pPr>
              <w:spacing w:after="0"/>
              <w:rPr>
                <w:sz w:val="15"/>
                <w:szCs w:val="15"/>
                <w:color w:val="auto"/>
              </w:rPr>
            </w:pPr>
          </w:p>
        </w:tc>
        <w:tc>
          <w:tcPr>
            <w:tcW w:w="16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820" w:type="dxa"/>
            <w:vAlign w:val="bottom"/>
            <w:gridSpan w:val="2"/>
          </w:tcPr>
          <w:p>
            <w:pPr>
              <w:jc w:val="center"/>
              <w:ind w:right="16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(1)</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680" w:type="dxa"/>
            <w:vAlign w:val="bottom"/>
            <w:gridSpan w:val="2"/>
          </w:tcPr>
          <w:p>
            <w:pPr>
              <w:jc w:val="center"/>
              <w:ind w:right="60"/>
              <w:spacing w:after="0" w:line="162" w:lineRule="exact"/>
              <w:rPr>
                <w:sz w:val="20"/>
                <w:szCs w:val="20"/>
                <w:color w:val="auto"/>
              </w:rPr>
            </w:pPr>
            <w:r>
              <w:rPr>
                <w:rFonts w:ascii="Arial" w:cs="Arial" w:eastAsia="Arial" w:hAnsi="Arial"/>
                <w:sz w:val="12"/>
                <w:szCs w:val="12"/>
                <w:b w:val="1"/>
                <w:bCs w:val="1"/>
                <w:color w:val="auto"/>
                <w:w w:val="98"/>
              </w:rPr>
              <w:t>Value</w:t>
            </w:r>
            <w:r>
              <w:rPr>
                <w:rFonts w:ascii="Arial" w:cs="Arial" w:eastAsia="Arial" w:hAnsi="Arial"/>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36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720" w:type="dxa"/>
            <w:vAlign w:val="bottom"/>
            <w:gridSpan w:val="3"/>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Investments in Non-Controlled, Non-Affiliated Portfolio Companies—132.4%</w:t>
            </w:r>
            <w:r>
              <w:rPr>
                <w:rFonts w:ascii="Arial" w:cs="Arial" w:eastAsia="Arial" w:hAnsi="Arial"/>
                <w:sz w:val="14"/>
                <w:szCs w:val="14"/>
                <w:b w:val="1"/>
                <w:bCs w:val="1"/>
                <w:color w:val="auto"/>
                <w:vertAlign w:val="superscript"/>
              </w:rPr>
              <w:t>(3),</w:t>
            </w:r>
          </w:p>
        </w:tc>
        <w:tc>
          <w:tcPr>
            <w:tcW w:w="1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(4)</w:t>
            </w: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Debt—115.0%</w:t>
            </w: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ALG USA Holdings,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02/28/2019</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8,500,000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$8,429,233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$8,415,000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ARC Auto Group,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11/15/2018</w:t>
            </w:r>
          </w:p>
        </w:tc>
        <w:tc>
          <w:tcPr>
            <w:tcW w:w="27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2,543,625</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2,519,876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2,563,763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Aspen Dental Management, Inc.</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10/06/2016</w:t>
            </w:r>
          </w:p>
        </w:tc>
        <w:tc>
          <w:tcPr>
            <w:tcW w:w="2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2,962,500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2,930,850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2,836,594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ATI Holdings, Inc.</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12/21/2019</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L+450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2,963,147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3,033,647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Attachmate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11/22/2017</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2,831,250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2,784,237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2,854,843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07/31/2017</w:t>
            </w:r>
          </w:p>
        </w:tc>
        <w:tc>
          <w:tcPr>
            <w:tcW w:w="27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964,483</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960,942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976,137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BBB Industries,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03/27/2019</w:t>
            </w:r>
          </w:p>
        </w:tc>
        <w:tc>
          <w:tcPr>
            <w:tcW w:w="2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L+425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2,975,000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Berlin Packaging L.L.C.</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03/28/2019</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L+350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1,990,000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03/19/2018</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3,714,375</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3,658,259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3,658,659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12/03/2018</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L+425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980,988</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973,177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976,083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DS Waters of America,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08/29/2017</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L+900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3,960,000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3,892,574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4,059,000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EAG,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07/28/2017</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P+350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925,363</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921,835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923,050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Edmenturn, Inc. (f/k/a Archipelago Learning, Inc.)</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05/17/2018</w:t>
            </w:r>
          </w:p>
        </w:tc>
        <w:tc>
          <w:tcPr>
            <w:tcW w:w="278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8"/>
              </w:rPr>
              <w:t>Media: Broadcasting and Subscription</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L+475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962,813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962,812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966,423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EIG Investors Corp.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11/12/2019</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1,995,000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1,976,242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2,004,975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05/18/2018</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2,482,496</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2,463,517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2,494,909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eResearchtechnology,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05/02/2018</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2,985,019</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2,970,201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3,014,869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Fishnet Security,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11/30/2017</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L+650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2,963,909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GFA Brands,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07/02/2018</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1,940,000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1,905,699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1,961,825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09/02/2019</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9.63%</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GSE Environmental, Inc.</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05/27/2016</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2,949,343</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2,940,257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2,934,596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04/01/2019</w:t>
            </w:r>
          </w:p>
        </w:tc>
        <w:tc>
          <w:tcPr>
            <w:tcW w:w="1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140"/>
              <w:spacing w:after="0" w:line="149" w:lineRule="exact"/>
              <w:rPr>
                <w:sz w:val="20"/>
                <w:szCs w:val="20"/>
                <w:color w:val="auto"/>
              </w:rPr>
            </w:pPr>
            <w:r>
              <w:rPr>
                <w:rFonts w:ascii="Arial" w:cs="Arial" w:eastAsia="Arial" w:hAnsi="Arial"/>
                <w:sz w:val="14"/>
                <w:szCs w:val="14"/>
                <w:color w:val="auto"/>
                <w:w w:val="89"/>
              </w:rPr>
              <w:t>Retail</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L+600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2,970,000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2,918,581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2,992,275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Howard Berger Co. LLC</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08/03/2017</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Wholesale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2,729,375</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2,694,461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2,702,081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03/30/2017</w:t>
            </w:r>
          </w:p>
        </w:tc>
        <w:tc>
          <w:tcPr>
            <w:tcW w:w="2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1,966,362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Ikaria Acqusition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06/22/2016</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L+650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1,691,500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1,683,717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1,708,415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InfuSystem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11/30/2016</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11.99%</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P+625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2,175,000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2,175,000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2,229,812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08/07/2014</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Media: Advertising, Printing and Publishing</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3.58%</w:t>
            </w:r>
            <w:r>
              <w:rPr>
                <w:rFonts w:ascii="Arial" w:cs="Arial" w:eastAsia="Arial" w:hAnsi="Arial"/>
                <w:sz w:val="17"/>
                <w:szCs w:val="17"/>
                <w:color w:val="auto"/>
                <w:vertAlign w:val="superscript"/>
              </w:rPr>
              <w:t>(9)</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L+338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6,836,508</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6,621,979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4,785,555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Jackson Hewitt Tax Service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10/16/2017</w:t>
            </w:r>
          </w:p>
        </w:tc>
        <w:tc>
          <w:tcPr>
            <w:tcW w:w="2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L+850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3,400,000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3,273,298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3,349,000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K2 Pure Solutions NoCal, L.P.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09/10/2015</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P+725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5,909,957</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5,945,073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5,880,407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(6),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06/02/2014</w:t>
            </w:r>
          </w:p>
        </w:tc>
        <w:tc>
          <w:tcPr>
            <w:tcW w:w="2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Consumer Goods: Non-Durable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L+700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4,912,500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4,848,463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4,875,656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Milk Specialties Company</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11/09/2018</w:t>
            </w:r>
          </w:p>
        </w:tc>
        <w:tc>
          <w:tcPr>
            <w:tcW w:w="27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Consumer Goods: Non-Durable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3,400,000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3,368,102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MModal Inc.</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08/16/2019</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3,383,191</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3,337,786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3,247,863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05/07/2018</w:t>
            </w:r>
          </w:p>
        </w:tc>
        <w:tc>
          <w:tcPr>
            <w:tcW w:w="27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2,360,522</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2,342,587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2,358,752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MOSAID Technologies</w:t>
            </w:r>
          </w:p>
        </w:tc>
        <w:tc>
          <w:tcPr>
            <w:tcW w:w="6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Incorporated</w:t>
            </w:r>
            <w:r>
              <w:rPr>
                <w:rFonts w:ascii="Arial" w:cs="Arial" w:eastAsia="Arial" w:hAnsi="Arial"/>
                <w:sz w:val="20"/>
                <w:szCs w:val="20"/>
                <w:color w:val="auto"/>
                <w:vertAlign w:val="superscript"/>
              </w:rPr>
              <w:t>(6)</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12/23/2016</w:t>
            </w:r>
          </w:p>
        </w:tc>
        <w:tc>
          <w:tcPr>
            <w:tcW w:w="27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8"/>
              </w:rPr>
              <w:t>High Tech Industries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L+700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2,775,000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2,721,385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2,788,875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MX USA,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05/01/2017</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2,970,000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2,933,577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2,977,425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NAB Holdings,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04/24/2018</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Banking, Finance, Insurance and Real Estate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962,500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950,224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972,125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Northfield Park Associates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12/19/2018</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L+775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4,500,000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4,414,105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Orbitz Worldwide, Inc., Term Loan C</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03/25/2019</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Transportation: Consumer</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L+675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3,960,084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4,038,332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16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5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Par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60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160" w:type="dxa"/>
            <w:vAlign w:val="bottom"/>
          </w:tcPr>
          <w:p>
            <w:pPr>
              <w:spacing w:after="0"/>
              <w:rPr>
                <w:sz w:val="15"/>
                <w:szCs w:val="15"/>
                <w:color w:val="auto"/>
              </w:rPr>
            </w:pPr>
          </w:p>
        </w:tc>
        <w:tc>
          <w:tcPr>
            <w:tcW w:w="66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5"/>
                <w:szCs w:val="15"/>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Pelican Products, Inc.</w:t>
            </w:r>
          </w:p>
        </w:tc>
        <w:tc>
          <w:tcPr>
            <w:tcW w:w="1680" w:type="dxa"/>
            <w:vAlign w:val="bottom"/>
            <w:gridSpan w:val="3"/>
            <w:shd w:val="clear" w:color="auto" w:fill="CCEEFF"/>
          </w:tcPr>
          <w:p>
            <w:pPr>
              <w:ind w:left="1000"/>
              <w:spacing w:after="0" w:line="138" w:lineRule="exact"/>
              <w:rPr>
                <w:sz w:val="20"/>
                <w:szCs w:val="20"/>
                <w:color w:val="auto"/>
              </w:rPr>
            </w:pPr>
            <w:r>
              <w:rPr>
                <w:rFonts w:ascii="Arial" w:cs="Arial" w:eastAsia="Arial" w:hAnsi="Arial"/>
                <w:sz w:val="14"/>
                <w:szCs w:val="14"/>
                <w:color w:val="auto"/>
                <w:w w:val="94"/>
              </w:rPr>
              <w:t>07/11/2018</w:t>
            </w:r>
          </w:p>
        </w:tc>
        <w:tc>
          <w:tcPr>
            <w:tcW w:w="172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5"/>
              </w:rPr>
              <w:t>Containers, Packaging and</w:t>
            </w:r>
          </w:p>
        </w:tc>
        <w:tc>
          <w:tcPr>
            <w:tcW w:w="9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7.00%</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1,488,750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1,462,509</w:t>
            </w:r>
          </w:p>
        </w:tc>
        <w:tc>
          <w:tcPr>
            <w:tcW w:w="9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1,488,750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620"/>
              <w:spacing w:after="0" w:line="159" w:lineRule="exact"/>
              <w:rPr>
                <w:sz w:val="20"/>
                <w:szCs w:val="20"/>
                <w:color w:val="auto"/>
              </w:rPr>
            </w:pPr>
            <w:r>
              <w:rPr>
                <w:rFonts w:ascii="Arial" w:cs="Arial" w:eastAsia="Arial" w:hAnsi="Arial"/>
                <w:sz w:val="14"/>
                <w:szCs w:val="14"/>
                <w:color w:val="auto"/>
                <w:w w:val="83"/>
              </w:rPr>
              <w:t>Glass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0"/>
                <w:szCs w:val="10"/>
                <w:color w:val="auto"/>
              </w:rPr>
              <w:t>Penton Media, Inc.</w:t>
            </w:r>
            <w:r>
              <w:rPr>
                <w:rFonts w:ascii="Arial" w:cs="Arial" w:eastAsia="Arial" w:hAnsi="Arial"/>
                <w:sz w:val="15"/>
                <w:szCs w:val="15"/>
                <w:color w:val="auto"/>
                <w:vertAlign w:val="superscript"/>
              </w:rPr>
              <w:t>(8)</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08/01/2014</w:t>
            </w:r>
          </w:p>
        </w:tc>
        <w:tc>
          <w:tcPr>
            <w:tcW w:w="172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90"/>
              </w:rPr>
              <w:t>Media: Diversified and</w:t>
            </w:r>
          </w:p>
        </w:tc>
        <w:tc>
          <w:tcPr>
            <w:tcW w:w="9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6.00%</w:t>
            </w: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L+500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5,497,697</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5,101,044</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5,286,954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Production</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(PIK 2.00%)</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Premier Dental Services, Inc.</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11/01/2018</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Consumer Services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3,391,500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3,295,382</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3,399,979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1"/>
                <w:szCs w:val="11"/>
                <w:color w:val="auto"/>
              </w:rPr>
              <w:t>RiverBoat Corporation of Mississippi</w:t>
            </w:r>
            <w:r>
              <w:rPr>
                <w:rFonts w:ascii="Arial" w:cs="Arial" w:eastAsia="Arial" w:hAnsi="Arial"/>
                <w:sz w:val="17"/>
                <w:szCs w:val="17"/>
                <w:color w:val="auto"/>
                <w:vertAlign w:val="superscript"/>
              </w:rPr>
              <w:t>(8)</w:t>
            </w:r>
          </w:p>
        </w:tc>
        <w:tc>
          <w:tcPr>
            <w:tcW w:w="3400" w:type="dxa"/>
            <w:vAlign w:val="bottom"/>
            <w:gridSpan w:val="6"/>
          </w:tcPr>
          <w:p>
            <w:pPr>
              <w:ind w:left="1000"/>
              <w:spacing w:after="0" w:line="149" w:lineRule="exact"/>
              <w:rPr>
                <w:sz w:val="20"/>
                <w:szCs w:val="20"/>
                <w:color w:val="auto"/>
              </w:rPr>
            </w:pPr>
            <w:r>
              <w:rPr>
                <w:rFonts w:ascii="Arial" w:cs="Arial" w:eastAsia="Arial" w:hAnsi="Arial"/>
                <w:sz w:val="14"/>
                <w:szCs w:val="14"/>
                <w:color w:val="auto"/>
                <w:w w:val="95"/>
              </w:rPr>
              <w:t>11/29/2016   Hotel, Gaming and Leisure</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4,250,000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4,172,535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4,207,500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08/24/2018</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Construction and Building</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L+475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2,992,500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2,951,469</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2,990,630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68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4"/>
              </w:rPr>
              <w:t>04/21/2017</w:t>
            </w:r>
          </w:p>
        </w:tc>
        <w:tc>
          <w:tcPr>
            <w:tcW w:w="17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2,773,249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2,754,202</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2,696,985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George’s University Scholastic Services LLC</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12/20/2017</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Consumer Services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2,486,250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2,438,423</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2,480,034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Sutherland Global Services, Inc.</w:t>
            </w:r>
          </w:p>
        </w:tc>
        <w:tc>
          <w:tcPr>
            <w:tcW w:w="168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4"/>
              </w:rPr>
              <w:t>03/06/2019</w:t>
            </w: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7.25%</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980,145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01/29/2018</w:t>
            </w:r>
          </w:p>
        </w:tc>
        <w:tc>
          <w:tcPr>
            <w:tcW w:w="17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L+1,200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1,408,837</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1,372,727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1,627,207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Therakos, Inc.</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12/27/2017</w:t>
            </w:r>
          </w:p>
        </w:tc>
        <w:tc>
          <w:tcPr>
            <w:tcW w:w="172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Healthcare and</w:t>
            </w:r>
          </w:p>
        </w:tc>
        <w:tc>
          <w:tcPr>
            <w:tcW w:w="9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L+525</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2,992,500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2,904,882</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2,951,353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4"/>
              </w:rPr>
              <w:t>Pharmaceuticals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04/16/2018</w:t>
            </w:r>
          </w:p>
        </w:tc>
        <w:tc>
          <w:tcPr>
            <w:tcW w:w="17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1,930,464</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1,965,150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168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4"/>
              </w:rPr>
              <w:t>06/19/2017</w:t>
            </w: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Consumer Services</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6.25%</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L+475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2,947,500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2,926,538</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2,873,812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Valitas Health Services, Inc.</w:t>
            </w:r>
          </w:p>
        </w:tc>
        <w:tc>
          <w:tcPr>
            <w:tcW w:w="1680" w:type="dxa"/>
            <w:vAlign w:val="bottom"/>
            <w:gridSpan w:val="3"/>
            <w:shd w:val="clear" w:color="auto" w:fill="CCEEFF"/>
          </w:tcPr>
          <w:p>
            <w:pPr>
              <w:ind w:left="1000"/>
              <w:spacing w:after="0" w:line="138" w:lineRule="exact"/>
              <w:rPr>
                <w:sz w:val="20"/>
                <w:szCs w:val="20"/>
                <w:color w:val="auto"/>
              </w:rPr>
            </w:pPr>
            <w:r>
              <w:rPr>
                <w:rFonts w:ascii="Arial" w:cs="Arial" w:eastAsia="Arial" w:hAnsi="Arial"/>
                <w:sz w:val="14"/>
                <w:szCs w:val="14"/>
                <w:color w:val="auto"/>
                <w:w w:val="94"/>
              </w:rPr>
              <w:t>06/02/2017</w:t>
            </w:r>
          </w:p>
        </w:tc>
        <w:tc>
          <w:tcPr>
            <w:tcW w:w="172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Healthcare and</w:t>
            </w:r>
          </w:p>
        </w:tc>
        <w:tc>
          <w:tcPr>
            <w:tcW w:w="9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5.75%</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L+450</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1,266,455</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1,261,822</w:t>
            </w:r>
          </w:p>
        </w:tc>
        <w:tc>
          <w:tcPr>
            <w:tcW w:w="9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1,266,455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2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4"/>
              </w:rPr>
              <w:t>Pharmaceuticals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Viamedia Services Corp.</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04/19/2016</w:t>
            </w:r>
          </w:p>
        </w:tc>
        <w:tc>
          <w:tcPr>
            <w:tcW w:w="172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91"/>
              </w:rPr>
              <w:t>Media: Advertising, Printing</w:t>
            </w:r>
          </w:p>
        </w:tc>
        <w:tc>
          <w:tcPr>
            <w:tcW w:w="9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7.00%</w:t>
            </w: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3,875,111</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3,843,936</w:t>
            </w:r>
          </w:p>
        </w:tc>
        <w:tc>
          <w:tcPr>
            <w:tcW w:w="980" w:type="dxa"/>
            <w:vAlign w:val="bottom"/>
            <w:gridSpan w:val="5"/>
          </w:tcPr>
          <w:p>
            <w:pPr>
              <w:jc w:val="right"/>
              <w:ind w:right="60"/>
              <w:spacing w:after="0" w:line="138" w:lineRule="exact"/>
              <w:rPr>
                <w:sz w:val="20"/>
                <w:szCs w:val="20"/>
                <w:color w:val="auto"/>
              </w:rPr>
            </w:pPr>
            <w:r>
              <w:rPr>
                <w:rFonts w:ascii="Arial" w:cs="Arial" w:eastAsia="Arial" w:hAnsi="Arial"/>
                <w:sz w:val="14"/>
                <w:szCs w:val="14"/>
                <w:color w:val="auto"/>
              </w:rPr>
              <w:t>3,875,111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9"/>
              </w:rPr>
              <w:t>and Publishing</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Virtual Radiologic Corporation</w:t>
            </w:r>
            <w:r>
              <w:rPr>
                <w:rFonts w:ascii="Arial" w:cs="Arial" w:eastAsia="Arial" w:hAnsi="Arial"/>
                <w:sz w:val="17"/>
                <w:szCs w:val="17"/>
                <w:color w:val="auto"/>
                <w:vertAlign w:val="superscript"/>
              </w:rPr>
              <w:t>(8)</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12/22/2016</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P+450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2,933,256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1,920,750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168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4"/>
              </w:rPr>
              <w:t>08/10/2017</w:t>
            </w: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Consumer Goods: Durable</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6.75%</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L+525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3,447,500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3,420,248</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3,438,881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Wilton Brands, LLC</w:t>
            </w:r>
          </w:p>
        </w:tc>
        <w:tc>
          <w:tcPr>
            <w:tcW w:w="1680" w:type="dxa"/>
            <w:vAlign w:val="bottom"/>
            <w:gridSpan w:val="3"/>
            <w:shd w:val="clear" w:color="auto" w:fill="CCEEFF"/>
          </w:tcPr>
          <w:p>
            <w:pPr>
              <w:ind w:left="1000"/>
              <w:spacing w:after="0" w:line="138" w:lineRule="exact"/>
              <w:rPr>
                <w:sz w:val="20"/>
                <w:szCs w:val="20"/>
                <w:color w:val="auto"/>
              </w:rPr>
            </w:pPr>
            <w:r>
              <w:rPr>
                <w:rFonts w:ascii="Arial" w:cs="Arial" w:eastAsia="Arial" w:hAnsi="Arial"/>
                <w:sz w:val="14"/>
                <w:szCs w:val="14"/>
                <w:color w:val="auto"/>
                <w:w w:val="94"/>
              </w:rPr>
              <w:t>08/30/2018</w:t>
            </w:r>
          </w:p>
        </w:tc>
        <w:tc>
          <w:tcPr>
            <w:tcW w:w="172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7"/>
              </w:rPr>
              <w:t>Consumer Goods: Non-</w:t>
            </w:r>
          </w:p>
        </w:tc>
        <w:tc>
          <w:tcPr>
            <w:tcW w:w="9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7.50%</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L+625</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3,315,000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3,254,750</w:t>
            </w:r>
          </w:p>
        </w:tc>
        <w:tc>
          <w:tcPr>
            <w:tcW w:w="9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3,356,438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640"/>
              <w:spacing w:after="0" w:line="159" w:lineRule="exact"/>
              <w:rPr>
                <w:sz w:val="20"/>
                <w:szCs w:val="20"/>
                <w:color w:val="auto"/>
              </w:rPr>
            </w:pPr>
            <w:r>
              <w:rPr>
                <w:rFonts w:ascii="Arial" w:cs="Arial" w:eastAsia="Arial" w:hAnsi="Arial"/>
                <w:sz w:val="14"/>
                <w:szCs w:val="14"/>
                <w:color w:val="auto"/>
                <w:w w:val="89"/>
              </w:rPr>
              <w:t>Durable</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Z Wireless</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12/21/2016</w:t>
            </w:r>
          </w:p>
        </w:tc>
        <w:tc>
          <w:tcPr>
            <w:tcW w:w="600" w:type="dxa"/>
            <w:vAlign w:val="bottom"/>
          </w:tcPr>
          <w:p>
            <w:pPr>
              <w:spacing w:after="0"/>
              <w:rPr>
                <w:sz w:val="11"/>
                <w:szCs w:val="11"/>
                <w:color w:val="auto"/>
              </w:rPr>
            </w:pPr>
          </w:p>
        </w:tc>
        <w:tc>
          <w:tcPr>
            <w:tcW w:w="1120" w:type="dxa"/>
            <w:vAlign w:val="bottom"/>
            <w:gridSpan w:val="2"/>
          </w:tcPr>
          <w:p>
            <w:pPr>
              <w:jc w:val="center"/>
              <w:ind w:right="640"/>
              <w:spacing w:after="0" w:line="138" w:lineRule="exact"/>
              <w:rPr>
                <w:sz w:val="20"/>
                <w:szCs w:val="20"/>
                <w:color w:val="auto"/>
              </w:rPr>
            </w:pPr>
            <w:r>
              <w:rPr>
                <w:rFonts w:ascii="Arial" w:cs="Arial" w:eastAsia="Arial" w:hAnsi="Arial"/>
                <w:sz w:val="14"/>
                <w:szCs w:val="14"/>
                <w:color w:val="auto"/>
                <w:w w:val="89"/>
              </w:rPr>
              <w:t>Retail</w:t>
            </w:r>
          </w:p>
        </w:tc>
        <w:tc>
          <w:tcPr>
            <w:tcW w:w="960" w:type="dxa"/>
            <w:vAlign w:val="bottom"/>
            <w:gridSpan w:val="3"/>
          </w:tcPr>
          <w:p>
            <w:pPr>
              <w:jc w:val="right"/>
              <w:ind w:right="80"/>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L+1,225</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2,707,318</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2,656,561</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2,710,078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w w:val="98"/>
              </w:rPr>
              <w:t>(PIK 1.50 %)</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159,997,444</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159,682,263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Debt—7.4%</w:t>
            </w: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American Gilsonite Company</w:t>
            </w:r>
            <w:r>
              <w:rPr>
                <w:rFonts w:ascii="Arial" w:cs="Arial" w:eastAsia="Arial" w:hAnsi="Arial"/>
                <w:sz w:val="17"/>
                <w:szCs w:val="17"/>
                <w:color w:val="auto"/>
                <w:vertAlign w:val="superscript"/>
              </w:rPr>
              <w:t>(5), (8)</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09/01/2017</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Metals and Mining</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3,187,500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0"/>
                <w:szCs w:val="10"/>
                <w:color w:val="auto"/>
              </w:rPr>
              <w:t>Berlin Packaging L.L.C.</w:t>
            </w:r>
            <w:r>
              <w:rPr>
                <w:rFonts w:ascii="Arial" w:cs="Arial" w:eastAsia="Arial" w:hAnsi="Arial"/>
                <w:sz w:val="15"/>
                <w:szCs w:val="15"/>
                <w:color w:val="auto"/>
                <w:vertAlign w:val="superscript"/>
              </w:rPr>
              <w:t>(8)</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03/28/2020</w:t>
            </w:r>
          </w:p>
        </w:tc>
        <w:tc>
          <w:tcPr>
            <w:tcW w:w="172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5"/>
              </w:rPr>
              <w:t>Containers, Packaging and</w:t>
            </w:r>
          </w:p>
        </w:tc>
        <w:tc>
          <w:tcPr>
            <w:tcW w:w="9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8.75%</w:t>
            </w: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L+750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1,970,000</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1,970,000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gridSpan w:val="2"/>
          </w:tcPr>
          <w:p>
            <w:pPr>
              <w:jc w:val="center"/>
              <w:ind w:right="620"/>
              <w:spacing w:after="0" w:line="159" w:lineRule="exact"/>
              <w:rPr>
                <w:sz w:val="20"/>
                <w:szCs w:val="20"/>
                <w:color w:val="auto"/>
              </w:rPr>
            </w:pPr>
            <w:r>
              <w:rPr>
                <w:rFonts w:ascii="Arial" w:cs="Arial" w:eastAsia="Arial" w:hAnsi="Arial"/>
                <w:sz w:val="14"/>
                <w:szCs w:val="14"/>
                <w:color w:val="auto"/>
                <w:w w:val="83"/>
              </w:rPr>
              <w:t>Glass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Brand Energy and Infrastructure Services, Inc.</w:t>
            </w:r>
            <w:r>
              <w:rPr>
                <w:rFonts w:ascii="Arial" w:cs="Arial" w:eastAsia="Arial" w:hAnsi="Arial"/>
                <w:sz w:val="17"/>
                <w:szCs w:val="17"/>
                <w:color w:val="auto"/>
                <w:vertAlign w:val="superscript"/>
              </w:rPr>
              <w:t>(8)</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10/23/2019</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Energy: Oil and Gas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L+975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1,906,607</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1,859,054</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1,925,673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Cannery Casino Resorts, LLC</w:t>
            </w:r>
          </w:p>
        </w:tc>
        <w:tc>
          <w:tcPr>
            <w:tcW w:w="3400" w:type="dxa"/>
            <w:vAlign w:val="bottom"/>
            <w:gridSpan w:val="6"/>
          </w:tcPr>
          <w:p>
            <w:pPr>
              <w:ind w:left="1000"/>
              <w:spacing w:after="0" w:line="149" w:lineRule="exact"/>
              <w:rPr>
                <w:sz w:val="20"/>
                <w:szCs w:val="20"/>
                <w:color w:val="auto"/>
              </w:rPr>
            </w:pPr>
            <w:r>
              <w:rPr>
                <w:rFonts w:ascii="Arial" w:cs="Arial" w:eastAsia="Arial" w:hAnsi="Arial"/>
                <w:sz w:val="14"/>
                <w:szCs w:val="14"/>
                <w:color w:val="auto"/>
                <w:w w:val="95"/>
              </w:rPr>
              <w:t>10/02/2019   Hotel, Gaming and Leisure</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1,668,423</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1,640,500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 (6), (8)</w:t>
            </w:r>
          </w:p>
        </w:tc>
        <w:tc>
          <w:tcPr>
            <w:tcW w:w="3400" w:type="dxa"/>
            <w:vAlign w:val="bottom"/>
            <w:gridSpan w:val="6"/>
            <w:shd w:val="clear" w:color="auto" w:fill="CCEEFF"/>
          </w:tcPr>
          <w:p>
            <w:pPr>
              <w:ind w:left="1000"/>
              <w:spacing w:after="0" w:line="149" w:lineRule="exact"/>
              <w:rPr>
                <w:sz w:val="20"/>
                <w:szCs w:val="20"/>
                <w:color w:val="auto"/>
              </w:rPr>
            </w:pPr>
            <w:r>
              <w:rPr>
                <w:rFonts w:ascii="Arial" w:cs="Arial" w:eastAsia="Arial" w:hAnsi="Arial"/>
                <w:sz w:val="14"/>
                <w:szCs w:val="14"/>
                <w:color w:val="auto"/>
                <w:w w:val="95"/>
              </w:rPr>
              <w:t>05/15/2019   Hotel, Gaming and Leisure</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9.13%</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1,623,750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9,997,477</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10,347,423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Subordinated Debt/Corporate Notes—8.6%</w:t>
            </w:r>
            <w:r>
              <w:rPr>
                <w:rFonts w:ascii="Arial" w:cs="Arial" w:eastAsia="Arial" w:hAnsi="Arial"/>
                <w:sz w:val="17"/>
                <w:szCs w:val="17"/>
                <w:b w:val="1"/>
                <w:bCs w:val="1"/>
                <w:color w:val="auto"/>
                <w:vertAlign w:val="superscript"/>
              </w:rPr>
              <w:t>(8)</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Affinion Group Holdings, Inc.</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11/15/2015</w:t>
            </w:r>
          </w:p>
        </w:tc>
        <w:tc>
          <w:tcPr>
            <w:tcW w:w="172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Consumer Goods: Non-</w:t>
            </w:r>
          </w:p>
        </w:tc>
        <w:tc>
          <w:tcPr>
            <w:tcW w:w="9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11.63%</w:t>
            </w:r>
          </w:p>
        </w:tc>
        <w:tc>
          <w:tcPr>
            <w:tcW w:w="160" w:type="dxa"/>
            <w:vAlign w:val="bottom"/>
          </w:tcPr>
          <w:p>
            <w:pPr>
              <w:spacing w:after="0"/>
              <w:rPr>
                <w:sz w:val="11"/>
                <w:szCs w:val="11"/>
                <w:color w:val="auto"/>
              </w:rPr>
            </w:pPr>
          </w:p>
        </w:tc>
        <w:tc>
          <w:tcPr>
            <w:tcW w:w="6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4,100,000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3,831,006</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2,603,500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gridSpan w:val="2"/>
          </w:tcPr>
          <w:p>
            <w:pPr>
              <w:jc w:val="center"/>
              <w:ind w:right="640"/>
              <w:spacing w:after="0" w:line="159" w:lineRule="exact"/>
              <w:rPr>
                <w:sz w:val="20"/>
                <w:szCs w:val="20"/>
                <w:color w:val="auto"/>
              </w:rPr>
            </w:pPr>
            <w:r>
              <w:rPr>
                <w:rFonts w:ascii="Arial" w:cs="Arial" w:eastAsia="Arial" w:hAnsi="Arial"/>
                <w:sz w:val="14"/>
                <w:szCs w:val="14"/>
                <w:color w:val="auto"/>
                <w:w w:val="89"/>
              </w:rPr>
              <w:t>Durable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3400" w:type="dxa"/>
            <w:vAlign w:val="bottom"/>
            <w:gridSpan w:val="6"/>
            <w:shd w:val="clear" w:color="auto" w:fill="CCEEFF"/>
          </w:tcPr>
          <w:p>
            <w:pPr>
              <w:ind w:left="1000"/>
              <w:spacing w:after="0" w:line="138" w:lineRule="exact"/>
              <w:rPr>
                <w:sz w:val="20"/>
                <w:szCs w:val="20"/>
                <w:color w:val="auto"/>
              </w:rPr>
            </w:pPr>
            <w:r>
              <w:rPr>
                <w:rFonts w:ascii="Arial" w:cs="Arial" w:eastAsia="Arial" w:hAnsi="Arial"/>
                <w:sz w:val="14"/>
                <w:szCs w:val="14"/>
                <w:color w:val="auto"/>
                <w:w w:val="90"/>
              </w:rPr>
              <w:t>06/03/2019  Beverage, Food and Tobacco</w:t>
            </w:r>
          </w:p>
        </w:tc>
        <w:tc>
          <w:tcPr>
            <w:tcW w:w="9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14.25%</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4,560,151</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4,483,524</w:t>
            </w:r>
          </w:p>
        </w:tc>
        <w:tc>
          <w:tcPr>
            <w:tcW w:w="9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4,696,956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8"/>
              </w:rPr>
              <w:t>(PIK 2.25 %)</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86"/>
              </w:rPr>
              <w:t>Current</w:t>
            </w:r>
          </w:p>
        </w:tc>
        <w:tc>
          <w:tcPr>
            <w:tcW w:w="18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16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rPr>
              <w:t>Par /</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8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Maturity</w:t>
            </w:r>
          </w:p>
        </w:tc>
        <w:tc>
          <w:tcPr>
            <w:tcW w:w="820" w:type="dxa"/>
            <w:vAlign w:val="bottom"/>
          </w:tcPr>
          <w:p>
            <w:pPr>
              <w:spacing w:after="0"/>
              <w:rPr>
                <w:sz w:val="15"/>
                <w:szCs w:val="15"/>
                <w:color w:val="auto"/>
              </w:rPr>
            </w:pPr>
          </w:p>
        </w:tc>
        <w:tc>
          <w:tcPr>
            <w:tcW w:w="13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Coupon</w:t>
            </w:r>
          </w:p>
        </w:tc>
        <w:tc>
          <w:tcPr>
            <w:tcW w:w="180" w:type="dxa"/>
            <w:vAlign w:val="bottom"/>
          </w:tcPr>
          <w:p>
            <w:pPr>
              <w:spacing w:after="0"/>
              <w:rPr>
                <w:sz w:val="15"/>
                <w:szCs w:val="15"/>
                <w:color w:val="auto"/>
              </w:rPr>
            </w:pPr>
          </w:p>
        </w:tc>
        <w:tc>
          <w:tcPr>
            <w:tcW w:w="68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960" w:type="dxa"/>
            <w:vAlign w:val="bottom"/>
            <w:gridSpan w:val="4"/>
          </w:tcPr>
          <w:p>
            <w:pPr>
              <w:ind w:left="26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5"/>
                <w:szCs w:val="15"/>
                <w:color w:val="auto"/>
              </w:rPr>
            </w:pPr>
          </w:p>
        </w:tc>
        <w:tc>
          <w:tcPr>
            <w:tcW w:w="880" w:type="dxa"/>
            <w:vAlign w:val="bottom"/>
            <w:gridSpan w:val="4"/>
          </w:tcPr>
          <w:p>
            <w:pPr>
              <w:jc w:val="right"/>
              <w:ind w:right="140"/>
              <w:spacing w:after="0" w:line="176" w:lineRule="exact"/>
              <w:rPr>
                <w:sz w:val="20"/>
                <w:szCs w:val="20"/>
                <w:color w:val="auto"/>
              </w:rPr>
            </w:pPr>
            <w:r>
              <w:rPr>
                <w:rFonts w:ascii="Arial" w:cs="Arial" w:eastAsia="Arial" w:hAnsi="Arial"/>
                <w:sz w:val="13"/>
                <w:szCs w:val="13"/>
                <w:b w:val="1"/>
                <w:bCs w:val="1"/>
                <w:color w:val="auto"/>
                <w:w w:val="91"/>
              </w:rPr>
              <w:t>Fair Value</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Varel International Energy Mezzanine Funding Corp.</w:t>
            </w:r>
          </w:p>
        </w:tc>
        <w:tc>
          <w:tcPr>
            <w:tcW w:w="94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8"/>
              </w:rPr>
              <w:t>01/15/2018</w:t>
            </w:r>
          </w:p>
        </w:tc>
        <w:tc>
          <w:tcPr>
            <w:tcW w:w="218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Energy: Oil and Gas</w:t>
            </w:r>
          </w:p>
        </w:tc>
        <w:tc>
          <w:tcPr>
            <w:tcW w:w="100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14.00%</w:t>
            </w: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6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1,774,080</w:t>
            </w:r>
          </w:p>
        </w:tc>
        <w:tc>
          <w:tcPr>
            <w:tcW w:w="960" w:type="dxa"/>
            <w:vAlign w:val="bottom"/>
            <w:gridSpan w:val="4"/>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1,740,367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1,766,608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(PIK 4.00 %)</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tcPr>
          <w:p>
            <w:pPr>
              <w:spacing w:after="0" w:line="138" w:lineRule="exact"/>
              <w:rPr>
                <w:sz w:val="20"/>
                <w:szCs w:val="20"/>
                <w:color w:val="auto"/>
              </w:rPr>
            </w:pPr>
            <w:r>
              <w:rPr>
                <w:rFonts w:ascii="Arial" w:cs="Arial" w:eastAsia="Arial" w:hAnsi="Arial"/>
                <w:sz w:val="14"/>
                <w:szCs w:val="14"/>
                <w:color w:val="auto"/>
              </w:rPr>
              <w:t>Vestcom International, Inc.</w:t>
            </w:r>
          </w:p>
        </w:tc>
        <w:tc>
          <w:tcPr>
            <w:tcW w:w="94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8"/>
              </w:rPr>
              <w:t>06/27/2019</w:t>
            </w:r>
          </w:p>
        </w:tc>
        <w:tc>
          <w:tcPr>
            <w:tcW w:w="21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0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12.00%</w:t>
            </w:r>
          </w:p>
        </w:tc>
        <w:tc>
          <w:tcPr>
            <w:tcW w:w="180" w:type="dxa"/>
            <w:vAlign w:val="bottom"/>
          </w:tcPr>
          <w:p>
            <w:pPr>
              <w:spacing w:after="0"/>
              <w:rPr>
                <w:sz w:val="11"/>
                <w:szCs w:val="11"/>
                <w:color w:val="auto"/>
              </w:rPr>
            </w:pPr>
          </w:p>
        </w:tc>
        <w:tc>
          <w:tcPr>
            <w:tcW w:w="68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2,859,027</w:t>
            </w:r>
          </w:p>
        </w:tc>
        <w:tc>
          <w:tcPr>
            <w:tcW w:w="960" w:type="dxa"/>
            <w:vAlign w:val="bottom"/>
            <w:gridSpan w:val="4"/>
          </w:tcPr>
          <w:p>
            <w:pPr>
              <w:jc w:val="right"/>
              <w:ind w:right="180"/>
              <w:spacing w:after="0" w:line="138" w:lineRule="exact"/>
              <w:rPr>
                <w:sz w:val="20"/>
                <w:szCs w:val="20"/>
                <w:color w:val="auto"/>
              </w:rPr>
            </w:pPr>
            <w:r>
              <w:rPr>
                <w:rFonts w:ascii="Arial" w:cs="Arial" w:eastAsia="Arial" w:hAnsi="Arial"/>
                <w:sz w:val="14"/>
                <w:szCs w:val="14"/>
                <w:color w:val="auto"/>
              </w:rPr>
              <w:t>2,803,341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2,837,100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9"/>
              </w:rPr>
              <w:t>Publishing</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12,858,238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11,904,164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Equity/Partnership Interests—0.2%</w:t>
            </w:r>
            <w:r>
              <w:rPr>
                <w:rFonts w:ascii="Arial" w:cs="Arial" w:eastAsia="Arial" w:hAnsi="Arial"/>
                <w:sz w:val="18"/>
                <w:szCs w:val="18"/>
                <w:b w:val="1"/>
                <w:bCs w:val="1"/>
                <w:color w:val="auto"/>
                <w:vertAlign w:val="superscript"/>
              </w:rPr>
              <w:t>(7), (8)</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0"/>
              </w:rPr>
              <w:t>TrustHouse Services Holdings, LLC (TrustHouse Services Group,</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Inc.)</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12.50%</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176</w:t>
            </w:r>
          </w:p>
        </w:tc>
        <w:tc>
          <w:tcPr>
            <w:tcW w:w="9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110,697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243,338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Equity/Partnership Interests—1.2%</w:t>
            </w:r>
            <w:r>
              <w:rPr>
                <w:rFonts w:ascii="Arial" w:cs="Arial" w:eastAsia="Arial" w:hAnsi="Arial"/>
                <w:sz w:val="18"/>
                <w:szCs w:val="18"/>
                <w:b w:val="1"/>
                <w:bCs w:val="1"/>
                <w:color w:val="auto"/>
                <w:vertAlign w:val="superscript"/>
              </w:rPr>
              <w:t>(7), (8)</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7"/>
              </w:rPr>
              <w:t>Telecommunications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401,797</w:t>
            </w:r>
          </w:p>
        </w:tc>
        <w:tc>
          <w:tcPr>
            <w:tcW w:w="9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401,450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1,494,877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tcPr>
          <w:p>
            <w:pPr>
              <w:spacing w:after="0" w:line="138" w:lineRule="exact"/>
              <w:rPr>
                <w:sz w:val="20"/>
                <w:szCs w:val="20"/>
                <w:color w:val="auto"/>
              </w:rPr>
            </w:pPr>
            <w:r>
              <w:rPr>
                <w:rFonts w:ascii="Arial" w:cs="Arial" w:eastAsia="Arial" w:hAnsi="Arial"/>
                <w:sz w:val="14"/>
                <w:szCs w:val="14"/>
                <w:color w:val="auto"/>
                <w:w w:val="90"/>
              </w:rPr>
              <w:t>TrustHouse Services Holdings, LLC (TrustHouse Services Group,</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180" w:type="dxa"/>
            <w:vAlign w:val="bottom"/>
          </w:tcPr>
          <w:p>
            <w:pPr>
              <w:spacing w:after="0"/>
              <w:rPr>
                <w:sz w:val="13"/>
                <w:szCs w:val="13"/>
                <w:color w:val="auto"/>
              </w:rPr>
            </w:pPr>
          </w:p>
        </w:tc>
        <w:tc>
          <w:tcPr>
            <w:tcW w:w="7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21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5"/>
              </w:rPr>
              <w:t>Beverage, Food and Tobacco</w:t>
            </w:r>
          </w:p>
        </w:tc>
        <w:tc>
          <w:tcPr>
            <w:tcW w:w="2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8</w:t>
            </w:r>
          </w:p>
        </w:tc>
        <w:tc>
          <w:tcPr>
            <w:tcW w:w="960" w:type="dxa"/>
            <w:vAlign w:val="bottom"/>
            <w:gridSpan w:val="4"/>
          </w:tcPr>
          <w:p>
            <w:pPr>
              <w:jc w:val="right"/>
              <w:ind w:right="180"/>
              <w:spacing w:after="0" w:line="159" w:lineRule="exact"/>
              <w:rPr>
                <w:sz w:val="20"/>
                <w:szCs w:val="20"/>
                <w:color w:val="auto"/>
              </w:rPr>
            </w:pPr>
            <w:r>
              <w:rPr>
                <w:rFonts w:ascii="Arial" w:cs="Arial" w:eastAsia="Arial" w:hAnsi="Arial"/>
                <w:sz w:val="14"/>
                <w:szCs w:val="14"/>
                <w:color w:val="auto"/>
              </w:rPr>
              <w:t>5,000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14,305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Vestcom Parent Holdings, Inc.</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90"/>
              </w:rPr>
              <w:t>Media: Advertising, Printing and</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(Vestcom International, Inc.)</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8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9"/>
              </w:rPr>
              <w:t>Publishing</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15,179</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166,667</w:t>
            </w:r>
          </w:p>
        </w:tc>
        <w:tc>
          <w:tcPr>
            <w:tcW w:w="1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183,392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573,117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1,692,574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1"/>
              </w:rPr>
              <w:t>Total Investments in Non-Controlled, Non-Affiliated Portfolio</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w w:val="97"/>
              </w:rPr>
              <w:t>183,536,973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7"/>
              </w:rPr>
              <w:t>183,869,762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Equivalents—2.0%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2,725,248</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2,725,248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Equivalents—134.4%</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$ 186,262,221</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186,595,010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Assets—(34.4)%</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w w:val="93"/>
              </w:rPr>
              <w:t>(47,715,525)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138,879,485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30"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280" w:hanging="332"/>
        <w:spacing w:after="0" w:line="221"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Spread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gridSpan w:val="3"/>
          </w:tcPr>
          <w:p>
            <w:pPr>
              <w:ind w:left="140"/>
              <w:spacing w:after="0" w:line="135" w:lineRule="exact"/>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8"/>
              </w:rPr>
              <w:t>Above</w:t>
            </w:r>
          </w:p>
        </w:tc>
        <w:tc>
          <w:tcPr>
            <w:tcW w:w="60" w:type="dxa"/>
            <w:vAlign w:val="bottom"/>
          </w:tcPr>
          <w:p>
            <w:pPr>
              <w:spacing w:after="0"/>
              <w:rPr>
                <w:sz w:val="11"/>
                <w:szCs w:val="11"/>
                <w:color w:val="auto"/>
              </w:rPr>
            </w:pPr>
          </w:p>
        </w:tc>
        <w:tc>
          <w:tcPr>
            <w:tcW w:w="56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Par /</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Maturity</w:t>
            </w:r>
          </w:p>
        </w:tc>
        <w:tc>
          <w:tcPr>
            <w:tcW w:w="2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rPr>
              <w:t>Coupon</w:t>
            </w:r>
          </w:p>
        </w:tc>
        <w:tc>
          <w:tcPr>
            <w:tcW w:w="740" w:type="dxa"/>
            <w:vAlign w:val="bottom"/>
            <w:gridSpan w:val="3"/>
          </w:tcPr>
          <w:p>
            <w:pPr>
              <w:ind w:left="80"/>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(1)</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5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Investments in Non-Controlled, Non-Affiliated</w:t>
            </w: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Portfolio Companies—179.5%</w:t>
            </w:r>
            <w:r>
              <w:rPr>
                <w:rFonts w:ascii="Arial" w:cs="Arial" w:eastAsia="Arial" w:hAnsi="Arial"/>
                <w:sz w:val="20"/>
                <w:szCs w:val="20"/>
                <w:b w:val="1"/>
                <w:bCs w:val="1"/>
                <w:color w:val="auto"/>
                <w:vertAlign w:val="superscript"/>
              </w:rPr>
              <w:t>(3), (4)</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03/25/2015</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Telecommunications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L+800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214,286</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214,838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214,018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Archipelago Learning,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05/17/2018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Media, Broadcasting and Subscription</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L+600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987,500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959,574</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10/06/2016</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Services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2,977,500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2,937,079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2,962,613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11/22/2017</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High Tech Industries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2,943,750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2,888,381</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2,960,309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07/31/2017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985,747</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02/15/2018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High Tech Industries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L+600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3,975,000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3,902,979</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4,014,750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08/17/2017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Consumer Goods: Durable</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3,866,119</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3,801,408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3,859,675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03/19/2018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3,733,125</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3,673,063</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3,677,128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12/01/2016</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981,827</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DS Waters of America,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08/29/2017</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4"/>
              </w:rPr>
              <w:t>Beverage, Food and Tobacco</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10.50%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L+900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3,980,000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3,904,846</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4,109,350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07/28/2017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P+350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950,104</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946,081</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945,353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EIG Investors Corp.</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04/20/2018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High Tech Industries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7.75%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L+625</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3,990,000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3,952,867</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4,009,950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05/18/2018</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Chemicals, Plastics and Rubber</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1,995,000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1,975,762</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2,004,975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eResearchtechnology,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05/02/2018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4"/>
              </w:rPr>
              <w:t>Healthcare and Pharmaceuticals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8.00%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L+650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3,000,000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2,884,003</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2,962,500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L+600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2,977,500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2,898,672</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GFA Brands,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07/02/2018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4"/>
              </w:rPr>
              <w:t>Beverage, Food and Tobacco</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1,995,000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1,956,496</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2,012,456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(5),(8)</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09/02/2019</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 Gaming and Leisure</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3,000,000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05/27/2016</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Environmental Industries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2,956,829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2,933,351</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2,934,653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4"/>
              </w:rPr>
              <w:t>Healthcare and Pharmaceuticals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L+675</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4,962,500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4,742,008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4,925,281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04/01/2019</w:t>
            </w:r>
          </w:p>
        </w:tc>
        <w:tc>
          <w:tcPr>
            <w:tcW w:w="1100" w:type="dxa"/>
            <w:vAlign w:val="bottom"/>
          </w:tcPr>
          <w:p>
            <w:pPr>
              <w:spacing w:after="0"/>
              <w:rPr>
                <w:sz w:val="12"/>
                <w:szCs w:val="12"/>
                <w:color w:val="auto"/>
              </w:rPr>
            </w:pPr>
          </w:p>
        </w:tc>
        <w:tc>
          <w:tcPr>
            <w:tcW w:w="156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89"/>
              </w:rPr>
              <w:t>Retail</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L+600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2,985,000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2,929,228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2,992,463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08/03/2017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Wholesale</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2,743,125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2,702,953</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2,715,694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 (8)</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03/30/2017</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11.50%</w:t>
            </w:r>
          </w:p>
        </w:tc>
        <w:tc>
          <w:tcPr>
            <w:tcW w:w="8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2,000,000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1,963,159</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Ikaria Acquisition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06/22/2016</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4"/>
              </w:rPr>
              <w:t>Healthcare and Pharmaceuticals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L+650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1,700,000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1,691,500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08/07/2014</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1"/>
                <w:szCs w:val="11"/>
                <w:color w:val="auto"/>
              </w:rPr>
              <w:t>3.59%</w:t>
            </w:r>
            <w:r>
              <w:rPr>
                <w:rFonts w:ascii="Arial" w:cs="Arial" w:eastAsia="Arial" w:hAnsi="Arial"/>
                <w:sz w:val="17"/>
                <w:szCs w:val="17"/>
                <w:color w:val="auto"/>
                <w:vertAlign w:val="superscript"/>
              </w:rPr>
              <w:t>(9)</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L+338</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6,836,508</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6,534,349</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5,247,020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09/10/2015</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Chemicals, Plastics and Rubber</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L+775</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5,476,250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5,512,699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5,558,394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(6), (8)</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06/02/2014</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Consumer Goods: Non-Durable</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8.50%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L+700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4,937,500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4,845,282</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4,863,438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06/19/2017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1,844,649</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1,821,373</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1,766,252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MModal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08/16/2019</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6.75%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3,400,000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3,349,374</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3,351,125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05/07/2018</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3,950,000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3,916,596</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12/23/2016</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High Tech Industries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8.50%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L+700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2,887,500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2,826,368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MX USA, Inc. and KAN-DI-KI, LLC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05/01/2017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4"/>
              </w:rPr>
              <w:t>Healthcare and Pharmaceuticals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L+525</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2,985,000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2,943,607</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NAB Holdings, LLC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04/24/2018</w:t>
            </w:r>
          </w:p>
        </w:tc>
        <w:tc>
          <w:tcPr>
            <w:tcW w:w="2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Banking, Finance, Insurance and Real Estate</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987,500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973,817</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997,375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07/11/2018</w:t>
            </w:r>
          </w:p>
        </w:tc>
        <w:tc>
          <w:tcPr>
            <w:tcW w:w="26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1,496,250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1,467,389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1,492,509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gridSpan w:val="2"/>
          </w:tcPr>
          <w:p>
            <w:pPr>
              <w:spacing w:after="0" w:line="138" w:lineRule="exact"/>
              <w:rPr>
                <w:sz w:val="20"/>
                <w:szCs w:val="20"/>
                <w:color w:val="auto"/>
              </w:rPr>
            </w:pPr>
            <w:r>
              <w:rPr>
                <w:rFonts w:ascii="Arial" w:cs="Arial" w:eastAsia="Arial" w:hAnsi="Arial"/>
                <w:sz w:val="14"/>
                <w:szCs w:val="14"/>
                <w:color w:val="auto"/>
              </w:rPr>
              <w:t>Penton Media, Inc.</w:t>
            </w:r>
          </w:p>
        </w:tc>
        <w:tc>
          <w:tcPr>
            <w:tcW w:w="154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08/01/2014</w:t>
            </w:r>
          </w:p>
        </w:tc>
        <w:tc>
          <w:tcPr>
            <w:tcW w:w="266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7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1"/>
                <w:szCs w:val="11"/>
                <w:color w:val="auto"/>
              </w:rPr>
            </w:pPr>
          </w:p>
        </w:tc>
        <w:tc>
          <w:tcPr>
            <w:tcW w:w="6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L+400</w:t>
            </w:r>
          </w:p>
        </w:tc>
        <w:tc>
          <w:tcPr>
            <w:tcW w:w="6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w w:val="83"/>
              </w:rPr>
              <w:t>5,497,407</w:t>
            </w:r>
          </w:p>
        </w:tc>
        <w:tc>
          <w:tcPr>
            <w:tcW w:w="8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4,931,995</w:t>
            </w:r>
          </w:p>
        </w:tc>
        <w:tc>
          <w:tcPr>
            <w:tcW w:w="8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4,439,156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(PIK</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05/08/2017</w:t>
            </w:r>
          </w:p>
        </w:tc>
        <w:tc>
          <w:tcPr>
            <w:tcW w:w="26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1,975,000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1,958,715</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1,967,594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Spread</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gridSpan w:val="3"/>
          </w:tcPr>
          <w:p>
            <w:pPr>
              <w:ind w:left="140"/>
              <w:spacing w:after="0" w:line="135" w:lineRule="exact"/>
              <w:rPr>
                <w:sz w:val="20"/>
                <w:szCs w:val="20"/>
                <w:color w:val="auto"/>
              </w:rPr>
            </w:pPr>
            <w:r>
              <w:rPr>
                <w:rFonts w:ascii="Arial" w:cs="Arial" w:eastAsia="Arial" w:hAnsi="Arial"/>
                <w:sz w:val="14"/>
                <w:szCs w:val="14"/>
                <w:b w:val="1"/>
                <w:bCs w:val="1"/>
                <w:color w:val="auto"/>
              </w:rPr>
              <w:t>Current</w:t>
            </w:r>
          </w:p>
        </w:tc>
        <w:tc>
          <w:tcPr>
            <w:tcW w:w="6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Above</w:t>
            </w:r>
          </w:p>
        </w:tc>
        <w:tc>
          <w:tcPr>
            <w:tcW w:w="100" w:type="dxa"/>
            <w:vAlign w:val="bottom"/>
          </w:tcPr>
          <w:p>
            <w:pPr>
              <w:spacing w:after="0"/>
              <w:rPr>
                <w:sz w:val="11"/>
                <w:szCs w:val="11"/>
                <w:color w:val="auto"/>
              </w:rPr>
            </w:pPr>
          </w:p>
        </w:tc>
        <w:tc>
          <w:tcPr>
            <w:tcW w:w="56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Par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Maturity</w:t>
            </w: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880" w:type="dxa"/>
            <w:vAlign w:val="bottom"/>
            <w:gridSpan w:val="3"/>
          </w:tcPr>
          <w:p>
            <w:pPr>
              <w:ind w:left="140"/>
              <w:spacing w:after="0"/>
              <w:rPr>
                <w:sz w:val="20"/>
                <w:szCs w:val="20"/>
                <w:color w:val="auto"/>
              </w:rPr>
            </w:pPr>
            <w:r>
              <w:rPr>
                <w:rFonts w:ascii="Arial" w:cs="Arial" w:eastAsia="Arial" w:hAnsi="Arial"/>
                <w:sz w:val="14"/>
                <w:szCs w:val="14"/>
                <w:b w:val="1"/>
                <w:bCs w:val="1"/>
                <w:color w:val="auto"/>
              </w:rPr>
              <w:t>Coupon</w:t>
            </w:r>
          </w:p>
        </w:tc>
        <w:tc>
          <w:tcPr>
            <w:tcW w:w="66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(1)</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60" w:type="dxa"/>
            <w:vAlign w:val="bottom"/>
            <w:gridSpan w:val="4"/>
          </w:tcPr>
          <w:p>
            <w:pPr>
              <w:ind w:left="180"/>
              <w:spacing w:after="0" w:line="162"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07/06/2017</w:t>
            </w:r>
          </w:p>
        </w:tc>
        <w:tc>
          <w:tcPr>
            <w:tcW w:w="26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Capital Equipment</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6.25%</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L+475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978,077</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970,036</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967,889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gridSpan w:val="2"/>
          </w:tcPr>
          <w:p>
            <w:pPr>
              <w:spacing w:after="0" w:line="138" w:lineRule="exact"/>
              <w:rPr>
                <w:sz w:val="20"/>
                <w:szCs w:val="20"/>
                <w:color w:val="auto"/>
              </w:rPr>
            </w:pPr>
            <w:r>
              <w:rPr>
                <w:rFonts w:ascii="Arial" w:cs="Arial" w:eastAsia="Arial" w:hAnsi="Arial"/>
                <w:sz w:val="14"/>
                <w:szCs w:val="14"/>
                <w:color w:val="auto"/>
              </w:rPr>
              <w:t>Renaissance Learning, Inc.</w:t>
            </w:r>
          </w:p>
        </w:tc>
        <w:tc>
          <w:tcPr>
            <w:tcW w:w="142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10/19/2017</w:t>
            </w:r>
          </w:p>
        </w:tc>
        <w:tc>
          <w:tcPr>
            <w:tcW w:w="26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3"/>
          </w:tcPr>
          <w:p>
            <w:pPr>
              <w:jc w:val="center"/>
              <w:spacing w:after="0"/>
              <w:rPr>
                <w:sz w:val="20"/>
                <w:szCs w:val="20"/>
                <w:color w:val="auto"/>
              </w:rPr>
            </w:pPr>
            <w:r>
              <w:rPr>
                <w:rFonts w:ascii="Arial" w:cs="Arial" w:eastAsia="Arial" w:hAnsi="Arial"/>
                <w:sz w:val="14"/>
                <w:szCs w:val="14"/>
                <w:color w:val="auto"/>
                <w:w w:val="88"/>
              </w:rPr>
              <w:t>Subscription</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7.75%</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L+625</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1,980,000</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1,909,788</w:t>
            </w:r>
          </w:p>
        </w:tc>
        <w:tc>
          <w:tcPr>
            <w:tcW w:w="80" w:type="dxa"/>
            <w:vAlign w:val="bottom"/>
          </w:tcPr>
          <w:p>
            <w:pPr>
              <w:spacing w:after="0"/>
              <w:rPr>
                <w:sz w:val="15"/>
                <w:szCs w:val="15"/>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4"/>
                <w:szCs w:val="14"/>
                <w:color w:val="auto"/>
              </w:rPr>
              <w:t>1,994,850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02/08/2018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3,970,000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3,898,141</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Sabre Industries, Inc.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08/24/2018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L+575</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3,000,000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2,955,509</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2,973,126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05/31/2017</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L+525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2,962,500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2,938,182</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2,960,648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Seven Seas Cruises S. DE R.L.</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12/21/2018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6.25%</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L+500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1,500,000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1,485,300</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1,505,625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04/21/2017</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2,962,512</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2,939,052</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2,932,887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9.00%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L+750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147,935</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L+1,200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1,875,000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1,823,914</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1,914,375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10/27/2017</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8.00%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L+650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992,500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958,036</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992,500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04/16/2018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1,995,000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1,935,550</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1,950,113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06/19/2017</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6.25%</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L+475</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2,962,500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2,938,318</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2,844,000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06/02/2017</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5.75%</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L+450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1,481,250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1,474,945</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1,466,438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Vantage Specialties, Inc.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02/09/2018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L+550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2,985,000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2,930,559</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2,999,925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Viamedia Services Corp.</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04/19/2016</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4,187,556</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4,147,483</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4,187,556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12/22/2016</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7.75%</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P+450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2,970,000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2,940,842</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2,643,300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W3 CO.</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10/31/2017</w:t>
            </w:r>
          </w:p>
        </w:tc>
        <w:tc>
          <w:tcPr>
            <w:tcW w:w="26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Energy: Oil and Gas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L+625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1,985,000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1,916,035</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1,982,519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08/10/2017</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6.75%</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L+525</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3,465,000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3,434,281</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3,456,338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03/23/2018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L+425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995,000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08/30/2018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L+625</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3,400,000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3,332,763</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3,417,000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Yonkers Racing</w:t>
            </w:r>
          </w:p>
        </w:tc>
        <w:tc>
          <w:tcPr>
            <w:tcW w:w="7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Corporation</w:t>
            </w:r>
            <w:r>
              <w:rPr>
                <w:rFonts w:ascii="Arial" w:cs="Arial" w:eastAsia="Arial" w:hAnsi="Arial"/>
                <w:sz w:val="20"/>
                <w:szCs w:val="20"/>
                <w:color w:val="auto"/>
                <w:vertAlign w:val="superscript"/>
              </w:rPr>
              <w:t>(5), (8)</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07/15/2016</w:t>
            </w:r>
          </w:p>
        </w:tc>
        <w:tc>
          <w:tcPr>
            <w:tcW w:w="26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8"/>
              </w:rPr>
              <w:t>Hotel, Gaming and Leisure</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11.38%</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9"/>
              </w:rPr>
              <w:t>4,000,000</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4,288,196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4,320,000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150,258,038</w:t>
            </w:r>
          </w:p>
        </w:tc>
        <w:tc>
          <w:tcPr>
            <w:tcW w:w="80" w:type="dxa"/>
            <w:vAlign w:val="bottom"/>
          </w:tcPr>
          <w:p>
            <w:pPr>
              <w:spacing w:after="0"/>
              <w:rPr>
                <w:sz w:val="14"/>
                <w:szCs w:val="14"/>
                <w:color w:val="auto"/>
              </w:rPr>
            </w:pPr>
          </w:p>
        </w:tc>
        <w:tc>
          <w:tcPr>
            <w:tcW w:w="96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150,209,747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gridSpan w:val="2"/>
          </w:tcPr>
          <w:p>
            <w:pPr>
              <w:spacing w:after="0" w:line="122" w:lineRule="exact"/>
              <w:rPr>
                <w:sz w:val="20"/>
                <w:szCs w:val="20"/>
                <w:color w:val="auto"/>
              </w:rPr>
            </w:pPr>
            <w:r>
              <w:rPr>
                <w:rFonts w:ascii="Arial" w:cs="Arial" w:eastAsia="Arial" w:hAnsi="Arial"/>
                <w:sz w:val="14"/>
                <w:szCs w:val="14"/>
                <w:color w:val="auto"/>
              </w:rPr>
              <w:t>American Gilsonite</w:t>
            </w: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gridSpan w:val="2"/>
          </w:tcPr>
          <w:p>
            <w:pPr>
              <w:ind w:left="200"/>
              <w:spacing w:after="0" w:line="176" w:lineRule="exact"/>
              <w:rPr>
                <w:sz w:val="20"/>
                <w:szCs w:val="20"/>
                <w:color w:val="auto"/>
              </w:rPr>
            </w:pPr>
            <w:r>
              <w:rPr>
                <w:rFonts w:ascii="Arial" w:cs="Arial" w:eastAsia="Arial" w:hAnsi="Arial"/>
                <w:sz w:val="13"/>
                <w:szCs w:val="13"/>
                <w:color w:val="auto"/>
              </w:rPr>
              <w:t>Company</w:t>
            </w:r>
            <w:r>
              <w:rPr>
                <w:rFonts w:ascii="Arial" w:cs="Arial" w:eastAsia="Arial" w:hAnsi="Arial"/>
                <w:sz w:val="20"/>
                <w:szCs w:val="20"/>
                <w:color w:val="auto"/>
                <w:vertAlign w:val="superscript"/>
              </w:rPr>
              <w:t>(5), (8)</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color w:val="auto"/>
              </w:rPr>
              <w:t>09/01/2017</w:t>
            </w:r>
          </w:p>
        </w:tc>
        <w:tc>
          <w:tcPr>
            <w:tcW w:w="2680" w:type="dxa"/>
            <w:vAlign w:val="bottom"/>
            <w:gridSpan w:val="3"/>
          </w:tcPr>
          <w:p>
            <w:pPr>
              <w:jc w:val="center"/>
              <w:spacing w:after="0"/>
              <w:rPr>
                <w:sz w:val="20"/>
                <w:szCs w:val="20"/>
                <w:color w:val="auto"/>
              </w:rPr>
            </w:pPr>
            <w:r>
              <w:rPr>
                <w:rFonts w:ascii="Arial" w:cs="Arial" w:eastAsia="Arial" w:hAnsi="Arial"/>
                <w:sz w:val="14"/>
                <w:szCs w:val="14"/>
                <w:color w:val="auto"/>
                <w:w w:val="91"/>
              </w:rPr>
              <w:t>Metals and Mining</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11.50%</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3,000,000</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5"/>
                <w:szCs w:val="15"/>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4"/>
                <w:szCs w:val="14"/>
                <w:color w:val="auto"/>
              </w:rPr>
              <w:t>3,082,500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L+900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gridSpan w:val="2"/>
          </w:tcPr>
          <w:p>
            <w:pPr>
              <w:spacing w:after="0" w:line="122" w:lineRule="exact"/>
              <w:rPr>
                <w:sz w:val="20"/>
                <w:szCs w:val="20"/>
                <w:color w:val="auto"/>
              </w:rPr>
            </w:pPr>
            <w:r>
              <w:rPr>
                <w:rFonts w:ascii="Arial" w:cs="Arial" w:eastAsia="Arial" w:hAnsi="Arial"/>
                <w:sz w:val="14"/>
                <w:szCs w:val="14"/>
                <w:color w:val="auto"/>
              </w:rPr>
              <w:t>Cannery Casino Resorts,</w:t>
            </w: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gridSpan w:val="2"/>
          </w:tcPr>
          <w:p>
            <w:pPr>
              <w:ind w:left="200"/>
              <w:spacing w:after="0" w:line="176" w:lineRule="exact"/>
              <w:rPr>
                <w:sz w:val="20"/>
                <w:szCs w:val="20"/>
                <w:color w:val="auto"/>
              </w:rPr>
            </w:pPr>
            <w:r>
              <w:rPr>
                <w:rFonts w:ascii="Arial" w:cs="Arial" w:eastAsia="Arial" w:hAnsi="Arial"/>
                <w:sz w:val="13"/>
                <w:szCs w:val="13"/>
                <w:color w:val="auto"/>
              </w:rPr>
              <w:t>LLC</w:t>
            </w:r>
            <w:r>
              <w:rPr>
                <w:rFonts w:ascii="Arial" w:cs="Arial" w:eastAsia="Arial" w:hAnsi="Arial"/>
                <w:sz w:val="20"/>
                <w:szCs w:val="20"/>
                <w:color w:val="auto"/>
                <w:vertAlign w:val="superscript"/>
              </w:rPr>
              <w:t>(8)</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color w:val="auto"/>
              </w:rPr>
              <w:t>10/02/2019</w:t>
            </w:r>
          </w:p>
        </w:tc>
        <w:tc>
          <w:tcPr>
            <w:tcW w:w="2680" w:type="dxa"/>
            <w:vAlign w:val="bottom"/>
            <w:gridSpan w:val="3"/>
          </w:tcPr>
          <w:p>
            <w:pPr>
              <w:jc w:val="center"/>
              <w:spacing w:after="0"/>
              <w:rPr>
                <w:sz w:val="20"/>
                <w:szCs w:val="20"/>
                <w:color w:val="auto"/>
              </w:rPr>
            </w:pPr>
            <w:r>
              <w:rPr>
                <w:rFonts w:ascii="Arial" w:cs="Arial" w:eastAsia="Arial" w:hAnsi="Arial"/>
                <w:sz w:val="14"/>
                <w:szCs w:val="14"/>
                <w:color w:val="auto"/>
                <w:w w:val="88"/>
              </w:rPr>
              <w:t>Hotel, Gaming and Leisure</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10.00%</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L+875</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1,700,000</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1,666,000</w:t>
            </w:r>
          </w:p>
        </w:tc>
        <w:tc>
          <w:tcPr>
            <w:tcW w:w="80" w:type="dxa"/>
            <w:vAlign w:val="bottom"/>
          </w:tcPr>
          <w:p>
            <w:pPr>
              <w:spacing w:after="0"/>
              <w:rPr>
                <w:sz w:val="15"/>
                <w:szCs w:val="15"/>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4"/>
                <w:szCs w:val="14"/>
                <w:color w:val="auto"/>
              </w:rPr>
              <w:t>1,691,500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11/06/2018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10.25%</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L+875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1,500,000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1,475,250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(8)</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09/01/2018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12.13%</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2,000,000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1,969,103</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2,320,000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05/09/2018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Utilities: Water</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L+725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996,250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 (6), (8)</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05/15/2019</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9.13%</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1,500,000</w:t>
            </w: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11,608,643</w:t>
            </w: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12,025,500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Spread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Above</w:t>
            </w:r>
          </w:p>
        </w:tc>
        <w:tc>
          <w:tcPr>
            <w:tcW w:w="60" w:type="dxa"/>
            <w:vAlign w:val="bottom"/>
          </w:tcPr>
          <w:p>
            <w:pPr>
              <w:spacing w:after="0"/>
              <w:rPr>
                <w:sz w:val="11"/>
                <w:szCs w:val="11"/>
                <w:color w:val="auto"/>
              </w:rPr>
            </w:pPr>
          </w:p>
        </w:tc>
        <w:tc>
          <w:tcPr>
            <w:tcW w:w="56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Par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Maturity</w:t>
            </w:r>
          </w:p>
        </w:tc>
        <w:tc>
          <w:tcPr>
            <w:tcW w:w="820" w:type="dxa"/>
            <w:vAlign w:val="bottom"/>
          </w:tcPr>
          <w:p>
            <w:pPr>
              <w:spacing w:after="0"/>
              <w:rPr>
                <w:sz w:val="14"/>
                <w:szCs w:val="14"/>
                <w:color w:val="auto"/>
              </w:rPr>
            </w:pPr>
          </w:p>
        </w:tc>
        <w:tc>
          <w:tcPr>
            <w:tcW w:w="13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Industry</w:t>
            </w:r>
          </w:p>
        </w:tc>
        <w:tc>
          <w:tcPr>
            <w:tcW w:w="2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Coupon</w:t>
            </w:r>
          </w:p>
        </w:tc>
        <w:tc>
          <w:tcPr>
            <w:tcW w:w="66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(1)</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9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line="162" w:lineRule="exact"/>
              <w:rPr>
                <w:sz w:val="20"/>
                <w:szCs w:val="20"/>
                <w:color w:val="auto"/>
              </w:rPr>
            </w:pPr>
            <w:r>
              <w:rPr>
                <w:rFonts w:ascii="Arial" w:cs="Arial" w:eastAsia="Arial" w:hAnsi="Arial"/>
                <w:sz w:val="12"/>
                <w:szCs w:val="12"/>
                <w:b w:val="1"/>
                <w:bCs w:val="1"/>
                <w:color w:val="auto"/>
                <w:w w:val="89"/>
              </w:rPr>
              <w:t>Value</w:t>
            </w:r>
            <w:r>
              <w:rPr>
                <w:rFonts w:ascii="Arial" w:cs="Arial" w:eastAsia="Arial" w:hAnsi="Arial"/>
                <w:sz w:val="18"/>
                <w:szCs w:val="18"/>
                <w:b w:val="1"/>
                <w:bCs w:val="1"/>
                <w:color w:val="auto"/>
                <w:w w:val="89"/>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Subordinated Debt/Corporate Notes—8.7% </w:t>
            </w:r>
            <w:r>
              <w:rPr>
                <w:rFonts w:ascii="Arial" w:cs="Arial" w:eastAsia="Arial" w:hAnsi="Arial"/>
                <w:sz w:val="17"/>
                <w:szCs w:val="17"/>
                <w:b w:val="1"/>
                <w:bCs w:val="1"/>
                <w:color w:val="auto"/>
                <w:vertAlign w:val="superscript"/>
              </w:rPr>
              <w:t>(8)</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11/15/2015</w:t>
            </w:r>
          </w:p>
        </w:tc>
        <w:tc>
          <w:tcPr>
            <w:tcW w:w="21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Consumer Goods: Non-Durable</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4,100,000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3,782,015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2,788,000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9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12/01/2017</w:t>
            </w:r>
          </w:p>
        </w:tc>
        <w:tc>
          <w:tcPr>
            <w:tcW w:w="21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13.00%</w:t>
            </w:r>
          </w:p>
        </w:tc>
        <w:tc>
          <w:tcPr>
            <w:tcW w:w="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980,074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98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06/03/2019</w:t>
            </w:r>
          </w:p>
        </w:tc>
        <w:tc>
          <w:tcPr>
            <w:tcW w:w="21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5"/>
              </w:rPr>
              <w:t>Beverage, Food and Tobacco</w:t>
            </w:r>
          </w:p>
        </w:tc>
        <w:tc>
          <w:tcPr>
            <w:tcW w:w="10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14.25%</w:t>
            </w:r>
          </w:p>
        </w:tc>
        <w:tc>
          <w:tcPr>
            <w:tcW w:w="66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w w:val="83"/>
              </w:rPr>
              <w:t>4,508,719</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4,432,092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4,508,719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(PIK 2.25%)</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9,194,181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18"/>
                <w:szCs w:val="18"/>
                <w:b w:val="1"/>
                <w:bCs w:val="1"/>
                <w:color w:val="auto"/>
                <w:vertAlign w:val="superscript"/>
              </w:rPr>
              <w:t>(7), (8)</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1"/>
              </w:rPr>
              <w:t>TrustHouse Services Holdings, LLC (TrustHouse Services Group, Inc.)</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w:t>
            </w:r>
          </w:p>
        </w:tc>
        <w:tc>
          <w:tcPr>
            <w:tcW w:w="1040" w:type="dxa"/>
            <w:vAlign w:val="bottom"/>
            <w:gridSpan w:val="5"/>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110,697</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200,571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Interests—1.1% </w:t>
            </w:r>
            <w:r>
              <w:rPr>
                <w:rFonts w:ascii="Arial" w:cs="Arial" w:eastAsia="Arial" w:hAnsi="Arial"/>
                <w:sz w:val="18"/>
                <w:szCs w:val="18"/>
                <w:b w:val="1"/>
                <w:bCs w:val="1"/>
                <w:color w:val="auto"/>
                <w:vertAlign w:val="superscript"/>
              </w:rPr>
              <w:t>(7), (8)</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214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7"/>
              </w:rPr>
              <w:t>Telecommunications</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401,797</w:t>
            </w:r>
          </w:p>
        </w:tc>
        <w:tc>
          <w:tcPr>
            <w:tcW w:w="8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401,450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1,091,018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w w:val="91"/>
              </w:rPr>
              <w:t>TrustHouse Services Holdings, LLC (TrustHouse Services Group, Inc.)</w:t>
            </w:r>
          </w:p>
        </w:tc>
        <w:tc>
          <w:tcPr>
            <w:tcW w:w="240" w:type="dxa"/>
            <w:vAlign w:val="bottom"/>
          </w:tcPr>
          <w:p>
            <w:pPr>
              <w:spacing w:after="0"/>
              <w:rPr>
                <w:sz w:val="13"/>
                <w:szCs w:val="13"/>
                <w:color w:val="auto"/>
              </w:rPr>
            </w:pPr>
          </w:p>
        </w:tc>
        <w:tc>
          <w:tcPr>
            <w:tcW w:w="7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260" w:type="dxa"/>
            <w:vAlign w:val="bottom"/>
          </w:tcPr>
          <w:p>
            <w:pPr>
              <w:spacing w:after="0"/>
              <w:rPr>
                <w:sz w:val="13"/>
                <w:szCs w:val="13"/>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5,000</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10,845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406,450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1,101,863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Total Investments in Non-Controlled, Non-Affiliated Portfolio</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4"/>
          </w:tcPr>
          <w:p>
            <w:pPr>
              <w:jc w:val="right"/>
              <w:spacing w:after="0" w:line="143" w:lineRule="exact"/>
              <w:rPr>
                <w:sz w:val="20"/>
                <w:szCs w:val="20"/>
                <w:color w:val="auto"/>
              </w:rPr>
            </w:pPr>
            <w:r>
              <w:rPr>
                <w:rFonts w:ascii="Arial" w:cs="Arial" w:eastAsia="Arial" w:hAnsi="Arial"/>
                <w:sz w:val="14"/>
                <w:szCs w:val="14"/>
                <w:color w:val="auto"/>
              </w:rPr>
              <w:t>171,578,009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3" w:lineRule="exact"/>
              <w:rPr>
                <w:sz w:val="20"/>
                <w:szCs w:val="20"/>
                <w:color w:val="auto"/>
              </w:rPr>
            </w:pPr>
            <w:r>
              <w:rPr>
                <w:rFonts w:ascii="Arial" w:cs="Arial" w:eastAsia="Arial" w:hAnsi="Arial"/>
                <w:sz w:val="14"/>
                <w:szCs w:val="14"/>
                <w:color w:val="auto"/>
                <w:w w:val="84"/>
              </w:rPr>
              <w:t>171,834,400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Companies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Equivalents—183.5%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4"/>
          </w:tcPr>
          <w:p>
            <w:pPr>
              <w:jc w:val="right"/>
              <w:spacing w:after="0" w:line="155" w:lineRule="exact"/>
              <w:rPr>
                <w:sz w:val="20"/>
                <w:szCs w:val="20"/>
                <w:color w:val="auto"/>
              </w:rPr>
            </w:pPr>
            <w:r>
              <w:rPr>
                <w:rFonts w:ascii="Arial" w:cs="Arial" w:eastAsia="Arial" w:hAnsi="Arial"/>
                <w:sz w:val="14"/>
                <w:szCs w:val="14"/>
                <w:color w:val="auto"/>
                <w:w w:val="93"/>
              </w:rPr>
              <w:t>$ 175,423,812</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4"/>
              </w:rPr>
              <w:t>175,680,203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Assets—(83.5)%</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0"/>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40" w:hanging="332"/>
        <w:spacing w:after="0" w:line="230"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April 2011, we closed our initial public offering and our common stock trades on the NASDAQ Global Select Market under the symbol “PFLT.” In connection with our April 2011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In March 2011, we sold 667 shares of common stock for $10,000 ($15.00 per share) to the Investment Adviser. See Note 3.</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26, 2013, we completed a follow-on public offering of 3,000,000 shares of common stock at a public offering price of $14.00 per share for gross proceeds of $42.0 million and net proceeds of $41.6 million after offering expenses. Our Investment Adviser paid the entire sales load of $1.3 million in connection with this offering. See Note 11.</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 owing with respect to such services are to be paid to us so long as the Investment Adviser remains the collateral manager. This arrangement does not increase our consolidated management fee. The five-year Credit Facility allows Funding I to borrow up to $125.0 million at LIBOR plus 200 basis points during the revolving period. The Credit Facility is secured by all of the assets held by Funding I. See Note 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amounts of income and expenses during the reported periods. Actual results could differ from these estimates. We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300" w:hanging="387"/>
        <w:spacing w:after="0"/>
        <w:tabs>
          <w:tab w:leader="none" w:pos="1300" w:val="left"/>
        </w:tabs>
        <w:numPr>
          <w:ilvl w:val="0"/>
          <w:numId w:val="1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9" w:lineRule="exact"/>
        <w:rPr>
          <w:sz w:val="20"/>
          <w:szCs w:val="20"/>
          <w:color w:val="auto"/>
        </w:rPr>
      </w:pPr>
    </w:p>
    <w:p>
      <w:pPr>
        <w:ind w:left="900" w:right="180" w:hanging="446"/>
        <w:spacing w:after="0" w:line="332"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54" w:lineRule="exact"/>
        <w:rPr>
          <w:sz w:val="20"/>
          <w:szCs w:val="20"/>
          <w:color w:val="auto"/>
        </w:rPr>
      </w:pPr>
    </w:p>
    <w:p>
      <w:pPr>
        <w:ind w:left="1300" w:hanging="387"/>
        <w:spacing w:after="0"/>
        <w:tabs>
          <w:tab w:leader="none" w:pos="130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280" w:hanging="367"/>
        <w:spacing w:after="0"/>
        <w:tabs>
          <w:tab w:leader="none" w:pos="1280" w:val="left"/>
        </w:tabs>
        <w:numPr>
          <w:ilvl w:val="0"/>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 an excise tax of $0.1 million and less than $0.1 million for the six months ended March 31, 2013 and 2012,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 for our federal tax year 2011 remains subject to examination by the Internal Revenue Service and the state department of revenue.</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65" w:lineRule="exact"/>
        <w:rPr>
          <w:sz w:val="20"/>
          <w:szCs w:val="20"/>
          <w:color w:val="auto"/>
        </w:rPr>
      </w:pPr>
    </w:p>
    <w:p>
      <w:pPr>
        <w:ind w:left="1300" w:hanging="387"/>
        <w:spacing w:after="0"/>
        <w:tabs>
          <w:tab w:leader="none" w:pos="130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Dividends,Distributions, and Capital Transactions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1460" w:hanging="366"/>
        <w:spacing w:after="0"/>
        <w:tabs>
          <w:tab w:leader="none" w:pos="146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As permitted under Regulation S-X and as explained by ASC 946-810-45, Financial Services—Investment Companies—Consolidation,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65" w:lineRule="exact"/>
        <w:rPr>
          <w:sz w:val="20"/>
          <w:szCs w:val="20"/>
          <w:color w:val="auto"/>
        </w:rPr>
      </w:pPr>
    </w:p>
    <w:p>
      <w:pPr>
        <w:ind w:left="920"/>
        <w:spacing w:after="0"/>
        <w:tabs>
          <w:tab w:leader="none" w:pos="12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AssetTransfers and Servicing</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are not intended to be available to the creditors of PennantPark Floating Rate Capital Ltd. or any affiliate of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Investment Management Agreement with the Investment Adviser was re-approved by our board of directors, including a majority of our independent directors, in February 2013.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 for any partial month or quarter are appropriately pro-rated. For the three and six months ended March 31, 2013, the Investment Adviser earned base management fee of $0.5 million and $0.9 million, respectively, from us. For the three and six months ended March 31, 2012, the Investment Adviser earned base management fee of $0.4 million and $0.7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w:t>
      </w:r>
    </w:p>
    <w:p>
      <w:pPr>
        <w:spacing w:after="0" w:line="4" w:lineRule="exact"/>
        <w:rPr>
          <w:sz w:val="20"/>
          <w:szCs w:val="20"/>
          <w:color w:val="auto"/>
        </w:rPr>
      </w:pPr>
    </w:p>
    <w:p>
      <w:pPr>
        <w:jc w:val="both"/>
        <w:ind w:right="80" w:firstLine="8"/>
        <w:spacing w:after="0" w:line="300" w:lineRule="auto"/>
        <w:tabs>
          <w:tab w:leader="none" w:pos="24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w:t>
      </w:r>
    </w:p>
    <w:p>
      <w:pPr>
        <w:spacing w:after="0" w:line="1" w:lineRule="exact"/>
        <w:rPr>
          <w:rFonts w:ascii="Arial" w:cs="Arial" w:eastAsia="Arial" w:hAnsi="Arial"/>
          <w:sz w:val="15"/>
          <w:szCs w:val="15"/>
          <w:color w:val="auto"/>
        </w:rPr>
      </w:pPr>
    </w:p>
    <w:p>
      <w:pPr>
        <w:ind w:right="80"/>
        <w:spacing w:after="0" w:line="253" w:lineRule="auto"/>
        <w:rPr>
          <w:rFonts w:ascii="Arial" w:cs="Arial" w:eastAsia="Arial" w:hAnsi="Arial"/>
          <w:sz w:val="15"/>
          <w:szCs w:val="15"/>
          <w:color w:val="auto"/>
        </w:rPr>
      </w:pPr>
      <w:r>
        <w:rPr>
          <w:rFonts w:ascii="Arial" w:cs="Arial" w:eastAsia="Arial" w:hAnsi="Arial"/>
          <w:sz w:val="18"/>
          <w:szCs w:val="18"/>
          <w:color w:val="auto"/>
        </w:rPr>
        <w:t>2.9167% in any calendar quarter. These calculations are pro-rated for any share issuances or repurchases during the relevant quarter. For the three and six months ended March 31, 2013, the Investment Adviser earned a performance based incentive fee on net investment income as calculated under the Investment Management Agreement of $0.3 million and $0.7 million, respectively. For the three and six months ended March 31, 2012, the Investment Adviser earned a performance based incentive fee on net investment income as calculated under the Investment Management Agreement, which resulted in an accrual of less than $0.1 million.</w:t>
      </w:r>
    </w:p>
    <w:p>
      <w:pPr>
        <w:spacing w:after="0" w:line="14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80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inception. For the three and six months ended March 31, 2013 and 2012, the Investment Adviser did not earn a performance based incentive fee on capital gains as calculated under the Investment Management Agreement.</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(losses)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 paid in all prior years. If such amount is negative, then there is no accrual for such year. There can be no assurance that such unrealized capital appreciation will be realized in the future. For the three and six months ended March 31, 2013, the Investment Adviser earned a performance based incentive fee on unrealized and realized capital gains as calculated under GAAP of approximately $0.3 million. For the three and six months ended March 31, 2012, the Investment Adviser earned a performance based incentive fee on unrealized and realized capital gains as calculated under GAAP, which resulted in an accrual of less than $0.1 million.</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the independent directors, in February 2013.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2013, the Investment Adviser was reimbursed approximately $0.1 million and $0.2 million, respectively, from us, including expenses it incurred on behalf of the Administrator, for services described above. For the three and six months ended March 31, 2012, the Investment Adviser was reimbursed approximately $0.1 million in total, from us, including expenses it incurred on behalf of the Administrator, for services described above.</w:t>
      </w:r>
    </w:p>
    <w:p>
      <w:pPr>
        <w:spacing w:after="0" w:line="12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and six months ended March 31, 2013 totaled $45.1 million and $84.1 million, respectively. For the same periods in the prior year, purchases of long-term investments, including PIK, totaled $32.9 million and $72.3 million, respectively. Sales and repayments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60" w:right="2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6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long-term investments for the three and six months ended March 31, 2013 totaled $43.9 million and $74.2 million, respectively. For the same periods in the prior year, sales and repayments of long-term investments totaled $19.3 million and $41.6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20" w:type="dxa"/>
            <w:vAlign w:val="bottom"/>
          </w:tcPr>
          <w:p>
            <w:pPr>
              <w:spacing w:after="0"/>
              <w:rPr>
                <w:sz w:val="14"/>
                <w:szCs w:val="14"/>
                <w:color w:val="auto"/>
              </w:rPr>
            </w:pPr>
          </w:p>
        </w:tc>
        <w:tc>
          <w:tcPr>
            <w:tcW w:w="2280" w:type="dxa"/>
            <w:vAlign w:val="bottom"/>
            <w:gridSpan w:val="5"/>
          </w:tcPr>
          <w:p>
            <w:pPr>
              <w:jc w:val="right"/>
              <w:ind w:right="675"/>
              <w:spacing w:after="0"/>
              <w:rPr>
                <w:sz w:val="20"/>
                <w:szCs w:val="20"/>
                <w:color w:val="auto"/>
              </w:rPr>
            </w:pPr>
            <w:r>
              <w:rPr>
                <w:rFonts w:ascii="Arial" w:cs="Arial" w:eastAsia="Arial" w:hAnsi="Arial"/>
                <w:sz w:val="14"/>
                <w:szCs w:val="14"/>
                <w:b w:val="1"/>
                <w:bCs w:val="1"/>
                <w:color w:val="auto"/>
              </w:rPr>
              <w:t>March 31, 2013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ind w:left="52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9"/>
        </w:trPr>
        <w:tc>
          <w:tcPr>
            <w:tcW w:w="524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3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159,997,444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159,682,263</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150,258,038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9,997,477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10,347,423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11,608,643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12,025,500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12,858,238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11,904,164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9,194,181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683,814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1,935,912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517,147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1,302,434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183,536,973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183,869,762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171,578,009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171,834,400</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2,725,248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2,725,248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3,845,803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3,845,803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186,262,221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186,595,010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175,423,812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175,680,203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Industry Classification</w:t>
            </w:r>
          </w:p>
        </w:tc>
        <w:tc>
          <w:tcPr>
            <w:tcW w:w="2260" w:type="dxa"/>
            <w:vAlign w:val="bottom"/>
            <w:vMerge w:val="restart"/>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4"/>
        </w:trPr>
        <w:tc>
          <w:tcPr>
            <w:tcW w:w="1380" w:type="dxa"/>
            <w:vAlign w:val="bottom"/>
            <w:tcBorders>
              <w:bottom w:val="single" w:sz="8" w:color="auto"/>
            </w:tcBorders>
            <w:vMerge w:val="continue"/>
          </w:tcPr>
          <w:p>
            <w:pPr>
              <w:spacing w:after="0"/>
              <w:rPr>
                <w:sz w:val="11"/>
                <w:szCs w:val="11"/>
                <w:color w:val="auto"/>
              </w:rPr>
            </w:pPr>
          </w:p>
        </w:tc>
        <w:tc>
          <w:tcPr>
            <w:tcW w:w="226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124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8"/>
              </w:rPr>
              <w:t>March 31, 2013</w:t>
            </w:r>
          </w:p>
        </w:tc>
        <w:tc>
          <w:tcPr>
            <w:tcW w:w="19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17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13%</w:t>
            </w:r>
          </w:p>
        </w:tc>
        <w:tc>
          <w:tcPr>
            <w:tcW w:w="82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Metals and Mining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7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940" w:type="dxa"/>
            <w:vAlign w:val="bottom"/>
            <w:gridSpan w:val="3"/>
          </w:tcPr>
          <w:p>
            <w:pPr>
              <w:jc w:val="right"/>
              <w:ind w:right="2080"/>
              <w:spacing w:after="0"/>
              <w:rPr>
                <w:sz w:val="20"/>
                <w:szCs w:val="20"/>
                <w:color w:val="auto"/>
              </w:rPr>
            </w:pPr>
            <w:r>
              <w:rPr>
                <w:rFonts w:ascii="Arial" w:cs="Arial" w:eastAsia="Arial" w:hAnsi="Arial"/>
                <w:sz w:val="18"/>
                <w:szCs w:val="18"/>
                <w:color w:val="auto"/>
              </w:rPr>
              <w:t>F-46</w:t>
            </w: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2013, our ability to observe valuation inputs resulted in reclassification of assets from Level 3 to 2 and we had no other transfers between levels. This compares to the six months ended March 31, 2012, which resulted in no reclassification of assets from Levels 1, 2 or 3.</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Accounting Standards Update No. 2011-04, “Fair Value Measurement: Amendments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80"/>
          </w:cols>
          <w:pgMar w:left="240" w:top="459" w:right="2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18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as of</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March 31, 2013</w:t>
            </w:r>
          </w:p>
        </w:tc>
        <w:tc>
          <w:tcPr>
            <w:tcW w:w="23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24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Unobservable Input</w:t>
            </w:r>
          </w:p>
        </w:tc>
        <w:tc>
          <w:tcPr>
            <w:tcW w:w="2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81"/>
        </w:trPr>
        <w:tc>
          <w:tcPr>
            <w:tcW w:w="27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6"/>
              </w:rPr>
              <w:t>First lien, second lien, subordinated</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157,963,729</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Broker/Dealer bid quotes</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8"/>
        </w:trPr>
        <w:tc>
          <w:tcPr>
            <w:tcW w:w="2740" w:type="dxa"/>
            <w:vAlign w:val="bottom"/>
            <w:gridSpan w:val="2"/>
          </w:tcPr>
          <w:p>
            <w:pPr>
              <w:spacing w:after="0"/>
              <w:rPr>
                <w:sz w:val="20"/>
                <w:szCs w:val="20"/>
                <w:color w:val="auto"/>
              </w:rPr>
            </w:pPr>
            <w:r>
              <w:rPr>
                <w:rFonts w:ascii="Arial" w:cs="Arial" w:eastAsia="Arial" w:hAnsi="Arial"/>
                <w:sz w:val="18"/>
                <w:szCs w:val="18"/>
                <w:color w:val="auto"/>
                <w:w w:val="96"/>
              </w:rPr>
              <w:t>First lien, second lien, subordinated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19,742,871</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Yield</w:t>
            </w: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7.3% – 14.9%(12.0%)</w:t>
            </w:r>
          </w:p>
        </w:tc>
        <w:tc>
          <w:tcPr>
            <w:tcW w:w="0" w:type="dxa"/>
            <w:vAlign w:val="bottom"/>
          </w:tcPr>
          <w:p>
            <w:pPr>
              <w:spacing w:after="0"/>
              <w:rPr>
                <w:sz w:val="1"/>
                <w:szCs w:val="1"/>
                <w:color w:val="auto"/>
              </w:rPr>
            </w:pPr>
          </w:p>
        </w:tc>
      </w:tr>
      <w:tr>
        <w:trPr>
          <w:trHeight w:val="218"/>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1,935,912</w:t>
            </w: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Enterprise Market Value</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EBITDA multiple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6.8x – 9.5x (8.2x)</w:t>
            </w:r>
          </w:p>
        </w:tc>
        <w:tc>
          <w:tcPr>
            <w:tcW w:w="0" w:type="dxa"/>
            <w:vAlign w:val="bottom"/>
          </w:tcPr>
          <w:p>
            <w:pPr>
              <w:spacing w:after="0"/>
              <w:rPr>
                <w:sz w:val="1"/>
                <w:szCs w:val="1"/>
                <w:color w:val="auto"/>
              </w:rPr>
            </w:pPr>
          </w:p>
        </w:tc>
      </w:tr>
      <w:tr>
        <w:trPr>
          <w:trHeight w:val="222"/>
        </w:trPr>
        <w:tc>
          <w:tcPr>
            <w:tcW w:w="274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179,642,512</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34,200,000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Market Yield</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02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8"/>
              </w:rPr>
              <w:t>Fair Value Measurements at March 31, 2013</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159,682,263</w:t>
            </w: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159,682,263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10,347,423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1,623,750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8,723,673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11,904,164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2,603,500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1,935,912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183,869,762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4,227,250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179,642,512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2,725,248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2,725,248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186,595,010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2,725,248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4,227,250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179,642,512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34,200,000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020" w:type="dxa"/>
            <w:vAlign w:val="bottom"/>
            <w:vMerge w:val="restart"/>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7"/>
              </w:rPr>
              <w:t>Fair Value Measurements at September 30, 2012</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12,025,500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8,296,719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171,834,400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3,845,803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3,845,803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175,680,203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3,845,803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F-49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8"/>
              </w:rPr>
              <w:t>Six Months Ended March 31, 2013</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First Lien</w:t>
            </w:r>
          </w:p>
        </w:tc>
        <w:tc>
          <w:tcPr>
            <w:tcW w:w="460" w:type="dxa"/>
            <w:vAlign w:val="bottom"/>
          </w:tcPr>
          <w:p>
            <w:pPr>
              <w:spacing w:after="0"/>
              <w:rPr>
                <w:sz w:val="12"/>
                <w:szCs w:val="12"/>
                <w:color w:val="auto"/>
              </w:rPr>
            </w:pPr>
          </w:p>
        </w:tc>
        <w:tc>
          <w:tcPr>
            <w:tcW w:w="2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and equity investments</w:t>
            </w: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18,836,653</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1,132,985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414,485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1,547,470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 appreciation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(266,886)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539,275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75,103,378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9,486,250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84,589,628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 / exchanges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(66,496,961)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(7,730,164)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(74,227,125)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(1,586,250)</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(1,586,250)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2013</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159,682,263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19,960,249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179,642,512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color w:val="auto"/>
                <w:w w:val="93"/>
              </w:rPr>
              <w:t>Net change in unrealized appreciation (depreciation) reported within the net change in</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w w:val="91"/>
              </w:rPr>
              <w:t>unrealized appreciation on investments in our Consolidated Statement of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580,762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(1,973,070)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(1,392,308)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8"/>
              </w:rPr>
              <w:t>Six Months Ended March 31, 2012</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First Lien</w:t>
            </w:r>
          </w:p>
        </w:tc>
        <w:tc>
          <w:tcPr>
            <w:tcW w:w="460" w:type="dxa"/>
            <w:vAlign w:val="bottom"/>
          </w:tcPr>
          <w:p>
            <w:pPr>
              <w:spacing w:after="0"/>
              <w:rPr>
                <w:sz w:val="12"/>
                <w:szCs w:val="12"/>
                <w:color w:val="auto"/>
              </w:rPr>
            </w:pPr>
          </w:p>
        </w:tc>
        <w:tc>
          <w:tcPr>
            <w:tcW w:w="2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and equity investments</w:t>
            </w: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315,366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86,442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3,176,684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543,615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67,494,977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2,868,886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70,363,863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(34,010,082)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(5,533,750)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(39,543,832)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126,306,324</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16,171,308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142,477,632</w:t>
            </w: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color w:val="auto"/>
                <w:w w:val="97"/>
              </w:rPr>
              <w:t>Net change in unrealized appreciation reported within the net change in unrealized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appreciation on investments in our Consolidated Statement of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3,638,956</w:t>
            </w:r>
          </w:p>
        </w:tc>
        <w:tc>
          <w:tcPr>
            <w:tcW w:w="200" w:type="dxa"/>
            <w:vAlign w:val="bottom"/>
          </w:tcPr>
          <w:p>
            <w:pPr>
              <w:spacing w:after="0"/>
              <w:rPr>
                <w:sz w:val="19"/>
                <w:szCs w:val="19"/>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546,020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4,184,976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00" w:type="dxa"/>
            <w:vAlign w:val="bottom"/>
            <w:vMerge w:val="restart"/>
          </w:tcPr>
          <w:p>
            <w:pPr>
              <w:ind w:left="4820"/>
              <w:spacing w:after="0"/>
              <w:rPr>
                <w:sz w:val="20"/>
                <w:szCs w:val="20"/>
                <w:color w:val="auto"/>
              </w:rPr>
            </w:pPr>
            <w:r>
              <w:rPr>
                <w:rFonts w:ascii="Arial" w:cs="Arial" w:eastAsia="Arial" w:hAnsi="Arial"/>
                <w:sz w:val="18"/>
                <w:szCs w:val="18"/>
                <w:color w:val="auto"/>
              </w:rPr>
              <w:t>F-50</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00" w:right="272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5240" w:type="dxa"/>
            <w:vAlign w:val="bottom"/>
            <w:vMerge w:val="restart"/>
          </w:tcPr>
          <w:p>
            <w:pPr>
              <w:spacing w:after="0"/>
              <w:rPr>
                <w:sz w:val="14"/>
                <w:szCs w:val="14"/>
                <w:color w:val="auto"/>
              </w:rPr>
            </w:pPr>
          </w:p>
        </w:tc>
        <w:tc>
          <w:tcPr>
            <w:tcW w:w="2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auto"/>
            </w:tcBorders>
            <w:vMerge w:val="continue"/>
          </w:tcPr>
          <w:p>
            <w:pPr>
              <w:spacing w:after="0"/>
              <w:rPr>
                <w:sz w:val="12"/>
                <w:szCs w:val="12"/>
                <w:color w:val="auto"/>
              </w:rPr>
            </w:pPr>
          </w:p>
        </w:tc>
        <w:tc>
          <w:tcPr>
            <w:tcW w:w="52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8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6"/>
              </w:rPr>
              <w:t>Beginning Balance, September 30, 2012 and 2011, respectively (cost – $75,500,000 and</w:t>
            </w:r>
          </w:p>
        </w:tc>
        <w:tc>
          <w:tcPr>
            <w:tcW w:w="9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$24,650,000, respectively)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$ 75,122,500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24,650,000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Total unrealized appreciation (depreciation) included in earnings</w:t>
            </w:r>
          </w:p>
        </w:tc>
        <w:tc>
          <w:tcPr>
            <w:tcW w:w="940" w:type="dxa"/>
            <w:vAlign w:val="bottom"/>
          </w:tcPr>
          <w:p>
            <w:pPr>
              <w:jc w:val="right"/>
              <w:spacing w:after="0"/>
              <w:rPr>
                <w:sz w:val="20"/>
                <w:szCs w:val="20"/>
                <w:color w:val="auto"/>
              </w:rPr>
            </w:pPr>
            <w:r>
              <w:rPr>
                <w:rFonts w:ascii="Arial" w:cs="Arial" w:eastAsia="Arial" w:hAnsi="Arial"/>
                <w:sz w:val="18"/>
                <w:szCs w:val="18"/>
                <w:color w:val="auto"/>
              </w:rPr>
              <w:t>377,500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45,250,000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54,050,000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Repayments</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(86,550,000)</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(30,900,000)</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880" w:type="dxa"/>
            <w:vAlign w:val="bottom"/>
            <w:gridSpan w:val="2"/>
          </w:tcPr>
          <w:p>
            <w:pPr>
              <w:spacing w:after="0"/>
              <w:rPr>
                <w:sz w:val="20"/>
                <w:szCs w:val="20"/>
                <w:color w:val="auto"/>
              </w:rPr>
            </w:pPr>
            <w:r>
              <w:rPr>
                <w:rFonts w:ascii="Arial" w:cs="Arial" w:eastAsia="Arial" w:hAnsi="Arial"/>
                <w:sz w:val="18"/>
                <w:szCs w:val="18"/>
                <w:color w:val="auto"/>
              </w:rPr>
              <w:t>Ending Balance, March 31, 2013 and 2012, respectively</w:t>
            </w:r>
          </w:p>
        </w:tc>
        <w:tc>
          <w:tcPr>
            <w:tcW w:w="9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ind w:left="220"/>
              <w:spacing w:after="0"/>
              <w:rPr>
                <w:sz w:val="20"/>
                <w:szCs w:val="20"/>
                <w:color w:val="auto"/>
              </w:rPr>
            </w:pPr>
            <w:r>
              <w:rPr>
                <w:rFonts w:ascii="Arial" w:cs="Arial" w:eastAsia="Arial" w:hAnsi="Arial"/>
                <w:sz w:val="18"/>
                <w:szCs w:val="18"/>
                <w:color w:val="auto"/>
              </w:rPr>
              <w:t>(cost – $34,200,000 and $47,800,000, respectively)</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$ 34,200,000</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47,561,000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three months ended March 31,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2013, we had a net change in unrealized appreciation of zero and $0.4 million, respectively. For the three and six months ended March 31, 2012, we had a net change in unrealized (appreciation) depreciation of $(0.1) million and $0.2 million, respectively. As of March 31,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80"/>
          </w:cols>
          <w:pgMar w:left="240" w:top="460" w:right="3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3,205,735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4,525,075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4,971,166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7,630,240</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Denominator for basic weighted average shares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7,050,833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6,850,667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6,949,650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6,850,667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weighted average shares*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7,080,833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6,850,667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6,964,485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6,850,667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Basic net increase in net assets per share resulting from operations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increase in net assets per share resulting from operations*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Includes shares issued in connection with the underwriters’ overallotment option.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2013 and September 30, 2012, cash equivalents consisted of money market funds in the amounts of $2.7 million and $3.8 million, respectively.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40" w:right="278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13.98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change in realized and unrealized gain</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(1),(2)</w:t>
            </w: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Effect of common stock issuance and offering costs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14.10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9,851,151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6,850,667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Ratios / Supplemental Data: **</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r>
              <w:rPr>
                <w:rFonts w:ascii="Arial" w:cs="Arial" w:eastAsia="Arial" w:hAnsi="Arial"/>
                <w:sz w:val="11"/>
                <w:szCs w:val="11"/>
                <w:color w:val="auto"/>
              </w:rPr>
              <w:t>(5)</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138,879,485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96,722,305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Average debt outstanding</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73,503,159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34,512,568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85.12%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680" w:firstLine="8"/>
        <w:spacing w:after="0" w:line="286" w:lineRule="auto"/>
        <w:tabs>
          <w:tab w:leader="none" w:pos="44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right="380" w:hanging="452"/>
        <w:spacing w:after="0" w:line="250"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Operating expenses exclude Credit Facility amendment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Ratio does not annualize Credit Facility amendment costs.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29, 2013, we amended Funding I’s Credit Facility with SunTrust Bank, or the Lender, to expand the size of its Credit Facility from $100 million to $125 million, subject to satisfaction of certain conditions and the regulatory restrictions that the 1940 Act imposes on us as a BDC, to reduce the interest rate spread above LIBOR from 225 to 200 basis points, to reduce the undrawn commitment fee and to extend the maturity date to May 2018 and the revolving period (as defined below) to May 2016. As of March 31, 2013 and September 30,</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40"/>
          </w:cols>
          <w:pgMar w:left="240" w:top="460" w:right="3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2012, Funding I had $34.2 million and $75.5 million of outstanding borrowings under the Credit Facility, respectively, and carried an interest rate of 2.21%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2.47%, respectively, excluding the 0.375% undrawn commitment fee.</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period to and including May 14,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 owing with respect to such services are to be paid to the Company so long as the Investment Adviser remains the collateral manager.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8, 2013, we sold an additional 450,000 shares of common stock pursuant to the exercise of the underwriters’ overallotment option at a public offering price of $14.00 per share, generating gross proceeds of $6.3 million. Our Investment Adviser paid the entire sales load of $0.2 million in connection with the sale of these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546100</wp:posOffset>
            </wp:positionV>
            <wp:extent cx="2461260" cy="5314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61260" cy="5314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4,700,000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774700</wp:posOffset>
            </wp:positionV>
            <wp:extent cx="40563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191135</wp:posOffset>
            </wp:positionV>
            <wp:extent cx="40563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auto"/>
        </w:rPr>
        <w:t>Morgan Stanley</w:t>
      </w:r>
    </w:p>
    <w:p>
      <w:pPr>
        <w:spacing w:after="0" w:line="89" w:lineRule="exact"/>
        <w:rPr>
          <w:sz w:val="20"/>
          <w:szCs w:val="20"/>
          <w:color w:val="auto"/>
        </w:rPr>
      </w:pPr>
    </w:p>
    <w:p>
      <w:pPr>
        <w:ind w:left="5080"/>
        <w:spacing w:after="0"/>
        <w:rPr>
          <w:sz w:val="20"/>
          <w:szCs w:val="20"/>
          <w:color w:val="auto"/>
        </w:rPr>
      </w:pPr>
      <w:r>
        <w:rPr>
          <w:rFonts w:ascii="Arial" w:cs="Arial" w:eastAsia="Arial" w:hAnsi="Arial"/>
          <w:sz w:val="24"/>
          <w:szCs w:val="24"/>
          <w:b w:val="1"/>
          <w:bCs w:val="1"/>
          <w:color w:val="auto"/>
        </w:rPr>
        <w:t>J.P. Morgan</w:t>
      </w:r>
    </w:p>
    <w:p>
      <w:pPr>
        <w:spacing w:after="0" w:line="89" w:lineRule="exact"/>
        <w:rPr>
          <w:sz w:val="20"/>
          <w:szCs w:val="20"/>
          <w:color w:val="auto"/>
        </w:rPr>
      </w:pPr>
    </w:p>
    <w:p>
      <w:pPr>
        <w:ind w:left="4460"/>
        <w:spacing w:after="0"/>
        <w:rPr>
          <w:sz w:val="20"/>
          <w:szCs w:val="20"/>
          <w:color w:val="auto"/>
        </w:rPr>
      </w:pPr>
      <w:r>
        <w:rPr>
          <w:rFonts w:ascii="Arial" w:cs="Arial" w:eastAsia="Arial" w:hAnsi="Arial"/>
          <w:sz w:val="24"/>
          <w:szCs w:val="24"/>
          <w:b w:val="1"/>
          <w:bCs w:val="1"/>
          <w:color w:val="auto"/>
        </w:rPr>
        <w:t>Keefe, Bruyette &amp; Woods</w:t>
      </w:r>
    </w:p>
    <w:p>
      <w:pPr>
        <w:spacing w:after="0" w:line="37" w:lineRule="exact"/>
        <w:rPr>
          <w:sz w:val="20"/>
          <w:szCs w:val="20"/>
          <w:color w:val="auto"/>
        </w:rPr>
      </w:pPr>
    </w:p>
    <w:p>
      <w:pPr>
        <w:jc w:val="right"/>
        <w:ind w:right="2559"/>
        <w:spacing w:after="0"/>
        <w:rPr>
          <w:sz w:val="20"/>
          <w:szCs w:val="20"/>
          <w:color w:val="auto"/>
        </w:rPr>
      </w:pPr>
      <w:r>
        <w:rPr>
          <w:rFonts w:ascii="Arial" w:cs="Arial" w:eastAsia="Arial" w:hAnsi="Arial"/>
          <w:sz w:val="14"/>
          <w:szCs w:val="14"/>
          <w:i w:val="1"/>
          <w:iCs w:val="1"/>
          <w:color w:val="auto"/>
        </w:rPr>
        <w:t>A Stifel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20"/>
        <w:spacing w:after="0"/>
        <w:tabs>
          <w:tab w:leader="none" w:pos="5740" w:val="left"/>
        </w:tabs>
        <w:rPr>
          <w:sz w:val="20"/>
          <w:szCs w:val="20"/>
          <w:color w:val="auto"/>
        </w:rPr>
      </w:pPr>
      <w:r>
        <w:rPr>
          <w:rFonts w:ascii="Arial" w:cs="Arial" w:eastAsia="Arial" w:hAnsi="Arial"/>
          <w:sz w:val="18"/>
          <w:szCs w:val="18"/>
          <w:b w:val="1"/>
          <w:bCs w:val="1"/>
          <w:color w:val="auto"/>
        </w:rPr>
        <w:t>July</w:t>
        <w:tab/>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1"/>
      <w:numFmt w:val="lowerLetter"/>
      <w:start w:val="1"/>
    </w:lvl>
    <w:lvl w:ilvl="1">
      <w:lvlJc w:val="left"/>
      <w:lvlText w:val="•"/>
      <w:numFmt w:val="bullet"/>
      <w:start w:val="1"/>
    </w:lvl>
  </w:abstractNum>
  <w:abstractNum w:abstractNumId="3">
    <w:nsid w:val="579BE4F1"/>
    <w:multiLevelType w:val="hybridMultilevel"/>
    <w:lvl w:ilvl="0">
      <w:lvlJc w:val="left"/>
      <w:lvlText w:val="(%1)"/>
      <w:numFmt w:val="decimal"/>
      <w:start w:val="1"/>
    </w:lvl>
  </w:abstractNum>
  <w:abstractNum w:abstractNumId="4">
    <w:nsid w:val="310C50B3"/>
    <w:multiLevelType w:val="hybridMultilevel"/>
    <w:lvl w:ilvl="0">
      <w:lvlJc w:val="left"/>
      <w:lvlText w:val="(%1)"/>
      <w:numFmt w:val="decimal"/>
      <w:start w:val="6"/>
    </w:lvl>
  </w:abstractNum>
  <w:abstractNum w:abstractNumId="5">
    <w:nsid w:val="5FF87E05"/>
    <w:multiLevelType w:val="hybridMultilevel"/>
    <w:lvl w:ilvl="0">
      <w:lvlJc w:val="left"/>
      <w:lvlText w:val="(%1)"/>
      <w:numFmt w:val="decimal"/>
      <w:start w:val="2"/>
    </w:lvl>
  </w:abstractNum>
  <w:abstractNum w:abstractNumId="6">
    <w:nsid w:val="2F305DEF"/>
    <w:multiLevelType w:val="hybridMultilevel"/>
    <w:lvl w:ilvl="0">
      <w:lvlJc w:val="left"/>
      <w:lvlText w:val="(%1)"/>
      <w:numFmt w:val="decimal"/>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1)"/>
      <w:numFmt w:val="decimal"/>
      <w:start w:val="1"/>
    </w:lvl>
  </w:abstractNum>
  <w:abstractNum w:abstractNumId="9">
    <w:nsid w:val="4AD084E9"/>
    <w:multiLevelType w:val="hybridMultilevel"/>
    <w:lvl w:ilvl="0">
      <w:lvlJc w:val="left"/>
      <w:lvlText w:val="(%1)"/>
      <w:numFmt w:val="decimal"/>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1)"/>
      <w:numFmt w:val="decimal"/>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1)"/>
      <w:numFmt w:val="lowerLetter"/>
      <w:start w:val="1"/>
    </w:lvl>
  </w:abstractNum>
  <w:abstractNum w:abstractNumId="15">
    <w:nsid w:val="15014ACB"/>
    <w:multiLevelType w:val="hybridMultilevel"/>
    <w:lvl w:ilvl="0">
      <w:lvlJc w:val="left"/>
      <w:lvlText w:val="(%1)"/>
      <w:numFmt w:val="decimal"/>
      <w:start w:val="1"/>
    </w:lvl>
  </w:abstractNum>
  <w:abstractNum w:abstractNumId="16">
    <w:nsid w:val="5F5E7FD0"/>
    <w:multiLevelType w:val="hybridMultilevel"/>
    <w:lvl w:ilvl="0">
      <w:lvlJc w:val="left"/>
      <w:lvlText w:val="(%1)"/>
      <w:numFmt w:val="decimal"/>
      <w:start w:val="1"/>
    </w:lvl>
  </w:abstractNum>
  <w:abstractNum w:abstractNumId="17">
    <w:nsid w:val="98A3148"/>
    <w:multiLevelType w:val="hybridMultilevel"/>
    <w:lvl w:ilvl="0">
      <w:lvlJc w:val="left"/>
      <w:lvlText w:val="(%1)"/>
      <w:numFmt w:val="decimal"/>
      <w:start w:val="7"/>
    </w:lvl>
  </w:abstractNum>
  <w:abstractNum w:abstractNumId="18">
    <w:nsid w:val="799D0247"/>
    <w:multiLevelType w:val="hybridMultilevel"/>
    <w:lvl w:ilvl="0">
      <w:lvlJc w:val="left"/>
      <w:lvlText w:val="(%1)"/>
      <w:numFmt w:val="decimal"/>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1)"/>
      <w:numFmt w:val="decimal"/>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1)"/>
      <w:numFmt w:val="decimal"/>
      <w:start w:val="1"/>
    </w:lvl>
  </w:abstractNum>
  <w:abstractNum w:abstractNumId="30">
    <w:nsid w:val="11447B73"/>
    <w:multiLevelType w:val="hybridMultilevel"/>
    <w:lvl w:ilvl="0">
      <w:lvlJc w:val="left"/>
      <w:lvlText w:val="(%1)"/>
      <w:numFmt w:val="decimal"/>
      <w:start w:val="2"/>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1)"/>
      <w:numFmt w:val="decimal"/>
      <w:start w:val="4"/>
    </w:lvl>
  </w:abstractNum>
  <w:abstractNum w:abstractNumId="36">
    <w:nsid w:val="68EB2F63"/>
    <w:multiLevelType w:val="hybridMultilevel"/>
    <w:lvl w:ilvl="0">
      <w:lvlJc w:val="left"/>
      <w:lvlText w:val="(%1)"/>
      <w:numFmt w:val="decimal"/>
      <w:start w:val="1"/>
    </w:lvl>
  </w:abstractNum>
  <w:abstractNum w:abstractNumId="37">
    <w:nsid w:val="4962813B"/>
    <w:multiLevelType w:val="hybridMultilevel"/>
    <w:lvl w:ilvl="0">
      <w:lvlJc w:val="left"/>
      <w:lvlText w:val="(%1)"/>
      <w:numFmt w:val="decimal"/>
      <w:start w:val="1"/>
    </w:lvl>
  </w:abstractNum>
  <w:abstractNum w:abstractNumId="38">
    <w:nsid w:val="60B6DF70"/>
    <w:multiLevelType w:val="hybridMultilevel"/>
    <w:lvl w:ilvl="0">
      <w:lvlJc w:val="left"/>
      <w:lvlText w:val="(%1)"/>
      <w:numFmt w:val="decimal"/>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lowerLetter"/>
      <w:start w:val="2"/>
    </w:lvl>
    <w:lvl w:ilvl="1">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1)"/>
      <w:numFmt w:val="decimal"/>
      <w:start w:val="1"/>
    </w:lvl>
  </w:abstractNum>
  <w:abstractNum w:abstractNumId="53">
    <w:nsid w:val="14E17E33"/>
    <w:multiLevelType w:val="hybridMultilevel"/>
    <w:lvl w:ilvl="0">
      <w:lvlJc w:val="left"/>
      <w:lvlText w:val="(%1)"/>
      <w:numFmt w:val="decimal"/>
      <w:start w:val="1"/>
    </w:lvl>
  </w:abstractNum>
  <w:abstractNum w:abstractNumId="54">
    <w:nsid w:val="3222E7CD"/>
    <w:multiLevelType w:val="hybridMultilevel"/>
    <w:lvl w:ilvl="0">
      <w:lvlJc w:val="left"/>
      <w:lvlText w:val="(%1)"/>
      <w:numFmt w:val="decimal"/>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1)"/>
      <w:numFmt w:val="decimal"/>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1)"/>
      <w:numFmt w:val="decimal"/>
      <w:start w:val="2"/>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1)"/>
      <w:numFmt w:val="decimal"/>
      <w:start w:val="1"/>
    </w:lvl>
  </w:abstractNum>
  <w:abstractNum w:abstractNumId="62">
    <w:nsid w:val="CC1016F"/>
    <w:multiLevelType w:val="hybridMultilevel"/>
    <w:lvl w:ilvl="0">
      <w:lvlJc w:val="left"/>
      <w:lvlText w:val="(%1)"/>
      <w:numFmt w:val="decimal"/>
      <w:start w:val="1"/>
    </w:lvl>
  </w:abstractNum>
  <w:abstractNum w:abstractNumId="63">
    <w:nsid w:val="43F18422"/>
    <w:multiLevelType w:val="hybridMultilevel"/>
    <w:lvl w:ilvl="0">
      <w:lvlJc w:val="left"/>
      <w:lvlText w:val="(%1)"/>
      <w:numFmt w:val="decimal"/>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1">
    <w:nsid w:val="59ADEA3D"/>
    <w:multiLevelType w:val="hybridMultilevel"/>
    <w:lvl w:ilvl="0">
      <w:lvlJc w:val="left"/>
      <w:lvlText w:val="(%1)"/>
      <w:numFmt w:val="decimal"/>
      <w:start w:val="3"/>
    </w:lvl>
  </w:abstractNum>
  <w:abstractNum w:abstractNumId="92">
    <w:nsid w:val="288F1A34"/>
    <w:multiLevelType w:val="hybridMultilevel"/>
    <w:lvl w:ilvl="0">
      <w:lvlJc w:val="left"/>
      <w:lvlText w:val="•"/>
      <w:numFmt w:val="bullet"/>
      <w:start w:val="1"/>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
      <w:numFmt w:val="bullet"/>
      <w:start w:val="1"/>
    </w:lvl>
    <w:lvl w:ilvl="1">
      <w:lvlJc w:val="left"/>
      <w:lvlText w:val="%2)"/>
      <w:numFmt w:val="decimal"/>
      <w:start w:val="1"/>
    </w:lvl>
  </w:abstractNum>
  <w:abstractNum w:abstractNumId="95">
    <w:nsid w:val="97E1B4E"/>
    <w:multiLevelType w:val="hybridMultilevel"/>
    <w:lvl w:ilvl="0">
      <w:lvlJc w:val="left"/>
      <w:lvlText w:val="•"/>
      <w:numFmt w:val="bullet"/>
      <w:start w:val="1"/>
    </w:lvl>
  </w:abstractNum>
  <w:abstractNum w:abstractNumId="96">
    <w:nsid w:val="51088277"/>
    <w:multiLevelType w:val="hybridMultilevel"/>
    <w:lvl w:ilvl="0">
      <w:lvlJc w:val="left"/>
      <w:lvlText w:val="(%1)"/>
      <w:numFmt w:val="decimal"/>
      <w:start w:val="1"/>
    </w:lvl>
  </w:abstractNum>
  <w:abstractNum w:abstractNumId="97">
    <w:nsid w:val="1CA0C5FA"/>
    <w:multiLevelType w:val="hybridMultilevel"/>
    <w:lvl w:ilvl="0">
      <w:lvlJc w:val="left"/>
      <w:lvlText w:val="(%1)"/>
      <w:numFmt w:val="decimal"/>
      <w:start w:val="1"/>
    </w:lvl>
  </w:abstractNum>
  <w:abstractNum w:abstractNumId="98">
    <w:nsid w:val="53584BCB"/>
    <w:multiLevelType w:val="hybridMultilevel"/>
    <w:lvl w:ilvl="0">
      <w:lvlJc w:val="left"/>
      <w:lvlText w:val="(%1)"/>
      <w:numFmt w:val="lowerLetter"/>
      <w:start w:val="1"/>
    </w:lvl>
  </w:abstractNum>
  <w:abstractNum w:abstractNumId="99">
    <w:nsid w:val="415E286C"/>
    <w:multiLevelType w:val="hybridMultilevel"/>
    <w:lvl w:ilvl="0">
      <w:lvlJc w:val="left"/>
      <w:lvlText w:val="(%1)"/>
      <w:numFmt w:val="decimal"/>
      <w:start w:val="1"/>
    </w:lvl>
  </w:abstractNum>
  <w:abstractNum w:abstractNumId="100">
    <w:nsid w:val="7C58FD05"/>
    <w:multiLevelType w:val="hybridMultilevel"/>
    <w:lvl w:ilvl="0">
      <w:lvlJc w:val="left"/>
      <w:lvlText w:val="(%1)"/>
      <w:numFmt w:val="decimal"/>
      <w:start w:val="4"/>
    </w:lvl>
  </w:abstractNum>
  <w:abstractNum w:abstractNumId="101">
    <w:nsid w:val="23D86AAC"/>
    <w:multiLevelType w:val="hybridMultilevel"/>
    <w:lvl w:ilvl="0">
      <w:lvlJc w:val="left"/>
      <w:lvlText w:val="(%1)"/>
      <w:numFmt w:val="lowerLetter"/>
      <w:start w:val="2"/>
    </w:lvl>
  </w:abstractNum>
  <w:abstractNum w:abstractNumId="102">
    <w:nsid w:val="45E6D486"/>
    <w:multiLevelType w:val="hybridMultilevel"/>
    <w:lvl w:ilvl="0">
      <w:lvlJc w:val="left"/>
      <w:lvlText w:val="(%1)"/>
      <w:numFmt w:val="lowerLetter"/>
      <w:start w:val="3"/>
    </w:lvl>
  </w:abstractNum>
  <w:abstractNum w:abstractNumId="103">
    <w:nsid w:val="5C10FE21"/>
    <w:multiLevelType w:val="hybridMultilevel"/>
    <w:lvl w:ilvl="0">
      <w:lvlJc w:val="left"/>
      <w:lvlText w:val="(%1)"/>
      <w:numFmt w:val="lowerLetter"/>
      <w:start w:val="4"/>
    </w:lvl>
  </w:abstractNum>
  <w:abstractNum w:abstractNumId="104">
    <w:nsid w:val="E7FFA2B"/>
    <w:multiLevelType w:val="hybridMultilevel"/>
    <w:lvl w:ilvl="0">
      <w:lvlJc w:val="left"/>
      <w:lvlText w:val="(%1)"/>
      <w:numFmt w:val="lowerLetter"/>
      <w:start w:val="5"/>
    </w:lvl>
  </w:abstractNum>
  <w:abstractNum w:abstractNumId="105">
    <w:nsid w:val="3C5991AA"/>
    <w:multiLevelType w:val="hybridMultilevel"/>
    <w:lvl w:ilvl="0">
      <w:lvlJc w:val="left"/>
      <w:lvlText w:val="(%1)"/>
      <w:numFmt w:val="lowerLetter"/>
      <w:start w:val="6"/>
    </w:lvl>
  </w:abstractNum>
  <w:abstractNum w:abstractNumId="106">
    <w:nsid w:val="4BD8591A"/>
    <w:multiLevelType w:val="hybridMultilevel"/>
    <w:lvl w:ilvl="0">
      <w:lvlJc w:val="left"/>
      <w:lvlText w:val="(%1)"/>
      <w:numFmt w:val="decimal"/>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1)"/>
      <w:numFmt w:val="decimal"/>
      <w:start w:val="1"/>
    </w:lvl>
  </w:abstractNum>
  <w:abstractNum w:abstractNumId="110">
    <w:nsid w:val="6C80EC70"/>
    <w:multiLevelType w:val="hybridMultilevel"/>
    <w:lvl w:ilvl="0">
      <w:lvlJc w:val="left"/>
      <w:lvlText w:val="(%1)"/>
      <w:numFmt w:val="decimal"/>
      <w:start w:val="1"/>
    </w:lvl>
  </w:abstractNum>
  <w:abstractNum w:abstractNumId="111">
    <w:nsid w:val="379E21B5"/>
    <w:multiLevelType w:val="hybridMultilevel"/>
    <w:lvl w:ilvl="0">
      <w:lvlJc w:val="left"/>
      <w:lvlText w:val="(%1)"/>
      <w:numFmt w:val="decimal"/>
      <w:start w:val="1"/>
    </w:lvl>
  </w:abstractNum>
  <w:abstractNum w:abstractNumId="112">
    <w:nsid w:val="69E373"/>
    <w:multiLevelType w:val="hybridMultilevel"/>
    <w:lvl w:ilvl="0">
      <w:lvlJc w:val="left"/>
      <w:lvlText w:val="(%1)"/>
      <w:numFmt w:val="lowerLetter"/>
      <w:start w:val="1"/>
    </w:lvl>
  </w:abstractNum>
  <w:abstractNum w:abstractNumId="113">
    <w:nsid w:val="2C27173B"/>
    <w:multiLevelType w:val="hybridMultilevel"/>
    <w:lvl w:ilvl="0">
      <w:lvlJc w:val="left"/>
      <w:lvlText w:val="(%1)"/>
      <w:numFmt w:val="decimal"/>
      <w:start w:val="1"/>
    </w:lvl>
  </w:abstractNum>
  <w:abstractNum w:abstractNumId="114">
    <w:nsid w:val="4C9B0904"/>
    <w:multiLevelType w:val="hybridMultilevel"/>
    <w:lvl w:ilvl="0">
      <w:lvlJc w:val="left"/>
      <w:lvlText w:val="(%1)"/>
      <w:numFmt w:val="decimal"/>
      <w:start w:val="4"/>
    </w:lvl>
  </w:abstractNum>
  <w:abstractNum w:abstractNumId="115">
    <w:nsid w:val="6AA7B75C"/>
    <w:multiLevelType w:val="hybridMultilevel"/>
    <w:lvl w:ilvl="0">
      <w:lvlJc w:val="left"/>
      <w:lvlText w:val="(%1)"/>
      <w:numFmt w:val="lowerLetter"/>
      <w:start w:val="2"/>
    </w:lvl>
  </w:abstractNum>
  <w:abstractNum w:abstractNumId="116">
    <w:nsid w:val="1DF029D3"/>
    <w:multiLevelType w:val="hybridMultilevel"/>
    <w:lvl w:ilvl="0">
      <w:lvlJc w:val="left"/>
      <w:lvlText w:val="(%1)"/>
      <w:numFmt w:val="lowerLetter"/>
      <w:start w:val="3"/>
    </w:lvl>
  </w:abstractNum>
  <w:abstractNum w:abstractNumId="117">
    <w:nsid w:val="5675FF36"/>
    <w:multiLevelType w:val="hybridMultilevel"/>
    <w:lvl w:ilvl="0">
      <w:lvlJc w:val="left"/>
      <w:lvlText w:val="(%1)"/>
      <w:numFmt w:val="lowerLetter"/>
      <w:start w:val="4"/>
    </w:lvl>
  </w:abstractNum>
  <w:abstractNum w:abstractNumId="118">
    <w:nsid w:val="3DD15094"/>
    <w:multiLevelType w:val="hybridMultilevel"/>
    <w:lvl w:ilvl="0">
      <w:lvlJc w:val="left"/>
      <w:lvlText w:val="(%1)"/>
      <w:numFmt w:val="lowerLetter"/>
      <w:start w:val="5"/>
    </w:lvl>
  </w:abstractNum>
  <w:abstractNum w:abstractNumId="119">
    <w:nsid w:val="3DB012B3"/>
    <w:multiLevelType w:val="hybridMultilevel"/>
    <w:lvl w:ilvl="0">
      <w:lvlJc w:val="left"/>
      <w:lvlText w:val="(%1)"/>
      <w:numFmt w:val="decimal"/>
      <w:start w:val="1"/>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2019-12-07T23:33:53Z</dcterms:created>
  <dcterms:modified xsi:type="dcterms:W3CDTF">2019-12-07T23:33:53Z</dcterms:modified>
</cp:coreProperties>
</file>