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filename1.htm"/>
      <w:bookmarkStart w:id="1" w:name="ksfilename1"/>
      <w:bookmarkStart w:id="2" w:name="filename1.htm"/>
      <w:bookmarkStart w:id="3" w:name="ksfilename1"/>
      <w:bookmarkEnd w:id="2"/>
      <w:bookmarkEnd w:id="3"/>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drawing>
                <wp:inline distT="0" distB="0" distL="0" distR="0">
                  <wp:extent cx="8477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7715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One International Place</w:t>
            </w:r>
          </w:p>
          <w:p>
            <w:pPr>
              <w:pStyle w:val="TableContents"/>
              <w:bidi w:val="0"/>
              <w:spacing w:before="0" w:after="0"/>
              <w:jc w:val="left"/>
              <w:rPr>
                <w:rFonts w:ascii="Times New Roman" w:hAnsi="Times New Roman"/>
                <w:sz w:val="20"/>
              </w:rPr>
            </w:pPr>
            <w:r>
              <w:rPr>
                <w:rFonts w:ascii="Times New Roman" w:hAnsi="Times New Roman"/>
                <w:sz w:val="20"/>
              </w:rPr>
              <w:t>40th Floor</w:t>
            </w:r>
          </w:p>
          <w:p>
            <w:pPr>
              <w:pStyle w:val="TableContents"/>
              <w:bidi w:val="0"/>
              <w:spacing w:before="0" w:after="0"/>
              <w:jc w:val="left"/>
              <w:rPr>
                <w:rFonts w:ascii="Times New Roman" w:hAnsi="Times New Roman"/>
                <w:sz w:val="20"/>
              </w:rPr>
            </w:pPr>
            <w:r>
              <w:rPr>
                <w:rFonts w:ascii="Times New Roman" w:hAnsi="Times New Roman"/>
                <w:sz w:val="20"/>
              </w:rPr>
              <w:t>100 Oliver Street</w:t>
            </w:r>
          </w:p>
          <w:p>
            <w:pPr>
              <w:pStyle w:val="TableContents"/>
              <w:bidi w:val="0"/>
              <w:spacing w:before="0" w:after="0"/>
              <w:jc w:val="left"/>
              <w:rPr>
                <w:rFonts w:ascii="Times New Roman" w:hAnsi="Times New Roman"/>
                <w:sz w:val="20"/>
              </w:rPr>
            </w:pPr>
            <w:r>
              <w:rPr>
                <w:rFonts w:ascii="Times New Roman" w:hAnsi="Times New Roman"/>
                <w:sz w:val="20"/>
              </w:rPr>
              <w:t>Boston, MA 02110-2605</w:t>
            </w:r>
          </w:p>
          <w:p>
            <w:pPr>
              <w:pStyle w:val="TableContents"/>
              <w:bidi w:val="0"/>
              <w:spacing w:before="0" w:after="0"/>
              <w:jc w:val="left"/>
              <w:rPr>
                <w:rFonts w:ascii="Times New Roman" w:hAnsi="Times New Roman"/>
                <w:sz w:val="20"/>
              </w:rPr>
            </w:pPr>
            <w:r>
              <w:rPr>
                <w:rFonts w:ascii="Times New Roman" w:hAnsi="Times New Roman"/>
                <w:sz w:val="20"/>
              </w:rPr>
              <w:t>+1 617 728 7100 Main</w:t>
            </w:r>
          </w:p>
          <w:p>
            <w:pPr>
              <w:pStyle w:val="TableContents"/>
              <w:bidi w:val="0"/>
              <w:spacing w:before="0" w:after="0"/>
              <w:jc w:val="left"/>
              <w:rPr>
                <w:rFonts w:ascii="Times New Roman" w:hAnsi="Times New Roman"/>
                <w:sz w:val="20"/>
              </w:rPr>
            </w:pPr>
            <w:r>
              <w:rPr>
                <w:rFonts w:ascii="Times New Roman" w:hAnsi="Times New Roman"/>
                <w:sz w:val="20"/>
              </w:rPr>
              <w:t>+1 617 426 6567 Fax</w:t>
            </w:r>
          </w:p>
          <w:p>
            <w:pPr>
              <w:pStyle w:val="TableContents"/>
              <w:bidi w:val="0"/>
              <w:spacing w:before="0" w:after="0"/>
              <w:jc w:val="left"/>
              <w:rPr>
                <w:rFonts w:ascii="Times New Roman" w:hAnsi="Times New Roman"/>
                <w:sz w:val="20"/>
              </w:rPr>
            </w:pPr>
            <w:r>
              <w:rPr>
                <w:rFonts w:ascii="Times New Roman" w:hAnsi="Times New Roman"/>
                <w:sz w:val="20"/>
              </w:rPr>
              <w:t xml:space="preserve">www.dechert.com </w:t>
            </w:r>
          </w:p>
          <w:p>
            <w:pPr>
              <w:pStyle w:val="TableContents"/>
              <w:pBdr>
                <w:bottom w:val="single" w:sz="2"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THOMAS FRIEDMANN</w:t>
            </w:r>
          </w:p>
          <w:p>
            <w:pPr>
              <w:pStyle w:val="TableContents"/>
              <w:bidi w:val="0"/>
              <w:spacing w:before="0" w:after="0"/>
              <w:jc w:val="left"/>
              <w:rPr>
                <w:rFonts w:ascii="Times New Roman" w:hAnsi="Times New Roman"/>
                <w:i/>
                <w:sz w:val="20"/>
              </w:rPr>
            </w:pPr>
            <w:r>
              <w:rPr>
                <w:rFonts w:ascii="Times New Roman" w:hAnsi="Times New Roman"/>
                <w:i/>
                <w:sz w:val="20"/>
              </w:rPr>
              <w:t>Partner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thomas.friedmann@dechert.com</w:t>
            </w:r>
          </w:p>
          <w:p>
            <w:pPr>
              <w:pStyle w:val="TableContents"/>
              <w:bidi w:val="0"/>
              <w:spacing w:before="0" w:after="0"/>
              <w:jc w:val="left"/>
              <w:rPr>
                <w:rFonts w:ascii="Times New Roman" w:hAnsi="Times New Roman"/>
                <w:sz w:val="20"/>
              </w:rPr>
            </w:pPr>
            <w:r>
              <w:rPr>
                <w:rFonts w:ascii="Times New Roman" w:hAnsi="Times New Roman"/>
                <w:sz w:val="20"/>
              </w:rPr>
              <w:t>+1 617 728 7120 Direct</w:t>
            </w:r>
          </w:p>
          <w:p>
            <w:pPr>
              <w:pStyle w:val="TableContents"/>
              <w:bidi w:val="0"/>
              <w:spacing w:before="0" w:after="20"/>
              <w:jc w:val="left"/>
              <w:rPr>
                <w:rFonts w:ascii="Times New Roman" w:hAnsi="Times New Roman"/>
                <w:sz w:val="20"/>
              </w:rPr>
            </w:pPr>
            <w:r>
              <w:rPr>
                <w:rFonts w:ascii="Times New Roman" w:hAnsi="Times New Roman"/>
                <w:sz w:val="20"/>
              </w:rPr>
              <w:t>+1 617 275 8389 Fax</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30, 2026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Megan Miller, Staff Accountant </w:t>
      </w:r>
    </w:p>
    <w:p>
      <w:pPr>
        <w:pStyle w:val="TextBody"/>
        <w:bidi w:val="0"/>
        <w:spacing w:before="0" w:after="0"/>
        <w:jc w:val="left"/>
        <w:rPr>
          <w:rFonts w:ascii="Times New Roman" w:hAnsi="Times New Roman"/>
          <w:sz w:val="20"/>
        </w:rPr>
      </w:pPr>
      <w:r>
        <w:rPr>
          <w:rFonts w:ascii="Times New Roman" w:hAnsi="Times New Roman"/>
          <w:sz w:val="20"/>
        </w:rPr>
        <w:t xml:space="preserve">Division of Investment Management </w:t>
      </w:r>
    </w:p>
    <w:p>
      <w:pPr>
        <w:pStyle w:val="TextBody"/>
        <w:bidi w:val="0"/>
        <w:spacing w:before="0" w:after="0"/>
        <w:jc w:val="left"/>
        <w:rPr>
          <w:rFonts w:ascii="Times New Roman" w:hAnsi="Times New Roman"/>
          <w:sz w:val="20"/>
        </w:rPr>
      </w:pPr>
      <w:r>
        <w:rPr>
          <w:rFonts w:ascii="Times New Roman" w:hAnsi="Times New Roman"/>
          <w:sz w:val="20"/>
        </w:rPr>
        <w:t xml:space="preserve">Disclosure Review and Accounting Office </w:t>
      </w:r>
    </w:p>
    <w:p>
      <w:pPr>
        <w:pStyle w:val="TextBody"/>
        <w:bidi w:val="0"/>
        <w:spacing w:before="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 (the “</w:t>
            </w:r>
            <w:r>
              <w:rPr>
                <w:rFonts w:ascii="Times New Roman" w:hAnsi="Times New Roman"/>
                <w:sz w:val="20"/>
                <w:u w:val="single"/>
              </w:rPr>
              <w:t>Company</w:t>
            </w:r>
            <w:r>
              <w:rPr>
                <w:rFonts w:ascii="Times New Roman" w:hAnsi="Times New Roman"/>
                <w:sz w:val="20"/>
              </w:rPr>
              <w:t xml:space="preserve">”) – SEC Comments (File No. 814-00891)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Ms. Miller: </w:t>
      </w:r>
    </w:p>
    <w:p>
      <w:pPr>
        <w:pStyle w:val="TextBody"/>
        <w:bidi w:val="0"/>
        <w:spacing w:before="120" w:after="0"/>
        <w:jc w:val="left"/>
        <w:rPr>
          <w:rFonts w:ascii="Times New Roman" w:hAnsi="Times New Roman"/>
          <w:sz w:val="20"/>
        </w:rPr>
      </w:pPr>
      <w:r>
        <w:rPr>
          <w:rFonts w:ascii="Times New Roman" w:hAnsi="Times New Roman"/>
          <w:sz w:val="20"/>
        </w:rPr>
        <w:t>We are writing in response to comments provided by the Staff of the Division of Investment Management (the “</w:t>
      </w:r>
      <w:r>
        <w:rPr>
          <w:rFonts w:ascii="Times New Roman" w:hAnsi="Times New Roman"/>
          <w:sz w:val="20"/>
          <w:u w:val="single"/>
        </w:rPr>
        <w:t>Staff</w:t>
      </w:r>
      <w:r>
        <w:rPr>
          <w:rFonts w:ascii="Times New Roman" w:hAnsi="Times New Roman"/>
          <w:sz w:val="20"/>
        </w:rPr>
        <w:t>”) of the Securities and Exchange Commission in a telephone conversation on July 20, 2026 regarding a review of the Company’s Annual Report on Form 10-K for the year ended September 30, 2025, filed on November 24, 2025 (the “</w:t>
      </w:r>
      <w:r>
        <w:rPr>
          <w:rFonts w:ascii="Times New Roman" w:hAnsi="Times New Roman"/>
          <w:sz w:val="20"/>
          <w:u w:val="single"/>
        </w:rPr>
        <w:t>Form 10-K</w:t>
      </w:r>
      <w:r>
        <w:rPr>
          <w:rFonts w:ascii="Times New Roman" w:hAnsi="Times New Roman"/>
          <w:sz w:val="20"/>
        </w:rPr>
        <w:t xml:space="preserve">”), as required by the Sarbanes-Oxley Act of 2002, as amended. For your convenience, summaries of each of the Staff’s comments are numbered and presented in bold, italicized text below, and each comment is followed by the response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In the Schedule of Investments, please disclose the class of shares held of other registered funds as part of the title of “issue.”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revise future disclosure to include the class of shares of each of its investments in other registered funds.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The Staff notes that the Company engaged in more than one kind of debt transaction. The Staff notes that the average dollar amounts of borrowings and average interest rate was disclosed individually by type of debt but not disclosed in aggregate across the Company. Please update in future filings to also include the aggregate disclosure required by Regulation §</w:t>
            </w:r>
            <w:r>
              <w:rPr>
                <w:rFonts w:ascii="Times New Roman" w:hAnsi="Times New Roman"/>
                <w:sz w:val="20"/>
              </w:rPr>
              <w:t xml:space="preserve"> </w:t>
            </w:r>
            <w:r>
              <w:rPr>
                <w:rFonts w:ascii="Times New Roman" w:hAnsi="Times New Roman"/>
                <w:b/>
                <w:i/>
                <w:sz w:val="20"/>
              </w:rPr>
              <w:t>S-X 6-07.3.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Company acknowledges the Staff’s comment. The Company respectfully directs the Staff to the language of Regulation § S-X 6-07.3 which states (emphasis added): “</w:t>
      </w:r>
      <w:r>
        <w:rPr>
          <w:rFonts w:ascii="Times New Roman" w:hAnsi="Times New Roman"/>
          <w:i/>
          <w:sz w:val="20"/>
        </w:rPr>
        <w:t xml:space="preserve">Provide in the body of the statements </w:t>
      </w:r>
      <w:r>
        <w:rPr>
          <w:rFonts w:ascii="Times New Roman" w:hAnsi="Times New Roman"/>
          <w:b/>
          <w:i/>
          <w:sz w:val="20"/>
          <w:u w:val="single"/>
        </w:rPr>
        <w:t>or in the footnotes</w:t>
      </w:r>
      <w:r>
        <w:rPr>
          <w:rFonts w:ascii="Times New Roman" w:hAnsi="Times New Roman"/>
          <w:i/>
          <w:sz w:val="20"/>
        </w:rPr>
        <w:t>, the average dollar amount of borrowings and the average interest rate</w:t>
      </w:r>
      <w:r>
        <w:rPr>
          <w:rFonts w:ascii="Times New Roman" w:hAnsi="Times New Roman"/>
          <w:sz w:val="20"/>
        </w:rPr>
        <w:t xml:space="preserve">.” The Company has provided aggregate disclosure of these items: (i) Note 10 (Financial highlights) discloses the Company’s weighted average debt outstanding of $1.4 billion for the fiscal year ended September 30, 2025 (as well as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59"/>
        <w:gridCol w:w="123"/>
        <w:gridCol w:w="4823"/>
      </w:tblGrid>
      <w:tr>
        <w:trPr/>
        <w:tc>
          <w:tcPr>
            <w:tcW w:w="525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23" w:type="dxa"/>
            <w:tcBorders/>
            <w:vAlign w:val="center"/>
          </w:tcPr>
          <w:p>
            <w:pPr>
              <w:pStyle w:val="TableContents"/>
              <w:bidi w:val="0"/>
              <w:spacing w:before="0" w:after="283"/>
              <w:jc w:val="left"/>
              <w:rPr>
                <w:sz w:val="4"/>
                <w:szCs w:val="4"/>
              </w:rPr>
            </w:pPr>
            <w:r>
              <w:rPr>
                <w:sz w:val="4"/>
                <w:szCs w:val="4"/>
              </w:rPr>
            </w:r>
          </w:p>
        </w:tc>
      </w:tr>
      <w:tr>
        <w:trPr/>
        <w:tc>
          <w:tcPr>
            <w:tcW w:w="5259" w:type="dxa"/>
            <w:tcBorders/>
          </w:tcPr>
          <w:p>
            <w:pPr>
              <w:pStyle w:val="TableContents"/>
              <w:bidi w:val="0"/>
              <w:spacing w:before="0" w:after="283"/>
              <w:jc w:val="left"/>
              <w:rPr/>
            </w:pPr>
            <w:r>
              <w:rPr/>
              <w:drawing>
                <wp:inline distT="0" distB="0" distL="0" distR="0">
                  <wp:extent cx="8477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7715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23" w:type="dxa"/>
            <w:tcBorders/>
          </w:tcPr>
          <w:p>
            <w:pPr>
              <w:pStyle w:val="TableContents"/>
              <w:bidi w:val="0"/>
              <w:spacing w:before="0" w:after="0"/>
              <w:jc w:val="right"/>
              <w:rPr>
                <w:rFonts w:ascii="Times New Roman" w:hAnsi="Times New Roman"/>
                <w:sz w:val="20"/>
              </w:rPr>
            </w:pPr>
            <w:r>
              <w:rPr>
                <w:rFonts w:ascii="Times New Roman" w:hAnsi="Times New Roman"/>
                <w:sz w:val="20"/>
              </w:rPr>
              <w:t>July 30, 2026</w:t>
            </w:r>
          </w:p>
          <w:p>
            <w:pPr>
              <w:pStyle w:val="TableContents"/>
              <w:bidi w:val="0"/>
              <w:spacing w:before="0" w:after="20"/>
              <w:jc w:val="right"/>
              <w:rPr>
                <w:rFonts w:ascii="Times New Roman" w:hAnsi="Times New Roman"/>
                <w:sz w:val="20"/>
              </w:rPr>
            </w:pPr>
            <w:r>
              <w:rPr>
                <w:rFonts w:ascii="Times New Roman" w:hAnsi="Times New Roman"/>
                <w:sz w:val="20"/>
              </w:rPr>
              <w:t>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comparable information for the fiscal years ended September 30, 2024, 2023, 2022 and 2021), and (ii) Note 11 (Debt) discloses that the annualized weighted average cost of debt was 6.8% for the fiscal year ended September 30, 2025 (and comparable information for the fiscal years ended September 30, 2024 and 2023). The Company believes these disclosures satisfy the requirements of Regulation S-X 6-07.3. For added clarity, the Company can add both figures required by Regulation § S-X 6-07.3 in Note 11 (Debt) in future Form 10-K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Please discuss in correspondence how the Company has complied with the Financial Highlights presentation requirements given the Company has filed a registration statement pursuant to General Instruction A.2 of Form N-2. See Division of Investment Management Dear CFO Item 2023-01 (“Item 2023-01”).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supplementally confirms that, while its registration statement on Form N-2 (File No. 333-279726, declared effective by the Staff on July 17, 2024) includes 10 years of financial highlights on page 9, the Company will revise future disclosures on Form 10-K to comply with Item 2023-01.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feel free to contact the undersigned by telephone at (617) 728-7120 (or by email at thomas.friedmann@dechert.com).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p>
            <w:pPr>
              <w:pStyle w:val="TableContents"/>
              <w:bidi w:val="0"/>
              <w:spacing w:before="0" w:after="20"/>
              <w:jc w:val="left"/>
              <w:rPr/>
            </w:pPr>
            <w:r>
              <w:rPr/>
              <w:t> </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Friedmann</w:t>
            </w:r>
          </w:p>
        </w:tc>
      </w:tr>
      <w:tr>
        <w:trPr/>
        <w:tc>
          <w:tcPr>
            <w:tcW w:w="4082" w:type="dxa"/>
            <w:tcBorders/>
          </w:tcPr>
          <w:p>
            <w:pPr>
              <w:pStyle w:val="TableContents"/>
              <w:bidi w:val="0"/>
              <w:spacing w:before="0" w:after="283"/>
              <w:jc w:val="left"/>
              <w:rPr/>
            </w:pPr>
            <w:r>
              <w:rPr/>
              <w:t>Thomas Friedmann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Richard Allorto, PennantPark Investment Corporation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Eric Leeds,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Adam Katz, PennantPark Investment Advisers, LLC </w:t>
      </w:r>
    </w:p>
    <w:p>
      <w:pPr>
        <w:pStyle w:val="TextBody"/>
        <w:bidi w:val="0"/>
        <w:spacing w:before="0" w:after="0"/>
        <w:jc w:val="left"/>
        <w:rPr>
          <w:rFonts w:ascii="Times New Roman" w:hAnsi="Times New Roman"/>
          <w:sz w:val="20"/>
        </w:rPr>
      </w:pPr>
      <w:r>
        <w:rPr>
          <w:rFonts w:ascii="Times New Roman" w:hAnsi="Times New Roman"/>
          <w:sz w:val="20"/>
        </w:rPr>
        <w:t xml:space="preserve">Stephen Pratt, Dechert LLP </w:t>
      </w:r>
    </w:p>
    <w:p>
      <w:pPr>
        <w:pStyle w:val="TextBody"/>
        <w:bidi w:val="0"/>
        <w:spacing w:before="0" w:after="0"/>
        <w:jc w:val="left"/>
        <w:rPr>
          <w:rFonts w:ascii="Times New Roman" w:hAnsi="Times New Roman"/>
          <w:sz w:val="20"/>
        </w:rPr>
      </w:pPr>
      <w:r>
        <w:rPr>
          <w:rFonts w:ascii="Times New Roman" w:hAnsi="Times New Roman"/>
          <w:sz w:val="20"/>
        </w:rPr>
        <w:t xml:space="preserve">Ross MacConnell, Dechert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3278</Characters>
  <CharactersWithSpaces>3887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