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3,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New York Stock Exchange</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3, 2022,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May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400" w:type="dxa"/>
            <w:vAlign w:val="bottom"/>
          </w:tcPr>
          <w:p>
            <w:pPr>
              <w:spacing w:after="0"/>
              <w:rPr>
                <w:sz w:val="20"/>
                <w:szCs w:val="20"/>
                <w:color w:val="auto"/>
              </w:rPr>
            </w:pPr>
            <w:r>
              <w:rPr>
                <w:rFonts w:ascii="Arial" w:cs="Arial" w:eastAsia="Arial" w:hAnsi="Arial"/>
                <w:sz w:val="18"/>
                <w:szCs w:val="18"/>
                <w:color w:val="auto"/>
              </w:rPr>
              <w:t>Date: May 3, 2022</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Richard Cheung</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MIAMI, May 03, 2022 (GLOBE NEWSWIRE) -- PennantPark Floating Rate Capital Ltd. (the "Company") (NYSE: PFLT) (TASE: PFLT) declares its monthly distribution for May 2022 of $0.095 per share, payable on June 1, 2022 to stockholders of record as of May 18,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$5.9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2022-05-03T15:22:25Z</dcterms:created>
  <dcterms:modified xsi:type="dcterms:W3CDTF">2022-05-03T15:22:25Z</dcterms:modified>
</cp:coreProperties>
</file>