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right"/>
        <w:ind w:right="60"/>
        <w:spacing w:after="0"/>
        <w:rPr>
          <w:sz w:val="20"/>
          <w:szCs w:val="20"/>
          <w:color w:val="auto"/>
        </w:rPr>
      </w:pPr>
      <w:r>
        <w:rPr>
          <w:rFonts w:ascii="Arial" w:cs="Arial" w:eastAsia="Arial" w:hAnsi="Arial"/>
          <w:sz w:val="18"/>
          <w:szCs w:val="18"/>
          <w:b w:val="1"/>
          <w:bCs w:val="1"/>
          <w:color w:val="auto"/>
        </w:rPr>
        <w:t>Filed Pursuant to Rule 424(b)(2)</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333-235532</w:t>
      </w:r>
    </w:p>
    <w:p>
      <w:pPr>
        <w:spacing w:after="0" w:line="217" w:lineRule="exact"/>
        <w:rPr>
          <w:sz w:val="24"/>
          <w:szCs w:val="24"/>
          <w:color w:val="auto"/>
        </w:rPr>
      </w:pPr>
    </w:p>
    <w:p>
      <w:pPr>
        <w:ind w:left="120"/>
        <w:spacing w:after="0"/>
        <w:rPr>
          <w:sz w:val="20"/>
          <w:szCs w:val="20"/>
          <w:color w:val="auto"/>
        </w:rPr>
      </w:pPr>
      <w:r>
        <w:rPr>
          <w:rFonts w:ascii="Arial" w:cs="Arial" w:eastAsia="Arial" w:hAnsi="Arial"/>
          <w:sz w:val="17"/>
          <w:szCs w:val="17"/>
          <w:b w:val="1"/>
          <w:bCs w:val="1"/>
          <w:color w:val="auto"/>
        </w:rPr>
        <w:t>Prospectus Supplement</w:t>
      </w:r>
    </w:p>
    <w:p>
      <w:pPr>
        <w:spacing w:after="0" w:line="25" w:lineRule="exact"/>
        <w:rPr>
          <w:sz w:val="24"/>
          <w:szCs w:val="24"/>
          <w:color w:val="auto"/>
        </w:rPr>
      </w:pPr>
    </w:p>
    <w:p>
      <w:pPr>
        <w:ind w:left="120"/>
        <w:spacing w:after="0"/>
        <w:rPr>
          <w:sz w:val="20"/>
          <w:szCs w:val="20"/>
          <w:color w:val="auto"/>
        </w:rPr>
      </w:pPr>
      <w:r>
        <w:rPr>
          <w:rFonts w:ascii="Arial" w:cs="Arial" w:eastAsia="Arial" w:hAnsi="Arial"/>
          <w:sz w:val="17"/>
          <w:szCs w:val="17"/>
          <w:b w:val="1"/>
          <w:bCs w:val="1"/>
          <w:color w:val="auto"/>
        </w:rPr>
        <w:t>To the Prospectus dated January 29,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2465070</wp:posOffset>
            </wp:positionH>
            <wp:positionV relativeFrom="paragraph">
              <wp:posOffset>58420</wp:posOffset>
            </wp:positionV>
            <wp:extent cx="2219960" cy="514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19960"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$85,000,000</w:t>
      </w:r>
    </w:p>
    <w:p>
      <w:pPr>
        <w:spacing w:after="0" w:line="82"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4.25% Notes due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140335</wp:posOffset>
            </wp:positionV>
            <wp:extent cx="14744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64" w:lineRule="exact"/>
        <w:rPr>
          <w:sz w:val="24"/>
          <w:szCs w:val="24"/>
          <w:color w:val="auto"/>
        </w:rPr>
      </w:pPr>
    </w:p>
    <w:p>
      <w:pPr>
        <w:ind w:left="120" w:right="60"/>
        <w:spacing w:after="0" w:line="248" w:lineRule="auto"/>
        <w:rPr>
          <w:sz w:val="20"/>
          <w:szCs w:val="20"/>
          <w:color w:val="auto"/>
        </w:rPr>
      </w:pPr>
      <w:r>
        <w:rPr>
          <w:rFonts w:ascii="Arial" w:cs="Arial" w:eastAsia="Arial" w:hAnsi="Arial"/>
          <w:sz w:val="13"/>
          <w:szCs w:val="13"/>
          <w:color w:val="auto"/>
        </w:rPr>
        <w:t>PennantPark Floating Rate Capital Ltd. is offering for sale $85 million in aggregate principal amount of 4.25% notes due 2026, which we refer to as the Notes. The Notes will mature on April 1, 2026. We will pay interest on the Notes on April 1 and October 1 of each year, beginning on April 1, 2022 with respect to the Notes offered hereby. The Notes offered hereby are a further issuance of the 4.25% notes due 2026 that we issued on March 23, 2021 in the aggregate principal amount of $100.0 million, or the Existing Notes. The Notes offered hereby will be treated as a single series with the Existing Notes under the indenture and will have the same terms as the Existing Notes. The Notes offered hereby will have the same CUSIP number and will be fungible and rank equally with the Existing Notes. Upon the issuance of the Notes offered hereby, the outstanding aggregate principal amount of our 4.25% notes due 2026 will be $185 million. Unless the context here otherwise requires, references herein to the “Notes” include the “Notes” offered hereby and the Existing Notes.</w:t>
      </w:r>
    </w:p>
    <w:p>
      <w:pPr>
        <w:spacing w:after="0" w:line="45" w:lineRule="exact"/>
        <w:rPr>
          <w:sz w:val="24"/>
          <w:szCs w:val="24"/>
          <w:color w:val="auto"/>
        </w:rPr>
      </w:pPr>
    </w:p>
    <w:p>
      <w:pPr>
        <w:ind w:left="120" w:right="280"/>
        <w:spacing w:after="0" w:line="253" w:lineRule="auto"/>
        <w:rPr>
          <w:sz w:val="20"/>
          <w:szCs w:val="20"/>
          <w:color w:val="auto"/>
        </w:rPr>
      </w:pPr>
      <w:r>
        <w:rPr>
          <w:rFonts w:ascii="Arial" w:cs="Arial" w:eastAsia="Arial" w:hAnsi="Arial"/>
          <w:sz w:val="14"/>
          <w:szCs w:val="14"/>
          <w:color w:val="auto"/>
        </w:rPr>
        <w:t>We may redeem the Notes in whole or in part at any time or from time to time at the redemption price discussed under the caption “</w:t>
      </w:r>
      <w:r>
        <w:rPr>
          <w:rFonts w:ascii="Arial" w:cs="Arial" w:eastAsia="Arial" w:hAnsi="Arial"/>
          <w:sz w:val="14"/>
          <w:szCs w:val="14"/>
          <w:i w:val="1"/>
          <w:iCs w:val="1"/>
          <w:color w:val="auto"/>
        </w:rPr>
        <w:t>The Offering—Optional redemption</w:t>
      </w:r>
      <w:r>
        <w:rPr>
          <w:rFonts w:ascii="Arial" w:cs="Arial" w:eastAsia="Arial" w:hAnsi="Arial"/>
          <w:sz w:val="14"/>
          <w:szCs w:val="14"/>
          <w:color w:val="auto"/>
        </w:rPr>
        <w:t>” in this prospectus supplement. The Notes will be issued in minimum denominations of $2,000 and integral multiples of $1,000 in excess thereof.</w:t>
      </w:r>
    </w:p>
    <w:p>
      <w:pPr>
        <w:spacing w:after="0" w:line="25" w:lineRule="exact"/>
        <w:rPr>
          <w:sz w:val="24"/>
          <w:szCs w:val="24"/>
          <w:color w:val="auto"/>
        </w:rPr>
      </w:pPr>
    </w:p>
    <w:p>
      <w:pPr>
        <w:ind w:left="120" w:right="80"/>
        <w:spacing w:after="0" w:line="245" w:lineRule="auto"/>
        <w:rPr>
          <w:sz w:val="20"/>
          <w:szCs w:val="20"/>
          <w:color w:val="auto"/>
        </w:rPr>
      </w:pPr>
      <w:r>
        <w:rPr>
          <w:rFonts w:ascii="Arial" w:cs="Arial" w:eastAsia="Arial" w:hAnsi="Arial"/>
          <w:sz w:val="13"/>
          <w:szCs w:val="13"/>
          <w:color w:val="auto"/>
        </w:rPr>
        <w:t xml:space="preserve">The Notes offered hereby will be our direct unsecured obligations and rank </w:t>
      </w:r>
      <w:r>
        <w:rPr>
          <w:rFonts w:ascii="Arial" w:cs="Arial" w:eastAsia="Arial" w:hAnsi="Arial"/>
          <w:sz w:val="13"/>
          <w:szCs w:val="13"/>
          <w:i w:val="1"/>
          <w:iCs w:val="1"/>
          <w:color w:val="auto"/>
        </w:rPr>
        <w:t>pari passu</w:t>
      </w:r>
      <w:r>
        <w:rPr>
          <w:rFonts w:ascii="Arial" w:cs="Arial" w:eastAsia="Arial" w:hAnsi="Arial"/>
          <w:sz w:val="13"/>
          <w:szCs w:val="13"/>
          <w:color w:val="auto"/>
        </w:rPr>
        <w:t xml:space="preserve"> with any current and future unsecured unsubordinated indebtedness issued by PennantPark Floating Rate Capital Ltd. Because the Notes will not be secured by any of our assets, they will be effectively subordinated to all of our existing and future secured indebtedness (or any indebtedness that is initially unsecured as to which we subsequently grant a security interest) to the extent of the value of the assets securing such indebtedness. The Notes will be structurally subordinated to all existing and future indebtedness and other obligations of any of our subsidiaries because the Notes will be obligations exclusively of PennantPark Floating Rate Capital Ltd. and not of any of our subsidiaries. The Notes will be senior in right of payment to any future outstanding series of our preferred stock. None of our subsidiaries is a guarantor of the Notes and the Notes will not be required to be guaranteed by any subsidiary we may acquire or create in the future. As of June 30, 2021, we had $579.2 million of debt outstanding, of which $217.8 million was unsecured and unsubordinated indebtedness and $361.4 million was secured indebtedness. None of our current indebtedness will be subordinated to the Notes. Currently, there is no public market for the Notes. We do not intend to list the Notes on any securities exchange or automated dealer quotation system.</w:t>
      </w:r>
    </w:p>
    <w:p>
      <w:pPr>
        <w:spacing w:after="0" w:line="35" w:lineRule="exact"/>
        <w:rPr>
          <w:sz w:val="24"/>
          <w:szCs w:val="24"/>
          <w:color w:val="auto"/>
        </w:rPr>
      </w:pPr>
    </w:p>
    <w:p>
      <w:pPr>
        <w:ind w:left="120" w:right="320"/>
        <w:spacing w:after="0" w:line="273" w:lineRule="auto"/>
        <w:rPr>
          <w:sz w:val="20"/>
          <w:szCs w:val="20"/>
          <w:color w:val="auto"/>
        </w:rPr>
      </w:pPr>
      <w:r>
        <w:rPr>
          <w:rFonts w:ascii="Arial" w:cs="Arial" w:eastAsia="Arial" w:hAnsi="Arial"/>
          <w:sz w:val="12"/>
          <w:szCs w:val="12"/>
          <w:color w:val="auto"/>
        </w:rPr>
        <w:t>PennantPark Floating Rate Capital Ltd., a Maryland corporation, is a closed-end, externally managed, non-diversified investment company that has elected to be treated as a business development company, or BDC, under the Investment Company Act of 1940, as amended, or the 1940 Act. Our investment objectives are to generate both current income and capital appreciation while seeking to preserve capital. We seek to achieve our investment objectives by investing primarily in loans bearing variable rates of interest, or Floating Rate Loans, and other investments made to U.S. middle-market private companies whose debt is rated below investment grade. Securities rated below investment grade are often referred to as “leveraged loans,” “high yield” securities or “junk bonds” and are often higher risk compared to debt instruments that are rated above investment grade and have speculative characteristics. We are externally managed by PennantPark Investment Advisers, LLC. PennantPark Investment Administration, LLC provides the administrative services necessary for us to operate.</w:t>
      </w:r>
    </w:p>
    <w:p>
      <w:pPr>
        <w:spacing w:after="0" w:line="30" w:lineRule="exact"/>
        <w:rPr>
          <w:sz w:val="24"/>
          <w:szCs w:val="24"/>
          <w:color w:val="auto"/>
        </w:rPr>
      </w:pPr>
    </w:p>
    <w:p>
      <w:pPr>
        <w:ind w:left="120" w:right="40"/>
        <w:spacing w:after="0" w:line="247" w:lineRule="auto"/>
        <w:rPr>
          <w:sz w:val="20"/>
          <w:szCs w:val="20"/>
          <w:color w:val="auto"/>
        </w:rPr>
      </w:pPr>
      <w:r>
        <w:rPr>
          <w:rFonts w:ascii="Arial" w:cs="Arial" w:eastAsia="Arial" w:hAnsi="Arial"/>
          <w:sz w:val="13"/>
          <w:szCs w:val="13"/>
          <w:color w:val="auto"/>
        </w:rPr>
        <w:t xml:space="preserve">This prospectus supplement, the accompanying prospectus, any free writing prospectus and the documents incorporated by reference in this prospectus supplement and the accompanying prospectus contain important information you should know before investing in our securities. Please read this prospectus supplement, the accompanying prospectus, any free writing prospectus and the documents incorporated by reference in this prospectus supplement and the accompanying prospectus, before you invest in our securities and keep them for future reference. We file annual, quarterly and current reports, proxy statements and other information about us with the Securities and Exchange Commission, or the SEC. You may also obtain such information free of charge or make stockholder inquiries by contacting us in writing at 590 Madison Avenue, 15th Floor, New York, NY 10022, by calling us collect at (212) 905-1000 or by visiting our website at </w:t>
      </w:r>
      <w:r>
        <w:rPr>
          <w:rFonts w:ascii="Arial" w:cs="Arial" w:eastAsia="Arial" w:hAnsi="Arial"/>
          <w:sz w:val="13"/>
          <w:szCs w:val="13"/>
          <w:i w:val="1"/>
          <w:iCs w:val="1"/>
          <w:u w:val="single" w:color="auto"/>
          <w:color w:val="auto"/>
        </w:rPr>
        <w:t>www.pennantpark.com</w:t>
      </w:r>
      <w:r>
        <w:rPr>
          <w:rFonts w:ascii="Arial" w:cs="Arial" w:eastAsia="Arial" w:hAnsi="Arial"/>
          <w:sz w:val="13"/>
          <w:szCs w:val="13"/>
          <w:color w:val="auto"/>
        </w:rPr>
        <w:t xml:space="preserve">. Except for the documents incorporated by reference into this prospectus supplement and the accompanying prospectus, the information on our website is not part of this prospectus supplement or the accompanying prospectus. The SEC also maintains a website at </w:t>
      </w:r>
      <w:r>
        <w:rPr>
          <w:rFonts w:ascii="Arial" w:cs="Arial" w:eastAsia="Arial" w:hAnsi="Arial"/>
          <w:sz w:val="13"/>
          <w:szCs w:val="13"/>
          <w:i w:val="1"/>
          <w:iCs w:val="1"/>
          <w:u w:val="single" w:color="auto"/>
          <w:color w:val="auto"/>
        </w:rPr>
        <w:t>www.sec.gov</w:t>
      </w:r>
      <w:r>
        <w:rPr>
          <w:rFonts w:ascii="Arial" w:cs="Arial" w:eastAsia="Arial" w:hAnsi="Arial"/>
          <w:sz w:val="13"/>
          <w:szCs w:val="13"/>
          <w:color w:val="auto"/>
        </w:rPr>
        <w:t xml:space="preserve"> that contains such information free of charge.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107950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17" w:lineRule="exact"/>
        <w:rPr>
          <w:sz w:val="24"/>
          <w:szCs w:val="24"/>
          <w:color w:val="auto"/>
        </w:rPr>
      </w:pPr>
    </w:p>
    <w:p>
      <w:pPr>
        <w:ind w:left="120" w:right="280"/>
        <w:spacing w:after="0" w:line="275"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Investing in the Notes involves a high degree of risk, including the risk of leverage. Before buying any of the Notes, you should read the discussion of the material risks of investing in us in “</w:t>
      </w:r>
      <w:hyperlink w:anchor="page15">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S-13 of this prospectus supplement and page 7 of the accompanying prospectus, in our most recent Annual Report on Form 10-K, in our most recent Quarterly Report on Form 10-Q and in any of our other filings with the SEC incorporated by reference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1" w:lineRule="exact"/>
        <w:rPr>
          <w:sz w:val="24"/>
          <w:szCs w:val="24"/>
          <w:color w:val="auto"/>
        </w:rPr>
      </w:pPr>
    </w:p>
    <w:p>
      <w:pPr>
        <w:ind w:left="120" w:right="180"/>
        <w:spacing w:after="0" w:line="258" w:lineRule="auto"/>
        <w:rPr>
          <w:sz w:val="20"/>
          <w:szCs w:val="20"/>
          <w:color w:val="auto"/>
        </w:rPr>
      </w:pPr>
      <w:r>
        <w:rPr>
          <w:rFonts w:ascii="Arial" w:cs="Arial" w:eastAsia="Arial" w:hAnsi="Arial"/>
          <w:sz w:val="14"/>
          <w:szCs w:val="14"/>
          <w:b w:val="1"/>
          <w:bCs w:val="1"/>
          <w:color w:val="auto"/>
        </w:rPr>
        <w:t>Neither the SEC nor any state securities commission, nor any other regulatory body,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103505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4" w:lineRule="exact"/>
        <w:rPr>
          <w:sz w:val="24"/>
          <w:szCs w:val="24"/>
          <w:color w:val="auto"/>
        </w:rPr>
      </w:pPr>
    </w:p>
    <w:p>
      <w:pPr>
        <w:ind w:left="120" w:right="140"/>
        <w:spacing w:after="0" w:line="258" w:lineRule="auto"/>
        <w:rPr>
          <w:sz w:val="20"/>
          <w:szCs w:val="20"/>
          <w:color w:val="auto"/>
        </w:rPr>
      </w:pPr>
      <w:r>
        <w:rPr>
          <w:rFonts w:ascii="Arial" w:cs="Arial" w:eastAsia="Arial" w:hAnsi="Arial"/>
          <w:sz w:val="14"/>
          <w:szCs w:val="14"/>
          <w:b w:val="1"/>
          <w:bCs w:val="1"/>
          <w:color w:val="auto"/>
        </w:rPr>
        <w:t>THE NOTES ARE NOT DEPOSITS OR OTHER OBLIGATIONS OF A BANK AND ARE NOT INSURED BY THE FEDERAL DEPOSIT INSURANCE CORPORATION OR ANY OTHER GOVERNMENT AGENCY.</w:t>
      </w:r>
    </w:p>
    <w:p>
      <w:pPr>
        <w:spacing w:after="0" w:line="36" w:lineRule="exact"/>
        <w:rPr>
          <w:sz w:val="24"/>
          <w:szCs w:val="24"/>
          <w:color w:val="auto"/>
        </w:rPr>
      </w:pPr>
    </w:p>
    <w:tbl>
      <w:tblPr>
        <w:tblLayout w:type="fixed"/>
        <w:tblInd w:w="1440" w:type="dxa"/>
        <w:tblCellMar>
          <w:top w:w="0" w:type="dxa"/>
          <w:left w:w="0" w:type="dxa"/>
          <w:bottom w:w="0" w:type="dxa"/>
          <w:right w:w="0" w:type="dxa"/>
        </w:tblCellMar>
      </w:tblPr>
      <w:tr>
        <w:trPr>
          <w:trHeight w:val="153"/>
        </w:trPr>
        <w:tc>
          <w:tcPr>
            <w:tcW w:w="65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4"/>
              </w:rPr>
              <w:t>Per Note</w:t>
            </w:r>
            <w:r>
              <w:rPr>
                <w:rFonts w:ascii="Arial" w:cs="Arial" w:eastAsia="Arial" w:hAnsi="Arial"/>
                <w:sz w:val="10"/>
                <w:szCs w:val="10"/>
                <w:b w:val="1"/>
                <w:bCs w:val="1"/>
                <w:color w:val="auto"/>
                <w:w w:val="84"/>
              </w:rPr>
              <w:t>1</w:t>
            </w:r>
          </w:p>
        </w:tc>
        <w:tc>
          <w:tcPr>
            <w:tcW w:w="34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50"/>
              <w:spacing w:after="0"/>
              <w:rPr>
                <w:sz w:val="20"/>
                <w:szCs w:val="20"/>
                <w:color w:val="auto"/>
              </w:rPr>
            </w:pPr>
            <w:r>
              <w:rPr>
                <w:rFonts w:ascii="Arial" w:cs="Arial" w:eastAsia="Arial" w:hAnsi="Arial"/>
                <w:sz w:val="13"/>
                <w:szCs w:val="13"/>
                <w:b w:val="1"/>
                <w:bCs w:val="1"/>
                <w:color w:val="auto"/>
              </w:rPr>
              <w:t>Total</w:t>
            </w:r>
          </w:p>
        </w:tc>
        <w:tc>
          <w:tcPr>
            <w:tcW w:w="40" w:type="dxa"/>
            <w:vAlign w:val="bottom"/>
            <w:tcBorders>
              <w:bottom w:val="single" w:sz="8" w:color="CCEEFF"/>
            </w:tcBorders>
          </w:tcPr>
          <w:p>
            <w:pPr>
              <w:spacing w:after="0"/>
              <w:rPr>
                <w:sz w:val="13"/>
                <w:szCs w:val="13"/>
                <w:color w:val="auto"/>
              </w:rPr>
            </w:pPr>
          </w:p>
        </w:tc>
      </w:tr>
      <w:tr>
        <w:trPr>
          <w:trHeight w:val="142"/>
        </w:trPr>
        <w:tc>
          <w:tcPr>
            <w:tcW w:w="65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Public offering price</w:t>
            </w:r>
            <w:r>
              <w:rPr>
                <w:rFonts w:ascii="Arial" w:cs="Arial" w:eastAsia="Arial" w:hAnsi="Arial"/>
                <w:sz w:val="12"/>
                <w:szCs w:val="12"/>
                <w:color w:val="auto"/>
              </w:rPr>
              <w:t>1</w:t>
            </w:r>
          </w:p>
        </w:tc>
        <w:tc>
          <w:tcPr>
            <w:tcW w:w="86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101.45%</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86,232,500</w:t>
            </w:r>
          </w:p>
        </w:tc>
        <w:tc>
          <w:tcPr>
            <w:tcW w:w="40" w:type="dxa"/>
            <w:vAlign w:val="bottom"/>
            <w:shd w:val="clear" w:color="auto" w:fill="CCEEFF"/>
          </w:tcPr>
          <w:p>
            <w:pPr>
              <w:spacing w:after="0"/>
              <w:rPr>
                <w:sz w:val="12"/>
                <w:szCs w:val="12"/>
                <w:color w:val="auto"/>
              </w:rPr>
            </w:pPr>
          </w:p>
        </w:tc>
      </w:tr>
      <w:tr>
        <w:trPr>
          <w:trHeight w:val="148"/>
        </w:trPr>
        <w:tc>
          <w:tcPr>
            <w:tcW w:w="6500" w:type="dxa"/>
            <w:vAlign w:val="bottom"/>
          </w:tcPr>
          <w:p>
            <w:pPr>
              <w:spacing w:after="0" w:line="149" w:lineRule="exact"/>
              <w:rPr>
                <w:sz w:val="20"/>
                <w:szCs w:val="20"/>
                <w:color w:val="auto"/>
              </w:rPr>
            </w:pPr>
            <w:r>
              <w:rPr>
                <w:rFonts w:ascii="Arial" w:cs="Arial" w:eastAsia="Arial" w:hAnsi="Arial"/>
                <w:sz w:val="14"/>
                <w:szCs w:val="14"/>
                <w:color w:val="auto"/>
              </w:rPr>
              <w:t>Underwriting discount (sales load)</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2.00%</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9"/>
              </w:rPr>
              <w:t>1,700,000</w:t>
            </w:r>
          </w:p>
        </w:tc>
      </w:tr>
      <w:tr>
        <w:trPr>
          <w:trHeight w:val="148"/>
        </w:trPr>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before expenses, to us</w:t>
            </w:r>
            <w:r>
              <w:rPr>
                <w:rFonts w:ascii="Arial" w:cs="Arial" w:eastAsia="Arial" w:hAnsi="Arial"/>
                <w:sz w:val="12"/>
                <w:szCs w:val="12"/>
                <w:color w:val="auto"/>
              </w:rPr>
              <w:t>2</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99.45%</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8"/>
              </w:rPr>
              <w:t>84,532,500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7" w:lineRule="exact"/>
        <w:rPr>
          <w:sz w:val="24"/>
          <w:szCs w:val="24"/>
          <w:color w:val="auto"/>
        </w:rPr>
      </w:pPr>
    </w:p>
    <w:p>
      <w:pPr>
        <w:ind w:left="540" w:right="20" w:hanging="424"/>
        <w:spacing w:after="0" w:line="238"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public offering price set forth above does not include accrued and unpaid interest of $110,381.94 in the aggregate from October 1, 2021 up to, but not including, the date of delivery, which will be paid by the purchasers of the Notes offered hereby. On April 1, 2022, we will pay this pre-issuance accrued interest to the holders of the Notes offered hereby as of the applicable record date along with interest accrued on the Notes offered hereby from the date of delivery to such interest payment date.</w:t>
      </w:r>
    </w:p>
    <w:p>
      <w:pPr>
        <w:spacing w:after="0" w:line="88" w:lineRule="exact"/>
        <w:rPr>
          <w:rFonts w:ascii="Arial" w:cs="Arial" w:eastAsia="Arial" w:hAnsi="Arial"/>
          <w:sz w:val="14"/>
          <w:szCs w:val="14"/>
          <w:color w:val="auto"/>
        </w:rPr>
      </w:pPr>
    </w:p>
    <w:p>
      <w:pPr>
        <w:ind w:left="540" w:hanging="424"/>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Total expenses of the offering payable by us, excluding the underwriting discount, are estimated to be $0.2 million. See “</w:t>
      </w:r>
      <w:r>
        <w:rPr>
          <w:rFonts w:ascii="Arial" w:cs="Arial" w:eastAsia="Arial" w:hAnsi="Arial"/>
          <w:sz w:val="14"/>
          <w:szCs w:val="14"/>
          <w:i w:val="1"/>
          <w:iCs w:val="1"/>
          <w:color w:val="auto"/>
        </w:rPr>
        <w:t>Underwriting</w:t>
      </w:r>
      <w:r>
        <w:rPr>
          <w:rFonts w:ascii="Arial" w:cs="Arial" w:eastAsia="Arial" w:hAnsi="Arial"/>
          <w:sz w:val="14"/>
          <w:szCs w:val="14"/>
          <w:color w:val="auto"/>
        </w:rPr>
        <w:t>” in this prospectus supplement.</w:t>
      </w:r>
    </w:p>
    <w:p>
      <w:pPr>
        <w:spacing w:after="0" w:line="96" w:lineRule="exact"/>
        <w:rPr>
          <w:sz w:val="24"/>
          <w:szCs w:val="24"/>
          <w:color w:val="auto"/>
        </w:rPr>
      </w:pPr>
    </w:p>
    <w:p>
      <w:pPr>
        <w:ind w:left="120"/>
        <w:spacing w:after="0"/>
        <w:rPr>
          <w:sz w:val="20"/>
          <w:szCs w:val="20"/>
          <w:color w:val="auto"/>
        </w:rPr>
      </w:pPr>
      <w:r>
        <w:rPr>
          <w:rFonts w:ascii="Arial" w:cs="Arial" w:eastAsia="Arial" w:hAnsi="Arial"/>
          <w:sz w:val="14"/>
          <w:szCs w:val="14"/>
          <w:color w:val="auto"/>
        </w:rPr>
        <w:t>Delivery of the Notes offered hereby in book-entry form through The Depository Trust Company, or DTC, will be made on or about October 12,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106680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97"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i w:val="1"/>
          <w:iCs w:val="1"/>
          <w:color w:val="auto"/>
        </w:rPr>
        <w:t>Joint Book-Running Managers</w:t>
      </w:r>
    </w:p>
    <w:p>
      <w:pPr>
        <w:spacing w:after="0" w:line="72" w:lineRule="exact"/>
        <w:rPr>
          <w:sz w:val="24"/>
          <w:szCs w:val="24"/>
          <w:color w:val="auto"/>
        </w:rPr>
      </w:pPr>
    </w:p>
    <w:tbl>
      <w:tblPr>
        <w:tblLayout w:type="fixed"/>
        <w:tblInd w:w="120" w:type="dxa"/>
        <w:tblCellMar>
          <w:top w:w="0" w:type="dxa"/>
          <w:left w:w="0" w:type="dxa"/>
          <w:bottom w:w="0" w:type="dxa"/>
          <w:right w:w="0" w:type="dxa"/>
        </w:tblCellMar>
      </w:tblPr>
      <w:tr>
        <w:trPr>
          <w:trHeight w:val="253"/>
        </w:trPr>
        <w:tc>
          <w:tcPr>
            <w:tcW w:w="3860" w:type="dxa"/>
            <w:vAlign w:val="bottom"/>
          </w:tcPr>
          <w:p>
            <w:pPr>
              <w:spacing w:after="0"/>
              <w:rPr>
                <w:sz w:val="20"/>
                <w:szCs w:val="20"/>
                <w:color w:val="auto"/>
              </w:rPr>
            </w:pPr>
            <w:r>
              <w:rPr>
                <w:rFonts w:ascii="Arial" w:cs="Arial" w:eastAsia="Arial" w:hAnsi="Arial"/>
                <w:sz w:val="22"/>
                <w:szCs w:val="22"/>
                <w:b w:val="1"/>
                <w:bCs w:val="1"/>
                <w:color w:val="auto"/>
              </w:rPr>
              <w:t>Goldman Sachs &amp; Co. LLC</w:t>
            </w:r>
          </w:p>
        </w:tc>
        <w:tc>
          <w:tcPr>
            <w:tcW w:w="3240" w:type="dxa"/>
            <w:vAlign w:val="bottom"/>
          </w:tcPr>
          <w:p>
            <w:pPr>
              <w:jc w:val="right"/>
              <w:ind w:right="276"/>
              <w:spacing w:after="0"/>
              <w:rPr>
                <w:sz w:val="20"/>
                <w:szCs w:val="20"/>
                <w:color w:val="auto"/>
              </w:rPr>
            </w:pPr>
            <w:r>
              <w:rPr>
                <w:rFonts w:ascii="Arial" w:cs="Arial" w:eastAsia="Arial" w:hAnsi="Arial"/>
                <w:sz w:val="22"/>
                <w:szCs w:val="22"/>
                <w:b w:val="1"/>
                <w:bCs w:val="1"/>
                <w:color w:val="auto"/>
              </w:rPr>
              <w:t>Keefe, Bruyette &amp; Woods</w:t>
            </w:r>
          </w:p>
        </w:tc>
        <w:tc>
          <w:tcPr>
            <w:tcW w:w="3920" w:type="dxa"/>
            <w:vAlign w:val="bottom"/>
          </w:tcPr>
          <w:p>
            <w:pPr>
              <w:ind w:left="2400"/>
              <w:spacing w:after="0"/>
              <w:rPr>
                <w:sz w:val="20"/>
                <w:szCs w:val="20"/>
                <w:color w:val="auto"/>
              </w:rPr>
            </w:pPr>
            <w:r>
              <w:rPr>
                <w:rFonts w:ascii="Arial" w:cs="Arial" w:eastAsia="Arial" w:hAnsi="Arial"/>
                <w:sz w:val="22"/>
                <w:szCs w:val="22"/>
                <w:b w:val="1"/>
                <w:bCs w:val="1"/>
                <w:color w:val="auto"/>
                <w:w w:val="86"/>
              </w:rPr>
              <w:t>Truist Securities</w:t>
            </w:r>
          </w:p>
        </w:tc>
        <w:tc>
          <w:tcPr>
            <w:tcW w:w="0" w:type="dxa"/>
            <w:vAlign w:val="bottom"/>
          </w:tcPr>
          <w:p>
            <w:pPr>
              <w:spacing w:after="0"/>
              <w:rPr>
                <w:sz w:val="1"/>
                <w:szCs w:val="1"/>
                <w:color w:val="auto"/>
              </w:rPr>
            </w:pPr>
          </w:p>
        </w:tc>
      </w:tr>
      <w:tr>
        <w:trPr>
          <w:trHeight w:val="182"/>
        </w:trPr>
        <w:tc>
          <w:tcPr>
            <w:tcW w:w="3860" w:type="dxa"/>
            <w:vAlign w:val="bottom"/>
          </w:tcPr>
          <w:p>
            <w:pPr>
              <w:spacing w:after="0"/>
              <w:rPr>
                <w:sz w:val="15"/>
                <w:szCs w:val="15"/>
                <w:color w:val="auto"/>
              </w:rPr>
            </w:pPr>
          </w:p>
        </w:tc>
        <w:tc>
          <w:tcPr>
            <w:tcW w:w="3240" w:type="dxa"/>
            <w:vAlign w:val="bottom"/>
          </w:tcPr>
          <w:p>
            <w:pPr>
              <w:jc w:val="right"/>
              <w:ind w:right="276"/>
              <w:spacing w:after="0"/>
              <w:rPr>
                <w:sz w:val="20"/>
                <w:szCs w:val="20"/>
                <w:color w:val="auto"/>
              </w:rPr>
            </w:pPr>
            <w:r>
              <w:rPr>
                <w:rFonts w:ascii="Arial" w:cs="Arial" w:eastAsia="Arial" w:hAnsi="Arial"/>
                <w:sz w:val="14"/>
                <w:szCs w:val="14"/>
                <w:i w:val="1"/>
                <w:iCs w:val="1"/>
                <w:color w:val="auto"/>
              </w:rPr>
              <w:t>A Stifel Company</w:t>
            </w:r>
          </w:p>
        </w:tc>
        <w:tc>
          <w:tcPr>
            <w:tcW w:w="3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3860" w:type="dxa"/>
            <w:vAlign w:val="bottom"/>
            <w:vMerge w:val="restart"/>
          </w:tcPr>
          <w:p>
            <w:pPr>
              <w:ind w:left="2180"/>
              <w:spacing w:after="0"/>
              <w:rPr>
                <w:sz w:val="20"/>
                <w:szCs w:val="20"/>
                <w:color w:val="auto"/>
              </w:rPr>
            </w:pPr>
            <w:r>
              <w:rPr>
                <w:rFonts w:ascii="Arial" w:cs="Arial" w:eastAsia="Arial" w:hAnsi="Arial"/>
                <w:sz w:val="18"/>
                <w:szCs w:val="18"/>
                <w:b w:val="1"/>
                <w:bCs w:val="1"/>
                <w:color w:val="auto"/>
              </w:rPr>
              <w:t>JMP Securities</w:t>
            </w:r>
          </w:p>
        </w:tc>
        <w:tc>
          <w:tcPr>
            <w:tcW w:w="3240" w:type="dxa"/>
            <w:vAlign w:val="bottom"/>
          </w:tcPr>
          <w:p>
            <w:pPr>
              <w:jc w:val="right"/>
              <w:ind w:right="1036"/>
              <w:spacing w:after="0"/>
              <w:rPr>
                <w:sz w:val="20"/>
                <w:szCs w:val="20"/>
                <w:color w:val="auto"/>
              </w:rPr>
            </w:pPr>
            <w:r>
              <w:rPr>
                <w:rFonts w:ascii="Arial" w:cs="Arial" w:eastAsia="Arial" w:hAnsi="Arial"/>
                <w:sz w:val="14"/>
                <w:szCs w:val="14"/>
                <w:b w:val="1"/>
                <w:bCs w:val="1"/>
                <w:i w:val="1"/>
                <w:iCs w:val="1"/>
                <w:color w:val="auto"/>
              </w:rPr>
              <w:t>Co-Managers</w:t>
            </w:r>
          </w:p>
        </w:tc>
        <w:tc>
          <w:tcPr>
            <w:tcW w:w="392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Ladenburg Thalmann</w:t>
            </w:r>
          </w:p>
        </w:tc>
        <w:tc>
          <w:tcPr>
            <w:tcW w:w="0" w:type="dxa"/>
            <w:vAlign w:val="bottom"/>
          </w:tcPr>
          <w:p>
            <w:pPr>
              <w:spacing w:after="0"/>
              <w:rPr>
                <w:sz w:val="1"/>
                <w:szCs w:val="1"/>
                <w:color w:val="auto"/>
              </w:rPr>
            </w:pPr>
          </w:p>
        </w:tc>
      </w:tr>
      <w:tr>
        <w:trPr>
          <w:trHeight w:val="201"/>
        </w:trPr>
        <w:tc>
          <w:tcPr>
            <w:tcW w:w="3860" w:type="dxa"/>
            <w:vAlign w:val="bottom"/>
            <w:vMerge w:val="continue"/>
          </w:tcPr>
          <w:p>
            <w:pPr>
              <w:spacing w:after="0"/>
              <w:rPr>
                <w:sz w:val="17"/>
                <w:szCs w:val="17"/>
                <w:color w:val="auto"/>
              </w:rPr>
            </w:pPr>
          </w:p>
        </w:tc>
        <w:tc>
          <w:tcPr>
            <w:tcW w:w="3240" w:type="dxa"/>
            <w:vAlign w:val="bottom"/>
          </w:tcPr>
          <w:p>
            <w:pPr>
              <w:spacing w:after="0"/>
              <w:rPr>
                <w:sz w:val="17"/>
                <w:szCs w:val="17"/>
                <w:color w:val="auto"/>
              </w:rPr>
            </w:pPr>
          </w:p>
        </w:tc>
        <w:tc>
          <w:tcPr>
            <w:tcW w:w="3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45" w:lineRule="exact"/>
        <w:rPr>
          <w:sz w:val="24"/>
          <w:szCs w:val="24"/>
          <w:color w:val="auto"/>
        </w:rPr>
      </w:pPr>
    </w:p>
    <w:p>
      <w:pPr>
        <w:sectPr>
          <w:pgSz w:w="11900" w:h="16838" w:orient="portrait"/>
          <w:cols w:equalWidth="0" w:num="1">
            <w:col w:w="11140"/>
          </w:cols>
          <w:pgMar w:left="320" w:top="230" w:right="439" w:bottom="1440" w:gutter="0" w:footer="0" w:header="0"/>
        </w:sectPr>
      </w:pPr>
    </w:p>
    <w:p>
      <w:pPr>
        <w:jc w:val="center"/>
        <w:ind w:right="-119"/>
        <w:spacing w:after="0"/>
        <w:rPr>
          <w:sz w:val="20"/>
          <w:szCs w:val="20"/>
          <w:color w:val="auto"/>
        </w:rPr>
      </w:pPr>
      <w:r>
        <w:rPr>
          <w:rFonts w:ascii="Arial" w:cs="Arial" w:eastAsia="Arial" w:hAnsi="Arial"/>
          <w:sz w:val="12"/>
          <w:szCs w:val="12"/>
          <w:b w:val="1"/>
          <w:bCs w:val="1"/>
          <w:color w:val="auto"/>
        </w:rPr>
        <w:t>The date of this prospectus supplement is October 6, 2021.</w:t>
      </w:r>
    </w:p>
    <w:p>
      <w:pPr>
        <w:sectPr>
          <w:pgSz w:w="11900" w:h="16838" w:orient="portrait"/>
          <w:cols w:equalWidth="0" w:num="1">
            <w:col w:w="11140"/>
          </w:cols>
          <w:pgMar w:left="32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80" w:type="dxa"/>
            <w:vAlign w:val="bottom"/>
            <w:gridSpan w:val="6"/>
          </w:tcPr>
          <w:p>
            <w:pPr>
              <w:jc w:val="center"/>
              <w:ind w:right="4040"/>
              <w:spacing w:after="0"/>
              <w:rPr>
                <w:sz w:val="20"/>
                <w:szCs w:val="20"/>
                <w:color w:val="auto"/>
              </w:rPr>
            </w:pPr>
            <w:r>
              <w:rPr>
                <w:rFonts w:ascii="Arial" w:cs="Arial" w:eastAsia="Arial" w:hAnsi="Arial"/>
                <w:sz w:val="18"/>
                <w:szCs w:val="18"/>
                <w:b w:val="1"/>
                <w:bCs w:val="1"/>
                <w:color w:val="auto"/>
                <w:w w:val="98"/>
              </w:rPr>
              <w:t>TABLE OF CONTENTS</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80" w:type="dxa"/>
            <w:vAlign w:val="bottom"/>
            <w:gridSpan w:val="7"/>
          </w:tcPr>
          <w:p>
            <w:pPr>
              <w:jc w:val="center"/>
              <w:ind w:right="3420"/>
              <w:spacing w:after="0"/>
              <w:rPr>
                <w:sz w:val="20"/>
                <w:szCs w:val="20"/>
                <w:color w:val="auto"/>
              </w:rPr>
            </w:pPr>
            <w:r>
              <w:rPr>
                <w:rFonts w:ascii="Arial" w:cs="Arial" w:eastAsia="Arial" w:hAnsi="Arial"/>
                <w:sz w:val="18"/>
                <w:szCs w:val="18"/>
                <w:b w:val="1"/>
                <w:bCs w:val="1"/>
                <w:color w:val="auto"/>
                <w:w w:val="97"/>
              </w:rPr>
              <w:t>PROSPECTUS SUPPLEMENT</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440" w:type="dxa"/>
            <w:vAlign w:val="bottom"/>
            <w:gridSpan w:val="21"/>
            <w:vMerge w:val="restart"/>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ABOUT THIS PROSPECTUS SUPPLEMENT</w:t>
              </w:r>
            </w:hyperlink>
          </w:p>
        </w:tc>
        <w:tc>
          <w:tcPr>
            <w:tcW w:w="7120" w:type="dxa"/>
            <w:vAlign w:val="bottom"/>
            <w:gridSpan w:val="9"/>
            <w:vMerge w:val="restart"/>
          </w:tcPr>
          <w:p>
            <w:pPr>
              <w:spacing w:after="0"/>
              <w:rPr>
                <w:sz w:val="24"/>
                <w:szCs w:val="24"/>
                <w:color w:val="auto"/>
              </w:rPr>
            </w:pPr>
          </w:p>
        </w:tc>
        <w:tc>
          <w:tcPr>
            <w:tcW w:w="420" w:type="dxa"/>
            <w:vAlign w:val="bottom"/>
            <w:gridSpan w:val="2"/>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3440" w:type="dxa"/>
            <w:vAlign w:val="bottom"/>
            <w:tcBorders>
              <w:bottom w:val="single" w:sz="8" w:color="0000EE"/>
            </w:tcBorders>
            <w:gridSpan w:val="21"/>
            <w:vMerge w:val="continue"/>
          </w:tcPr>
          <w:p>
            <w:pPr>
              <w:spacing w:after="0"/>
              <w:rPr>
                <w:sz w:val="14"/>
                <w:szCs w:val="14"/>
                <w:color w:val="auto"/>
              </w:rPr>
            </w:pPr>
          </w:p>
        </w:tc>
        <w:tc>
          <w:tcPr>
            <w:tcW w:w="7120" w:type="dxa"/>
            <w:vAlign w:val="bottom"/>
            <w:gridSpan w:val="9"/>
            <w:vMerge w:val="continue"/>
          </w:tcPr>
          <w:p>
            <w:pPr>
              <w:spacing w:after="0"/>
              <w:rPr>
                <w:sz w:val="14"/>
                <w:szCs w:val="14"/>
                <w:color w:val="auto"/>
              </w:rPr>
            </w:pPr>
          </w:p>
        </w:tc>
        <w:tc>
          <w:tcPr>
            <w:tcW w:w="4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S-1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8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4">
              <w:r>
                <w:rPr>
                  <w:rFonts w:ascii="Arial" w:cs="Arial" w:eastAsia="Arial" w:hAnsi="Arial"/>
                  <w:sz w:val="18"/>
                  <w:szCs w:val="18"/>
                  <w:color w:val="0000EE"/>
                  <w:w w:val="93"/>
                </w:rPr>
                <w:t>THE OFFERING</w:t>
              </w:r>
            </w:hyperlink>
          </w:p>
        </w:tc>
        <w:tc>
          <w:tcPr>
            <w:tcW w:w="9280" w:type="dxa"/>
            <w:vAlign w:val="bottom"/>
            <w:gridSpan w:val="28"/>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S-2</w:t>
            </w:r>
          </w:p>
        </w:tc>
        <w:tc>
          <w:tcPr>
            <w:tcW w:w="0" w:type="dxa"/>
            <w:vAlign w:val="bottom"/>
          </w:tcPr>
          <w:p>
            <w:pPr>
              <w:spacing w:after="0"/>
              <w:rPr>
                <w:sz w:val="1"/>
                <w:szCs w:val="1"/>
                <w:color w:val="auto"/>
              </w:rPr>
            </w:pPr>
          </w:p>
        </w:tc>
      </w:tr>
      <w:tr>
        <w:trPr>
          <w:trHeight w:val="196"/>
        </w:trPr>
        <w:tc>
          <w:tcPr>
            <w:tcW w:w="10560" w:type="dxa"/>
            <w:vAlign w:val="bottom"/>
            <w:gridSpan w:val="30"/>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PROSPECTUS SUPPLEMENT SUMMARY</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S-7</w:t>
            </w:r>
          </w:p>
        </w:tc>
        <w:tc>
          <w:tcPr>
            <w:tcW w:w="0" w:type="dxa"/>
            <w:vAlign w:val="bottom"/>
          </w:tcPr>
          <w:p>
            <w:pPr>
              <w:spacing w:after="0"/>
              <w:rPr>
                <w:sz w:val="1"/>
                <w:szCs w:val="1"/>
                <w:color w:val="auto"/>
              </w:rPr>
            </w:pPr>
          </w:p>
        </w:tc>
      </w:tr>
      <w:tr>
        <w:trPr>
          <w:trHeight w:val="196"/>
        </w:trPr>
        <w:tc>
          <w:tcPr>
            <w:tcW w:w="32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FORWARD-LOOKING STATEMENTS</w:t>
              </w:r>
            </w:hyperlink>
          </w:p>
        </w:tc>
        <w:tc>
          <w:tcPr>
            <w:tcW w:w="7280" w:type="dxa"/>
            <w:vAlign w:val="bottom"/>
            <w:gridSpan w:val="11"/>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S-11</w:t>
            </w:r>
          </w:p>
        </w:tc>
        <w:tc>
          <w:tcPr>
            <w:tcW w:w="0" w:type="dxa"/>
            <w:vAlign w:val="bottom"/>
          </w:tcPr>
          <w:p>
            <w:pPr>
              <w:spacing w:after="0"/>
              <w:rPr>
                <w:sz w:val="1"/>
                <w:szCs w:val="1"/>
                <w:color w:val="auto"/>
              </w:rPr>
            </w:pPr>
          </w:p>
        </w:tc>
      </w:tr>
      <w:tr>
        <w:trPr>
          <w:trHeight w:val="196"/>
        </w:trPr>
        <w:tc>
          <w:tcPr>
            <w:tcW w:w="29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RISK FACTORS</w:t>
              </w:r>
            </w:hyperlink>
          </w:p>
        </w:tc>
        <w:tc>
          <w:tcPr>
            <w:tcW w:w="7640" w:type="dxa"/>
            <w:vAlign w:val="bottom"/>
            <w:gridSpan w:val="13"/>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S-13</w:t>
            </w:r>
          </w:p>
        </w:tc>
        <w:tc>
          <w:tcPr>
            <w:tcW w:w="0" w:type="dxa"/>
            <w:vAlign w:val="bottom"/>
          </w:tcPr>
          <w:p>
            <w:pPr>
              <w:spacing w:after="0"/>
              <w:rPr>
                <w:sz w:val="1"/>
                <w:szCs w:val="1"/>
                <w:color w:val="auto"/>
              </w:rPr>
            </w:pPr>
          </w:p>
        </w:tc>
      </w:tr>
      <w:tr>
        <w:trPr>
          <w:trHeight w:val="20"/>
        </w:trPr>
        <w:tc>
          <w:tcPr>
            <w:tcW w:w="124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USE OF PROCEEDS</w:t>
              </w:r>
            </w:hyperlink>
          </w:p>
        </w:tc>
        <w:tc>
          <w:tcPr>
            <w:tcW w:w="8980" w:type="dxa"/>
            <w:vAlign w:val="bottom"/>
            <w:gridSpan w:val="24"/>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S-18</w:t>
            </w: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5"/>
          </w:tcPr>
          <w:p>
            <w:pPr>
              <w:spacing w:after="0" w:line="196" w:lineRule="exact"/>
              <w:rPr>
                <w:rFonts w:ascii="Arial" w:cs="Arial" w:eastAsia="Arial" w:hAnsi="Arial"/>
                <w:sz w:val="18"/>
                <w:szCs w:val="18"/>
                <w:color w:val="0000EE"/>
                <w:w w:val="99"/>
              </w:rPr>
            </w:pPr>
            <w:hyperlink w:anchor="page21">
              <w:r>
                <w:rPr>
                  <w:rFonts w:ascii="Arial" w:cs="Arial" w:eastAsia="Arial" w:hAnsi="Arial"/>
                  <w:sz w:val="18"/>
                  <w:szCs w:val="18"/>
                  <w:color w:val="0000EE"/>
                  <w:w w:val="99"/>
                </w:rPr>
                <w:t>CAPITALIZATION</w:t>
              </w:r>
            </w:hyperlink>
          </w:p>
        </w:tc>
        <w:tc>
          <w:tcPr>
            <w:tcW w:w="9080" w:type="dxa"/>
            <w:vAlign w:val="bottom"/>
            <w:gridSpan w:val="25"/>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S-19</w:t>
            </w:r>
          </w:p>
        </w:tc>
        <w:tc>
          <w:tcPr>
            <w:tcW w:w="0" w:type="dxa"/>
            <w:vAlign w:val="bottom"/>
          </w:tcPr>
          <w:p>
            <w:pPr>
              <w:spacing w:after="0"/>
              <w:rPr>
                <w:sz w:val="1"/>
                <w:szCs w:val="1"/>
                <w:color w:val="auto"/>
              </w:rPr>
            </w:pPr>
          </w:p>
        </w:tc>
      </w:tr>
      <w:tr>
        <w:trPr>
          <w:trHeight w:val="196"/>
        </w:trPr>
        <w:tc>
          <w:tcPr>
            <w:tcW w:w="246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w:anchor="page22">
              <w:r>
                <w:rPr>
                  <w:rFonts w:ascii="Arial" w:cs="Arial" w:eastAsia="Arial" w:hAnsi="Arial"/>
                  <w:sz w:val="18"/>
                  <w:szCs w:val="18"/>
                  <w:color w:val="0000EE"/>
                  <w:w w:val="93"/>
                </w:rPr>
                <w:t>DESCRIPTION OF THE NOTES</w:t>
              </w:r>
            </w:hyperlink>
          </w:p>
        </w:tc>
        <w:tc>
          <w:tcPr>
            <w:tcW w:w="8100" w:type="dxa"/>
            <w:vAlign w:val="bottom"/>
            <w:gridSpan w:val="16"/>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S-20</w:t>
            </w:r>
          </w:p>
        </w:tc>
        <w:tc>
          <w:tcPr>
            <w:tcW w:w="0" w:type="dxa"/>
            <w:vAlign w:val="bottom"/>
          </w:tcPr>
          <w:p>
            <w:pPr>
              <w:spacing w:after="0"/>
              <w:rPr>
                <w:sz w:val="1"/>
                <w:szCs w:val="1"/>
                <w:color w:val="auto"/>
              </w:rPr>
            </w:pPr>
          </w:p>
        </w:tc>
      </w:tr>
      <w:tr>
        <w:trPr>
          <w:trHeight w:val="196"/>
        </w:trPr>
        <w:tc>
          <w:tcPr>
            <w:tcW w:w="10560" w:type="dxa"/>
            <w:vAlign w:val="bottom"/>
            <w:gridSpan w:val="30"/>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CERTAIN U.S. FEDERAL INCOME TAX CONSIDERATIONS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S-36</w:t>
            </w:r>
          </w:p>
        </w:tc>
        <w:tc>
          <w:tcPr>
            <w:tcW w:w="0" w:type="dxa"/>
            <w:vAlign w:val="bottom"/>
          </w:tcPr>
          <w:p>
            <w:pPr>
              <w:spacing w:after="0"/>
              <w:rPr>
                <w:sz w:val="1"/>
                <w:szCs w:val="1"/>
                <w:color w:val="auto"/>
              </w:rPr>
            </w:pPr>
          </w:p>
        </w:tc>
      </w:tr>
      <w:tr>
        <w:trPr>
          <w:trHeight w:val="196"/>
        </w:trPr>
        <w:tc>
          <w:tcPr>
            <w:tcW w:w="470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UNDERWRITING</w:t>
              </w:r>
            </w:hyperlink>
          </w:p>
        </w:tc>
        <w:tc>
          <w:tcPr>
            <w:tcW w:w="5860" w:type="dxa"/>
            <w:vAlign w:val="bottom"/>
            <w:gridSpan w:val="4"/>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S-41</w:t>
            </w:r>
          </w:p>
        </w:tc>
        <w:tc>
          <w:tcPr>
            <w:tcW w:w="0" w:type="dxa"/>
            <w:vAlign w:val="bottom"/>
          </w:tcPr>
          <w:p>
            <w:pPr>
              <w:spacing w:after="0"/>
              <w:rPr>
                <w:sz w:val="1"/>
                <w:szCs w:val="1"/>
                <w:color w:val="auto"/>
              </w:rPr>
            </w:pPr>
          </w:p>
        </w:tc>
      </w:tr>
      <w:tr>
        <w:trPr>
          <w:trHeight w:val="20"/>
        </w:trPr>
        <w:tc>
          <w:tcPr>
            <w:tcW w:w="138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50">
              <w:r>
                <w:rPr>
                  <w:rFonts w:ascii="Arial" w:cs="Arial" w:eastAsia="Arial" w:hAnsi="Arial"/>
                  <w:sz w:val="18"/>
                  <w:szCs w:val="18"/>
                  <w:color w:val="0000EE"/>
                  <w:w w:val="96"/>
                </w:rPr>
                <w:t>LEGAL MATTERS</w:t>
              </w:r>
            </w:hyperlink>
          </w:p>
        </w:tc>
        <w:tc>
          <w:tcPr>
            <w:tcW w:w="9100" w:type="dxa"/>
            <w:vAlign w:val="bottom"/>
            <w:gridSpan w:val="26"/>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S-48</w:t>
            </w:r>
          </w:p>
        </w:tc>
        <w:tc>
          <w:tcPr>
            <w:tcW w:w="0" w:type="dxa"/>
            <w:vAlign w:val="bottom"/>
          </w:tcPr>
          <w:p>
            <w:pPr>
              <w:spacing w:after="0"/>
              <w:rPr>
                <w:sz w:val="1"/>
                <w:szCs w:val="1"/>
                <w:color w:val="auto"/>
              </w:rPr>
            </w:pPr>
          </w:p>
        </w:tc>
      </w:tr>
      <w:tr>
        <w:trPr>
          <w:trHeight w:val="196"/>
        </w:trPr>
        <w:tc>
          <w:tcPr>
            <w:tcW w:w="4800" w:type="dxa"/>
            <w:vAlign w:val="bottom"/>
            <w:tcBorders>
              <w:bottom w:val="single" w:sz="8" w:color="0000EE"/>
            </w:tcBorders>
            <w:gridSpan w:val="27"/>
          </w:tcPr>
          <w:p>
            <w:pPr>
              <w:spacing w:after="0" w:line="196" w:lineRule="exact"/>
              <w:rPr>
                <w:rFonts w:ascii="Arial" w:cs="Arial" w:eastAsia="Arial" w:hAnsi="Arial"/>
                <w:sz w:val="18"/>
                <w:szCs w:val="18"/>
                <w:color w:val="0000EE"/>
                <w:w w:val="96"/>
              </w:rPr>
            </w:pPr>
            <w:hyperlink w:anchor="page50">
              <w:r>
                <w:rPr>
                  <w:rFonts w:ascii="Arial" w:cs="Arial" w:eastAsia="Arial" w:hAnsi="Arial"/>
                  <w:sz w:val="18"/>
                  <w:szCs w:val="18"/>
                  <w:color w:val="0000EE"/>
                  <w:w w:val="96"/>
                </w:rPr>
                <w:t>INDEPENDENT REGISTERED PUBLIC ACCOUNTING FIRM</w:t>
              </w:r>
            </w:hyperlink>
          </w:p>
        </w:tc>
        <w:tc>
          <w:tcPr>
            <w:tcW w:w="5760" w:type="dxa"/>
            <w:vAlign w:val="bottom"/>
            <w:gridSpan w:val="3"/>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S-48</w:t>
            </w:r>
          </w:p>
        </w:tc>
        <w:tc>
          <w:tcPr>
            <w:tcW w:w="0" w:type="dxa"/>
            <w:vAlign w:val="bottom"/>
          </w:tcPr>
          <w:p>
            <w:pPr>
              <w:spacing w:after="0"/>
              <w:rPr>
                <w:sz w:val="1"/>
                <w:szCs w:val="1"/>
                <w:color w:val="auto"/>
              </w:rPr>
            </w:pPr>
          </w:p>
        </w:tc>
      </w:tr>
      <w:tr>
        <w:trPr>
          <w:trHeight w:val="196"/>
        </w:trPr>
        <w:tc>
          <w:tcPr>
            <w:tcW w:w="2100" w:type="dxa"/>
            <w:vAlign w:val="bottom"/>
            <w:tcBorders>
              <w:bottom w:val="single" w:sz="8" w:color="0000EE"/>
            </w:tcBorders>
            <w:gridSpan w:val="11"/>
          </w:tcPr>
          <w:p>
            <w:pPr>
              <w:spacing w:after="0" w:line="196" w:lineRule="exact"/>
              <w:rPr>
                <w:rFonts w:ascii="Arial" w:cs="Arial" w:eastAsia="Arial" w:hAnsi="Arial"/>
                <w:sz w:val="18"/>
                <w:szCs w:val="18"/>
                <w:color w:val="0000EE"/>
                <w:w w:val="96"/>
              </w:rPr>
            </w:pPr>
            <w:hyperlink w:anchor="page50">
              <w:r>
                <w:rPr>
                  <w:rFonts w:ascii="Arial" w:cs="Arial" w:eastAsia="Arial" w:hAnsi="Arial"/>
                  <w:sz w:val="18"/>
                  <w:szCs w:val="18"/>
                  <w:color w:val="0000EE"/>
                  <w:w w:val="96"/>
                </w:rPr>
                <w:t>INDEPENDENT AUDITOR</w:t>
              </w:r>
            </w:hyperlink>
          </w:p>
        </w:tc>
        <w:tc>
          <w:tcPr>
            <w:tcW w:w="8460" w:type="dxa"/>
            <w:vAlign w:val="bottom"/>
            <w:gridSpan w:val="19"/>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S-48</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w:anchor="page51">
              <w:r>
                <w:rPr>
                  <w:rFonts w:ascii="Arial" w:cs="Arial" w:eastAsia="Arial" w:hAnsi="Arial"/>
                  <w:sz w:val="18"/>
                  <w:szCs w:val="18"/>
                  <w:color w:val="0000EE"/>
                  <w:w w:val="94"/>
                </w:rPr>
                <w:t>INCORPORATION BY REFERENCE</w:t>
              </w:r>
            </w:hyperlink>
          </w:p>
        </w:tc>
        <w:tc>
          <w:tcPr>
            <w:tcW w:w="7740" w:type="dxa"/>
            <w:vAlign w:val="bottom"/>
            <w:gridSpan w:val="15"/>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S-49</w:t>
            </w:r>
          </w:p>
        </w:tc>
        <w:tc>
          <w:tcPr>
            <w:tcW w:w="0" w:type="dxa"/>
            <w:vAlign w:val="bottom"/>
          </w:tcPr>
          <w:p>
            <w:pPr>
              <w:spacing w:after="0"/>
              <w:rPr>
                <w:sz w:val="1"/>
                <w:szCs w:val="1"/>
                <w:color w:val="auto"/>
              </w:rPr>
            </w:pPr>
          </w:p>
        </w:tc>
      </w:tr>
      <w:tr>
        <w:trPr>
          <w:trHeight w:val="196"/>
        </w:trPr>
        <w:tc>
          <w:tcPr>
            <w:tcW w:w="10560" w:type="dxa"/>
            <w:vAlign w:val="bottom"/>
            <w:gridSpan w:val="30"/>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AVAILABLE INFORMATION</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S-50</w:t>
            </w:r>
          </w:p>
        </w:tc>
        <w:tc>
          <w:tcPr>
            <w:tcW w:w="0" w:type="dxa"/>
            <w:vAlign w:val="bottom"/>
          </w:tcPr>
          <w:p>
            <w:pPr>
              <w:spacing w:after="0"/>
              <w:rPr>
                <w:sz w:val="1"/>
                <w:szCs w:val="1"/>
                <w:color w:val="auto"/>
              </w:rPr>
            </w:pPr>
          </w:p>
        </w:tc>
      </w:tr>
      <w:tr>
        <w:trPr>
          <w:trHeight w:val="668"/>
        </w:trPr>
        <w:tc>
          <w:tcPr>
            <w:tcW w:w="1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700" w:type="dxa"/>
            <w:vAlign w:val="bottom"/>
            <w:gridSpan w:val="2"/>
          </w:tcPr>
          <w:p>
            <w:pPr>
              <w:jc w:val="center"/>
              <w:ind w:right="4420"/>
              <w:spacing w:after="0"/>
              <w:rPr>
                <w:sz w:val="20"/>
                <w:szCs w:val="20"/>
                <w:color w:val="auto"/>
              </w:rPr>
            </w:pPr>
            <w:r>
              <w:rPr>
                <w:rFonts w:ascii="Arial" w:cs="Arial" w:eastAsia="Arial" w:hAnsi="Arial"/>
                <w:sz w:val="18"/>
                <w:szCs w:val="18"/>
                <w:b w:val="1"/>
                <w:bCs w:val="1"/>
                <w:color w:val="auto"/>
                <w:w w:val="96"/>
              </w:rPr>
              <w:t>PROSPECTUS</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560" w:type="dxa"/>
            <w:vAlign w:val="bottom"/>
            <w:gridSpan w:val="30"/>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PROSPECTUS SUMMARY</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FEES AND EXPENSES</w:t>
              </w:r>
            </w:hyperlink>
          </w:p>
        </w:tc>
        <w:tc>
          <w:tcPr>
            <w:tcW w:w="8480" w:type="dxa"/>
            <w:vAlign w:val="bottom"/>
            <w:gridSpan w:val="20"/>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7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RISK FACTORS</w:t>
              </w:r>
            </w:hyperlink>
          </w:p>
        </w:tc>
        <w:tc>
          <w:tcPr>
            <w:tcW w:w="8780" w:type="dxa"/>
            <w:vAlign w:val="bottom"/>
            <w:gridSpan w:val="2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24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30"/>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FORWARD-LOOKING STATEMENTS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w:anchor="page65">
              <w:r>
                <w:rPr>
                  <w:rFonts w:ascii="Arial" w:cs="Arial" w:eastAsia="Arial" w:hAnsi="Arial"/>
                  <w:sz w:val="18"/>
                  <w:szCs w:val="18"/>
                  <w:color w:val="0000EE"/>
                  <w:w w:val="90"/>
                </w:rPr>
                <w:t>USE OF PROCEEDS</w:t>
              </w:r>
            </w:hyperlink>
          </w:p>
        </w:tc>
        <w:tc>
          <w:tcPr>
            <w:tcW w:w="1340" w:type="dxa"/>
            <w:vAlign w:val="bottom"/>
            <w:tcBorders>
              <w:top w:val="single" w:sz="8" w:color="0000EE"/>
            </w:tcBorders>
            <w:gridSpan w:val="11"/>
          </w:tcPr>
          <w:p>
            <w:pPr>
              <w:spacing w:after="0"/>
              <w:rPr>
                <w:sz w:val="17"/>
                <w:szCs w:val="17"/>
                <w:color w:val="auto"/>
              </w:rPr>
            </w:pPr>
          </w:p>
        </w:tc>
        <w:tc>
          <w:tcPr>
            <w:tcW w:w="7640" w:type="dxa"/>
            <w:vAlign w:val="bottom"/>
            <w:gridSpan w:val="13"/>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172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w:anchor="page66">
              <w:r>
                <w:rPr>
                  <w:rFonts w:ascii="Arial" w:cs="Arial" w:eastAsia="Arial" w:hAnsi="Arial"/>
                  <w:sz w:val="18"/>
                  <w:szCs w:val="18"/>
                  <w:color w:val="0000EE"/>
                  <w:w w:val="93"/>
                </w:rPr>
                <w:t>SENIOR SECURITIES</w:t>
              </w:r>
            </w:hyperlink>
          </w:p>
        </w:tc>
        <w:tc>
          <w:tcPr>
            <w:tcW w:w="8840" w:type="dxa"/>
            <w:vAlign w:val="bottom"/>
            <w:gridSpan w:val="23"/>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2960" w:type="dxa"/>
            <w:vAlign w:val="bottom"/>
            <w:tcBorders>
              <w:bottom w:val="single" w:sz="8" w:color="0000EE"/>
            </w:tcBorders>
            <w:gridSpan w:val="18"/>
          </w:tcPr>
          <w:p>
            <w:pPr>
              <w:spacing w:after="0" w:line="196" w:lineRule="exact"/>
              <w:rPr>
                <w:rFonts w:ascii="Arial" w:cs="Arial" w:eastAsia="Arial" w:hAnsi="Arial"/>
                <w:sz w:val="18"/>
                <w:szCs w:val="18"/>
                <w:color w:val="0000EE"/>
                <w:w w:val="94"/>
              </w:rPr>
            </w:pPr>
            <w:hyperlink w:anchor="page67">
              <w:r>
                <w:rPr>
                  <w:rFonts w:ascii="Arial" w:cs="Arial" w:eastAsia="Arial" w:hAnsi="Arial"/>
                  <w:sz w:val="18"/>
                  <w:szCs w:val="18"/>
                  <w:color w:val="0000EE"/>
                  <w:w w:val="94"/>
                </w:rPr>
                <w:t>PRICE RANGE OF COMMON STOCK</w:t>
              </w:r>
            </w:hyperlink>
          </w:p>
        </w:tc>
        <w:tc>
          <w:tcPr>
            <w:tcW w:w="7600" w:type="dxa"/>
            <w:vAlign w:val="bottom"/>
            <w:gridSpan w:val="1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4640" w:type="dxa"/>
            <w:vAlign w:val="bottom"/>
            <w:tcBorders>
              <w:bottom w:val="single" w:sz="8" w:color="0000EE"/>
            </w:tcBorders>
            <w:gridSpan w:val="25"/>
          </w:tcPr>
          <w:p>
            <w:pPr>
              <w:spacing w:after="0" w:line="196" w:lineRule="exact"/>
              <w:rPr>
                <w:rFonts w:ascii="Arial" w:cs="Arial" w:eastAsia="Arial" w:hAnsi="Arial"/>
                <w:sz w:val="18"/>
                <w:szCs w:val="18"/>
                <w:color w:val="0000EE"/>
                <w:w w:val="95"/>
              </w:rPr>
            </w:pPr>
            <w:hyperlink w:anchor="page68">
              <w:r>
                <w:rPr>
                  <w:rFonts w:ascii="Arial" w:cs="Arial" w:eastAsia="Arial" w:hAnsi="Arial"/>
                  <w:sz w:val="18"/>
                  <w:szCs w:val="18"/>
                  <w:color w:val="0000EE"/>
                  <w:w w:val="95"/>
                </w:rPr>
                <w:t>SALES OF COMMON STOCK BELOW NET ASSET VALUE</w:t>
              </w:r>
            </w:hyperlink>
          </w:p>
        </w:tc>
        <w:tc>
          <w:tcPr>
            <w:tcW w:w="5920" w:type="dxa"/>
            <w:vAlign w:val="bottom"/>
            <w:gridSpan w:val="5"/>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1380" w:type="dxa"/>
            <w:vAlign w:val="bottom"/>
            <w:tcBorders>
              <w:bottom w:val="single" w:sz="8" w:color="0000EE"/>
            </w:tcBorders>
            <w:gridSpan w:val="3"/>
          </w:tcPr>
          <w:p>
            <w:pPr>
              <w:spacing w:after="0" w:line="196" w:lineRule="exact"/>
              <w:rPr>
                <w:rFonts w:ascii="Arial" w:cs="Arial" w:eastAsia="Arial" w:hAnsi="Arial"/>
                <w:sz w:val="18"/>
                <w:szCs w:val="18"/>
                <w:color w:val="0000EE"/>
                <w:w w:val="96"/>
              </w:rPr>
            </w:pPr>
            <w:hyperlink w:anchor="page73">
              <w:r>
                <w:rPr>
                  <w:rFonts w:ascii="Arial" w:cs="Arial" w:eastAsia="Arial" w:hAnsi="Arial"/>
                  <w:sz w:val="18"/>
                  <w:szCs w:val="18"/>
                  <w:color w:val="0000EE"/>
                  <w:w w:val="96"/>
                </w:rPr>
                <w:t>DISTRIBUTIONS</w:t>
              </w:r>
            </w:hyperlink>
          </w:p>
        </w:tc>
        <w:tc>
          <w:tcPr>
            <w:tcW w:w="9180" w:type="dxa"/>
            <w:vAlign w:val="bottom"/>
            <w:gridSpan w:val="27"/>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0560" w:type="dxa"/>
            <w:vAlign w:val="bottom"/>
            <w:gridSpan w:val="30"/>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PORTFOLIO COMPANIES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040" w:type="dxa"/>
            <w:vAlign w:val="bottom"/>
            <w:gridSpan w:val="9"/>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20" w:type="dxa"/>
            <w:vAlign w:val="bottom"/>
            <w:tcBorders>
              <w:bottom w:val="single" w:sz="8" w:color="0000EE"/>
            </w:tcBorders>
            <w:gridSpan w:val="13"/>
          </w:tcPr>
          <w:p>
            <w:pPr>
              <w:spacing w:after="0" w:line="196" w:lineRule="exact"/>
              <w:rPr>
                <w:rFonts w:ascii="Arial" w:cs="Arial" w:eastAsia="Arial" w:hAnsi="Arial"/>
                <w:sz w:val="18"/>
                <w:szCs w:val="18"/>
                <w:color w:val="0000EE"/>
                <w:w w:val="96"/>
              </w:rPr>
            </w:pPr>
            <w:hyperlink w:anchor="page82">
              <w:r>
                <w:rPr>
                  <w:rFonts w:ascii="Arial" w:cs="Arial" w:eastAsia="Arial" w:hAnsi="Arial"/>
                  <w:sz w:val="18"/>
                  <w:szCs w:val="18"/>
                  <w:color w:val="0000EE"/>
                  <w:w w:val="96"/>
                </w:rPr>
                <w:t>PORTFOLIO MANAGEMENT</w:t>
              </w:r>
            </w:hyperlink>
          </w:p>
        </w:tc>
        <w:tc>
          <w:tcPr>
            <w:tcW w:w="8240" w:type="dxa"/>
            <w:vAlign w:val="bottom"/>
            <w:gridSpan w:val="17"/>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0560" w:type="dxa"/>
            <w:vAlign w:val="bottom"/>
            <w:gridSpan w:val="30"/>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DETERMINATION OF NET ASSET VALUE</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3360" w:type="dxa"/>
            <w:vAlign w:val="bottom"/>
            <w:tcBorders>
              <w:top w:val="single" w:sz="8" w:color="0000EE"/>
            </w:tcBorders>
            <w:gridSpan w:val="20"/>
          </w:tcPr>
          <w:p>
            <w:pPr>
              <w:spacing w:after="0" w:line="196" w:lineRule="exact"/>
              <w:rPr>
                <w:rFonts w:ascii="Arial" w:cs="Arial" w:eastAsia="Arial" w:hAnsi="Arial"/>
                <w:sz w:val="18"/>
                <w:szCs w:val="18"/>
                <w:color w:val="0000EE"/>
                <w:w w:val="96"/>
              </w:rPr>
            </w:pPr>
            <w:hyperlink w:anchor="page87">
              <w:r>
                <w:rPr>
                  <w:rFonts w:ascii="Arial" w:cs="Arial" w:eastAsia="Arial" w:hAnsi="Arial"/>
                  <w:sz w:val="18"/>
                  <w:szCs w:val="18"/>
                  <w:color w:val="0000EE"/>
                  <w:w w:val="96"/>
                </w:rPr>
                <w:t>DESCRIPTION OF OUR CAPITAL STOCK</w:t>
              </w:r>
            </w:hyperlink>
          </w:p>
        </w:tc>
        <w:tc>
          <w:tcPr>
            <w:tcW w:w="7200" w:type="dxa"/>
            <w:vAlign w:val="bottom"/>
            <w:gridSpan w:val="10"/>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040" w:type="dxa"/>
            <w:vAlign w:val="bottom"/>
            <w:gridSpan w:val="9"/>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30"/>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DESCRIPTION OF OUR PREFERRED STOCK</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356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DESCRIPTION OF OUR WARRANTS</w:t>
              </w:r>
            </w:hyperlink>
          </w:p>
        </w:tc>
        <w:tc>
          <w:tcPr>
            <w:tcW w:w="7000" w:type="dxa"/>
            <w:vAlign w:val="bottom"/>
            <w:gridSpan w:val="8"/>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40" w:type="dxa"/>
            <w:vAlign w:val="bottom"/>
            <w:gridSpan w:val="9"/>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30"/>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DESCRIPTION OF OUR SUBSCRIPTION RIGHTS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388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DESCRIPTION OF OUR DEBT SECURITIES</w:t>
              </w:r>
            </w:hyperlink>
          </w:p>
        </w:tc>
        <w:tc>
          <w:tcPr>
            <w:tcW w:w="6680" w:type="dxa"/>
            <w:vAlign w:val="bottom"/>
            <w:gridSpan w:val="7"/>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2040" w:type="dxa"/>
            <w:vAlign w:val="bottom"/>
            <w:gridSpan w:val="9"/>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180" w:type="dxa"/>
            <w:vAlign w:val="bottom"/>
            <w:gridSpan w:val="9"/>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80" w:type="dxa"/>
            <w:vAlign w:val="bottom"/>
            <w:tcBorders>
              <w:bottom w:val="single" w:sz="8" w:color="0000EE"/>
            </w:tcBorders>
            <w:gridSpan w:val="24"/>
          </w:tcPr>
          <w:p>
            <w:pPr>
              <w:spacing w:after="0" w:line="196" w:lineRule="exact"/>
              <w:rPr>
                <w:rFonts w:ascii="Arial" w:cs="Arial" w:eastAsia="Arial" w:hAnsi="Arial"/>
                <w:sz w:val="18"/>
                <w:szCs w:val="18"/>
                <w:color w:val="0000EE"/>
                <w:w w:val="96"/>
              </w:rPr>
            </w:pPr>
            <w:hyperlink w:anchor="page112">
              <w:r>
                <w:rPr>
                  <w:rFonts w:ascii="Arial" w:cs="Arial" w:eastAsia="Arial" w:hAnsi="Arial"/>
                  <w:sz w:val="18"/>
                  <w:szCs w:val="18"/>
                  <w:color w:val="0000EE"/>
                  <w:w w:val="96"/>
                </w:rPr>
                <w:t>BROKERAGE ALLOCATIONS AND OTHER PRACTICES</w:t>
              </w:r>
            </w:hyperlink>
          </w:p>
        </w:tc>
        <w:tc>
          <w:tcPr>
            <w:tcW w:w="6080" w:type="dxa"/>
            <w:vAlign w:val="bottom"/>
            <w:gridSpan w:val="6"/>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10560" w:type="dxa"/>
            <w:vAlign w:val="bottom"/>
            <w:gridSpan w:val="30"/>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MATERIAL U.S. FEDERAL INCOME TAX CONSIDERATIONS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486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PLAN OF DISTRIBUTION</w:t>
              </w:r>
            </w:hyperlink>
          </w:p>
        </w:tc>
        <w:tc>
          <w:tcPr>
            <w:tcW w:w="5700" w:type="dxa"/>
            <w:vAlign w:val="bottom"/>
            <w:gridSpan w:val="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2040" w:type="dxa"/>
            <w:vAlign w:val="bottom"/>
            <w:gridSpan w:val="9"/>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680" w:type="dxa"/>
            <w:vAlign w:val="bottom"/>
            <w:gridSpan w:val="17"/>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40" w:type="dxa"/>
            <w:vAlign w:val="bottom"/>
            <w:tcBorders>
              <w:bottom w:val="single" w:sz="8" w:color="0000EE"/>
            </w:tcBorders>
            <w:gridSpan w:val="29"/>
          </w:tcPr>
          <w:p>
            <w:pPr>
              <w:spacing w:after="0" w:line="196" w:lineRule="exact"/>
              <w:rPr>
                <w:rFonts w:ascii="Arial" w:cs="Arial" w:eastAsia="Arial" w:hAnsi="Arial"/>
                <w:sz w:val="18"/>
                <w:szCs w:val="18"/>
                <w:color w:val="0000EE"/>
                <w:w w:val="96"/>
              </w:rPr>
            </w:pPr>
            <w:hyperlink w:anchor="page122">
              <w:r>
                <w:rPr>
                  <w:rFonts w:ascii="Arial" w:cs="Arial" w:eastAsia="Arial" w:hAnsi="Arial"/>
                  <w:sz w:val="18"/>
                  <w:szCs w:val="18"/>
                  <w:color w:val="0000EE"/>
                  <w:w w:val="96"/>
                </w:rPr>
                <w:t>SUB-ADMINISTRATOR, CUSTODIAN, TRANSFER AGENT AND TRUSTEE</w:t>
              </w:r>
            </w:hyperlink>
          </w:p>
        </w:tc>
        <w:tc>
          <w:tcPr>
            <w:tcW w:w="462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46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122">
              <w:r>
                <w:rPr>
                  <w:rFonts w:ascii="Arial" w:cs="Arial" w:eastAsia="Arial" w:hAnsi="Arial"/>
                  <w:sz w:val="18"/>
                  <w:szCs w:val="18"/>
                  <w:color w:val="0000EE"/>
                  <w:w w:val="96"/>
                </w:rPr>
                <w:t>LEGAL MATTERS</w:t>
              </w:r>
            </w:hyperlink>
          </w:p>
        </w:tc>
        <w:tc>
          <w:tcPr>
            <w:tcW w:w="9100" w:type="dxa"/>
            <w:vAlign w:val="bottom"/>
            <w:gridSpan w:val="26"/>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4800" w:type="dxa"/>
            <w:vAlign w:val="bottom"/>
            <w:tcBorders>
              <w:bottom w:val="single" w:sz="8" w:color="0000EE"/>
            </w:tcBorders>
            <w:gridSpan w:val="27"/>
          </w:tcPr>
          <w:p>
            <w:pPr>
              <w:spacing w:after="0" w:line="196" w:lineRule="exact"/>
              <w:rPr>
                <w:rFonts w:ascii="Arial" w:cs="Arial" w:eastAsia="Arial" w:hAnsi="Arial"/>
                <w:sz w:val="18"/>
                <w:szCs w:val="18"/>
                <w:color w:val="0000EE"/>
                <w:w w:val="96"/>
              </w:rPr>
            </w:pPr>
            <w:hyperlink w:anchor="page122">
              <w:r>
                <w:rPr>
                  <w:rFonts w:ascii="Arial" w:cs="Arial" w:eastAsia="Arial" w:hAnsi="Arial"/>
                  <w:sz w:val="18"/>
                  <w:szCs w:val="18"/>
                  <w:color w:val="0000EE"/>
                  <w:w w:val="96"/>
                </w:rPr>
                <w:t>INDEPENDENT REGISTERED PUBLIC ACCOUNTING FIRM</w:t>
              </w:r>
            </w:hyperlink>
          </w:p>
        </w:tc>
        <w:tc>
          <w:tcPr>
            <w:tcW w:w="5760" w:type="dxa"/>
            <w:vAlign w:val="bottom"/>
            <w:gridSpan w:val="3"/>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w:anchor="page122">
              <w:r>
                <w:rPr>
                  <w:rFonts w:ascii="Arial" w:cs="Arial" w:eastAsia="Arial" w:hAnsi="Arial"/>
                  <w:sz w:val="18"/>
                  <w:szCs w:val="18"/>
                  <w:color w:val="0000EE"/>
                  <w:w w:val="94"/>
                </w:rPr>
                <w:t>INCORPORATION BY REFERENCE</w:t>
              </w:r>
            </w:hyperlink>
          </w:p>
        </w:tc>
        <w:tc>
          <w:tcPr>
            <w:tcW w:w="7740" w:type="dxa"/>
            <w:vAlign w:val="bottom"/>
            <w:gridSpan w:val="15"/>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0560" w:type="dxa"/>
            <w:vAlign w:val="bottom"/>
            <w:gridSpan w:val="30"/>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AVAILABLE INFORMATION</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1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80"/>
          </w:cols>
          <w:pgMar w:left="320" w:top="459"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This document is in two parts. The first part is this prospectus supplement, which describes the specific details regarding this offering of Notes and also adds to and updates information contained in the accompanying prospectus and the documents incorporated by reference into this prospectus supplement and the accompanying prospectus. The second part is the accompanying prospectus, which provides general information about us and the securities we may offer from time to time, some of which may not apply to this offering. To the extent the information contained in this prospectus supplement differs from the information contained in the accompanying prospectus or the information included in any document filed prior to the date of this prospectus supplement and incorporated by reference in this prospectus supplement and the accompanying prospectus, the information in this prospectus supplement shall control. Generally, when we refer to this “prospectus”, we are referring to both this prospectus supplement and the accompanying prospectus combined, together with any free writing prospectus that we have authorized for use in connection with this offering or any exhibits and documents incorporated by reference. Please carefully read this prospectus supplement and the accompanying prospectus together with any free writing prospectus that we have authorized for use in connection with this offering and any exhibits and documents incorporated by reference before you make an investment decision.</w:t>
      </w:r>
    </w:p>
    <w:p>
      <w:pPr>
        <w:spacing w:after="0" w:line="178"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b w:val="1"/>
          <w:bCs w:val="1"/>
          <w:color w:val="auto"/>
        </w:rPr>
        <w:t>YOU SHOULD RELY ONLY ON THE INFORMATION CONTAINED IN THIS PROSPECTUS SUPPLEMENT, INCLUDING ANY DOCUMENTS WE INCORPORATE BY REFERENCE HEREIN, THE ACCOMPANYING PROSPECTUS AND ANY FREE WRITING PROSPECTUS PREPARED BY OR ON BEHALF OF US THAT RELATES TO THIS OFFERING, INCLUDING THE DOCUMENTS WE INCORPORATE BY REFERENCE THEREIN. NEITHER WE NOR ANY UNDERWRITER HAS AUTHORIZED ANY OTHER PERSON TO PROVIDE YOU WITH DIFFERENT OR ADDITIONAL INFORMATION OR TO MAKE REPRESENTATIONS AS TO MATTERS NOT STATED IN THIS PROSPECTUS SUPPLEMENT, THE ACCOMPANYING PROSPECTUS OR IN ANY FREE WRITING PROSPECTUS PREPARED BY OR ON BEHALF OF US THAT RELATES TO THIS OFFERING. WE TAKE NO RESPONSIBILITY FOR, AND CAN PROVIDE NO ASSURANCE AS TO THE RELIABILITY OF, ANY OTHER INFORMATION THAT OTHERS MAY GIVE YOU. IF ANYONE PROVIDES YOU WITH DIFFERENT OR ADDITIONAL INFORMATION, YOU SHOULD NOT RELY ON IT. WE ARE NOT, AND THE UNDERWRITERS ARE NOT, MAKING AN OFFER TO SELL THESE NOTES IN ANY JURISDICTION WHERE THE OFFER OR SALE IS NOT PERMITTED. YOU SHOULD ASSUME THAT THE INFORMATION APPEARING IN THIS PROSPECTUS SUPPLEMENT, INCLUDING THE DOCUMENTS WE INCORPORATE BY REFERENCE HEREIN, THE ACCOMPANYING PROSPECTUS AND ANY FREE WRITING PROSPECTUS, INCLUDING THE DOCUMENTS WE INCORPORATE BY REFERENCE THEREIN, ARE ACCURATE ONLY AS OF THEIR RESPECTIVE DATES, REGARDLESS OF THE TIME OF DELIVERY OF THIS PROSPECTUS SUPPLEMENT, THE ACCOMPANYING PROSPECTUS, ANY FREE WRITING PROSPECTUS OR ANY SALES OF THE NOTES. OUR BUSINESS, FINANCIAL CONDITION, RESULTS OF OPERATIONS AND PROSPECTS MAY HAVE CHANGED SINCE THOSE DATES.</w:t>
      </w:r>
    </w:p>
    <w:p>
      <w:pPr>
        <w:spacing w:after="0" w:line="1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080"/>
          </w:cols>
          <w:pgMar w:left="32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191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62191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300" w:right="200"/>
        <w:spacing w:after="0" w:line="287" w:lineRule="auto"/>
        <w:rPr>
          <w:sz w:val="20"/>
          <w:szCs w:val="20"/>
          <w:color w:val="auto"/>
        </w:rPr>
      </w:pPr>
      <w:r>
        <w:rPr>
          <w:rFonts w:ascii="Arial" w:cs="Arial" w:eastAsia="Arial" w:hAnsi="Arial"/>
          <w:sz w:val="16"/>
          <w:szCs w:val="16"/>
          <w:color w:val="auto"/>
        </w:rPr>
        <w:t>This prospectus supplement sets forth certain terms of the Notes that we are offering pursuant to this prospectus supplement and the accompanying prospectus that is attached to the back of this prospectus supplement. On March 23, 2021, we and the Trustee entered into the first supplemental indenture to the indenture, dated as of March 23, 2021, relating to the Existing Notes. We will issue the Notes offered hereby under the same indenture and the first supplemental indenture, which we refer to collectively as the “indenture.” The Notes offered hereby will be a further issuance of, rank equally in right of payment with, and form a single series with the Existing Notes for all purposes under the indenture, including, without limitation, waivers, amendments, consents, redemptions and other offers to purchase and voting. We refer to the “Notes” and the “Existing Notes” separately within this prospectus supplement because only the Notes are being offered hereby, but any general discussion of the terms of the Notes also would apply to the Existing Notes because they are treated as the same under the indenture. This section outlines the specific legal and financial terms of the Notes. You should read this section together with the more general description of the Notes in the accompanying prospectus under the heading “Description of Our Debt Securities” before investing in the Notes. Capitalized terms used in this prospectus supplement and not otherwise defined shall have the meanings ascribed to them in the accompanying prospectus or in the indenture governing the Notes.</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700" w:type="dxa"/>
            <w:vAlign w:val="bottom"/>
          </w:tcPr>
          <w:p>
            <w:pPr>
              <w:ind w:left="180"/>
              <w:spacing w:after="0"/>
              <w:rPr>
                <w:sz w:val="20"/>
                <w:szCs w:val="20"/>
                <w:color w:val="auto"/>
              </w:rPr>
            </w:pPr>
            <w:r>
              <w:rPr>
                <w:rFonts w:ascii="Arial" w:cs="Arial" w:eastAsia="Arial" w:hAnsi="Arial"/>
                <w:sz w:val="18"/>
                <w:szCs w:val="18"/>
                <w:color w:val="auto"/>
              </w:rPr>
              <w:t>Issuer</w:t>
            </w:r>
          </w:p>
        </w:tc>
        <w:tc>
          <w:tcPr>
            <w:tcW w:w="7320" w:type="dxa"/>
            <w:vAlign w:val="bottom"/>
          </w:tcPr>
          <w:p>
            <w:pPr>
              <w:ind w:left="520"/>
              <w:spacing w:after="0"/>
              <w:rPr>
                <w:sz w:val="20"/>
                <w:szCs w:val="20"/>
                <w:color w:val="auto"/>
              </w:rPr>
            </w:pPr>
            <w:r>
              <w:rPr>
                <w:rFonts w:ascii="Arial" w:cs="Arial" w:eastAsia="Arial" w:hAnsi="Arial"/>
                <w:sz w:val="18"/>
                <w:szCs w:val="18"/>
                <w:color w:val="auto"/>
              </w:rPr>
              <w:t>PennantPark Floating Rate Capital Ltd.</w:t>
            </w:r>
          </w:p>
        </w:tc>
      </w:tr>
      <w:tr>
        <w:trPr>
          <w:trHeight w:val="473"/>
        </w:trPr>
        <w:tc>
          <w:tcPr>
            <w:tcW w:w="3700" w:type="dxa"/>
            <w:vAlign w:val="bottom"/>
          </w:tcPr>
          <w:p>
            <w:pPr>
              <w:ind w:left="180"/>
              <w:spacing w:after="0"/>
              <w:rPr>
                <w:sz w:val="20"/>
                <w:szCs w:val="20"/>
                <w:color w:val="auto"/>
              </w:rPr>
            </w:pPr>
            <w:r>
              <w:rPr>
                <w:rFonts w:ascii="Arial" w:cs="Arial" w:eastAsia="Arial" w:hAnsi="Arial"/>
                <w:sz w:val="18"/>
                <w:szCs w:val="18"/>
                <w:color w:val="auto"/>
              </w:rPr>
              <w:t>Title of the securities</w:t>
            </w:r>
          </w:p>
        </w:tc>
        <w:tc>
          <w:tcPr>
            <w:tcW w:w="7320" w:type="dxa"/>
            <w:vAlign w:val="bottom"/>
          </w:tcPr>
          <w:p>
            <w:pPr>
              <w:ind w:left="520"/>
              <w:spacing w:after="0"/>
              <w:rPr>
                <w:sz w:val="20"/>
                <w:szCs w:val="20"/>
                <w:color w:val="auto"/>
              </w:rPr>
            </w:pPr>
            <w:r>
              <w:rPr>
                <w:rFonts w:ascii="Arial" w:cs="Arial" w:eastAsia="Arial" w:hAnsi="Arial"/>
                <w:sz w:val="18"/>
                <w:szCs w:val="18"/>
                <w:color w:val="auto"/>
              </w:rPr>
              <w:t>4.25% Notes due 2026</w:t>
            </w:r>
          </w:p>
        </w:tc>
      </w:tr>
      <w:tr>
        <w:trPr>
          <w:trHeight w:val="473"/>
        </w:trPr>
        <w:tc>
          <w:tcPr>
            <w:tcW w:w="3700" w:type="dxa"/>
            <w:vAlign w:val="bottom"/>
          </w:tcPr>
          <w:p>
            <w:pPr>
              <w:ind w:left="180"/>
              <w:spacing w:after="0"/>
              <w:rPr>
                <w:sz w:val="20"/>
                <w:szCs w:val="20"/>
                <w:color w:val="auto"/>
              </w:rPr>
            </w:pPr>
            <w:r>
              <w:rPr>
                <w:rFonts w:ascii="Arial" w:cs="Arial" w:eastAsia="Arial" w:hAnsi="Arial"/>
                <w:sz w:val="18"/>
                <w:szCs w:val="18"/>
                <w:color w:val="auto"/>
              </w:rPr>
              <w:t>Aggregate principal amount being offered</w:t>
            </w:r>
          </w:p>
        </w:tc>
        <w:tc>
          <w:tcPr>
            <w:tcW w:w="7320" w:type="dxa"/>
            <w:vAlign w:val="bottom"/>
          </w:tcPr>
          <w:p>
            <w:pPr>
              <w:ind w:left="520"/>
              <w:spacing w:after="0"/>
              <w:rPr>
                <w:sz w:val="20"/>
                <w:szCs w:val="20"/>
                <w:color w:val="auto"/>
              </w:rPr>
            </w:pPr>
            <w:r>
              <w:rPr>
                <w:rFonts w:ascii="Arial" w:cs="Arial" w:eastAsia="Arial" w:hAnsi="Arial"/>
                <w:sz w:val="18"/>
                <w:szCs w:val="18"/>
                <w:color w:val="auto"/>
              </w:rPr>
              <w:t>$85 million</w:t>
            </w:r>
          </w:p>
        </w:tc>
      </w:tr>
      <w:tr>
        <w:trPr>
          <w:trHeight w:val="458"/>
        </w:trPr>
        <w:tc>
          <w:tcPr>
            <w:tcW w:w="3700" w:type="dxa"/>
            <w:vAlign w:val="bottom"/>
          </w:tcPr>
          <w:p>
            <w:pPr>
              <w:spacing w:after="0"/>
              <w:rPr>
                <w:sz w:val="24"/>
                <w:szCs w:val="24"/>
                <w:color w:val="auto"/>
              </w:rPr>
            </w:pPr>
          </w:p>
        </w:tc>
        <w:tc>
          <w:tcPr>
            <w:tcW w:w="7320" w:type="dxa"/>
            <w:vAlign w:val="bottom"/>
          </w:tcPr>
          <w:p>
            <w:pPr>
              <w:ind w:left="520"/>
              <w:spacing w:after="0"/>
              <w:rPr>
                <w:sz w:val="20"/>
                <w:szCs w:val="20"/>
                <w:color w:val="auto"/>
              </w:rPr>
            </w:pPr>
            <w:r>
              <w:rPr>
                <w:rFonts w:ascii="Arial" w:cs="Arial" w:eastAsia="Arial" w:hAnsi="Arial"/>
                <w:sz w:val="18"/>
                <w:szCs w:val="18"/>
                <w:color w:val="auto"/>
                <w:w w:val="95"/>
              </w:rPr>
              <w:t>The Notes offered hereby are a further issuance of the Existing Notes. The Notes offered</w:t>
            </w:r>
          </w:p>
        </w:tc>
      </w:tr>
      <w:tr>
        <w:trPr>
          <w:trHeight w:val="216"/>
        </w:trPr>
        <w:tc>
          <w:tcPr>
            <w:tcW w:w="3700" w:type="dxa"/>
            <w:vAlign w:val="bottom"/>
          </w:tcPr>
          <w:p>
            <w:pPr>
              <w:spacing w:after="0"/>
              <w:rPr>
                <w:sz w:val="18"/>
                <w:szCs w:val="18"/>
                <w:color w:val="auto"/>
              </w:rPr>
            </w:pPr>
          </w:p>
        </w:tc>
        <w:tc>
          <w:tcPr>
            <w:tcW w:w="7320" w:type="dxa"/>
            <w:vAlign w:val="bottom"/>
          </w:tcPr>
          <w:p>
            <w:pPr>
              <w:ind w:left="520"/>
              <w:spacing w:after="0"/>
              <w:rPr>
                <w:sz w:val="20"/>
                <w:szCs w:val="20"/>
                <w:color w:val="auto"/>
              </w:rPr>
            </w:pPr>
            <w:r>
              <w:rPr>
                <w:rFonts w:ascii="Arial" w:cs="Arial" w:eastAsia="Arial" w:hAnsi="Arial"/>
                <w:sz w:val="18"/>
                <w:szCs w:val="18"/>
                <w:color w:val="auto"/>
                <w:w w:val="97"/>
              </w:rPr>
              <w:t>hereby will be treated as a single series with the Existing Notes under the indenture and</w:t>
            </w:r>
          </w:p>
        </w:tc>
      </w:tr>
      <w:tr>
        <w:trPr>
          <w:trHeight w:val="216"/>
        </w:trPr>
        <w:tc>
          <w:tcPr>
            <w:tcW w:w="3700" w:type="dxa"/>
            <w:vAlign w:val="bottom"/>
          </w:tcPr>
          <w:p>
            <w:pPr>
              <w:spacing w:after="0"/>
              <w:rPr>
                <w:sz w:val="18"/>
                <w:szCs w:val="18"/>
                <w:color w:val="auto"/>
              </w:rPr>
            </w:pPr>
          </w:p>
        </w:tc>
        <w:tc>
          <w:tcPr>
            <w:tcW w:w="7320" w:type="dxa"/>
            <w:vAlign w:val="bottom"/>
          </w:tcPr>
          <w:p>
            <w:pPr>
              <w:ind w:left="520"/>
              <w:spacing w:after="0"/>
              <w:rPr>
                <w:sz w:val="20"/>
                <w:szCs w:val="20"/>
                <w:color w:val="auto"/>
              </w:rPr>
            </w:pPr>
            <w:r>
              <w:rPr>
                <w:rFonts w:ascii="Arial" w:cs="Arial" w:eastAsia="Arial" w:hAnsi="Arial"/>
                <w:sz w:val="18"/>
                <w:szCs w:val="18"/>
                <w:color w:val="auto"/>
                <w:w w:val="98"/>
              </w:rPr>
              <w:t>will have the same terms as the Existing Notes. The Notes offered hereby will have the</w:t>
            </w:r>
          </w:p>
        </w:tc>
      </w:tr>
      <w:tr>
        <w:trPr>
          <w:trHeight w:val="216"/>
        </w:trPr>
        <w:tc>
          <w:tcPr>
            <w:tcW w:w="3700" w:type="dxa"/>
            <w:vAlign w:val="bottom"/>
          </w:tcPr>
          <w:p>
            <w:pPr>
              <w:spacing w:after="0"/>
              <w:rPr>
                <w:sz w:val="18"/>
                <w:szCs w:val="18"/>
                <w:color w:val="auto"/>
              </w:rPr>
            </w:pPr>
          </w:p>
        </w:tc>
        <w:tc>
          <w:tcPr>
            <w:tcW w:w="7320" w:type="dxa"/>
            <w:vAlign w:val="bottom"/>
          </w:tcPr>
          <w:p>
            <w:pPr>
              <w:ind w:left="520"/>
              <w:spacing w:after="0"/>
              <w:rPr>
                <w:sz w:val="20"/>
                <w:szCs w:val="20"/>
                <w:color w:val="auto"/>
              </w:rPr>
            </w:pPr>
            <w:r>
              <w:rPr>
                <w:rFonts w:ascii="Arial" w:cs="Arial" w:eastAsia="Arial" w:hAnsi="Arial"/>
                <w:sz w:val="18"/>
                <w:szCs w:val="18"/>
                <w:color w:val="auto"/>
                <w:w w:val="96"/>
              </w:rPr>
              <w:t>same CUSIP number and will be fungible and rank equally with the Existing Notes. Upon</w:t>
            </w:r>
          </w:p>
        </w:tc>
      </w:tr>
      <w:tr>
        <w:trPr>
          <w:trHeight w:val="216"/>
        </w:trPr>
        <w:tc>
          <w:tcPr>
            <w:tcW w:w="3700" w:type="dxa"/>
            <w:vAlign w:val="bottom"/>
          </w:tcPr>
          <w:p>
            <w:pPr>
              <w:spacing w:after="0"/>
              <w:rPr>
                <w:sz w:val="18"/>
                <w:szCs w:val="18"/>
                <w:color w:val="auto"/>
              </w:rPr>
            </w:pPr>
          </w:p>
        </w:tc>
        <w:tc>
          <w:tcPr>
            <w:tcW w:w="7320" w:type="dxa"/>
            <w:vAlign w:val="bottom"/>
          </w:tcPr>
          <w:p>
            <w:pPr>
              <w:ind w:left="520"/>
              <w:spacing w:after="0"/>
              <w:rPr>
                <w:sz w:val="20"/>
                <w:szCs w:val="20"/>
                <w:color w:val="auto"/>
              </w:rPr>
            </w:pPr>
            <w:r>
              <w:rPr>
                <w:rFonts w:ascii="Arial" w:cs="Arial" w:eastAsia="Arial" w:hAnsi="Arial"/>
                <w:sz w:val="18"/>
                <w:szCs w:val="18"/>
                <w:color w:val="auto"/>
                <w:w w:val="92"/>
              </w:rPr>
              <w:t>the issuance of the Notes offered hereby, the outstanding aggregate principal amount of our</w:t>
            </w:r>
          </w:p>
        </w:tc>
      </w:tr>
      <w:tr>
        <w:trPr>
          <w:trHeight w:val="230"/>
        </w:trPr>
        <w:tc>
          <w:tcPr>
            <w:tcW w:w="3700" w:type="dxa"/>
            <w:vAlign w:val="bottom"/>
          </w:tcPr>
          <w:p>
            <w:pPr>
              <w:spacing w:after="0"/>
              <w:rPr>
                <w:sz w:val="20"/>
                <w:szCs w:val="20"/>
                <w:color w:val="auto"/>
              </w:rPr>
            </w:pPr>
          </w:p>
        </w:tc>
        <w:tc>
          <w:tcPr>
            <w:tcW w:w="7320" w:type="dxa"/>
            <w:vAlign w:val="bottom"/>
          </w:tcPr>
          <w:p>
            <w:pPr>
              <w:ind w:left="520"/>
              <w:spacing w:after="0"/>
              <w:rPr>
                <w:sz w:val="20"/>
                <w:szCs w:val="20"/>
                <w:color w:val="auto"/>
              </w:rPr>
            </w:pPr>
            <w:r>
              <w:rPr>
                <w:rFonts w:ascii="Arial" w:cs="Arial" w:eastAsia="Arial" w:hAnsi="Arial"/>
                <w:sz w:val="18"/>
                <w:szCs w:val="18"/>
                <w:color w:val="auto"/>
              </w:rPr>
              <w:t>4.25% Notes due 2026 will be $185 million.</w:t>
            </w:r>
          </w:p>
        </w:tc>
      </w:tr>
      <w:tr>
        <w:trPr>
          <w:trHeight w:val="445"/>
        </w:trPr>
        <w:tc>
          <w:tcPr>
            <w:tcW w:w="3700" w:type="dxa"/>
            <w:vAlign w:val="bottom"/>
          </w:tcPr>
          <w:p>
            <w:pPr>
              <w:ind w:left="180"/>
              <w:spacing w:after="0"/>
              <w:rPr>
                <w:sz w:val="20"/>
                <w:szCs w:val="20"/>
                <w:color w:val="auto"/>
              </w:rPr>
            </w:pPr>
            <w:r>
              <w:rPr>
                <w:rFonts w:ascii="Arial" w:cs="Arial" w:eastAsia="Arial" w:hAnsi="Arial"/>
                <w:sz w:val="18"/>
                <w:szCs w:val="18"/>
                <w:color w:val="auto"/>
              </w:rPr>
              <w:t>Issue price</w:t>
            </w:r>
          </w:p>
        </w:tc>
        <w:tc>
          <w:tcPr>
            <w:tcW w:w="7320" w:type="dxa"/>
            <w:vAlign w:val="bottom"/>
          </w:tcPr>
          <w:p>
            <w:pPr>
              <w:ind w:left="520"/>
              <w:spacing w:after="0"/>
              <w:rPr>
                <w:sz w:val="20"/>
                <w:szCs w:val="20"/>
                <w:color w:val="auto"/>
              </w:rPr>
            </w:pPr>
            <w:r>
              <w:rPr>
                <w:rFonts w:ascii="Arial" w:cs="Arial" w:eastAsia="Arial" w:hAnsi="Arial"/>
                <w:sz w:val="18"/>
                <w:szCs w:val="18"/>
                <w:color w:val="auto"/>
                <w:w w:val="93"/>
              </w:rPr>
              <w:t>101.45% of the aggregate principal amount of the Notes offered hereby, plus the Aggregate</w:t>
            </w:r>
          </w:p>
        </w:tc>
      </w:tr>
      <w:tr>
        <w:trPr>
          <w:trHeight w:val="216"/>
        </w:trPr>
        <w:tc>
          <w:tcPr>
            <w:tcW w:w="3700" w:type="dxa"/>
            <w:vAlign w:val="bottom"/>
          </w:tcPr>
          <w:p>
            <w:pPr>
              <w:spacing w:after="0"/>
              <w:rPr>
                <w:sz w:val="18"/>
                <w:szCs w:val="18"/>
                <w:color w:val="auto"/>
              </w:rPr>
            </w:pPr>
          </w:p>
        </w:tc>
        <w:tc>
          <w:tcPr>
            <w:tcW w:w="7320" w:type="dxa"/>
            <w:vAlign w:val="bottom"/>
          </w:tcPr>
          <w:p>
            <w:pPr>
              <w:ind w:left="520"/>
              <w:spacing w:after="0"/>
              <w:rPr>
                <w:sz w:val="20"/>
                <w:szCs w:val="20"/>
                <w:color w:val="auto"/>
              </w:rPr>
            </w:pPr>
            <w:r>
              <w:rPr>
                <w:rFonts w:ascii="Arial" w:cs="Arial" w:eastAsia="Arial" w:hAnsi="Arial"/>
                <w:sz w:val="18"/>
                <w:szCs w:val="18"/>
                <w:color w:val="auto"/>
              </w:rPr>
              <w:t>Accrued Interest (as defined in the section titled “Description of the Notes” in this</w:t>
            </w:r>
          </w:p>
        </w:tc>
      </w:tr>
      <w:tr>
        <w:trPr>
          <w:trHeight w:val="216"/>
        </w:trPr>
        <w:tc>
          <w:tcPr>
            <w:tcW w:w="3700" w:type="dxa"/>
            <w:vAlign w:val="bottom"/>
          </w:tcPr>
          <w:p>
            <w:pPr>
              <w:spacing w:after="0"/>
              <w:rPr>
                <w:sz w:val="18"/>
                <w:szCs w:val="18"/>
                <w:color w:val="auto"/>
              </w:rPr>
            </w:pPr>
          </w:p>
        </w:tc>
        <w:tc>
          <w:tcPr>
            <w:tcW w:w="7320" w:type="dxa"/>
            <w:vAlign w:val="bottom"/>
          </w:tcPr>
          <w:p>
            <w:pPr>
              <w:ind w:left="520"/>
              <w:spacing w:after="0"/>
              <w:rPr>
                <w:sz w:val="20"/>
                <w:szCs w:val="20"/>
                <w:color w:val="auto"/>
              </w:rPr>
            </w:pPr>
            <w:r>
              <w:rPr>
                <w:rFonts w:ascii="Arial" w:cs="Arial" w:eastAsia="Arial" w:hAnsi="Arial"/>
                <w:sz w:val="18"/>
                <w:szCs w:val="18"/>
                <w:color w:val="auto"/>
                <w:w w:val="96"/>
              </w:rPr>
              <w:t>prospectus supplement). On April 1, 2022, we will pay the Aggregate Accrued Interest to</w:t>
            </w:r>
          </w:p>
        </w:tc>
      </w:tr>
      <w:tr>
        <w:trPr>
          <w:trHeight w:val="216"/>
        </w:trPr>
        <w:tc>
          <w:tcPr>
            <w:tcW w:w="3700" w:type="dxa"/>
            <w:vAlign w:val="bottom"/>
          </w:tcPr>
          <w:p>
            <w:pPr>
              <w:spacing w:after="0"/>
              <w:rPr>
                <w:sz w:val="18"/>
                <w:szCs w:val="18"/>
                <w:color w:val="auto"/>
              </w:rPr>
            </w:pPr>
          </w:p>
        </w:tc>
        <w:tc>
          <w:tcPr>
            <w:tcW w:w="7320" w:type="dxa"/>
            <w:vAlign w:val="bottom"/>
          </w:tcPr>
          <w:p>
            <w:pPr>
              <w:ind w:left="520"/>
              <w:spacing w:after="0"/>
              <w:rPr>
                <w:sz w:val="20"/>
                <w:szCs w:val="20"/>
                <w:color w:val="auto"/>
              </w:rPr>
            </w:pPr>
            <w:r>
              <w:rPr>
                <w:rFonts w:ascii="Arial" w:cs="Arial" w:eastAsia="Arial" w:hAnsi="Arial"/>
                <w:sz w:val="18"/>
                <w:szCs w:val="18"/>
                <w:color w:val="auto"/>
                <w:w w:val="94"/>
              </w:rPr>
              <w:t>the holders of the Notes offered hereby as of the applicable record date along with interest</w:t>
            </w:r>
          </w:p>
        </w:tc>
      </w:tr>
      <w:tr>
        <w:trPr>
          <w:trHeight w:val="216"/>
        </w:trPr>
        <w:tc>
          <w:tcPr>
            <w:tcW w:w="3700" w:type="dxa"/>
            <w:vAlign w:val="bottom"/>
          </w:tcPr>
          <w:p>
            <w:pPr>
              <w:spacing w:after="0"/>
              <w:rPr>
                <w:sz w:val="18"/>
                <w:szCs w:val="18"/>
                <w:color w:val="auto"/>
              </w:rPr>
            </w:pPr>
          </w:p>
        </w:tc>
        <w:tc>
          <w:tcPr>
            <w:tcW w:w="7320" w:type="dxa"/>
            <w:vAlign w:val="bottom"/>
          </w:tcPr>
          <w:p>
            <w:pPr>
              <w:ind w:left="520"/>
              <w:spacing w:after="0"/>
              <w:rPr>
                <w:sz w:val="20"/>
                <w:szCs w:val="20"/>
                <w:color w:val="auto"/>
              </w:rPr>
            </w:pPr>
            <w:r>
              <w:rPr>
                <w:rFonts w:ascii="Arial" w:cs="Arial" w:eastAsia="Arial" w:hAnsi="Arial"/>
                <w:sz w:val="18"/>
                <w:szCs w:val="18"/>
                <w:color w:val="auto"/>
                <w:w w:val="98"/>
              </w:rPr>
              <w:t>accrued on the Notes offered hereby from the date of delivery to such interest payment</w:t>
            </w:r>
          </w:p>
        </w:tc>
      </w:tr>
      <w:tr>
        <w:trPr>
          <w:trHeight w:val="230"/>
        </w:trPr>
        <w:tc>
          <w:tcPr>
            <w:tcW w:w="3700" w:type="dxa"/>
            <w:vAlign w:val="bottom"/>
          </w:tcPr>
          <w:p>
            <w:pPr>
              <w:spacing w:after="0"/>
              <w:rPr>
                <w:sz w:val="20"/>
                <w:szCs w:val="20"/>
                <w:color w:val="auto"/>
              </w:rPr>
            </w:pPr>
          </w:p>
        </w:tc>
        <w:tc>
          <w:tcPr>
            <w:tcW w:w="7320" w:type="dxa"/>
            <w:vAlign w:val="bottom"/>
          </w:tcPr>
          <w:p>
            <w:pPr>
              <w:ind w:left="520"/>
              <w:spacing w:after="0"/>
              <w:rPr>
                <w:sz w:val="20"/>
                <w:szCs w:val="20"/>
                <w:color w:val="auto"/>
              </w:rPr>
            </w:pPr>
            <w:r>
              <w:rPr>
                <w:rFonts w:ascii="Arial" w:cs="Arial" w:eastAsia="Arial" w:hAnsi="Arial"/>
                <w:sz w:val="18"/>
                <w:szCs w:val="18"/>
                <w:color w:val="auto"/>
              </w:rPr>
              <w:t>date.</w:t>
            </w:r>
          </w:p>
        </w:tc>
      </w:tr>
      <w:tr>
        <w:trPr>
          <w:trHeight w:val="445"/>
        </w:trPr>
        <w:tc>
          <w:tcPr>
            <w:tcW w:w="3700" w:type="dxa"/>
            <w:vAlign w:val="bottom"/>
          </w:tcPr>
          <w:p>
            <w:pPr>
              <w:ind w:left="180"/>
              <w:spacing w:after="0"/>
              <w:rPr>
                <w:sz w:val="20"/>
                <w:szCs w:val="20"/>
                <w:color w:val="auto"/>
              </w:rPr>
            </w:pPr>
            <w:r>
              <w:rPr>
                <w:rFonts w:ascii="Arial" w:cs="Arial" w:eastAsia="Arial" w:hAnsi="Arial"/>
                <w:sz w:val="18"/>
                <w:szCs w:val="18"/>
                <w:color w:val="auto"/>
              </w:rPr>
              <w:t>Aggregate accrued interest</w:t>
            </w:r>
          </w:p>
        </w:tc>
        <w:tc>
          <w:tcPr>
            <w:tcW w:w="7320" w:type="dxa"/>
            <w:vAlign w:val="bottom"/>
          </w:tcPr>
          <w:p>
            <w:pPr>
              <w:ind w:left="520"/>
              <w:spacing w:after="0"/>
              <w:rPr>
                <w:sz w:val="20"/>
                <w:szCs w:val="20"/>
                <w:color w:val="auto"/>
              </w:rPr>
            </w:pPr>
            <w:r>
              <w:rPr>
                <w:rFonts w:ascii="Arial" w:cs="Arial" w:eastAsia="Arial" w:hAnsi="Arial"/>
                <w:sz w:val="18"/>
                <w:szCs w:val="18"/>
                <w:color w:val="auto"/>
                <w:w w:val="95"/>
              </w:rPr>
              <w:t>$110,381.94 of accrued and unpaid interest from October 1, 2021 up to, but not including,</w:t>
            </w:r>
          </w:p>
        </w:tc>
      </w:tr>
      <w:tr>
        <w:trPr>
          <w:trHeight w:val="230"/>
        </w:trPr>
        <w:tc>
          <w:tcPr>
            <w:tcW w:w="3700" w:type="dxa"/>
            <w:vAlign w:val="bottom"/>
          </w:tcPr>
          <w:p>
            <w:pPr>
              <w:spacing w:after="0"/>
              <w:rPr>
                <w:sz w:val="20"/>
                <w:szCs w:val="20"/>
                <w:color w:val="auto"/>
              </w:rPr>
            </w:pPr>
          </w:p>
        </w:tc>
        <w:tc>
          <w:tcPr>
            <w:tcW w:w="7320" w:type="dxa"/>
            <w:vAlign w:val="bottom"/>
          </w:tcPr>
          <w:p>
            <w:pPr>
              <w:ind w:left="520"/>
              <w:spacing w:after="0"/>
              <w:rPr>
                <w:sz w:val="20"/>
                <w:szCs w:val="20"/>
                <w:color w:val="auto"/>
              </w:rPr>
            </w:pPr>
            <w:r>
              <w:rPr>
                <w:rFonts w:ascii="Arial" w:cs="Arial" w:eastAsia="Arial" w:hAnsi="Arial"/>
                <w:sz w:val="18"/>
                <w:szCs w:val="18"/>
                <w:color w:val="auto"/>
              </w:rPr>
              <w:t>the date of delivery of the Notes offered hereby.</w:t>
            </w:r>
          </w:p>
        </w:tc>
      </w:tr>
      <w:tr>
        <w:trPr>
          <w:trHeight w:val="445"/>
        </w:trPr>
        <w:tc>
          <w:tcPr>
            <w:tcW w:w="3700" w:type="dxa"/>
            <w:vAlign w:val="bottom"/>
          </w:tcPr>
          <w:p>
            <w:pPr>
              <w:ind w:left="180"/>
              <w:spacing w:after="0"/>
              <w:rPr>
                <w:sz w:val="20"/>
                <w:szCs w:val="20"/>
                <w:color w:val="auto"/>
              </w:rPr>
            </w:pPr>
            <w:r>
              <w:rPr>
                <w:rFonts w:ascii="Arial" w:cs="Arial" w:eastAsia="Arial" w:hAnsi="Arial"/>
                <w:sz w:val="18"/>
                <w:szCs w:val="18"/>
                <w:color w:val="auto"/>
              </w:rPr>
              <w:t>Principal payable at maturity</w:t>
            </w:r>
          </w:p>
        </w:tc>
        <w:tc>
          <w:tcPr>
            <w:tcW w:w="7320" w:type="dxa"/>
            <w:vAlign w:val="bottom"/>
          </w:tcPr>
          <w:p>
            <w:pPr>
              <w:ind w:left="520"/>
              <w:spacing w:after="0"/>
              <w:rPr>
                <w:sz w:val="20"/>
                <w:szCs w:val="20"/>
                <w:color w:val="auto"/>
              </w:rPr>
            </w:pPr>
            <w:r>
              <w:rPr>
                <w:rFonts w:ascii="Arial" w:cs="Arial" w:eastAsia="Arial" w:hAnsi="Arial"/>
                <w:sz w:val="18"/>
                <w:szCs w:val="18"/>
                <w:color w:val="auto"/>
                <w:w w:val="93"/>
              </w:rPr>
              <w:t>100% of the aggregate principal amount; the principal amount of each Note will be payable</w:t>
            </w:r>
          </w:p>
        </w:tc>
      </w:tr>
      <w:tr>
        <w:trPr>
          <w:trHeight w:val="216"/>
        </w:trPr>
        <w:tc>
          <w:tcPr>
            <w:tcW w:w="3700" w:type="dxa"/>
            <w:vAlign w:val="bottom"/>
          </w:tcPr>
          <w:p>
            <w:pPr>
              <w:spacing w:after="0"/>
              <w:rPr>
                <w:sz w:val="18"/>
                <w:szCs w:val="18"/>
                <w:color w:val="auto"/>
              </w:rPr>
            </w:pPr>
          </w:p>
        </w:tc>
        <w:tc>
          <w:tcPr>
            <w:tcW w:w="7320" w:type="dxa"/>
            <w:vAlign w:val="bottom"/>
          </w:tcPr>
          <w:p>
            <w:pPr>
              <w:ind w:left="520"/>
              <w:spacing w:after="0"/>
              <w:rPr>
                <w:sz w:val="20"/>
                <w:szCs w:val="20"/>
                <w:color w:val="auto"/>
              </w:rPr>
            </w:pPr>
            <w:r>
              <w:rPr>
                <w:rFonts w:ascii="Arial" w:cs="Arial" w:eastAsia="Arial" w:hAnsi="Arial"/>
                <w:sz w:val="18"/>
                <w:szCs w:val="18"/>
                <w:color w:val="auto"/>
                <w:w w:val="95"/>
              </w:rPr>
              <w:t>on its stated maturity date at the office of the Paying Agent, Registrar and Transfer Agent</w:t>
            </w:r>
          </w:p>
        </w:tc>
      </w:tr>
      <w:tr>
        <w:trPr>
          <w:trHeight w:val="230"/>
        </w:trPr>
        <w:tc>
          <w:tcPr>
            <w:tcW w:w="3700" w:type="dxa"/>
            <w:vAlign w:val="bottom"/>
          </w:tcPr>
          <w:p>
            <w:pPr>
              <w:spacing w:after="0"/>
              <w:rPr>
                <w:sz w:val="20"/>
                <w:szCs w:val="20"/>
                <w:color w:val="auto"/>
              </w:rPr>
            </w:pPr>
          </w:p>
        </w:tc>
        <w:tc>
          <w:tcPr>
            <w:tcW w:w="7320" w:type="dxa"/>
            <w:vAlign w:val="bottom"/>
          </w:tcPr>
          <w:p>
            <w:pPr>
              <w:ind w:left="520"/>
              <w:spacing w:after="0"/>
              <w:rPr>
                <w:sz w:val="20"/>
                <w:szCs w:val="20"/>
                <w:color w:val="auto"/>
              </w:rPr>
            </w:pPr>
            <w:r>
              <w:rPr>
                <w:rFonts w:ascii="Arial" w:cs="Arial" w:eastAsia="Arial" w:hAnsi="Arial"/>
                <w:sz w:val="18"/>
                <w:szCs w:val="18"/>
                <w:color w:val="auto"/>
              </w:rPr>
              <w:t>for the Notes or at such other office in New York City as we may designate.</w:t>
            </w:r>
          </w:p>
        </w:tc>
      </w:tr>
      <w:tr>
        <w:trPr>
          <w:trHeight w:val="459"/>
        </w:trPr>
        <w:tc>
          <w:tcPr>
            <w:tcW w:w="3700" w:type="dxa"/>
            <w:vAlign w:val="bottom"/>
          </w:tcPr>
          <w:p>
            <w:pPr>
              <w:ind w:left="180"/>
              <w:spacing w:after="0"/>
              <w:rPr>
                <w:sz w:val="20"/>
                <w:szCs w:val="20"/>
                <w:color w:val="auto"/>
              </w:rPr>
            </w:pPr>
            <w:r>
              <w:rPr>
                <w:rFonts w:ascii="Arial" w:cs="Arial" w:eastAsia="Arial" w:hAnsi="Arial"/>
                <w:sz w:val="18"/>
                <w:szCs w:val="18"/>
                <w:color w:val="auto"/>
              </w:rPr>
              <w:t>Type of Note</w:t>
            </w:r>
          </w:p>
        </w:tc>
        <w:tc>
          <w:tcPr>
            <w:tcW w:w="7320" w:type="dxa"/>
            <w:vAlign w:val="bottom"/>
          </w:tcPr>
          <w:p>
            <w:pPr>
              <w:ind w:left="520"/>
              <w:spacing w:after="0"/>
              <w:rPr>
                <w:sz w:val="20"/>
                <w:szCs w:val="20"/>
                <w:color w:val="auto"/>
              </w:rPr>
            </w:pPr>
            <w:r>
              <w:rPr>
                <w:rFonts w:ascii="Arial" w:cs="Arial" w:eastAsia="Arial" w:hAnsi="Arial"/>
                <w:sz w:val="18"/>
                <w:szCs w:val="18"/>
                <w:color w:val="auto"/>
              </w:rPr>
              <w:t>Fixed-rate note</w:t>
            </w:r>
          </w:p>
        </w:tc>
      </w:tr>
      <w:tr>
        <w:trPr>
          <w:trHeight w:val="253"/>
        </w:trPr>
        <w:tc>
          <w:tcPr>
            <w:tcW w:w="3700" w:type="dxa"/>
            <w:vAlign w:val="bottom"/>
            <w:tcBorders>
              <w:bottom w:val="single" w:sz="8" w:color="auto"/>
            </w:tcBorders>
          </w:tcPr>
          <w:p>
            <w:pPr>
              <w:spacing w:after="0"/>
              <w:rPr>
                <w:sz w:val="22"/>
                <w:szCs w:val="22"/>
                <w:color w:val="auto"/>
              </w:rPr>
            </w:pPr>
          </w:p>
        </w:tc>
        <w:tc>
          <w:tcPr>
            <w:tcW w:w="7320" w:type="dxa"/>
            <w:vAlign w:val="bottom"/>
            <w:tcBorders>
              <w:bottom w:val="single" w:sz="8" w:color="auto"/>
            </w:tcBorders>
          </w:tcPr>
          <w:p>
            <w:pPr>
              <w:spacing w:after="0"/>
              <w:rPr>
                <w:sz w:val="22"/>
                <w:szCs w:val="22"/>
                <w:color w:val="auto"/>
              </w:rPr>
            </w:pPr>
          </w:p>
        </w:tc>
      </w:tr>
      <w:tr>
        <w:trPr>
          <w:trHeight w:val="361"/>
        </w:trPr>
        <w:tc>
          <w:tcPr>
            <w:tcW w:w="3700" w:type="dxa"/>
            <w:vAlign w:val="bottom"/>
          </w:tcPr>
          <w:p>
            <w:pPr>
              <w:spacing w:after="0"/>
              <w:rPr>
                <w:sz w:val="24"/>
                <w:szCs w:val="24"/>
                <w:color w:val="auto"/>
              </w:rPr>
            </w:pPr>
          </w:p>
        </w:tc>
        <w:tc>
          <w:tcPr>
            <w:tcW w:w="7320" w:type="dxa"/>
            <w:vAlign w:val="bottom"/>
          </w:tcPr>
          <w:p>
            <w:pPr>
              <w:ind w:left="1680"/>
              <w:spacing w:after="0"/>
              <w:rPr>
                <w:sz w:val="20"/>
                <w:szCs w:val="20"/>
                <w:color w:val="auto"/>
              </w:rPr>
            </w:pPr>
            <w:r>
              <w:rPr>
                <w:rFonts w:ascii="Arial" w:cs="Arial" w:eastAsia="Arial" w:hAnsi="Arial"/>
                <w:sz w:val="18"/>
                <w:szCs w:val="18"/>
                <w:color w:val="auto"/>
              </w:rPr>
              <w:t>S-2</w:t>
            </w:r>
          </w:p>
        </w:tc>
      </w:tr>
    </w:tbl>
    <w:p>
      <w:pPr>
        <w:sectPr>
          <w:pgSz w:w="11900" w:h="16838" w:orient="portrait"/>
          <w:cols w:equalWidth="0" w:num="1">
            <w:col w:w="11140"/>
          </w:cols>
          <w:pgMar w:left="32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336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color w:val="auto"/>
              </w:rPr>
              <w:t>Trading market</w:t>
            </w:r>
          </w:p>
        </w:tc>
        <w:tc>
          <w:tcPr>
            <w:tcW w:w="7660" w:type="dxa"/>
            <w:vAlign w:val="bottom"/>
            <w:tcBorders>
              <w:top w:val="single" w:sz="8" w:color="auto"/>
              <w:right w:val="single" w:sz="8" w:color="auto"/>
            </w:tcBorders>
          </w:tcPr>
          <w:p>
            <w:pPr>
              <w:ind w:left="860"/>
              <w:spacing w:after="0"/>
              <w:rPr>
                <w:sz w:val="20"/>
                <w:szCs w:val="20"/>
                <w:color w:val="auto"/>
              </w:rPr>
            </w:pPr>
            <w:r>
              <w:rPr>
                <w:rFonts w:ascii="Arial" w:cs="Arial" w:eastAsia="Arial" w:hAnsi="Arial"/>
                <w:sz w:val="18"/>
                <w:szCs w:val="18"/>
                <w:color w:val="auto"/>
                <w:w w:val="95"/>
              </w:rPr>
              <w:t>While a trading market developed after issuing the Existing Notes, we cannot assure you</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w w:val="98"/>
              </w:rPr>
              <w:t>that an active and liquid market for the Notes will be maintained. The Notes will not be</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w w:val="97"/>
              </w:rPr>
              <w:t>listed on any securities exchange or quoted on any automated dealer quotation system.</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w w:val="94"/>
              </w:rPr>
              <w:t>Although certain of the underwriters have informed us that they intend to make a market in</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w w:val="93"/>
              </w:rPr>
              <w:t>the Notes, as permitted by applicable laws and regulations, they are not obligated to do so,</w:t>
            </w:r>
          </w:p>
        </w:tc>
      </w:tr>
      <w:tr>
        <w:trPr>
          <w:trHeight w:val="230"/>
        </w:trPr>
        <w:tc>
          <w:tcPr>
            <w:tcW w:w="3360" w:type="dxa"/>
            <w:vAlign w:val="bottom"/>
            <w:tcBorders>
              <w:left w:val="single" w:sz="8" w:color="auto"/>
            </w:tcBorders>
          </w:tcPr>
          <w:p>
            <w:pPr>
              <w:spacing w:after="0"/>
              <w:rPr>
                <w:sz w:val="20"/>
                <w:szCs w:val="20"/>
                <w:color w:val="auto"/>
              </w:rPr>
            </w:pPr>
          </w:p>
        </w:tc>
        <w:tc>
          <w:tcPr>
            <w:tcW w:w="766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and may discontinue any such market-making activities at any time without notice.</w:t>
            </w:r>
          </w:p>
        </w:tc>
      </w:tr>
      <w:tr>
        <w:trPr>
          <w:trHeight w:val="459"/>
        </w:trPr>
        <w:tc>
          <w:tcPr>
            <w:tcW w:w="33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Interest rate</w:t>
            </w:r>
          </w:p>
        </w:tc>
        <w:tc>
          <w:tcPr>
            <w:tcW w:w="766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4.25% per year</w:t>
            </w:r>
          </w:p>
        </w:tc>
      </w:tr>
      <w:tr>
        <w:trPr>
          <w:trHeight w:val="473"/>
        </w:trPr>
        <w:tc>
          <w:tcPr>
            <w:tcW w:w="33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Day count basis</w:t>
            </w:r>
          </w:p>
        </w:tc>
        <w:tc>
          <w:tcPr>
            <w:tcW w:w="766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360-day year of twelve 30-day months</w:t>
            </w:r>
          </w:p>
        </w:tc>
      </w:tr>
      <w:tr>
        <w:trPr>
          <w:trHeight w:val="473"/>
        </w:trPr>
        <w:tc>
          <w:tcPr>
            <w:tcW w:w="33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Issue date</w:t>
            </w:r>
          </w:p>
        </w:tc>
        <w:tc>
          <w:tcPr>
            <w:tcW w:w="766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October 12, 2021</w:t>
            </w:r>
          </w:p>
        </w:tc>
      </w:tr>
      <w:tr>
        <w:trPr>
          <w:trHeight w:val="473"/>
        </w:trPr>
        <w:tc>
          <w:tcPr>
            <w:tcW w:w="33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Stated maturity date</w:t>
            </w:r>
          </w:p>
        </w:tc>
        <w:tc>
          <w:tcPr>
            <w:tcW w:w="766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April 1, 2026</w:t>
            </w:r>
          </w:p>
        </w:tc>
      </w:tr>
      <w:tr>
        <w:trPr>
          <w:trHeight w:val="458"/>
        </w:trPr>
        <w:tc>
          <w:tcPr>
            <w:tcW w:w="33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Interest payment dates</w:t>
            </w:r>
          </w:p>
        </w:tc>
        <w:tc>
          <w:tcPr>
            <w:tcW w:w="766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w w:val="96"/>
              </w:rPr>
              <w:t>Every April 1 and October 1, commencing April 1, 2022 . If an interest payment date is a</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w w:val="94"/>
              </w:rPr>
              <w:t>non-business day, the applicable interest payment will be made on the next business day,</w:t>
            </w:r>
          </w:p>
        </w:tc>
      </w:tr>
      <w:tr>
        <w:trPr>
          <w:trHeight w:val="230"/>
        </w:trPr>
        <w:tc>
          <w:tcPr>
            <w:tcW w:w="3360" w:type="dxa"/>
            <w:vAlign w:val="bottom"/>
            <w:tcBorders>
              <w:left w:val="single" w:sz="8" w:color="auto"/>
            </w:tcBorders>
          </w:tcPr>
          <w:p>
            <w:pPr>
              <w:spacing w:after="0"/>
              <w:rPr>
                <w:sz w:val="20"/>
                <w:szCs w:val="20"/>
                <w:color w:val="auto"/>
              </w:rPr>
            </w:pPr>
          </w:p>
        </w:tc>
        <w:tc>
          <w:tcPr>
            <w:tcW w:w="766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and no additional interest will accrue as a result of such delayed payment</w:t>
            </w:r>
          </w:p>
        </w:tc>
      </w:tr>
      <w:tr>
        <w:trPr>
          <w:trHeight w:val="445"/>
        </w:trPr>
        <w:tc>
          <w:tcPr>
            <w:tcW w:w="33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Interest periods</w:t>
            </w:r>
          </w:p>
        </w:tc>
        <w:tc>
          <w:tcPr>
            <w:tcW w:w="766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w w:val="99"/>
              </w:rPr>
              <w:t>The initial interest period will be the period from and including October 1, 2021, to, but</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w w:val="94"/>
              </w:rPr>
              <w:t>excluding, the initial interest payment date, and the subsequent interest periods will be the</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w w:val="98"/>
              </w:rPr>
              <w:t>periods from and including an interest payment date to, but excluding, the next interest</w:t>
            </w:r>
          </w:p>
        </w:tc>
      </w:tr>
      <w:tr>
        <w:trPr>
          <w:trHeight w:val="230"/>
        </w:trPr>
        <w:tc>
          <w:tcPr>
            <w:tcW w:w="3360" w:type="dxa"/>
            <w:vAlign w:val="bottom"/>
            <w:tcBorders>
              <w:left w:val="single" w:sz="8" w:color="auto"/>
            </w:tcBorders>
          </w:tcPr>
          <w:p>
            <w:pPr>
              <w:spacing w:after="0"/>
              <w:rPr>
                <w:sz w:val="20"/>
                <w:szCs w:val="20"/>
                <w:color w:val="auto"/>
              </w:rPr>
            </w:pPr>
          </w:p>
        </w:tc>
        <w:tc>
          <w:tcPr>
            <w:tcW w:w="766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payment date or the stated maturity date, as the case may be.</w:t>
            </w:r>
          </w:p>
        </w:tc>
      </w:tr>
      <w:tr>
        <w:trPr>
          <w:trHeight w:val="445"/>
        </w:trPr>
        <w:tc>
          <w:tcPr>
            <w:tcW w:w="33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Regular record dates for interest</w:t>
            </w:r>
          </w:p>
        </w:tc>
        <w:tc>
          <w:tcPr>
            <w:tcW w:w="766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w w:val="99"/>
              </w:rPr>
              <w:t>Every March 15, and September 15, commencing March 15, 2022; if a record date for</w:t>
            </w:r>
          </w:p>
        </w:tc>
      </w:tr>
      <w:tr>
        <w:trPr>
          <w:trHeight w:val="230"/>
        </w:trPr>
        <w:tc>
          <w:tcPr>
            <w:tcW w:w="3360" w:type="dxa"/>
            <w:vAlign w:val="bottom"/>
            <w:tcBorders>
              <w:left w:val="single" w:sz="8" w:color="auto"/>
            </w:tcBorders>
          </w:tcPr>
          <w:p>
            <w:pPr>
              <w:spacing w:after="0"/>
              <w:rPr>
                <w:sz w:val="20"/>
                <w:szCs w:val="20"/>
                <w:color w:val="auto"/>
              </w:rPr>
            </w:pPr>
          </w:p>
        </w:tc>
        <w:tc>
          <w:tcPr>
            <w:tcW w:w="766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interest is a non-business day, then that record date will be the next business day.</w:t>
            </w:r>
          </w:p>
        </w:tc>
      </w:tr>
      <w:tr>
        <w:trPr>
          <w:trHeight w:val="459"/>
        </w:trPr>
        <w:tc>
          <w:tcPr>
            <w:tcW w:w="33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Specified currency</w:t>
            </w:r>
          </w:p>
        </w:tc>
        <w:tc>
          <w:tcPr>
            <w:tcW w:w="766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U.S. Dollars</w:t>
            </w:r>
          </w:p>
        </w:tc>
      </w:tr>
      <w:tr>
        <w:trPr>
          <w:trHeight w:val="473"/>
        </w:trPr>
        <w:tc>
          <w:tcPr>
            <w:tcW w:w="33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Place of payment</w:t>
            </w:r>
          </w:p>
        </w:tc>
        <w:tc>
          <w:tcPr>
            <w:tcW w:w="766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The City of New York</w:t>
            </w:r>
          </w:p>
        </w:tc>
      </w:tr>
      <w:tr>
        <w:trPr>
          <w:trHeight w:val="473"/>
        </w:trPr>
        <w:tc>
          <w:tcPr>
            <w:tcW w:w="33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Ranking of Notes</w:t>
            </w:r>
          </w:p>
        </w:tc>
        <w:tc>
          <w:tcPr>
            <w:tcW w:w="766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The Notes offered hereby will be our direct unsecured obligations and will rank:</w:t>
            </w:r>
          </w:p>
        </w:tc>
      </w:tr>
      <w:tr>
        <w:trPr>
          <w:trHeight w:val="337"/>
        </w:trPr>
        <w:tc>
          <w:tcPr>
            <w:tcW w:w="3360" w:type="dxa"/>
            <w:vAlign w:val="bottom"/>
            <w:tcBorders>
              <w:left w:val="single" w:sz="8" w:color="auto"/>
            </w:tcBorders>
          </w:tcPr>
          <w:p>
            <w:pPr>
              <w:spacing w:after="0"/>
              <w:rPr>
                <w:sz w:val="24"/>
                <w:szCs w:val="24"/>
                <w:color w:val="auto"/>
              </w:rPr>
            </w:pPr>
          </w:p>
        </w:tc>
        <w:tc>
          <w:tcPr>
            <w:tcW w:w="766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any existing and future unsecured</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w w:val="95"/>
              </w:rPr>
              <w:t>unsubordinated indebtedness, including approximately $117.8 million in aggregate</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w w:val="94"/>
              </w:rPr>
              <w:t>principal amount outstanding under our 4.3% Series A notes due 2023, or the 2023</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Notes, and $100.0 million in aggregate principal amount outstanding under the</w:t>
            </w:r>
          </w:p>
        </w:tc>
      </w:tr>
      <w:tr>
        <w:trPr>
          <w:trHeight w:val="230"/>
        </w:trPr>
        <w:tc>
          <w:tcPr>
            <w:tcW w:w="3360" w:type="dxa"/>
            <w:vAlign w:val="bottom"/>
            <w:tcBorders>
              <w:left w:val="single" w:sz="8" w:color="auto"/>
            </w:tcBorders>
          </w:tcPr>
          <w:p>
            <w:pPr>
              <w:spacing w:after="0"/>
              <w:rPr>
                <w:sz w:val="20"/>
                <w:szCs w:val="20"/>
                <w:color w:val="auto"/>
              </w:rPr>
            </w:pPr>
          </w:p>
        </w:tc>
        <w:tc>
          <w:tcPr>
            <w:tcW w:w="766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Existing Notes, each as of June 30, 2021;</w:t>
            </w:r>
          </w:p>
        </w:tc>
      </w:tr>
      <w:tr>
        <w:trPr>
          <w:trHeight w:val="323"/>
        </w:trPr>
        <w:tc>
          <w:tcPr>
            <w:tcW w:w="3360" w:type="dxa"/>
            <w:vAlign w:val="bottom"/>
            <w:tcBorders>
              <w:left w:val="single" w:sz="8" w:color="auto"/>
            </w:tcBorders>
          </w:tcPr>
          <w:p>
            <w:pPr>
              <w:spacing w:after="0"/>
              <w:rPr>
                <w:sz w:val="24"/>
                <w:szCs w:val="24"/>
                <w:color w:val="auto"/>
              </w:rPr>
            </w:pPr>
          </w:p>
        </w:tc>
        <w:tc>
          <w:tcPr>
            <w:tcW w:w="766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7"/>
              </w:rPr>
              <w:t>•   senior to any of our future indebtedness that expressly states it is subordinated in</w:t>
            </w:r>
          </w:p>
        </w:tc>
      </w:tr>
      <w:tr>
        <w:trPr>
          <w:trHeight w:val="230"/>
        </w:trPr>
        <w:tc>
          <w:tcPr>
            <w:tcW w:w="3360" w:type="dxa"/>
            <w:vAlign w:val="bottom"/>
            <w:tcBorders>
              <w:left w:val="single" w:sz="8" w:color="auto"/>
            </w:tcBorders>
          </w:tcPr>
          <w:p>
            <w:pPr>
              <w:spacing w:after="0"/>
              <w:rPr>
                <w:sz w:val="20"/>
                <w:szCs w:val="20"/>
                <w:color w:val="auto"/>
              </w:rPr>
            </w:pPr>
          </w:p>
        </w:tc>
        <w:tc>
          <w:tcPr>
            <w:tcW w:w="766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right of payment to the Notes;</w:t>
            </w:r>
          </w:p>
        </w:tc>
      </w:tr>
      <w:tr>
        <w:trPr>
          <w:trHeight w:val="338"/>
        </w:trPr>
        <w:tc>
          <w:tcPr>
            <w:tcW w:w="3360" w:type="dxa"/>
            <w:vAlign w:val="bottom"/>
            <w:tcBorders>
              <w:left w:val="single" w:sz="8" w:color="auto"/>
            </w:tcBorders>
          </w:tcPr>
          <w:p>
            <w:pPr>
              <w:spacing w:after="0"/>
              <w:rPr>
                <w:sz w:val="24"/>
                <w:szCs w:val="24"/>
                <w:color w:val="auto"/>
              </w:rPr>
            </w:pPr>
          </w:p>
        </w:tc>
        <w:tc>
          <w:tcPr>
            <w:tcW w:w="766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   senior to any series of preferred stock that we may issue in the future;</w:t>
            </w:r>
          </w:p>
        </w:tc>
      </w:tr>
      <w:tr>
        <w:trPr>
          <w:trHeight w:val="240"/>
        </w:trPr>
        <w:tc>
          <w:tcPr>
            <w:tcW w:w="3360" w:type="dxa"/>
            <w:vAlign w:val="bottom"/>
            <w:tcBorders>
              <w:left w:val="single" w:sz="8" w:color="auto"/>
              <w:bottom w:val="single" w:sz="8" w:color="auto"/>
            </w:tcBorders>
          </w:tcPr>
          <w:p>
            <w:pPr>
              <w:spacing w:after="0"/>
              <w:rPr>
                <w:sz w:val="20"/>
                <w:szCs w:val="20"/>
                <w:color w:val="auto"/>
              </w:rPr>
            </w:pPr>
          </w:p>
        </w:tc>
        <w:tc>
          <w:tcPr>
            <w:tcW w:w="7660" w:type="dxa"/>
            <w:vAlign w:val="bottom"/>
            <w:tcBorders>
              <w:bottom w:val="single" w:sz="8" w:color="auto"/>
              <w:right w:val="single" w:sz="8" w:color="auto"/>
            </w:tcBorders>
          </w:tcPr>
          <w:p>
            <w:pPr>
              <w:spacing w:after="0"/>
              <w:rPr>
                <w:sz w:val="20"/>
                <w:szCs w:val="20"/>
                <w:color w:val="auto"/>
              </w:rPr>
            </w:pPr>
          </w:p>
        </w:tc>
      </w:tr>
      <w:tr>
        <w:trPr>
          <w:trHeight w:val="361"/>
        </w:trPr>
        <w:tc>
          <w:tcPr>
            <w:tcW w:w="3360" w:type="dxa"/>
            <w:vAlign w:val="bottom"/>
          </w:tcPr>
          <w:p>
            <w:pPr>
              <w:spacing w:after="0"/>
              <w:rPr>
                <w:sz w:val="24"/>
                <w:szCs w:val="24"/>
                <w:color w:val="auto"/>
              </w:rPr>
            </w:pPr>
          </w:p>
        </w:tc>
        <w:tc>
          <w:tcPr>
            <w:tcW w:w="7660" w:type="dxa"/>
            <w:vAlign w:val="bottom"/>
          </w:tcPr>
          <w:p>
            <w:pPr>
              <w:ind w:left="2020"/>
              <w:spacing w:after="0"/>
              <w:rPr>
                <w:sz w:val="20"/>
                <w:szCs w:val="20"/>
                <w:color w:val="auto"/>
              </w:rPr>
            </w:pPr>
            <w:r>
              <w:rPr>
                <w:rFonts w:ascii="Arial" w:cs="Arial" w:eastAsia="Arial" w:hAnsi="Arial"/>
                <w:sz w:val="18"/>
                <w:szCs w:val="18"/>
                <w:color w:val="auto"/>
              </w:rPr>
              <w:t>S-3</w:t>
            </w:r>
          </w:p>
        </w:tc>
      </w:tr>
    </w:tbl>
    <w:p>
      <w:pPr>
        <w:sectPr>
          <w:pgSz w:w="11900" w:h="16838" w:orient="portrait"/>
          <w:cols w:equalWidth="0" w:num="1">
            <w:col w:w="11140"/>
          </w:cols>
          <w:pgMar w:left="32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2940" w:type="dxa"/>
            <w:vAlign w:val="bottom"/>
            <w:tcBorders>
              <w:top w:val="single" w:sz="8" w:color="auto"/>
              <w:left w:val="single" w:sz="8" w:color="auto"/>
            </w:tcBorders>
          </w:tcPr>
          <w:p>
            <w:pPr>
              <w:spacing w:after="0"/>
              <w:rPr>
                <w:sz w:val="24"/>
                <w:szCs w:val="24"/>
                <w:color w:val="auto"/>
              </w:rPr>
            </w:pPr>
          </w:p>
        </w:tc>
        <w:tc>
          <w:tcPr>
            <w:tcW w:w="8080" w:type="dxa"/>
            <w:vAlign w:val="bottom"/>
            <w:tcBorders>
              <w:top w:val="single" w:sz="8" w:color="auto"/>
              <w:right w:val="single" w:sz="8" w:color="auto"/>
            </w:tcBorders>
          </w:tcPr>
          <w:p>
            <w:pPr>
              <w:ind w:left="1500"/>
              <w:spacing w:after="0"/>
              <w:rPr>
                <w:sz w:val="20"/>
                <w:szCs w:val="20"/>
                <w:color w:val="auto"/>
              </w:rPr>
            </w:pPr>
            <w:r>
              <w:rPr>
                <w:rFonts w:ascii="Arial" w:cs="Arial" w:eastAsia="Arial" w:hAnsi="Arial"/>
                <w:sz w:val="18"/>
                <w:szCs w:val="18"/>
                <w:color w:val="auto"/>
                <w:w w:val="96"/>
              </w:rPr>
              <w:t>•   effectively subordinated in right of payment to all of our existing and future secured</w:t>
            </w:r>
          </w:p>
        </w:tc>
      </w:tr>
      <w:tr>
        <w:trPr>
          <w:trHeight w:val="216"/>
        </w:trPr>
        <w:tc>
          <w:tcPr>
            <w:tcW w:w="29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w w:val="98"/>
              </w:rPr>
              <w:t>indebtedness (including indebtedness that is initially unsecured, but to which we</w:t>
            </w:r>
          </w:p>
        </w:tc>
      </w:tr>
      <w:tr>
        <w:trPr>
          <w:trHeight w:val="216"/>
        </w:trPr>
        <w:tc>
          <w:tcPr>
            <w:tcW w:w="29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w w:val="95"/>
              </w:rPr>
              <w:t>subsequently grant security), to the extent of the value of the assets securing such</w:t>
            </w:r>
          </w:p>
        </w:tc>
      </w:tr>
      <w:tr>
        <w:trPr>
          <w:trHeight w:val="230"/>
        </w:trPr>
        <w:tc>
          <w:tcPr>
            <w:tcW w:w="2940" w:type="dxa"/>
            <w:vAlign w:val="bottom"/>
            <w:tcBorders>
              <w:left w:val="single" w:sz="8" w:color="auto"/>
            </w:tcBorders>
          </w:tcPr>
          <w:p>
            <w:pPr>
              <w:spacing w:after="0"/>
              <w:rPr>
                <w:sz w:val="20"/>
                <w:szCs w:val="20"/>
                <w:color w:val="auto"/>
              </w:rPr>
            </w:pPr>
          </w:p>
        </w:tc>
        <w:tc>
          <w:tcPr>
            <w:tcW w:w="808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rPr>
              <w:t>indebtedness; and</w:t>
            </w:r>
          </w:p>
        </w:tc>
      </w:tr>
      <w:tr>
        <w:trPr>
          <w:trHeight w:val="323"/>
        </w:trPr>
        <w:tc>
          <w:tcPr>
            <w:tcW w:w="2940" w:type="dxa"/>
            <w:vAlign w:val="bottom"/>
            <w:tcBorders>
              <w:left w:val="single" w:sz="8" w:color="auto"/>
            </w:tcBorders>
          </w:tcPr>
          <w:p>
            <w:pPr>
              <w:spacing w:after="0"/>
              <w:rPr>
                <w:sz w:val="24"/>
                <w:szCs w:val="24"/>
                <w:color w:val="auto"/>
              </w:rPr>
            </w:pPr>
          </w:p>
        </w:tc>
        <w:tc>
          <w:tcPr>
            <w:tcW w:w="808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rPr>
              <w:t>•   structurally subordinated to all existing and future indebtedness and other</w:t>
            </w:r>
          </w:p>
        </w:tc>
      </w:tr>
      <w:tr>
        <w:trPr>
          <w:trHeight w:val="216"/>
        </w:trPr>
        <w:tc>
          <w:tcPr>
            <w:tcW w:w="29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rPr>
              <w:t>obligations of any of our subsidiaries, financing vehicles or similar facilities,</w:t>
            </w:r>
          </w:p>
        </w:tc>
      </w:tr>
      <w:tr>
        <w:trPr>
          <w:trHeight w:val="216"/>
        </w:trPr>
        <w:tc>
          <w:tcPr>
            <w:tcW w:w="29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rPr>
              <w:t>including without limitation, (i) borrowings outstanding under our New Credit</w:t>
            </w:r>
          </w:p>
        </w:tc>
      </w:tr>
      <w:tr>
        <w:trPr>
          <w:trHeight w:val="216"/>
        </w:trPr>
        <w:tc>
          <w:tcPr>
            <w:tcW w:w="29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w w:val="93"/>
              </w:rPr>
              <w:t>Facility (as defined below), to the extent of the value of the assets securing our New</w:t>
            </w:r>
          </w:p>
        </w:tc>
      </w:tr>
      <w:tr>
        <w:trPr>
          <w:trHeight w:val="216"/>
        </w:trPr>
        <w:tc>
          <w:tcPr>
            <w:tcW w:w="29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rPr>
              <w:t>Credit Facility and (ii) approximately $228.0 million aggregate principal amount</w:t>
            </w:r>
          </w:p>
        </w:tc>
      </w:tr>
      <w:tr>
        <w:trPr>
          <w:trHeight w:val="216"/>
        </w:trPr>
        <w:tc>
          <w:tcPr>
            <w:tcW w:w="29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w w:val="96"/>
              </w:rPr>
              <w:t>outstanding under our 2031 Asset-Backed Debt (as defined below) as of June 30,</w:t>
            </w:r>
          </w:p>
        </w:tc>
      </w:tr>
      <w:tr>
        <w:trPr>
          <w:trHeight w:val="230"/>
        </w:trPr>
        <w:tc>
          <w:tcPr>
            <w:tcW w:w="2940" w:type="dxa"/>
            <w:vAlign w:val="bottom"/>
            <w:tcBorders>
              <w:left w:val="single" w:sz="8" w:color="auto"/>
            </w:tcBorders>
          </w:tcPr>
          <w:p>
            <w:pPr>
              <w:spacing w:after="0"/>
              <w:rPr>
                <w:sz w:val="20"/>
                <w:szCs w:val="20"/>
                <w:color w:val="auto"/>
              </w:rPr>
            </w:pPr>
          </w:p>
        </w:tc>
        <w:tc>
          <w:tcPr>
            <w:tcW w:w="808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rPr>
              <w:t>2021.</w:t>
            </w:r>
          </w:p>
        </w:tc>
      </w:tr>
      <w:tr>
        <w:trPr>
          <w:trHeight w:val="445"/>
        </w:trPr>
        <w:tc>
          <w:tcPr>
            <w:tcW w:w="29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Denominations</w:t>
            </w:r>
          </w:p>
        </w:tc>
        <w:tc>
          <w:tcPr>
            <w:tcW w:w="808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9"/>
              </w:rPr>
              <w:t>We will issue the Notes in denominations of $2,000 and integral multiples of $1,000 in</w:t>
            </w:r>
          </w:p>
        </w:tc>
      </w:tr>
      <w:tr>
        <w:trPr>
          <w:trHeight w:val="230"/>
        </w:trPr>
        <w:tc>
          <w:tcPr>
            <w:tcW w:w="2940" w:type="dxa"/>
            <w:vAlign w:val="bottom"/>
            <w:tcBorders>
              <w:left w:val="single" w:sz="8" w:color="auto"/>
            </w:tcBorders>
          </w:tcPr>
          <w:p>
            <w:pPr>
              <w:spacing w:after="0"/>
              <w:rPr>
                <w:sz w:val="20"/>
                <w:szCs w:val="20"/>
                <w:color w:val="auto"/>
              </w:rPr>
            </w:pPr>
          </w:p>
        </w:tc>
        <w:tc>
          <w:tcPr>
            <w:tcW w:w="808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excess thereof.</w:t>
            </w:r>
          </w:p>
        </w:tc>
      </w:tr>
      <w:tr>
        <w:trPr>
          <w:trHeight w:val="445"/>
        </w:trPr>
        <w:tc>
          <w:tcPr>
            <w:tcW w:w="29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Business day</w:t>
            </w:r>
          </w:p>
        </w:tc>
        <w:tc>
          <w:tcPr>
            <w:tcW w:w="808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9"/>
              </w:rPr>
              <w:t>Each Monday, Tuesday, Wednesday, Thursday and Friday that is not a day on which</w:t>
            </w:r>
          </w:p>
        </w:tc>
      </w:tr>
      <w:tr>
        <w:trPr>
          <w:trHeight w:val="216"/>
        </w:trPr>
        <w:tc>
          <w:tcPr>
            <w:tcW w:w="29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banking institutions in The City of New York are authorized or required by law or</w:t>
            </w:r>
          </w:p>
        </w:tc>
      </w:tr>
      <w:tr>
        <w:trPr>
          <w:trHeight w:val="230"/>
        </w:trPr>
        <w:tc>
          <w:tcPr>
            <w:tcW w:w="2940" w:type="dxa"/>
            <w:vAlign w:val="bottom"/>
            <w:tcBorders>
              <w:left w:val="single" w:sz="8" w:color="auto"/>
            </w:tcBorders>
          </w:tcPr>
          <w:p>
            <w:pPr>
              <w:spacing w:after="0"/>
              <w:rPr>
                <w:sz w:val="20"/>
                <w:szCs w:val="20"/>
                <w:color w:val="auto"/>
              </w:rPr>
            </w:pPr>
          </w:p>
        </w:tc>
        <w:tc>
          <w:tcPr>
            <w:tcW w:w="808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executive order to close.</w:t>
            </w:r>
          </w:p>
        </w:tc>
      </w:tr>
      <w:tr>
        <w:trPr>
          <w:trHeight w:val="445"/>
        </w:trPr>
        <w:tc>
          <w:tcPr>
            <w:tcW w:w="29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Optional redemption</w:t>
            </w:r>
          </w:p>
        </w:tc>
        <w:tc>
          <w:tcPr>
            <w:tcW w:w="808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6"/>
              </w:rPr>
              <w:t>We may redeem some or all of the Notes at any time, or from time to time, upon not less</w:t>
            </w:r>
          </w:p>
        </w:tc>
      </w:tr>
      <w:tr>
        <w:trPr>
          <w:trHeight w:val="216"/>
        </w:trPr>
        <w:tc>
          <w:tcPr>
            <w:tcW w:w="29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6"/>
              </w:rPr>
              <w:t>than 30 days’ nor more than 60 days’ written notice prior to the date fixed for redemption</w:t>
            </w:r>
          </w:p>
        </w:tc>
      </w:tr>
      <w:tr>
        <w:trPr>
          <w:trHeight w:val="216"/>
        </w:trPr>
        <w:tc>
          <w:tcPr>
            <w:tcW w:w="29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6"/>
              </w:rPr>
              <w:t>thereof, at a redemption price equal to the greater of (1) 100% of the principal amount of</w:t>
            </w:r>
          </w:p>
        </w:tc>
      </w:tr>
      <w:tr>
        <w:trPr>
          <w:trHeight w:val="216"/>
        </w:trPr>
        <w:tc>
          <w:tcPr>
            <w:tcW w:w="29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4"/>
              </w:rPr>
              <w:t>the Notes to be redeemed or (2) the sum of the present values of the remaining scheduled</w:t>
            </w:r>
          </w:p>
        </w:tc>
      </w:tr>
      <w:tr>
        <w:trPr>
          <w:trHeight w:val="216"/>
        </w:trPr>
        <w:tc>
          <w:tcPr>
            <w:tcW w:w="29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5"/>
              </w:rPr>
              <w:t>payments of principal and interest (exclusive of accrued and unpaid interest to the date of</w:t>
            </w:r>
          </w:p>
        </w:tc>
      </w:tr>
      <w:tr>
        <w:trPr>
          <w:trHeight w:val="216"/>
        </w:trPr>
        <w:tc>
          <w:tcPr>
            <w:tcW w:w="29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5"/>
              </w:rPr>
              <w:t>redemption) on the Notes to be redeemed, discounted to the redemption date on a semi-</w:t>
            </w:r>
          </w:p>
        </w:tc>
      </w:tr>
      <w:tr>
        <w:trPr>
          <w:trHeight w:val="216"/>
        </w:trPr>
        <w:tc>
          <w:tcPr>
            <w:tcW w:w="29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8"/>
              </w:rPr>
              <w:t>annual basis (assuming a 360-day year consisting of twelve 30-day months) using the</w:t>
            </w:r>
          </w:p>
        </w:tc>
      </w:tr>
      <w:tr>
        <w:trPr>
          <w:trHeight w:val="216"/>
        </w:trPr>
        <w:tc>
          <w:tcPr>
            <w:tcW w:w="29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8"/>
              </w:rPr>
              <w:t>applicable Treasury Rate plus 50 basis points, plus, in each case, accrued and unpaid</w:t>
            </w:r>
          </w:p>
        </w:tc>
      </w:tr>
      <w:tr>
        <w:trPr>
          <w:trHeight w:val="216"/>
        </w:trPr>
        <w:tc>
          <w:tcPr>
            <w:tcW w:w="29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7"/>
              </w:rPr>
              <w:t xml:space="preserve">interest to, but not including, the redemption date; </w:t>
            </w:r>
            <w:r>
              <w:rPr>
                <w:rFonts w:ascii="Arial" w:cs="Arial" w:eastAsia="Arial" w:hAnsi="Arial"/>
                <w:sz w:val="18"/>
                <w:szCs w:val="18"/>
                <w:i w:val="1"/>
                <w:iCs w:val="1"/>
                <w:color w:val="auto"/>
                <w:w w:val="97"/>
              </w:rPr>
              <w:t>provided</w:t>
            </w:r>
            <w:r>
              <w:rPr>
                <w:rFonts w:ascii="Arial" w:cs="Arial" w:eastAsia="Arial" w:hAnsi="Arial"/>
                <w:sz w:val="18"/>
                <w:szCs w:val="18"/>
                <w:color w:val="auto"/>
                <w:w w:val="97"/>
              </w:rPr>
              <w:t>, however, that if we redeem</w:t>
            </w:r>
          </w:p>
        </w:tc>
      </w:tr>
      <w:tr>
        <w:trPr>
          <w:trHeight w:val="216"/>
        </w:trPr>
        <w:tc>
          <w:tcPr>
            <w:tcW w:w="29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6"/>
              </w:rPr>
              <w:t>any Notes on or after January 1, 2026 (the date falling three months prior to the maturity</w:t>
            </w:r>
          </w:p>
        </w:tc>
      </w:tr>
      <w:tr>
        <w:trPr>
          <w:trHeight w:val="216"/>
        </w:trPr>
        <w:tc>
          <w:tcPr>
            <w:tcW w:w="29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date of the Notes), the redemption price for the Notes will be equal to 100% of the</w:t>
            </w:r>
          </w:p>
        </w:tc>
      </w:tr>
      <w:tr>
        <w:trPr>
          <w:trHeight w:val="216"/>
        </w:trPr>
        <w:tc>
          <w:tcPr>
            <w:tcW w:w="29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4"/>
              </w:rPr>
              <w:t>principal amount of the Notes to be redeemed, plus accrued and unpaid interest, if any, to,</w:t>
            </w:r>
          </w:p>
        </w:tc>
      </w:tr>
      <w:tr>
        <w:trPr>
          <w:trHeight w:val="230"/>
        </w:trPr>
        <w:tc>
          <w:tcPr>
            <w:tcW w:w="2940" w:type="dxa"/>
            <w:vAlign w:val="bottom"/>
            <w:tcBorders>
              <w:left w:val="single" w:sz="8" w:color="auto"/>
            </w:tcBorders>
          </w:tcPr>
          <w:p>
            <w:pPr>
              <w:spacing w:after="0"/>
              <w:rPr>
                <w:sz w:val="20"/>
                <w:szCs w:val="20"/>
                <w:color w:val="auto"/>
              </w:rPr>
            </w:pPr>
          </w:p>
        </w:tc>
        <w:tc>
          <w:tcPr>
            <w:tcW w:w="808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but excluding, the date of redemption.</w:t>
            </w:r>
          </w:p>
        </w:tc>
      </w:tr>
      <w:tr>
        <w:trPr>
          <w:trHeight w:val="445"/>
        </w:trPr>
        <w:tc>
          <w:tcPr>
            <w:tcW w:w="2940" w:type="dxa"/>
            <w:vAlign w:val="bottom"/>
            <w:tcBorders>
              <w:left w:val="single" w:sz="8" w:color="auto"/>
            </w:tcBorders>
          </w:tcPr>
          <w:p>
            <w:pPr>
              <w:spacing w:after="0"/>
              <w:rPr>
                <w:sz w:val="24"/>
                <w:szCs w:val="24"/>
                <w:color w:val="auto"/>
              </w:rPr>
            </w:pPr>
          </w:p>
        </w:tc>
        <w:tc>
          <w:tcPr>
            <w:tcW w:w="808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6"/>
              </w:rPr>
              <w:t>Any exercise of our option to redeem the Notes will be done in compliance with the 1940</w:t>
            </w:r>
          </w:p>
        </w:tc>
      </w:tr>
      <w:tr>
        <w:trPr>
          <w:trHeight w:val="230"/>
        </w:trPr>
        <w:tc>
          <w:tcPr>
            <w:tcW w:w="2940" w:type="dxa"/>
            <w:vAlign w:val="bottom"/>
            <w:tcBorders>
              <w:left w:val="single" w:sz="8" w:color="auto"/>
            </w:tcBorders>
          </w:tcPr>
          <w:p>
            <w:pPr>
              <w:spacing w:after="0"/>
              <w:rPr>
                <w:sz w:val="20"/>
                <w:szCs w:val="20"/>
                <w:color w:val="auto"/>
              </w:rPr>
            </w:pPr>
          </w:p>
        </w:tc>
        <w:tc>
          <w:tcPr>
            <w:tcW w:w="808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Act and the related rules, regulations and interpretations, to the extent applicable.</w:t>
            </w:r>
          </w:p>
        </w:tc>
      </w:tr>
      <w:tr>
        <w:trPr>
          <w:trHeight w:val="445"/>
        </w:trPr>
        <w:tc>
          <w:tcPr>
            <w:tcW w:w="2940" w:type="dxa"/>
            <w:vAlign w:val="bottom"/>
            <w:tcBorders>
              <w:left w:val="single" w:sz="8" w:color="auto"/>
            </w:tcBorders>
          </w:tcPr>
          <w:p>
            <w:pPr>
              <w:spacing w:after="0"/>
              <w:rPr>
                <w:sz w:val="24"/>
                <w:szCs w:val="24"/>
                <w:color w:val="auto"/>
              </w:rPr>
            </w:pPr>
          </w:p>
        </w:tc>
        <w:tc>
          <w:tcPr>
            <w:tcW w:w="808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3"/>
              </w:rPr>
              <w:t>If we redeem only some of the Notes, the Trustee or DTC, as applicable, will determine the</w:t>
            </w:r>
          </w:p>
        </w:tc>
      </w:tr>
      <w:tr>
        <w:trPr>
          <w:trHeight w:val="216"/>
        </w:trPr>
        <w:tc>
          <w:tcPr>
            <w:tcW w:w="29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5"/>
              </w:rPr>
              <w:t>method for selection of the particular Notes to be redeemed, in accordance with the 1940</w:t>
            </w:r>
          </w:p>
        </w:tc>
      </w:tr>
      <w:tr>
        <w:trPr>
          <w:trHeight w:val="216"/>
        </w:trPr>
        <w:tc>
          <w:tcPr>
            <w:tcW w:w="29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3"/>
              </w:rPr>
              <w:t>Act, to the extent applicable. Unless we default in payment of the redemption price, on and</w:t>
            </w:r>
          </w:p>
        </w:tc>
      </w:tr>
      <w:tr>
        <w:trPr>
          <w:trHeight w:val="216"/>
        </w:trPr>
        <w:tc>
          <w:tcPr>
            <w:tcW w:w="29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after the date of redemption interest will cease to accrue on the Notes called for</w:t>
            </w:r>
          </w:p>
        </w:tc>
      </w:tr>
      <w:tr>
        <w:trPr>
          <w:trHeight w:val="230"/>
        </w:trPr>
        <w:tc>
          <w:tcPr>
            <w:tcW w:w="2940" w:type="dxa"/>
            <w:vAlign w:val="bottom"/>
            <w:tcBorders>
              <w:left w:val="single" w:sz="8" w:color="auto"/>
            </w:tcBorders>
          </w:tcPr>
          <w:p>
            <w:pPr>
              <w:spacing w:after="0"/>
              <w:rPr>
                <w:sz w:val="20"/>
                <w:szCs w:val="20"/>
                <w:color w:val="auto"/>
              </w:rPr>
            </w:pPr>
          </w:p>
        </w:tc>
        <w:tc>
          <w:tcPr>
            <w:tcW w:w="808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redemption.</w:t>
            </w:r>
          </w:p>
        </w:tc>
      </w:tr>
      <w:tr>
        <w:trPr>
          <w:trHeight w:val="459"/>
        </w:trPr>
        <w:tc>
          <w:tcPr>
            <w:tcW w:w="29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Sinking fund</w:t>
            </w:r>
          </w:p>
        </w:tc>
        <w:tc>
          <w:tcPr>
            <w:tcW w:w="808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The Notes will not be subject to any sinking fund.</w:t>
            </w:r>
          </w:p>
        </w:tc>
      </w:tr>
      <w:tr>
        <w:trPr>
          <w:trHeight w:val="253"/>
        </w:trPr>
        <w:tc>
          <w:tcPr>
            <w:tcW w:w="2940" w:type="dxa"/>
            <w:vAlign w:val="bottom"/>
            <w:tcBorders>
              <w:left w:val="single" w:sz="8" w:color="auto"/>
              <w:bottom w:val="single" w:sz="8" w:color="auto"/>
            </w:tcBorders>
          </w:tcPr>
          <w:p>
            <w:pPr>
              <w:spacing w:after="0"/>
              <w:rPr>
                <w:sz w:val="22"/>
                <w:szCs w:val="22"/>
                <w:color w:val="auto"/>
              </w:rPr>
            </w:pPr>
          </w:p>
        </w:tc>
        <w:tc>
          <w:tcPr>
            <w:tcW w:w="8080" w:type="dxa"/>
            <w:vAlign w:val="bottom"/>
            <w:tcBorders>
              <w:bottom w:val="single" w:sz="8" w:color="auto"/>
              <w:right w:val="single" w:sz="8" w:color="auto"/>
            </w:tcBorders>
          </w:tcPr>
          <w:p>
            <w:pPr>
              <w:spacing w:after="0"/>
              <w:rPr>
                <w:sz w:val="22"/>
                <w:szCs w:val="22"/>
                <w:color w:val="auto"/>
              </w:rPr>
            </w:pPr>
          </w:p>
        </w:tc>
      </w:tr>
      <w:tr>
        <w:trPr>
          <w:trHeight w:val="361"/>
        </w:trPr>
        <w:tc>
          <w:tcPr>
            <w:tcW w:w="2940" w:type="dxa"/>
            <w:vAlign w:val="bottom"/>
          </w:tcPr>
          <w:p>
            <w:pPr>
              <w:spacing w:after="0"/>
              <w:rPr>
                <w:sz w:val="24"/>
                <w:szCs w:val="24"/>
                <w:color w:val="auto"/>
              </w:rPr>
            </w:pPr>
          </w:p>
        </w:tc>
        <w:tc>
          <w:tcPr>
            <w:tcW w:w="8080" w:type="dxa"/>
            <w:vAlign w:val="bottom"/>
          </w:tcPr>
          <w:p>
            <w:pPr>
              <w:ind w:left="2440"/>
              <w:spacing w:after="0"/>
              <w:rPr>
                <w:sz w:val="20"/>
                <w:szCs w:val="20"/>
                <w:color w:val="auto"/>
              </w:rPr>
            </w:pPr>
            <w:r>
              <w:rPr>
                <w:rFonts w:ascii="Arial" w:cs="Arial" w:eastAsia="Arial" w:hAnsi="Arial"/>
                <w:sz w:val="18"/>
                <w:szCs w:val="18"/>
                <w:color w:val="auto"/>
              </w:rPr>
              <w:t>S-4</w:t>
            </w:r>
          </w:p>
        </w:tc>
      </w:tr>
    </w:tbl>
    <w:p>
      <w:pPr>
        <w:sectPr>
          <w:pgSz w:w="11900" w:h="16838" w:orient="portrait"/>
          <w:cols w:equalWidth="0" w:num="1">
            <w:col w:w="11140"/>
          </w:cols>
          <w:pgMar w:left="320" w:top="459" w:right="439" w:bottom="1440" w:gutter="0" w:footer="0" w:header="0"/>
        </w:sectPr>
      </w:pPr>
    </w:p>
    <w:bookmarkStart w:id="6" w:name="page7"/>
    <w:bookmarkEnd w:id="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58420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584200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300"/>
        <w:spacing w:after="0" w:line="277" w:lineRule="auto"/>
        <w:rPr>
          <w:sz w:val="20"/>
          <w:szCs w:val="20"/>
          <w:color w:val="auto"/>
        </w:rPr>
      </w:pPr>
      <w:r>
        <w:rPr>
          <w:rFonts w:ascii="Arial" w:cs="Arial" w:eastAsia="Arial" w:hAnsi="Arial"/>
          <w:sz w:val="18"/>
          <w:szCs w:val="18"/>
          <w:color w:val="auto"/>
        </w:rPr>
        <w:t>Offer to Repurchase upon a Change of Control Repurchase Event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right="320"/>
        <w:spacing w:after="0" w:line="275" w:lineRule="auto"/>
        <w:rPr>
          <w:sz w:val="20"/>
          <w:szCs w:val="20"/>
          <w:color w:val="auto"/>
        </w:rPr>
      </w:pPr>
      <w:r>
        <w:rPr>
          <w:rFonts w:ascii="Arial" w:cs="Arial" w:eastAsia="Arial" w:hAnsi="Arial"/>
          <w:sz w:val="17"/>
          <w:szCs w:val="17"/>
          <w:color w:val="auto"/>
        </w:rPr>
        <w:t>If a Change of Control Repurchase Event occurs prior to maturity, unless we have exercised our right to redeem the Notes in full, Holders will have the right, at their option, to require us to repurchase for cash some or all of the Notes at a repurchase price equal to 100% of the principal amount of the Notes being repurchased, plus accrued and unpaid interest to, but not including, the repurchase date.</w:t>
      </w:r>
    </w:p>
    <w:p>
      <w:pPr>
        <w:spacing w:after="0" w:line="200" w:lineRule="exact"/>
        <w:rPr>
          <w:sz w:val="20"/>
          <w:szCs w:val="20"/>
          <w:color w:val="auto"/>
        </w:rPr>
      </w:pPr>
    </w:p>
    <w:p>
      <w:pPr>
        <w:sectPr>
          <w:pgSz w:w="11900" w:h="16838" w:orient="portrait"/>
          <w:cols w:equalWidth="0" w:num="2">
            <w:col w:w="3660" w:space="680"/>
            <w:col w:w="6800"/>
          </w:cols>
          <w:pgMar w:left="320" w:top="459" w:right="439" w:bottom="1440" w:gutter="0" w:footer="0" w:header="0"/>
          <w:type w:val="continuous"/>
        </w:sectPr>
      </w:pPr>
    </w:p>
    <w:p>
      <w:pPr>
        <w:spacing w:after="0" w:line="3"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4100" w:type="dxa"/>
            <w:vAlign w:val="bottom"/>
          </w:tcPr>
          <w:p>
            <w:pPr>
              <w:ind w:left="180"/>
              <w:spacing w:after="0"/>
              <w:rPr>
                <w:sz w:val="20"/>
                <w:szCs w:val="20"/>
                <w:color w:val="auto"/>
              </w:rPr>
            </w:pPr>
            <w:r>
              <w:rPr>
                <w:rFonts w:ascii="Arial" w:cs="Arial" w:eastAsia="Arial" w:hAnsi="Arial"/>
                <w:sz w:val="18"/>
                <w:szCs w:val="18"/>
                <w:color w:val="auto"/>
              </w:rPr>
              <w:t>Defeasance</w:t>
            </w:r>
          </w:p>
        </w:tc>
        <w:tc>
          <w:tcPr>
            <w:tcW w:w="6920" w:type="dxa"/>
            <w:vAlign w:val="bottom"/>
          </w:tcPr>
          <w:p>
            <w:pPr>
              <w:ind w:left="120"/>
              <w:spacing w:after="0"/>
              <w:rPr>
                <w:sz w:val="20"/>
                <w:szCs w:val="20"/>
                <w:color w:val="auto"/>
              </w:rPr>
            </w:pPr>
            <w:r>
              <w:rPr>
                <w:rFonts w:ascii="Arial" w:cs="Arial" w:eastAsia="Arial" w:hAnsi="Arial"/>
                <w:sz w:val="18"/>
                <w:szCs w:val="18"/>
                <w:color w:val="auto"/>
              </w:rPr>
              <w:t>The Notes are subject to defeasance by us.</w:t>
            </w:r>
          </w:p>
        </w:tc>
      </w:tr>
      <w:tr>
        <w:trPr>
          <w:trHeight w:val="473"/>
        </w:trPr>
        <w:tc>
          <w:tcPr>
            <w:tcW w:w="4100" w:type="dxa"/>
            <w:vAlign w:val="bottom"/>
          </w:tcPr>
          <w:p>
            <w:pPr>
              <w:ind w:left="180"/>
              <w:spacing w:after="0"/>
              <w:rPr>
                <w:sz w:val="20"/>
                <w:szCs w:val="20"/>
                <w:color w:val="auto"/>
              </w:rPr>
            </w:pPr>
            <w:r>
              <w:rPr>
                <w:rFonts w:ascii="Arial" w:cs="Arial" w:eastAsia="Arial" w:hAnsi="Arial"/>
                <w:sz w:val="18"/>
                <w:szCs w:val="18"/>
                <w:color w:val="auto"/>
              </w:rPr>
              <w:t>Covenant defeasance</w:t>
            </w:r>
          </w:p>
        </w:tc>
        <w:tc>
          <w:tcPr>
            <w:tcW w:w="6920" w:type="dxa"/>
            <w:vAlign w:val="bottom"/>
          </w:tcPr>
          <w:p>
            <w:pPr>
              <w:ind w:left="120"/>
              <w:spacing w:after="0"/>
              <w:rPr>
                <w:sz w:val="20"/>
                <w:szCs w:val="20"/>
                <w:color w:val="auto"/>
              </w:rPr>
            </w:pPr>
            <w:r>
              <w:rPr>
                <w:rFonts w:ascii="Arial" w:cs="Arial" w:eastAsia="Arial" w:hAnsi="Arial"/>
                <w:sz w:val="18"/>
                <w:szCs w:val="18"/>
                <w:color w:val="auto"/>
              </w:rPr>
              <w:t>The Notes are subject to covenant defeasance by us.</w:t>
            </w:r>
          </w:p>
        </w:tc>
      </w:tr>
      <w:tr>
        <w:trPr>
          <w:trHeight w:val="458"/>
        </w:trPr>
        <w:tc>
          <w:tcPr>
            <w:tcW w:w="4100" w:type="dxa"/>
            <w:vAlign w:val="bottom"/>
          </w:tcPr>
          <w:p>
            <w:pPr>
              <w:ind w:left="180"/>
              <w:spacing w:after="0"/>
              <w:rPr>
                <w:sz w:val="20"/>
                <w:szCs w:val="20"/>
                <w:color w:val="auto"/>
              </w:rPr>
            </w:pPr>
            <w:r>
              <w:rPr>
                <w:rFonts w:ascii="Arial" w:cs="Arial" w:eastAsia="Arial" w:hAnsi="Arial"/>
                <w:sz w:val="18"/>
                <w:szCs w:val="18"/>
                <w:color w:val="auto"/>
              </w:rPr>
              <w:t>Form of Notes</w:t>
            </w:r>
          </w:p>
        </w:tc>
        <w:tc>
          <w:tcPr>
            <w:tcW w:w="6920" w:type="dxa"/>
            <w:vAlign w:val="bottom"/>
          </w:tcPr>
          <w:p>
            <w:pPr>
              <w:ind w:left="120"/>
              <w:spacing w:after="0"/>
              <w:rPr>
                <w:sz w:val="20"/>
                <w:szCs w:val="20"/>
                <w:color w:val="auto"/>
              </w:rPr>
            </w:pPr>
            <w:r>
              <w:rPr>
                <w:rFonts w:ascii="Arial" w:cs="Arial" w:eastAsia="Arial" w:hAnsi="Arial"/>
                <w:sz w:val="18"/>
                <w:szCs w:val="18"/>
                <w:color w:val="auto"/>
                <w:w w:val="95"/>
              </w:rPr>
              <w:t>The Notes will be represented by global securities that will be deposited and registered in</w:t>
            </w:r>
          </w:p>
        </w:tc>
      </w:tr>
      <w:tr>
        <w:trPr>
          <w:trHeight w:val="216"/>
        </w:trPr>
        <w:tc>
          <w:tcPr>
            <w:tcW w:w="4100" w:type="dxa"/>
            <w:vAlign w:val="bottom"/>
          </w:tcPr>
          <w:p>
            <w:pPr>
              <w:spacing w:after="0"/>
              <w:rPr>
                <w:sz w:val="18"/>
                <w:szCs w:val="18"/>
                <w:color w:val="auto"/>
              </w:rPr>
            </w:pPr>
          </w:p>
        </w:tc>
        <w:tc>
          <w:tcPr>
            <w:tcW w:w="6920" w:type="dxa"/>
            <w:vAlign w:val="bottom"/>
          </w:tcPr>
          <w:p>
            <w:pPr>
              <w:ind w:left="120"/>
              <w:spacing w:after="0"/>
              <w:rPr>
                <w:sz w:val="20"/>
                <w:szCs w:val="20"/>
                <w:color w:val="auto"/>
              </w:rPr>
            </w:pPr>
            <w:r>
              <w:rPr>
                <w:rFonts w:ascii="Arial" w:cs="Arial" w:eastAsia="Arial" w:hAnsi="Arial"/>
                <w:sz w:val="18"/>
                <w:szCs w:val="18"/>
                <w:color w:val="auto"/>
                <w:w w:val="98"/>
              </w:rPr>
              <w:t>the name of DTC or its nominee. This means that, except in limited circumstances, you</w:t>
            </w:r>
          </w:p>
        </w:tc>
      </w:tr>
      <w:tr>
        <w:trPr>
          <w:trHeight w:val="216"/>
        </w:trPr>
        <w:tc>
          <w:tcPr>
            <w:tcW w:w="4100" w:type="dxa"/>
            <w:vAlign w:val="bottom"/>
          </w:tcPr>
          <w:p>
            <w:pPr>
              <w:spacing w:after="0"/>
              <w:rPr>
                <w:sz w:val="18"/>
                <w:szCs w:val="18"/>
                <w:color w:val="auto"/>
              </w:rPr>
            </w:pPr>
          </w:p>
        </w:tc>
        <w:tc>
          <w:tcPr>
            <w:tcW w:w="6920" w:type="dxa"/>
            <w:vAlign w:val="bottom"/>
          </w:tcPr>
          <w:p>
            <w:pPr>
              <w:ind w:left="120"/>
              <w:spacing w:after="0"/>
              <w:rPr>
                <w:sz w:val="20"/>
                <w:szCs w:val="20"/>
                <w:color w:val="auto"/>
              </w:rPr>
            </w:pPr>
            <w:r>
              <w:rPr>
                <w:rFonts w:ascii="Arial" w:cs="Arial" w:eastAsia="Arial" w:hAnsi="Arial"/>
                <w:sz w:val="18"/>
                <w:szCs w:val="18"/>
                <w:color w:val="auto"/>
              </w:rPr>
              <w:t>will not receive certificates for the Notes. Beneficial interests in the Notes will be</w:t>
            </w:r>
          </w:p>
        </w:tc>
      </w:tr>
      <w:tr>
        <w:trPr>
          <w:trHeight w:val="216"/>
        </w:trPr>
        <w:tc>
          <w:tcPr>
            <w:tcW w:w="4100" w:type="dxa"/>
            <w:vAlign w:val="bottom"/>
          </w:tcPr>
          <w:p>
            <w:pPr>
              <w:spacing w:after="0"/>
              <w:rPr>
                <w:sz w:val="18"/>
                <w:szCs w:val="18"/>
                <w:color w:val="auto"/>
              </w:rPr>
            </w:pPr>
          </w:p>
        </w:tc>
        <w:tc>
          <w:tcPr>
            <w:tcW w:w="6920" w:type="dxa"/>
            <w:vAlign w:val="bottom"/>
          </w:tcPr>
          <w:p>
            <w:pPr>
              <w:ind w:left="120"/>
              <w:spacing w:after="0"/>
              <w:rPr>
                <w:sz w:val="20"/>
                <w:szCs w:val="20"/>
                <w:color w:val="auto"/>
              </w:rPr>
            </w:pPr>
            <w:r>
              <w:rPr>
                <w:rFonts w:ascii="Arial" w:cs="Arial" w:eastAsia="Arial" w:hAnsi="Arial"/>
                <w:sz w:val="18"/>
                <w:szCs w:val="18"/>
                <w:color w:val="auto"/>
              </w:rPr>
              <w:t>represented through book-entry accounts of financial institutions acting on behalf of</w:t>
            </w:r>
          </w:p>
        </w:tc>
      </w:tr>
      <w:tr>
        <w:trPr>
          <w:trHeight w:val="216"/>
        </w:trPr>
        <w:tc>
          <w:tcPr>
            <w:tcW w:w="4100" w:type="dxa"/>
            <w:vAlign w:val="bottom"/>
          </w:tcPr>
          <w:p>
            <w:pPr>
              <w:spacing w:after="0"/>
              <w:rPr>
                <w:sz w:val="18"/>
                <w:szCs w:val="18"/>
                <w:color w:val="auto"/>
              </w:rPr>
            </w:pPr>
          </w:p>
        </w:tc>
        <w:tc>
          <w:tcPr>
            <w:tcW w:w="6920" w:type="dxa"/>
            <w:vAlign w:val="bottom"/>
          </w:tcPr>
          <w:p>
            <w:pPr>
              <w:ind w:left="120"/>
              <w:spacing w:after="0"/>
              <w:rPr>
                <w:sz w:val="20"/>
                <w:szCs w:val="20"/>
                <w:color w:val="auto"/>
              </w:rPr>
            </w:pPr>
            <w:r>
              <w:rPr>
                <w:rFonts w:ascii="Arial" w:cs="Arial" w:eastAsia="Arial" w:hAnsi="Arial"/>
                <w:sz w:val="18"/>
                <w:szCs w:val="18"/>
                <w:color w:val="auto"/>
                <w:w w:val="97"/>
              </w:rPr>
              <w:t>beneficial owners as direct and indirect participants in DTC. Investors may elect to hold</w:t>
            </w:r>
          </w:p>
        </w:tc>
      </w:tr>
      <w:tr>
        <w:trPr>
          <w:trHeight w:val="216"/>
        </w:trPr>
        <w:tc>
          <w:tcPr>
            <w:tcW w:w="4100" w:type="dxa"/>
            <w:vAlign w:val="bottom"/>
          </w:tcPr>
          <w:p>
            <w:pPr>
              <w:spacing w:after="0"/>
              <w:rPr>
                <w:sz w:val="18"/>
                <w:szCs w:val="18"/>
                <w:color w:val="auto"/>
              </w:rPr>
            </w:pPr>
          </w:p>
        </w:tc>
        <w:tc>
          <w:tcPr>
            <w:tcW w:w="6920" w:type="dxa"/>
            <w:vAlign w:val="bottom"/>
          </w:tcPr>
          <w:p>
            <w:pPr>
              <w:ind w:left="120"/>
              <w:spacing w:after="0"/>
              <w:rPr>
                <w:sz w:val="20"/>
                <w:szCs w:val="20"/>
                <w:color w:val="auto"/>
              </w:rPr>
            </w:pPr>
            <w:r>
              <w:rPr>
                <w:rFonts w:ascii="Arial" w:cs="Arial" w:eastAsia="Arial" w:hAnsi="Arial"/>
                <w:sz w:val="18"/>
                <w:szCs w:val="18"/>
                <w:color w:val="auto"/>
                <w:w w:val="98"/>
              </w:rPr>
              <w:t>interests in the Notes through either DTC, if they are a participant, or indirectly through</w:t>
            </w:r>
          </w:p>
        </w:tc>
      </w:tr>
      <w:tr>
        <w:trPr>
          <w:trHeight w:val="230"/>
        </w:trPr>
        <w:tc>
          <w:tcPr>
            <w:tcW w:w="4100" w:type="dxa"/>
            <w:vAlign w:val="bottom"/>
          </w:tcPr>
          <w:p>
            <w:pPr>
              <w:spacing w:after="0"/>
              <w:rPr>
                <w:sz w:val="20"/>
                <w:szCs w:val="20"/>
                <w:color w:val="auto"/>
              </w:rPr>
            </w:pPr>
          </w:p>
        </w:tc>
        <w:tc>
          <w:tcPr>
            <w:tcW w:w="6920" w:type="dxa"/>
            <w:vAlign w:val="bottom"/>
          </w:tcPr>
          <w:p>
            <w:pPr>
              <w:ind w:left="120"/>
              <w:spacing w:after="0"/>
              <w:rPr>
                <w:sz w:val="20"/>
                <w:szCs w:val="20"/>
                <w:color w:val="auto"/>
              </w:rPr>
            </w:pPr>
            <w:r>
              <w:rPr>
                <w:rFonts w:ascii="Arial" w:cs="Arial" w:eastAsia="Arial" w:hAnsi="Arial"/>
                <w:sz w:val="18"/>
                <w:szCs w:val="18"/>
                <w:color w:val="auto"/>
              </w:rPr>
              <w:t>organizations that are participants in DTC.</w:t>
            </w:r>
          </w:p>
        </w:tc>
      </w:tr>
      <w:tr>
        <w:trPr>
          <w:trHeight w:val="459"/>
        </w:trPr>
        <w:tc>
          <w:tcPr>
            <w:tcW w:w="4100" w:type="dxa"/>
            <w:vAlign w:val="bottom"/>
          </w:tcPr>
          <w:p>
            <w:pPr>
              <w:ind w:left="180"/>
              <w:spacing w:after="0"/>
              <w:rPr>
                <w:sz w:val="20"/>
                <w:szCs w:val="20"/>
                <w:color w:val="auto"/>
              </w:rPr>
            </w:pPr>
            <w:r>
              <w:rPr>
                <w:rFonts w:ascii="Arial" w:cs="Arial" w:eastAsia="Arial" w:hAnsi="Arial"/>
                <w:sz w:val="18"/>
                <w:szCs w:val="18"/>
                <w:color w:val="auto"/>
                <w:w w:val="92"/>
              </w:rPr>
              <w:t>Trustee, Paying Agent, Registrar and Transfer Agent</w:t>
            </w:r>
          </w:p>
        </w:tc>
        <w:tc>
          <w:tcPr>
            <w:tcW w:w="6920" w:type="dxa"/>
            <w:vAlign w:val="bottom"/>
          </w:tcPr>
          <w:p>
            <w:pPr>
              <w:ind w:left="120"/>
              <w:spacing w:after="0"/>
              <w:rPr>
                <w:sz w:val="20"/>
                <w:szCs w:val="20"/>
                <w:color w:val="auto"/>
              </w:rPr>
            </w:pPr>
            <w:r>
              <w:rPr>
                <w:rFonts w:ascii="Arial" w:cs="Arial" w:eastAsia="Arial" w:hAnsi="Arial"/>
                <w:sz w:val="18"/>
                <w:szCs w:val="18"/>
                <w:color w:val="auto"/>
              </w:rPr>
              <w:t>American Stock Transfer &amp; Trust Company, LLC</w:t>
            </w:r>
          </w:p>
        </w:tc>
      </w:tr>
      <w:tr>
        <w:trPr>
          <w:trHeight w:val="458"/>
        </w:trPr>
        <w:tc>
          <w:tcPr>
            <w:tcW w:w="4100" w:type="dxa"/>
            <w:vAlign w:val="bottom"/>
          </w:tcPr>
          <w:p>
            <w:pPr>
              <w:ind w:left="180"/>
              <w:spacing w:after="0"/>
              <w:rPr>
                <w:sz w:val="20"/>
                <w:szCs w:val="20"/>
                <w:color w:val="auto"/>
              </w:rPr>
            </w:pPr>
            <w:r>
              <w:rPr>
                <w:rFonts w:ascii="Arial" w:cs="Arial" w:eastAsia="Arial" w:hAnsi="Arial"/>
                <w:sz w:val="18"/>
                <w:szCs w:val="18"/>
                <w:color w:val="auto"/>
              </w:rPr>
              <w:t>Other covenants</w:t>
            </w:r>
          </w:p>
        </w:tc>
        <w:tc>
          <w:tcPr>
            <w:tcW w:w="6920" w:type="dxa"/>
            <w:vAlign w:val="bottom"/>
          </w:tcPr>
          <w:p>
            <w:pPr>
              <w:ind w:left="120"/>
              <w:spacing w:after="0"/>
              <w:rPr>
                <w:sz w:val="20"/>
                <w:szCs w:val="20"/>
                <w:color w:val="auto"/>
              </w:rPr>
            </w:pPr>
            <w:r>
              <w:rPr>
                <w:rFonts w:ascii="Arial" w:cs="Arial" w:eastAsia="Arial" w:hAnsi="Arial"/>
                <w:sz w:val="18"/>
                <w:szCs w:val="18"/>
                <w:color w:val="auto"/>
              </w:rPr>
              <w:t>In addition to the covenants described in the prospectus attached to this prospectus</w:t>
            </w:r>
          </w:p>
        </w:tc>
      </w:tr>
      <w:tr>
        <w:trPr>
          <w:trHeight w:val="230"/>
        </w:trPr>
        <w:tc>
          <w:tcPr>
            <w:tcW w:w="4100" w:type="dxa"/>
            <w:vAlign w:val="bottom"/>
          </w:tcPr>
          <w:p>
            <w:pPr>
              <w:spacing w:after="0"/>
              <w:rPr>
                <w:sz w:val="20"/>
                <w:szCs w:val="20"/>
                <w:color w:val="auto"/>
              </w:rPr>
            </w:pPr>
          </w:p>
        </w:tc>
        <w:tc>
          <w:tcPr>
            <w:tcW w:w="6920" w:type="dxa"/>
            <w:vAlign w:val="bottom"/>
          </w:tcPr>
          <w:p>
            <w:pPr>
              <w:ind w:left="120"/>
              <w:spacing w:after="0"/>
              <w:rPr>
                <w:sz w:val="20"/>
                <w:szCs w:val="20"/>
                <w:color w:val="auto"/>
              </w:rPr>
            </w:pPr>
            <w:r>
              <w:rPr>
                <w:rFonts w:ascii="Arial" w:cs="Arial" w:eastAsia="Arial" w:hAnsi="Arial"/>
                <w:sz w:val="18"/>
                <w:szCs w:val="18"/>
                <w:color w:val="auto"/>
              </w:rPr>
              <w:t>supplement, the following covenants will apply to the Notes:</w:t>
            </w:r>
          </w:p>
        </w:tc>
      </w:tr>
      <w:tr>
        <w:trPr>
          <w:trHeight w:val="323"/>
        </w:trPr>
        <w:tc>
          <w:tcPr>
            <w:tcW w:w="4100" w:type="dxa"/>
            <w:vAlign w:val="bottom"/>
          </w:tcPr>
          <w:p>
            <w:pPr>
              <w:spacing w:after="0"/>
              <w:rPr>
                <w:sz w:val="24"/>
                <w:szCs w:val="24"/>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w w:val="95"/>
              </w:rPr>
              <w:t>•   We agree that for the period of time during which the Notes are outstanding, we will</w:t>
            </w:r>
          </w:p>
        </w:tc>
      </w:tr>
      <w:tr>
        <w:trPr>
          <w:trHeight w:val="216"/>
        </w:trPr>
        <w:tc>
          <w:tcPr>
            <w:tcW w:w="4100" w:type="dxa"/>
            <w:vAlign w:val="bottom"/>
          </w:tcPr>
          <w:p>
            <w:pPr>
              <w:spacing w:after="0"/>
              <w:rPr>
                <w:sz w:val="18"/>
                <w:szCs w:val="18"/>
                <w:color w:val="auto"/>
              </w:rPr>
            </w:pPr>
          </w:p>
        </w:tc>
        <w:tc>
          <w:tcPr>
            <w:tcW w:w="6920" w:type="dxa"/>
            <w:vAlign w:val="bottom"/>
          </w:tcPr>
          <w:p>
            <w:pPr>
              <w:ind w:left="620"/>
              <w:spacing w:after="0"/>
              <w:rPr>
                <w:sz w:val="20"/>
                <w:szCs w:val="20"/>
                <w:color w:val="auto"/>
              </w:rPr>
            </w:pPr>
            <w:r>
              <w:rPr>
                <w:rFonts w:ascii="Arial" w:cs="Arial" w:eastAsia="Arial" w:hAnsi="Arial"/>
                <w:sz w:val="18"/>
                <w:szCs w:val="18"/>
                <w:color w:val="auto"/>
                <w:w w:val="95"/>
              </w:rPr>
              <w:t>not violate Section 18(a)(1)(A) of the 1940 Act as modified by Section 61(a)(1) and</w:t>
            </w:r>
          </w:p>
        </w:tc>
      </w:tr>
      <w:tr>
        <w:trPr>
          <w:trHeight w:val="216"/>
        </w:trPr>
        <w:tc>
          <w:tcPr>
            <w:tcW w:w="4100" w:type="dxa"/>
            <w:vAlign w:val="bottom"/>
          </w:tcPr>
          <w:p>
            <w:pPr>
              <w:spacing w:after="0"/>
              <w:rPr>
                <w:sz w:val="18"/>
                <w:szCs w:val="18"/>
                <w:color w:val="auto"/>
              </w:rPr>
            </w:pPr>
          </w:p>
        </w:tc>
        <w:tc>
          <w:tcPr>
            <w:tcW w:w="6920" w:type="dxa"/>
            <w:vAlign w:val="bottom"/>
          </w:tcPr>
          <w:p>
            <w:pPr>
              <w:ind w:left="620"/>
              <w:spacing w:after="0"/>
              <w:rPr>
                <w:sz w:val="20"/>
                <w:szCs w:val="20"/>
                <w:color w:val="auto"/>
              </w:rPr>
            </w:pPr>
            <w:r>
              <w:rPr>
                <w:rFonts w:ascii="Arial" w:cs="Arial" w:eastAsia="Arial" w:hAnsi="Arial"/>
                <w:sz w:val="18"/>
                <w:szCs w:val="18"/>
                <w:color w:val="auto"/>
              </w:rPr>
              <w:t>(2) of the 1940 Act or any successor provisions, as such obligations may be</w:t>
            </w:r>
          </w:p>
        </w:tc>
      </w:tr>
      <w:tr>
        <w:trPr>
          <w:trHeight w:val="216"/>
        </w:trPr>
        <w:tc>
          <w:tcPr>
            <w:tcW w:w="4100" w:type="dxa"/>
            <w:vAlign w:val="bottom"/>
          </w:tcPr>
          <w:p>
            <w:pPr>
              <w:spacing w:after="0"/>
              <w:rPr>
                <w:sz w:val="18"/>
                <w:szCs w:val="18"/>
                <w:color w:val="auto"/>
              </w:rPr>
            </w:pPr>
          </w:p>
        </w:tc>
        <w:tc>
          <w:tcPr>
            <w:tcW w:w="6920" w:type="dxa"/>
            <w:vAlign w:val="bottom"/>
          </w:tcPr>
          <w:p>
            <w:pPr>
              <w:ind w:left="620"/>
              <w:spacing w:after="0"/>
              <w:rPr>
                <w:sz w:val="20"/>
                <w:szCs w:val="20"/>
                <w:color w:val="auto"/>
              </w:rPr>
            </w:pPr>
            <w:r>
              <w:rPr>
                <w:rFonts w:ascii="Arial" w:cs="Arial" w:eastAsia="Arial" w:hAnsi="Arial"/>
                <w:sz w:val="18"/>
                <w:szCs w:val="18"/>
                <w:color w:val="auto"/>
                <w:w w:val="96"/>
              </w:rPr>
              <w:t>amended or superseded, giving effect to any exemptive relief granted to us by the</w:t>
            </w:r>
          </w:p>
        </w:tc>
      </w:tr>
      <w:tr>
        <w:trPr>
          <w:trHeight w:val="230"/>
        </w:trPr>
        <w:tc>
          <w:tcPr>
            <w:tcW w:w="4100" w:type="dxa"/>
            <w:vAlign w:val="bottom"/>
          </w:tcPr>
          <w:p>
            <w:pPr>
              <w:spacing w:after="0"/>
              <w:rPr>
                <w:sz w:val="20"/>
                <w:szCs w:val="20"/>
                <w:color w:val="auto"/>
              </w:rPr>
            </w:pPr>
          </w:p>
        </w:tc>
        <w:tc>
          <w:tcPr>
            <w:tcW w:w="6920" w:type="dxa"/>
            <w:vAlign w:val="bottom"/>
          </w:tcPr>
          <w:p>
            <w:pPr>
              <w:ind w:left="620"/>
              <w:spacing w:after="0"/>
              <w:rPr>
                <w:sz w:val="20"/>
                <w:szCs w:val="20"/>
                <w:color w:val="auto"/>
              </w:rPr>
            </w:pPr>
            <w:r>
              <w:rPr>
                <w:rFonts w:ascii="Arial" w:cs="Arial" w:eastAsia="Arial" w:hAnsi="Arial"/>
                <w:sz w:val="18"/>
                <w:szCs w:val="18"/>
                <w:color w:val="auto"/>
              </w:rPr>
              <w:t>SEC.</w:t>
            </w:r>
          </w:p>
        </w:tc>
      </w:tr>
      <w:tr>
        <w:trPr>
          <w:trHeight w:val="323"/>
        </w:trPr>
        <w:tc>
          <w:tcPr>
            <w:tcW w:w="4100" w:type="dxa"/>
            <w:vAlign w:val="bottom"/>
          </w:tcPr>
          <w:p>
            <w:pPr>
              <w:spacing w:after="0"/>
              <w:rPr>
                <w:sz w:val="24"/>
                <w:szCs w:val="24"/>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w w:val="99"/>
              </w:rPr>
              <w:t>•   If, at any time, we are not subject to the reporting requirements of Sections 13 or</w:t>
            </w:r>
          </w:p>
        </w:tc>
      </w:tr>
      <w:tr>
        <w:trPr>
          <w:trHeight w:val="216"/>
        </w:trPr>
        <w:tc>
          <w:tcPr>
            <w:tcW w:w="4100" w:type="dxa"/>
            <w:vAlign w:val="bottom"/>
          </w:tcPr>
          <w:p>
            <w:pPr>
              <w:spacing w:after="0"/>
              <w:rPr>
                <w:sz w:val="18"/>
                <w:szCs w:val="18"/>
                <w:color w:val="auto"/>
              </w:rPr>
            </w:pPr>
          </w:p>
        </w:tc>
        <w:tc>
          <w:tcPr>
            <w:tcW w:w="6920" w:type="dxa"/>
            <w:vAlign w:val="bottom"/>
          </w:tcPr>
          <w:p>
            <w:pPr>
              <w:ind w:left="620"/>
              <w:spacing w:after="0"/>
              <w:rPr>
                <w:sz w:val="20"/>
                <w:szCs w:val="20"/>
                <w:color w:val="auto"/>
              </w:rPr>
            </w:pPr>
            <w:r>
              <w:rPr>
                <w:rFonts w:ascii="Arial" w:cs="Arial" w:eastAsia="Arial" w:hAnsi="Arial"/>
                <w:sz w:val="18"/>
                <w:szCs w:val="18"/>
                <w:color w:val="auto"/>
                <w:w w:val="94"/>
              </w:rPr>
              <w:t>15(d) of the Securities Exchange Act of 1934, as amended, or the Exchange Act, to</w:t>
            </w:r>
          </w:p>
        </w:tc>
      </w:tr>
      <w:tr>
        <w:trPr>
          <w:trHeight w:val="216"/>
        </w:trPr>
        <w:tc>
          <w:tcPr>
            <w:tcW w:w="4100" w:type="dxa"/>
            <w:vAlign w:val="bottom"/>
          </w:tcPr>
          <w:p>
            <w:pPr>
              <w:spacing w:after="0"/>
              <w:rPr>
                <w:sz w:val="18"/>
                <w:szCs w:val="18"/>
                <w:color w:val="auto"/>
              </w:rPr>
            </w:pPr>
          </w:p>
        </w:tc>
        <w:tc>
          <w:tcPr>
            <w:tcW w:w="6920" w:type="dxa"/>
            <w:vAlign w:val="bottom"/>
          </w:tcPr>
          <w:p>
            <w:pPr>
              <w:ind w:left="620"/>
              <w:spacing w:after="0"/>
              <w:rPr>
                <w:sz w:val="20"/>
                <w:szCs w:val="20"/>
                <w:color w:val="auto"/>
              </w:rPr>
            </w:pPr>
            <w:r>
              <w:rPr>
                <w:rFonts w:ascii="Arial" w:cs="Arial" w:eastAsia="Arial" w:hAnsi="Arial"/>
                <w:sz w:val="18"/>
                <w:szCs w:val="18"/>
                <w:color w:val="auto"/>
                <w:w w:val="98"/>
              </w:rPr>
              <w:t>file any periodic reports with the SEC, we agree to publish on our website and to</w:t>
            </w:r>
          </w:p>
        </w:tc>
      </w:tr>
      <w:tr>
        <w:trPr>
          <w:trHeight w:val="216"/>
        </w:trPr>
        <w:tc>
          <w:tcPr>
            <w:tcW w:w="4100" w:type="dxa"/>
            <w:vAlign w:val="bottom"/>
          </w:tcPr>
          <w:p>
            <w:pPr>
              <w:spacing w:after="0"/>
              <w:rPr>
                <w:sz w:val="18"/>
                <w:szCs w:val="18"/>
                <w:color w:val="auto"/>
              </w:rPr>
            </w:pPr>
          </w:p>
        </w:tc>
        <w:tc>
          <w:tcPr>
            <w:tcW w:w="6920" w:type="dxa"/>
            <w:vAlign w:val="bottom"/>
          </w:tcPr>
          <w:p>
            <w:pPr>
              <w:ind w:left="620"/>
              <w:spacing w:after="0"/>
              <w:rPr>
                <w:sz w:val="20"/>
                <w:szCs w:val="20"/>
                <w:color w:val="auto"/>
              </w:rPr>
            </w:pPr>
            <w:r>
              <w:rPr>
                <w:rFonts w:ascii="Arial" w:cs="Arial" w:eastAsia="Arial" w:hAnsi="Arial"/>
                <w:sz w:val="18"/>
                <w:szCs w:val="18"/>
                <w:color w:val="auto"/>
                <w:w w:val="96"/>
              </w:rPr>
              <w:t>furnish to holders of the Notes and the Trustee, for the period of time during which</w:t>
            </w:r>
          </w:p>
        </w:tc>
      </w:tr>
      <w:tr>
        <w:trPr>
          <w:trHeight w:val="216"/>
        </w:trPr>
        <w:tc>
          <w:tcPr>
            <w:tcW w:w="4100" w:type="dxa"/>
            <w:vAlign w:val="bottom"/>
          </w:tcPr>
          <w:p>
            <w:pPr>
              <w:spacing w:after="0"/>
              <w:rPr>
                <w:sz w:val="18"/>
                <w:szCs w:val="18"/>
                <w:color w:val="auto"/>
              </w:rPr>
            </w:pPr>
          </w:p>
        </w:tc>
        <w:tc>
          <w:tcPr>
            <w:tcW w:w="6920" w:type="dxa"/>
            <w:vAlign w:val="bottom"/>
          </w:tcPr>
          <w:p>
            <w:pPr>
              <w:ind w:left="620"/>
              <w:spacing w:after="0"/>
              <w:rPr>
                <w:sz w:val="20"/>
                <w:szCs w:val="20"/>
                <w:color w:val="auto"/>
              </w:rPr>
            </w:pPr>
            <w:r>
              <w:rPr>
                <w:rFonts w:ascii="Arial" w:cs="Arial" w:eastAsia="Arial" w:hAnsi="Arial"/>
                <w:sz w:val="18"/>
                <w:szCs w:val="18"/>
                <w:color w:val="auto"/>
                <w:w w:val="98"/>
              </w:rPr>
              <w:t>the Notes are outstanding, our audited annual consolidated financial statements,</w:t>
            </w:r>
          </w:p>
        </w:tc>
      </w:tr>
      <w:tr>
        <w:trPr>
          <w:trHeight w:val="216"/>
        </w:trPr>
        <w:tc>
          <w:tcPr>
            <w:tcW w:w="4100" w:type="dxa"/>
            <w:vAlign w:val="bottom"/>
          </w:tcPr>
          <w:p>
            <w:pPr>
              <w:spacing w:after="0"/>
              <w:rPr>
                <w:sz w:val="18"/>
                <w:szCs w:val="18"/>
                <w:color w:val="auto"/>
              </w:rPr>
            </w:pPr>
          </w:p>
        </w:tc>
        <w:tc>
          <w:tcPr>
            <w:tcW w:w="6920" w:type="dxa"/>
            <w:vAlign w:val="bottom"/>
          </w:tcPr>
          <w:p>
            <w:pPr>
              <w:ind w:left="620"/>
              <w:spacing w:after="0"/>
              <w:rPr>
                <w:sz w:val="20"/>
                <w:szCs w:val="20"/>
                <w:color w:val="auto"/>
              </w:rPr>
            </w:pPr>
            <w:r>
              <w:rPr>
                <w:rFonts w:ascii="Arial" w:cs="Arial" w:eastAsia="Arial" w:hAnsi="Arial"/>
                <w:sz w:val="18"/>
                <w:szCs w:val="18"/>
                <w:color w:val="auto"/>
                <w:w w:val="97"/>
              </w:rPr>
              <w:t>within 90 days of our fiscal year end, and unaudited interim consolidated financial</w:t>
            </w:r>
          </w:p>
        </w:tc>
      </w:tr>
      <w:tr>
        <w:trPr>
          <w:trHeight w:val="216"/>
        </w:trPr>
        <w:tc>
          <w:tcPr>
            <w:tcW w:w="4100" w:type="dxa"/>
            <w:vAlign w:val="bottom"/>
          </w:tcPr>
          <w:p>
            <w:pPr>
              <w:spacing w:after="0"/>
              <w:rPr>
                <w:sz w:val="18"/>
                <w:szCs w:val="18"/>
                <w:color w:val="auto"/>
              </w:rPr>
            </w:pPr>
          </w:p>
        </w:tc>
        <w:tc>
          <w:tcPr>
            <w:tcW w:w="6920" w:type="dxa"/>
            <w:vAlign w:val="bottom"/>
          </w:tcPr>
          <w:p>
            <w:pPr>
              <w:ind w:left="620"/>
              <w:spacing w:after="0"/>
              <w:rPr>
                <w:sz w:val="20"/>
                <w:szCs w:val="20"/>
                <w:color w:val="auto"/>
              </w:rPr>
            </w:pPr>
            <w:r>
              <w:rPr>
                <w:rFonts w:ascii="Arial" w:cs="Arial" w:eastAsia="Arial" w:hAnsi="Arial"/>
                <w:sz w:val="18"/>
                <w:szCs w:val="18"/>
                <w:color w:val="auto"/>
              </w:rPr>
              <w:t>statements, within 45 days of our fiscal quarter end (other than our fourth fiscal</w:t>
            </w:r>
          </w:p>
        </w:tc>
      </w:tr>
      <w:tr>
        <w:trPr>
          <w:trHeight w:val="216"/>
        </w:trPr>
        <w:tc>
          <w:tcPr>
            <w:tcW w:w="4100" w:type="dxa"/>
            <w:vAlign w:val="bottom"/>
          </w:tcPr>
          <w:p>
            <w:pPr>
              <w:spacing w:after="0"/>
              <w:rPr>
                <w:sz w:val="18"/>
                <w:szCs w:val="18"/>
                <w:color w:val="auto"/>
              </w:rPr>
            </w:pPr>
          </w:p>
        </w:tc>
        <w:tc>
          <w:tcPr>
            <w:tcW w:w="6920" w:type="dxa"/>
            <w:vAlign w:val="bottom"/>
          </w:tcPr>
          <w:p>
            <w:pPr>
              <w:ind w:left="620"/>
              <w:spacing w:after="0"/>
              <w:rPr>
                <w:sz w:val="20"/>
                <w:szCs w:val="20"/>
                <w:color w:val="auto"/>
              </w:rPr>
            </w:pPr>
            <w:r>
              <w:rPr>
                <w:rFonts w:ascii="Arial" w:cs="Arial" w:eastAsia="Arial" w:hAnsi="Arial"/>
                <w:sz w:val="18"/>
                <w:szCs w:val="18"/>
                <w:color w:val="auto"/>
                <w:w w:val="97"/>
              </w:rPr>
              <w:t>quarter). All such financial statements will be prepared, in all material respects, in</w:t>
            </w:r>
          </w:p>
        </w:tc>
      </w:tr>
      <w:tr>
        <w:trPr>
          <w:trHeight w:val="216"/>
        </w:trPr>
        <w:tc>
          <w:tcPr>
            <w:tcW w:w="4100" w:type="dxa"/>
            <w:vAlign w:val="bottom"/>
          </w:tcPr>
          <w:p>
            <w:pPr>
              <w:spacing w:after="0"/>
              <w:rPr>
                <w:sz w:val="18"/>
                <w:szCs w:val="18"/>
                <w:color w:val="auto"/>
              </w:rPr>
            </w:pPr>
          </w:p>
        </w:tc>
        <w:tc>
          <w:tcPr>
            <w:tcW w:w="6920" w:type="dxa"/>
            <w:vAlign w:val="bottom"/>
          </w:tcPr>
          <w:p>
            <w:pPr>
              <w:ind w:left="620"/>
              <w:spacing w:after="0"/>
              <w:rPr>
                <w:sz w:val="20"/>
                <w:szCs w:val="20"/>
                <w:color w:val="auto"/>
              </w:rPr>
            </w:pPr>
            <w:r>
              <w:rPr>
                <w:rFonts w:ascii="Arial" w:cs="Arial" w:eastAsia="Arial" w:hAnsi="Arial"/>
                <w:sz w:val="18"/>
                <w:szCs w:val="18"/>
                <w:color w:val="auto"/>
              </w:rPr>
              <w:t>accordance with applicable U. S. generally accepted accounting principles, or</w:t>
            </w:r>
          </w:p>
        </w:tc>
      </w:tr>
      <w:tr>
        <w:trPr>
          <w:trHeight w:val="230"/>
        </w:trPr>
        <w:tc>
          <w:tcPr>
            <w:tcW w:w="4100" w:type="dxa"/>
            <w:vAlign w:val="bottom"/>
          </w:tcPr>
          <w:p>
            <w:pPr>
              <w:spacing w:after="0"/>
              <w:rPr>
                <w:sz w:val="20"/>
                <w:szCs w:val="20"/>
                <w:color w:val="auto"/>
              </w:rPr>
            </w:pPr>
          </w:p>
        </w:tc>
        <w:tc>
          <w:tcPr>
            <w:tcW w:w="6920" w:type="dxa"/>
            <w:vAlign w:val="bottom"/>
          </w:tcPr>
          <w:p>
            <w:pPr>
              <w:ind w:left="620"/>
              <w:spacing w:after="0"/>
              <w:rPr>
                <w:sz w:val="20"/>
                <w:szCs w:val="20"/>
                <w:color w:val="auto"/>
              </w:rPr>
            </w:pPr>
            <w:r>
              <w:rPr>
                <w:rFonts w:ascii="Arial" w:cs="Arial" w:eastAsia="Arial" w:hAnsi="Arial"/>
                <w:sz w:val="18"/>
                <w:szCs w:val="18"/>
                <w:color w:val="auto"/>
              </w:rPr>
              <w:t>GAAP.</w:t>
            </w:r>
          </w:p>
        </w:tc>
      </w:tr>
      <w:tr>
        <w:trPr>
          <w:trHeight w:val="338"/>
        </w:trPr>
        <w:tc>
          <w:tcPr>
            <w:tcW w:w="4100" w:type="dxa"/>
            <w:vAlign w:val="bottom"/>
          </w:tcPr>
          <w:p>
            <w:pPr>
              <w:spacing w:after="0"/>
              <w:rPr>
                <w:sz w:val="24"/>
                <w:szCs w:val="24"/>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rPr>
              <w:t>•   The lien covenant included in the form of indenture will not apply to the Notes.</w:t>
            </w:r>
          </w:p>
        </w:tc>
      </w:tr>
      <w:tr>
        <w:trPr>
          <w:trHeight w:val="240"/>
        </w:trPr>
        <w:tc>
          <w:tcPr>
            <w:tcW w:w="4100" w:type="dxa"/>
            <w:vAlign w:val="bottom"/>
            <w:tcBorders>
              <w:bottom w:val="single" w:sz="8" w:color="auto"/>
            </w:tcBorders>
          </w:tcPr>
          <w:p>
            <w:pPr>
              <w:spacing w:after="0"/>
              <w:rPr>
                <w:sz w:val="20"/>
                <w:szCs w:val="20"/>
                <w:color w:val="auto"/>
              </w:rPr>
            </w:pPr>
          </w:p>
        </w:tc>
        <w:tc>
          <w:tcPr>
            <w:tcW w:w="6920" w:type="dxa"/>
            <w:vAlign w:val="bottom"/>
            <w:tcBorders>
              <w:bottom w:val="single" w:sz="8" w:color="auto"/>
            </w:tcBorders>
          </w:tcPr>
          <w:p>
            <w:pPr>
              <w:spacing w:after="0"/>
              <w:rPr>
                <w:sz w:val="20"/>
                <w:szCs w:val="20"/>
                <w:color w:val="auto"/>
              </w:rPr>
            </w:pPr>
          </w:p>
        </w:tc>
      </w:tr>
      <w:tr>
        <w:trPr>
          <w:trHeight w:val="361"/>
        </w:trPr>
        <w:tc>
          <w:tcPr>
            <w:tcW w:w="4100" w:type="dxa"/>
            <w:vAlign w:val="bottom"/>
          </w:tcPr>
          <w:p>
            <w:pPr>
              <w:spacing w:after="0"/>
              <w:rPr>
                <w:sz w:val="24"/>
                <w:szCs w:val="24"/>
                <w:color w:val="auto"/>
              </w:rPr>
            </w:pPr>
          </w:p>
        </w:tc>
        <w:tc>
          <w:tcPr>
            <w:tcW w:w="6920" w:type="dxa"/>
            <w:vAlign w:val="bottom"/>
          </w:tcPr>
          <w:p>
            <w:pPr>
              <w:ind w:left="1280"/>
              <w:spacing w:after="0"/>
              <w:rPr>
                <w:sz w:val="20"/>
                <w:szCs w:val="20"/>
                <w:color w:val="auto"/>
              </w:rPr>
            </w:pPr>
            <w:r>
              <w:rPr>
                <w:rFonts w:ascii="Arial" w:cs="Arial" w:eastAsia="Arial" w:hAnsi="Arial"/>
                <w:sz w:val="18"/>
                <w:szCs w:val="18"/>
                <w:color w:val="auto"/>
              </w:rPr>
              <w:t>S-5</w:t>
            </w:r>
          </w:p>
        </w:tc>
      </w:tr>
    </w:tbl>
    <w:p>
      <w:pPr>
        <w:sectPr>
          <w:pgSz w:w="11900" w:h="16838" w:orient="portrait"/>
          <w:cols w:equalWidth="0" w:num="1">
            <w:col w:w="11140"/>
          </w:cols>
          <w:pgMar w:left="320" w:top="459" w:right="4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380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color w:val="auto"/>
              </w:rPr>
              <w:t>Events of Default</w:t>
            </w:r>
          </w:p>
        </w:tc>
        <w:tc>
          <w:tcPr>
            <w:tcW w:w="7220" w:type="dxa"/>
            <w:vAlign w:val="bottom"/>
            <w:tcBorders>
              <w:top w:val="single" w:sz="8" w:color="auto"/>
              <w:right w:val="single" w:sz="8" w:color="auto"/>
            </w:tcBorders>
          </w:tcPr>
          <w:p>
            <w:pPr>
              <w:ind w:left="420"/>
              <w:spacing w:after="0"/>
              <w:rPr>
                <w:sz w:val="20"/>
                <w:szCs w:val="20"/>
                <w:color w:val="auto"/>
              </w:rPr>
            </w:pPr>
            <w:r>
              <w:rPr>
                <w:rFonts w:ascii="Arial" w:cs="Arial" w:eastAsia="Arial" w:hAnsi="Arial"/>
                <w:sz w:val="18"/>
                <w:szCs w:val="18"/>
                <w:color w:val="auto"/>
                <w:w w:val="94"/>
              </w:rPr>
              <w:t>If an event of default (as described under “</w:t>
            </w:r>
            <w:r>
              <w:rPr>
                <w:rFonts w:ascii="Arial" w:cs="Arial" w:eastAsia="Arial" w:hAnsi="Arial"/>
                <w:sz w:val="18"/>
                <w:szCs w:val="18"/>
                <w:i w:val="1"/>
                <w:iCs w:val="1"/>
                <w:color w:val="auto"/>
                <w:w w:val="94"/>
              </w:rPr>
              <w:t>Description of the Notes</w:t>
            </w:r>
            <w:r>
              <w:rPr>
                <w:rFonts w:ascii="Arial" w:cs="Arial" w:eastAsia="Arial" w:hAnsi="Arial"/>
                <w:sz w:val="18"/>
                <w:szCs w:val="18"/>
                <w:color w:val="auto"/>
                <w:w w:val="94"/>
              </w:rPr>
              <w:t>”) on the Notes occurs,</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9"/>
              </w:rPr>
              <w:t>the principal amount of the Notes, plus accrued and unpaid interest, may be declared</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immediately due and payable, subject to conditions set forth in the indenture. These</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4"/>
              </w:rPr>
              <w:t>amounts automatically become due and payable in the case of certain types of bankruptcy</w:t>
            </w:r>
          </w:p>
        </w:tc>
      </w:tr>
      <w:tr>
        <w:trPr>
          <w:trHeight w:val="230"/>
        </w:trPr>
        <w:tc>
          <w:tcPr>
            <w:tcW w:w="3800" w:type="dxa"/>
            <w:vAlign w:val="bottom"/>
            <w:tcBorders>
              <w:left w:val="single" w:sz="8" w:color="auto"/>
            </w:tcBorders>
          </w:tcPr>
          <w:p>
            <w:pPr>
              <w:spacing w:after="0"/>
              <w:rPr>
                <w:sz w:val="20"/>
                <w:szCs w:val="20"/>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or insolvency events involving the Company.</w:t>
            </w:r>
          </w:p>
        </w:tc>
      </w:tr>
      <w:tr>
        <w:trPr>
          <w:trHeight w:val="445"/>
        </w:trPr>
        <w:tc>
          <w:tcPr>
            <w:tcW w:w="38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Further Issuances</w:t>
            </w: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We have the ability to issue additional debt securities under the indenture with terms</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different from the Notes and, without consent of the holders thereof, to reopen the</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indenture governing the Notes and issue additional Notes. If we issue additional debt</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2"/>
              </w:rPr>
              <w:t>securities, these additional debt securities could have a lien or other security interest greater</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than that accorded to the holders of the Notes, which are unsecured. The $85 million</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9"/>
              </w:rPr>
              <w:t>aggregate principal amount of Notes offered hereby will be issued as additional Notes</w:t>
            </w:r>
          </w:p>
        </w:tc>
      </w:tr>
      <w:tr>
        <w:trPr>
          <w:trHeight w:val="230"/>
        </w:trPr>
        <w:tc>
          <w:tcPr>
            <w:tcW w:w="3800" w:type="dxa"/>
            <w:vAlign w:val="bottom"/>
            <w:tcBorders>
              <w:left w:val="single" w:sz="8" w:color="auto"/>
            </w:tcBorders>
          </w:tcPr>
          <w:p>
            <w:pPr>
              <w:spacing w:after="0"/>
              <w:rPr>
                <w:sz w:val="20"/>
                <w:szCs w:val="20"/>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under the indenture.</w:t>
            </w:r>
          </w:p>
        </w:tc>
      </w:tr>
      <w:tr>
        <w:trPr>
          <w:trHeight w:val="445"/>
        </w:trPr>
        <w:tc>
          <w:tcPr>
            <w:tcW w:w="38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9"/>
              </w:rPr>
              <w:t>Global Clearance and Settlement Procedures</w:t>
            </w: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7"/>
              </w:rPr>
              <w:t>Interests in the Notes will trade in DTC’s Same Day Funds Settlement System, and any</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7"/>
              </w:rPr>
              <w:t>permitted secondary market trading activity in such Notes will, therefore, be required by</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3"/>
              </w:rPr>
              <w:t>DTC to be settled in immediately available funds. None of the Company, the Trustee or the</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7"/>
              </w:rPr>
              <w:t>Paying Agent will have any responsibility for the performance by DTC or its participants</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or indirect participants of their respective obligations under the rules and procedures</w:t>
            </w:r>
          </w:p>
        </w:tc>
      </w:tr>
      <w:tr>
        <w:trPr>
          <w:trHeight w:val="230"/>
        </w:trPr>
        <w:tc>
          <w:tcPr>
            <w:tcW w:w="3800" w:type="dxa"/>
            <w:vAlign w:val="bottom"/>
            <w:tcBorders>
              <w:left w:val="single" w:sz="8" w:color="auto"/>
            </w:tcBorders>
          </w:tcPr>
          <w:p>
            <w:pPr>
              <w:spacing w:after="0"/>
              <w:rPr>
                <w:sz w:val="20"/>
                <w:szCs w:val="20"/>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governing their operations.</w:t>
            </w:r>
          </w:p>
        </w:tc>
      </w:tr>
      <w:tr>
        <w:trPr>
          <w:trHeight w:val="445"/>
        </w:trPr>
        <w:tc>
          <w:tcPr>
            <w:tcW w:w="38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6"/>
              </w:rPr>
              <w:t>We estimate that net proceeds we will receive from the sale of the $85 million aggregate</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5"/>
              </w:rPr>
              <w:t>principal amount of the Notes in this offering will be approximately $84.4 million based on</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6"/>
              </w:rPr>
              <w:t>the public offering price of 101.45% of the aggregate principal amount of the Notes, plus</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9"/>
              </w:rPr>
              <w:t>accrued and unpaid interest from October 1, 2021 up to, but not including, the date of</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8"/>
              </w:rPr>
              <w:t>delivery, after deducting the underwriting discounts and commissions of approximately</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5"/>
              </w:rPr>
              <w:t>$1.7 million payable by us and estimated offering expenses of approximately $0.2 million</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5"/>
              </w:rPr>
              <w:t>payable by us. We expect to use the net proceeds from selling securities pursuant to this</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3"/>
              </w:rPr>
              <w:t>prospectus supplement to invest in new or existing portfolio companies or for other general</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3"/>
              </w:rPr>
              <w:t>corporate or strategic purposes, including repaying amounts outstanding under our existing</w:t>
            </w:r>
          </w:p>
        </w:tc>
      </w:tr>
      <w:tr>
        <w:trPr>
          <w:trHeight w:val="230"/>
        </w:trPr>
        <w:tc>
          <w:tcPr>
            <w:tcW w:w="3800" w:type="dxa"/>
            <w:vAlign w:val="bottom"/>
            <w:tcBorders>
              <w:left w:val="single" w:sz="8" w:color="auto"/>
            </w:tcBorders>
          </w:tcPr>
          <w:p>
            <w:pPr>
              <w:spacing w:after="0"/>
              <w:rPr>
                <w:sz w:val="20"/>
                <w:szCs w:val="20"/>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indebtedness.</w:t>
            </w:r>
          </w:p>
        </w:tc>
      </w:tr>
      <w:tr>
        <w:trPr>
          <w:trHeight w:val="445"/>
        </w:trPr>
        <w:tc>
          <w:tcPr>
            <w:tcW w:w="38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Risk Factors</w:t>
            </w: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Risk Factors</w:t>
            </w:r>
            <w:r>
              <w:rPr>
                <w:rFonts w:ascii="Arial" w:cs="Arial" w:eastAsia="Arial" w:hAnsi="Arial"/>
                <w:sz w:val="18"/>
                <w:szCs w:val="18"/>
                <w:color w:val="auto"/>
              </w:rPr>
              <w:t>” in this prospectus supplement and beginning on page 7 of the</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7"/>
              </w:rPr>
              <w:t>accompanying prospectus for a discussion of risks you should carefully consider before</w:t>
            </w:r>
          </w:p>
        </w:tc>
      </w:tr>
      <w:tr>
        <w:trPr>
          <w:trHeight w:val="230"/>
        </w:trPr>
        <w:tc>
          <w:tcPr>
            <w:tcW w:w="3800" w:type="dxa"/>
            <w:vAlign w:val="bottom"/>
            <w:tcBorders>
              <w:left w:val="single" w:sz="8" w:color="auto"/>
            </w:tcBorders>
          </w:tcPr>
          <w:p>
            <w:pPr>
              <w:spacing w:after="0"/>
              <w:rPr>
                <w:sz w:val="20"/>
                <w:szCs w:val="20"/>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deciding to invest in the Notes.</w:t>
            </w:r>
          </w:p>
        </w:tc>
      </w:tr>
      <w:tr>
        <w:trPr>
          <w:trHeight w:val="240"/>
        </w:trPr>
        <w:tc>
          <w:tcPr>
            <w:tcW w:w="3800" w:type="dxa"/>
            <w:vAlign w:val="bottom"/>
            <w:tcBorders>
              <w:left w:val="single" w:sz="8" w:color="auto"/>
              <w:bottom w:val="single" w:sz="8" w:color="auto"/>
            </w:tcBorders>
          </w:tcPr>
          <w:p>
            <w:pPr>
              <w:spacing w:after="0"/>
              <w:rPr>
                <w:sz w:val="20"/>
                <w:szCs w:val="20"/>
                <w:color w:val="auto"/>
              </w:rPr>
            </w:pPr>
          </w:p>
        </w:tc>
        <w:tc>
          <w:tcPr>
            <w:tcW w:w="7220" w:type="dxa"/>
            <w:vAlign w:val="bottom"/>
            <w:tcBorders>
              <w:bottom w:val="single" w:sz="8" w:color="auto"/>
              <w:right w:val="single" w:sz="8" w:color="auto"/>
            </w:tcBorders>
          </w:tcPr>
          <w:p>
            <w:pPr>
              <w:spacing w:after="0"/>
              <w:rPr>
                <w:sz w:val="20"/>
                <w:szCs w:val="20"/>
                <w:color w:val="auto"/>
              </w:rPr>
            </w:pPr>
          </w:p>
        </w:tc>
      </w:tr>
      <w:tr>
        <w:trPr>
          <w:trHeight w:val="361"/>
        </w:trPr>
        <w:tc>
          <w:tcPr>
            <w:tcW w:w="3800" w:type="dxa"/>
            <w:vAlign w:val="bottom"/>
          </w:tcPr>
          <w:p>
            <w:pPr>
              <w:spacing w:after="0"/>
              <w:rPr>
                <w:sz w:val="24"/>
                <w:szCs w:val="24"/>
                <w:color w:val="auto"/>
              </w:rPr>
            </w:pPr>
          </w:p>
        </w:tc>
        <w:tc>
          <w:tcPr>
            <w:tcW w:w="7220" w:type="dxa"/>
            <w:vAlign w:val="bottom"/>
          </w:tcPr>
          <w:p>
            <w:pPr>
              <w:ind w:left="1580"/>
              <w:spacing w:after="0"/>
              <w:rPr>
                <w:sz w:val="20"/>
                <w:szCs w:val="20"/>
                <w:color w:val="auto"/>
              </w:rPr>
            </w:pPr>
            <w:r>
              <w:rPr>
                <w:rFonts w:ascii="Arial" w:cs="Arial" w:eastAsia="Arial" w:hAnsi="Arial"/>
                <w:sz w:val="18"/>
                <w:szCs w:val="18"/>
                <w:color w:val="auto"/>
              </w:rPr>
              <w:t>S-6</w:t>
            </w:r>
          </w:p>
        </w:tc>
      </w:tr>
    </w:tbl>
    <w:p>
      <w:pPr>
        <w:sectPr>
          <w:pgSz w:w="11900" w:h="16838" w:orient="portrait"/>
          <w:cols w:equalWidth="0" w:num="1">
            <w:col w:w="11140"/>
          </w:cols>
          <w:pgMar w:left="32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120" w:right="180"/>
        <w:spacing w:after="0" w:line="271" w:lineRule="auto"/>
        <w:rPr>
          <w:sz w:val="20"/>
          <w:szCs w:val="20"/>
          <w:color w:val="auto"/>
        </w:rPr>
      </w:pPr>
      <w:r>
        <w:rPr>
          <w:rFonts w:ascii="Arial" w:cs="Arial" w:eastAsia="Arial" w:hAnsi="Arial"/>
          <w:sz w:val="17"/>
          <w:szCs w:val="17"/>
          <w:i w:val="1"/>
          <w:iCs w:val="1"/>
          <w:color w:val="auto"/>
        </w:rPr>
        <w:t>This summary highlights some of the information in this prospectus supplement and the accompanying prospectus. It is not complete and may not contain all of the information that you may want to consider in making an investment decision. References to our portfolio and investments include investments we make through our consolidated subsidiaries. Some of the statements in this prospectus supplement and accompanying prospectus constitute forward-looking statements which apply to us and our consolidated subsidiaries, and relate to future events, future performance or future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supplement and accompanying prospectus. You should read carefully the more detailed information set forth under “Risk Factors” and the other information included in this prospectus supplement and accompanying prospectus.</w:t>
      </w:r>
    </w:p>
    <w:p>
      <w:pPr>
        <w:spacing w:after="0" w:line="178"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i w:val="1"/>
          <w:iCs w:val="1"/>
          <w:color w:val="auto"/>
        </w:rPr>
        <w:t>In this prospectus supplement and the accompanying prospectus, except where the context suggests otherwise, the terms “Company,” “we,” “our” or “us” refers to PennantPark Floating Rate Capital Ltd. and its wholly-owned consolidated subsidiaries; “Funding I” refers to PennantPark Floating Rate Funding I, LLC; “Taxable Subsidiary” refers to PFLT Investment Holdings, LLC; “PSSL” refers to PennantPark Senior Secured Loan Fund I LLC, an unconsolidated joint venture; “PTSF” refers to PennantPark-TSO Senior Loan Fund, LP, an unconsolidated limited partnership; “PennantPark Investment Advisers” or “Investment Adviser” refers to PennantPark Investment Advisers, LLC; “Administrator” refers to PennantPark Investment Administration, LLC; “2023 Notes” refers to our 4.3% Series A notes due 2023; “Code” refers to the Internal Revenue Code of 1986, as amended; “RIC” refers to a regulated investment company under the Code; “BDC” refers to a business development company under the 1940 Act; “TASE” refers to the Tel Aviv Stock Exchange; “Credit Facility” refers to our former multi-currency senior secured revolving credit facility, as amended and restated from time to time, with Truist Bank (formerly SunTrust Bank) and other lenders, originally entered into on June 23, 2011 and terminated on August 12, 2021; “New Credit Facility” refers to our multi-currency senior secured revolving credit facility, as amended from time to time, with Truist Bank and other lenders, entered into on August 12, 2021; “Securitization Issuer” refers to PennantPark CLO I, Ltd.; “Securitization Issuers” refers to the Securitization Issuer and PennantPark CLO I, LLC; “Debt Securitization” refers to the $301.4 million term debt securitization completed by the Securitization Issuers; and “2031 Asset-Backed Debt” refers to (i) the issuance of the Class A-1 Senior Secured Floating Rate Notes due 2031, the Class A-2 Senior Secured Fixed Rate Notes due 2031, the Class B-1 Senior Secured Floating Rate Notes due 2031, the Class B-2 Senior Secured Fixed Rate Notes due 2031, the Class C-1 Secured Deferrable Floating Rate Notes due 2031, the Class C-2 Notes Secured Deferrable Fixed Rate Notes due 2031, and the Class D Secured Deferrable Floating Notes due 2031 and (ii) the borrowing of the Class A-1 Senior Secured Floating Rate Loans due 2031 by the Securitization Issuers in connection with the Debt Securitization. References to our portfolio, our investments, our New Credit Facility, and our business include investments we make through our subsidiaries.</w:t>
      </w:r>
    </w:p>
    <w:p>
      <w:pPr>
        <w:spacing w:after="0" w:line="200" w:lineRule="exact"/>
        <w:rPr>
          <w:sz w:val="20"/>
          <w:szCs w:val="20"/>
          <w:color w:val="auto"/>
        </w:rPr>
      </w:pP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Business of PennantPark Floating Rate Capital Ltd.</w:t>
      </w:r>
    </w:p>
    <w:p>
      <w:pPr>
        <w:spacing w:after="0" w:line="121"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PennantPark Floating Rate Capital Ltd. is a BDC whose objectives are to generate both current income and capital appreciation while seeking to preserve capital by investing primarily in Floating Rate Loans and other investments made to U.S. middle-market private companies whose debt is rated below investment grade.</w:t>
      </w:r>
    </w:p>
    <w:p>
      <w:pPr>
        <w:spacing w:after="0" w:line="184"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We believe that Floating Rate Loans to U.S. middle-market companies offer attractive risk-reward to investors due to a limited amount of capital available for such companies. We use the term “middle-market” to refer to companies with annual revenues between $50 million and $1billion. Our investments are typically rated below investment grade. Securities rated below investment grade are often referred to as “leveraged loans,”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40"/>
        <w:spacing w:after="0" w:line="311" w:lineRule="auto"/>
        <w:rPr>
          <w:sz w:val="20"/>
          <w:szCs w:val="20"/>
          <w:color w:val="auto"/>
        </w:rPr>
      </w:pPr>
      <w:r>
        <w:rPr>
          <w:rFonts w:ascii="Arial" w:cs="Arial" w:eastAsia="Arial" w:hAnsi="Arial"/>
          <w:sz w:val="16"/>
          <w:szCs w:val="16"/>
          <w:color w:val="auto"/>
        </w:rPr>
        <w:t>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49"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color w:val="auto"/>
        </w:rPr>
        <w:t>Under normal market conditions, we generally expect that at least 80% of the value of our net assets plus any borrowings for investment purposes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w:t>
      </w:r>
    </w:p>
    <w:p>
      <w:pPr>
        <w:spacing w:after="0" w:line="192"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Organization and Structure of PennantPark Floating Rate Capital Ltd.</w:t>
      </w:r>
    </w:p>
    <w:p>
      <w:pPr>
        <w:spacing w:after="0" w:line="121" w:lineRule="exact"/>
        <w:rPr>
          <w:sz w:val="20"/>
          <w:szCs w:val="20"/>
          <w:color w:val="auto"/>
        </w:rPr>
      </w:pPr>
    </w:p>
    <w:p>
      <w:pPr>
        <w:ind w:left="120" w:right="400"/>
        <w:spacing w:after="0" w:line="263" w:lineRule="auto"/>
        <w:rPr>
          <w:sz w:val="20"/>
          <w:szCs w:val="20"/>
          <w:color w:val="auto"/>
        </w:rPr>
      </w:pPr>
      <w:r>
        <w:rPr>
          <w:rFonts w:ascii="Arial" w:cs="Arial" w:eastAsia="Arial" w:hAnsi="Arial"/>
          <w:sz w:val="18"/>
          <w:szCs w:val="18"/>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84" w:lineRule="exact"/>
        <w:rPr>
          <w:sz w:val="20"/>
          <w:szCs w:val="20"/>
          <w:color w:val="auto"/>
        </w:rPr>
      </w:pPr>
    </w:p>
    <w:p>
      <w:pPr>
        <w:ind w:left="120" w:right="80"/>
        <w:spacing w:after="0" w:line="290" w:lineRule="auto"/>
        <w:rPr>
          <w:sz w:val="20"/>
          <w:szCs w:val="20"/>
          <w:color w:val="auto"/>
        </w:rPr>
      </w:pPr>
      <w:r>
        <w:rPr>
          <w:rFonts w:ascii="Arial" w:cs="Arial" w:eastAsia="Arial" w:hAnsi="Arial"/>
          <w:sz w:val="16"/>
          <w:szCs w:val="16"/>
          <w:color w:val="auto"/>
        </w:rPr>
        <w:t>We have entered into an investment management agreement, or the Investment Management Agreement, with the Investment Adviser, an external adviser that manages our day-to-day operation. Under our Investment Management Agreement, we have agreed to pay our Investment Adviser an annual base management fee based on our average adjusted gross assets as well as an incentive fee based on our investment performance. We have also entered into an Administration Agreement with the Administrator, or the Administration Agreement.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provides overall supervision of our activities, and the Investment Adviser supervises our day-to-day activities.</w:t>
      </w:r>
    </w:p>
    <w:p>
      <w:pPr>
        <w:spacing w:after="0" w:line="165"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We have formed and expect to continue to form certain taxable subsidiaries, including the Taxable Subsidiary,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184"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Funding I, our wholly owned subsidiary and a special purpose entity, was organized in Delaware as a limited liability company in May 2011. We formed Funding I in order to establish the Credit Facility. On August 12, 2021, we terminated the Credit Facility, and Funding I, as borrower, entered into the New Credit Facility with PennantPark Investment Advisers, as collateral manager, the lenders from time to time party thereto, Truist Bank, as administrative agent, Truist Securities, Inc., as lead arranger, and U.S. Bank National Association, as collateral agent, collateral administrator, backup collateral manager and custodian, which provides the ability for Funding I to borrow up to $300 million. The New Credit Facility is secured by all of the assets of Funding I.</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100"/>
          </w:cols>
          <w:pgMar w:left="320" w:top="459"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In May 2017, we and a subsidiary of Kemper Corporation (NYSE: KMPR), Trinity Universal Insurance Company, formed PSSL, an unconsolidated joint venture. PSSL invests primarily in middle-market and other corporate debt securities consistent with our strategy. PSSL was formed as a Delaware limited liability company.</w:t>
      </w:r>
    </w:p>
    <w:p>
      <w:pPr>
        <w:spacing w:after="0" w:line="184"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In November 2017, we issued $138.6 million of our 2023 Notes. The principal on the 2023 Notes is payable in four annual installments as follows: 15% of the original principal amount on December 15, 2020, 15% of the original principal amount on December 15, 2021, 15% of the original principal amount on December 15, 2022 and 55% on December 15, 2023. The 2023 Notes are general, unsecured obligations and rank equal in right of payment with all of our existing and future senior unsecured indebtedness. The 2023 Notes are listed on the TASE.</w:t>
      </w:r>
    </w:p>
    <w:p>
      <w:pPr>
        <w:spacing w:after="0" w:line="171"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In September 2019, the Securitization Issuers completed the Debt Securitization. The 2031 Asset-Backed Debt is secured by a diversified portfolio of the Securitization Issuer consisting primarily of middle-market loans and participation interests in middle-market loans. The 2031 Asset-Backed Debt is scheduled to mature on October 15, 2031.</w:t>
      </w:r>
    </w:p>
    <w:p>
      <w:pPr>
        <w:spacing w:after="0" w:line="184"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In March 2021, we issued $100.0 million in aggregate principal amount of our Existing Notes at a public offering price per note of 99.4%. Interest on the Existing Notes is paid semi-annually on April 1 and October 1 of each year, at a rate of 4.25% per year, commencing October 1, 2021. The Existing Notes mature on April 1, 2026 and may be redeemed in whole or in part at our option subject to a make-whole premium if redeemed more than three months prior to maturity.</w:t>
      </w:r>
    </w:p>
    <w:p>
      <w:pPr>
        <w:spacing w:after="0" w:line="187"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In April 2021, we formed PTSF, an unconsolidated limited partnership, organized as a Delaware limited partnership. We made a capital commitment of $15.3 million and, as of June 30, 2021, hold 23.08% of the total outstanding Class A Units. We maintain a 4.99% voting interest in the general partner which manages PTSF.</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have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invested $13.1 billion in 566 companies with approximately 195 different financial sponsors through its managed funds.</w:t>
      </w:r>
    </w:p>
    <w:p>
      <w:pPr>
        <w:spacing w:after="0" w:line="18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offers, on our behalf, significant managerial assistance to those portfolio companies to which we are required to offer such assistance. See “</w:t>
      </w:r>
      <w:r>
        <w:rPr>
          <w:rFonts w:ascii="Arial" w:cs="Arial" w:eastAsia="Arial" w:hAnsi="Arial"/>
          <w:sz w:val="18"/>
          <w:szCs w:val="18"/>
          <w:i w:val="1"/>
          <w:iCs w:val="1"/>
          <w:color w:val="auto"/>
        </w:rPr>
        <w:t>Risk Factors—Risks Relating to our Business and Structure—There</w:t>
      </w:r>
      <w:r>
        <w:rPr>
          <w:rFonts w:ascii="Arial" w:cs="Arial" w:eastAsia="Arial" w:hAnsi="Arial"/>
          <w:sz w:val="18"/>
          <w:szCs w:val="18"/>
          <w:color w:val="auto"/>
        </w:rPr>
        <w:t xml:space="preserve"> </w:t>
      </w:r>
      <w:r>
        <w:rPr>
          <w:rFonts w:ascii="Arial" w:cs="Arial" w:eastAsia="Arial" w:hAnsi="Arial"/>
          <w:sz w:val="18"/>
          <w:szCs w:val="18"/>
          <w:i w:val="1"/>
          <w:iCs w:val="1"/>
          <w:color w:val="auto"/>
        </w:rPr>
        <w:t>are significant potential conflicts of interest which could impact our investment returns</w:t>
      </w:r>
      <w:r>
        <w:rPr>
          <w:rFonts w:ascii="Arial" w:cs="Arial" w:eastAsia="Arial" w:hAnsi="Arial"/>
          <w:sz w:val="18"/>
          <w:szCs w:val="18"/>
          <w:color w:val="auto"/>
        </w:rPr>
        <w:t>” in our most recent Annual Report on Form 10-K for more</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Our administrative and principal executive offices are located at 590 Madison Avenue, 15th Floor, New York, NY 10022. Our common stock is quoted on the Nasdaq Global Select Market and the TASE under the symbol “PFLT.” Our 2023 Notes are listed on the TASE. Our phone number is (212)</w:t>
      </w:r>
    </w:p>
    <w:p>
      <w:pPr>
        <w:ind w:left="120"/>
        <w:spacing w:after="0" w:line="253" w:lineRule="auto"/>
        <w:rPr>
          <w:sz w:val="20"/>
          <w:szCs w:val="20"/>
          <w:color w:val="auto"/>
        </w:rPr>
      </w:pPr>
      <w:r>
        <w:rPr>
          <w:rFonts w:ascii="Arial" w:cs="Arial" w:eastAsia="Arial" w:hAnsi="Arial"/>
          <w:sz w:val="18"/>
          <w:szCs w:val="18"/>
          <w:color w:val="auto"/>
        </w:rPr>
        <w:t xml:space="preserve">905-1000, and our Internet website address is </w:t>
      </w:r>
      <w:r>
        <w:rPr>
          <w:rFonts w:ascii="Arial" w:cs="Arial" w:eastAsia="Arial" w:hAnsi="Arial"/>
          <w:sz w:val="18"/>
          <w:szCs w:val="18"/>
          <w:i w:val="1"/>
          <w:iCs w:val="1"/>
          <w:u w:val="single" w:color="auto"/>
          <w:color w:val="auto"/>
        </w:rPr>
        <w:t>www.pennantpark.com</w:t>
      </w:r>
      <w:r>
        <w:rPr>
          <w:rFonts w:ascii="Arial" w:cs="Arial" w:eastAsia="Arial" w:hAnsi="Arial"/>
          <w:sz w:val="18"/>
          <w:szCs w:val="18"/>
          <w:color w:val="auto"/>
        </w:rPr>
        <w:t xml:space="preserve">. Except for the documents incorporated by reference into this prospectus supplement and the accompanying prospectus, the information on our website is not part of this prospectus supplement or the accompanying prospectus. We file periodic reports, proxy statements and other information with the SEC and make such reports available on our website free of charge as soon as reasonably practicable. In addition, the SEC maintains an Internet site at </w:t>
      </w:r>
      <w:r>
        <w:rPr>
          <w:rFonts w:ascii="Arial" w:cs="Arial" w:eastAsia="Arial" w:hAnsi="Arial"/>
          <w:sz w:val="18"/>
          <w:szCs w:val="18"/>
          <w:i w:val="1"/>
          <w:iCs w:val="1"/>
          <w:u w:val="single" w:color="auto"/>
          <w:color w:val="auto"/>
        </w:rPr>
        <w:t>www.sec.gov</w:t>
      </w:r>
      <w:r>
        <w:rPr>
          <w:rFonts w:ascii="Arial" w:cs="Arial" w:eastAsia="Arial" w:hAnsi="Arial"/>
          <w:sz w:val="18"/>
          <w:szCs w:val="18"/>
          <w:color w:val="auto"/>
        </w:rPr>
        <w:t xml:space="preserve"> that contains reports, proxy and information statements, and other information regarding issuers that file electronically with the SEC.</w:t>
      </w:r>
    </w:p>
    <w:p>
      <w:pPr>
        <w:spacing w:after="0" w:line="1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00"/>
          </w:cols>
          <w:pgMar w:left="32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This prospectus supplement, including the documents we incorporate by reference herein, and the accompanying prospectus and any free writing prospectus, including the documents we incorporate by reference therein, contain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prospectus supplement, including the documents we incorporate by reference herein, and the accompanying prospectus and any free writing prospectus, including the documents we incorporate by reference therein, involve risks and uncertainties, including statements as to:</w:t>
      </w:r>
    </w:p>
    <w:p>
      <w:pPr>
        <w:spacing w:after="0" w:line="83" w:lineRule="exact"/>
        <w:rPr>
          <w:sz w:val="20"/>
          <w:szCs w:val="20"/>
          <w:color w:val="auto"/>
        </w:rPr>
      </w:pPr>
    </w:p>
    <w:p>
      <w:pPr>
        <w:ind w:left="1080" w:hanging="424"/>
        <w:spacing w:after="0"/>
        <w:tabs>
          <w:tab w:leader="none" w:pos="1080" w:val="left"/>
        </w:tabs>
        <w:numPr>
          <w:ilvl w:val="1"/>
          <w:numId w:val="2"/>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1"/>
          <w:numId w:val="2"/>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 including as a result of the current pandemic caused by COVID-19;</w:t>
      </w:r>
    </w:p>
    <w:p>
      <w:pPr>
        <w:spacing w:after="0" w:line="75" w:lineRule="exact"/>
        <w:rPr>
          <w:rFonts w:ascii="Arial" w:cs="Arial" w:eastAsia="Arial" w:hAnsi="Arial"/>
          <w:sz w:val="18"/>
          <w:szCs w:val="18"/>
          <w:color w:val="auto"/>
        </w:rPr>
      </w:pPr>
    </w:p>
    <w:p>
      <w:pPr>
        <w:ind w:left="1080" w:hanging="532"/>
        <w:spacing w:after="0" w:line="342"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changes in political, economic or industry conditions, the interest rate environment or conditions affecting the financial and capital markets that could result in changes to the value of our assets, including changes from the impact of the current COVID-19 pandemic;</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1"/>
          <w:numId w:val="2"/>
        </w:numPr>
        <w:rPr>
          <w:rFonts w:ascii="Arial" w:cs="Arial" w:eastAsia="Arial" w:hAnsi="Arial"/>
          <w:sz w:val="16"/>
          <w:szCs w:val="16"/>
          <w:color w:val="auto"/>
        </w:rPr>
      </w:pPr>
      <w:r>
        <w:rPr>
          <w:rFonts w:ascii="Arial" w:cs="Arial" w:eastAsia="Arial" w:hAnsi="Arial"/>
          <w:sz w:val="16"/>
          <w:szCs w:val="16"/>
          <w:color w:val="auto"/>
        </w:rPr>
        <w:t>our ability to continue to effectively manage our business due to the significant disruptions caused by the current COVID-19 pandemic;</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impact of fluctuations in interest rates and foreign exchange rates on our business and our portfolio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2"/>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2"/>
        </w:numPr>
        <w:rPr>
          <w:rFonts w:ascii="Arial" w:cs="Arial" w:eastAsia="Arial" w:hAnsi="Arial"/>
          <w:sz w:val="18"/>
          <w:szCs w:val="18"/>
          <w:color w:val="auto"/>
        </w:rPr>
      </w:pPr>
      <w:r>
        <w:rPr>
          <w:rFonts w:ascii="Arial" w:cs="Arial" w:eastAsia="Arial" w:hAnsi="Arial"/>
          <w:sz w:val="18"/>
          <w:szCs w:val="18"/>
          <w:color w:val="auto"/>
        </w:rPr>
        <w:t>our expected financings and investments and ability to fund capital commitments to PSSL;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impact of price and volume fluctuations in the stock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 and</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impact of the United Kingdom’s withdrawal from the European Union (commonly known as “Brexit”) and other world economic and political issues.</w:t>
      </w:r>
    </w:p>
    <w:p>
      <w:pPr>
        <w:spacing w:after="0" w:line="170" w:lineRule="exact"/>
        <w:rPr>
          <w:sz w:val="20"/>
          <w:szCs w:val="20"/>
          <w:color w:val="auto"/>
        </w:rPr>
      </w:pPr>
    </w:p>
    <w:p>
      <w:pPr>
        <w:jc w:val="both"/>
        <w:ind w:left="120" w:right="60"/>
        <w:spacing w:after="0" w:line="286" w:lineRule="auto"/>
        <w:rPr>
          <w:sz w:val="20"/>
          <w:szCs w:val="20"/>
          <w:color w:val="auto"/>
        </w:rPr>
      </w:pPr>
      <w:r>
        <w:rPr>
          <w:rFonts w:ascii="Arial" w:cs="Arial" w:eastAsia="Arial" w:hAnsi="Arial"/>
          <w:sz w:val="17"/>
          <w:szCs w:val="17"/>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 including the factors in “Risk Factors” in this prospectus supplement and the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00"/>
          </w:cols>
          <w:pgMar w:left="320" w:top="459"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accompanying prospectus, in the documents incorporated by reference, and elsewhere in this prospectus supplement and the accompanying prospectus.</w:t>
      </w:r>
    </w:p>
    <w:p>
      <w:pPr>
        <w:spacing w:after="0" w:line="248"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supplement, including the documents we incorporate by reference herein, and the accompanying prospectus and any free writing prospectus, including the documents we incorporate by reference therein, should not be regarded as a representation by us that our plans and objectives will be achieved. We have based the forward-looking statements included in this prospectus supplement on information available to us on the date of this prospectus supplement, and we assume no obligation to update any such forward-looking statements. Although we undertake no obligation to revise or update any forward-looking statements in this prospectus supplement, whether as a result of new information, future events or otherwise, you are advised to consult any additional disclosures that we may make directly to you or through reports that we in the future may file with the SEC including Annual Reports on Form 10-K, Quarterly Reports on Form 10-Q and Current Reports on Form 8-K.</w:t>
      </w:r>
    </w:p>
    <w:p>
      <w:pPr>
        <w:spacing w:after="0" w:line="182"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color w:val="auto"/>
        </w:rPr>
        <w:t>You should understand that, under Section 27A(b)(2)(B) of the Securities Act of 1933, as amended, or the Securities Act, and Section 21E(b)(2)(B) of the Exchange Act, the “safe harbor” provisions of the Private Securities Litigation Reform Act of 1995, do not apply to forward-looking statements made in connection with any offering of securities pursuant to this prospectus supplement or in periodic reports we file under the Exchange Act.</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00"/>
          </w:cols>
          <w:pgMar w:left="320" w:top="459"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i w:val="1"/>
          <w:iCs w:val="1"/>
          <w:color w:val="auto"/>
        </w:rPr>
        <w:t>Before you invest in our securities, you should be aware of various risks. In addition to the other information contained in this prospectus supplement, the accompanying prospectus, and any free writing prospectus, you should consider carefully the following information and the risk factors incorporated by reference in our most recent Annual Report on Form 10-K and any subsequent Quarterly Reports on Form 10-Q or Current Reports on Form 8-K we file after the date of this prospectus supplement, and all other information contained or incorporated by reference into this prospectus supplement, the accompanying prospectus, and any free writing prospectus, as updated by our subsequent filings under the Exchange Act, before making an investment in our securities. The risks set out below are not the only risks we face. Additional risks and uncertainties not currently known to us or that we currently deem to be immaterial also may materially adversely affect our business, financial condition and/or operating results. If any of the following events occur, our business, financial condition and results of operations could be materially adversely affected. In such case, our NAV and the trading price of or value of our Notes may decline, and you may lose all or part of your investment.</w:t>
      </w: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RELATED TO THE NOTES</w:t>
      </w:r>
    </w:p>
    <w:p>
      <w:pPr>
        <w:spacing w:after="0" w:line="225" w:lineRule="exact"/>
        <w:rPr>
          <w:sz w:val="20"/>
          <w:szCs w:val="20"/>
          <w:color w:val="auto"/>
        </w:rPr>
      </w:pPr>
    </w:p>
    <w:p>
      <w:pPr>
        <w:ind w:left="120" w:right="420"/>
        <w:spacing w:after="0" w:line="282" w:lineRule="auto"/>
        <w:rPr>
          <w:sz w:val="20"/>
          <w:szCs w:val="20"/>
          <w:color w:val="auto"/>
        </w:rPr>
      </w:pPr>
      <w:r>
        <w:rPr>
          <w:rFonts w:ascii="Arial" w:cs="Arial" w:eastAsia="Arial" w:hAnsi="Arial"/>
          <w:sz w:val="18"/>
          <w:szCs w:val="18"/>
          <w:b w:val="1"/>
          <w:bCs w:val="1"/>
          <w:color w:val="auto"/>
        </w:rPr>
        <w:t>The Notes will be unsecured and therefore will be effectively subordinated to any secured indebtedness we have currently incurred or may incur in the future.</w:t>
      </w:r>
    </w:p>
    <w:p>
      <w:pPr>
        <w:spacing w:after="0" w:line="58"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 xml:space="preserve">The Notes will not be secured by any of our assets or any of the assets of our subsidiaries. As a result, the Notes will be effectively subordinated to any secured indebtedness we or our subsidiaries have currently incurred and may incur in the future (or any indebtedness that is initially unsecured to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Notes. As of June 30, 2021, we had $579.2 million of debt outstanding of which $217.8 million was unsecured debt of the Company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Notes offered hereby and $361.4 million was secured indebtedness of our subsidiaries, and therefore effectively senior to the Notes.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Notes will be structurally subordinated to the indebtedness and other liabilities of our subsidiaries.</w:t>
      </w:r>
    </w:p>
    <w:p>
      <w:pPr>
        <w:spacing w:after="0" w:line="12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Notes are obligations exclusively of PennantPark Floating Rate Capital Ltd. and not of any of our subsidiaries. None of our subsidiaries is or acts as a guarantor of the Notes, and the Notes are not required to be guaranteed by any subsidiaries we may acquire or create in the future. Our secured indebtedness with respect to the New Credit Facility is held through Funding I, and our secured indebtedness with respect to the 2031 Asset-Backed Debt is held through the Securitization Issuer. The assets of any such subsidiaries are not directly available to satisfy the claims of our creditors, including holders of the Notes.</w:t>
      </w:r>
    </w:p>
    <w:p>
      <w:pPr>
        <w:spacing w:after="0" w:line="188"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Except to the extent we are a creditor with recognized claims against our subsidiaries, all claims of creditors (including holders of preferred stock, if any, of our subsidiaries) will have priority over our equity interests in such subsidiaries (and therefore the claims of our creditors, including holders of the 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Notes will be structurally subordinated to all indebtedness and other liabilities (including trade payables) of our subsidiaries and any subsidiaries that we may in the future acquire or establish as financing vehicles or otherwise. As of June 30, 2021, our subsidiaries had total indebtedness outstanding of $361.4 million, all of which was secured indebtedness. All of such indebtedness would be structurally senior to the Notes. In addition, our subsidiaries may incur substantial additional indebtedness in the future, all of which would be structurally senior to the Notes.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indenture under which the Notes will be issued contains limited protection for holders of the Notes.</w:t>
      </w:r>
    </w:p>
    <w:p>
      <w:pPr>
        <w:spacing w:after="0" w:line="121" w:lineRule="exact"/>
        <w:rPr>
          <w:sz w:val="20"/>
          <w:szCs w:val="20"/>
          <w:color w:val="auto"/>
        </w:rPr>
      </w:pPr>
    </w:p>
    <w:p>
      <w:pPr>
        <w:jc w:val="both"/>
        <w:ind w:left="120" w:right="180"/>
        <w:spacing w:after="0" w:line="259" w:lineRule="auto"/>
        <w:rPr>
          <w:sz w:val="20"/>
          <w:szCs w:val="20"/>
          <w:color w:val="auto"/>
        </w:rPr>
      </w:pPr>
      <w:r>
        <w:rPr>
          <w:rFonts w:ascii="Arial" w:cs="Arial" w:eastAsia="Arial" w:hAnsi="Arial"/>
          <w:sz w:val="18"/>
          <w:szCs w:val="18"/>
          <w:color w:val="auto"/>
        </w:rPr>
        <w:t>The indenture under which the Notes will be issued offers limited protection to holders of the Notes. The terms of the indenture and the Notes do not restrict our or any of our subsidiaries’ ability to engage in, or otherwise be a party to, a variety of corporate transactions, circumstances or events that could have an adverse impact on your investment in the Notes. In particular, the terms of the indenture and the Notes will not place any restrictions on our or our subsidiaries’ ability to:</w:t>
      </w:r>
    </w:p>
    <w:p>
      <w:pPr>
        <w:spacing w:after="0" w:line="92" w:lineRule="exact"/>
        <w:rPr>
          <w:sz w:val="20"/>
          <w:szCs w:val="20"/>
          <w:color w:val="auto"/>
        </w:rPr>
      </w:pPr>
    </w:p>
    <w:p>
      <w:pPr>
        <w:ind w:left="1080" w:hanging="424"/>
        <w:spacing w:after="0" w:line="284"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issue securities or otherwise incur additional indebtedness or other obligations, including (1) any indebtedness or other obligations that would be equal in right of payment to the Notes, (2) any indebtedness or other obligations that would be secured and therefore rank effectively senior in right of payment to the Notes to the extent of the values of the assets securing such debt, (3) indebtedness or other obligations of ours that are guaranteed by one or more of our subsidiaries and which therefore would rank structurally senior to the Notes and (4) securities, indebtedness or other obligations issued or incurred by our subsidiaries that would be senior in right of payment to our equity interests in our subsidiaries and therefore would rank structurally senior in right of payment to the Notes with respect to the assets of our subsidiaries, in each case other than an incurrence of indebtedness or other obligation that would cause a violation of Section 18(a)(1)</w:t>
      </w:r>
    </w:p>
    <w:p>
      <w:pPr>
        <w:spacing w:after="0" w:line="2" w:lineRule="exact"/>
        <w:rPr>
          <w:rFonts w:ascii="Arial" w:cs="Arial" w:eastAsia="Arial" w:hAnsi="Arial"/>
          <w:sz w:val="16"/>
          <w:szCs w:val="16"/>
          <w:color w:val="auto"/>
        </w:rPr>
      </w:pPr>
    </w:p>
    <w:p>
      <w:pPr>
        <w:ind w:left="1080" w:right="500"/>
        <w:spacing w:after="0" w:line="260" w:lineRule="auto"/>
        <w:rPr>
          <w:rFonts w:ascii="Arial" w:cs="Arial" w:eastAsia="Arial" w:hAnsi="Arial"/>
          <w:sz w:val="16"/>
          <w:szCs w:val="16"/>
          <w:color w:val="auto"/>
        </w:rPr>
      </w:pPr>
      <w:r>
        <w:rPr>
          <w:rFonts w:ascii="Arial" w:cs="Arial" w:eastAsia="Arial" w:hAnsi="Arial"/>
          <w:sz w:val="18"/>
          <w:szCs w:val="18"/>
          <w:color w:val="auto"/>
        </w:rPr>
        <w:t>(A) of the 1940 Act as modified by Section 61(a)(1) and (2) of the 1940 Act or any successor provisions, as such obligations may be amended or superseded, giving effect to any exemptive relief granted to us by the SEC;</w:t>
      </w:r>
    </w:p>
    <w:p>
      <w:pPr>
        <w:spacing w:after="0" w:line="90" w:lineRule="exact"/>
        <w:rPr>
          <w:rFonts w:ascii="Arial" w:cs="Arial" w:eastAsia="Arial" w:hAnsi="Arial"/>
          <w:sz w:val="16"/>
          <w:szCs w:val="16"/>
          <w:color w:val="auto"/>
        </w:rPr>
      </w:pPr>
    </w:p>
    <w:p>
      <w:pPr>
        <w:ind w:left="1080" w:right="34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pay dividends on, or purchase or redeem or make any payments in respect of, capital stock or other securities ranking junior in right of payment to the Notes;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sell assets (other than certain limited restrictions on our ability to consolidate, merge or sell all or substantially all of our assets);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create liens (including liens on the shares of our subsidiaries) or enter into sale and leaseback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make investments;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create restrictions on the payment of dividends or other amounts to us from our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addition, the indenture will not require us to offer to purchase the Notes in connection with a change of control or any other event.</w:t>
      </w:r>
    </w:p>
    <w:p>
      <w:pPr>
        <w:spacing w:after="0" w:line="225"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Furthermore, the terms of the indenture and the Notes do not protect holders of the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except as required under the 1940 Act.</w:t>
      </w:r>
    </w:p>
    <w:p>
      <w:pPr>
        <w:spacing w:after="0" w:line="149"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Our ability to recapitalize, incur additional debt and take a number of other actions that are not limited by the terms of the Notes may have important consequences for you as a holder of the Notes, including negatively affecting the trading value of the Notes or making it more difficult for us to satisfy our obligations with respect to the Notes.</w:t>
      </w:r>
    </w:p>
    <w:p>
      <w:pPr>
        <w:spacing w:after="0" w:line="184"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Certain of our current debt instruments include more protections for their holders than the indenture and the Notes. See “</w:t>
      </w:r>
      <w:r>
        <w:rPr>
          <w:rFonts w:ascii="Arial" w:cs="Arial" w:eastAsia="Arial" w:hAnsi="Arial"/>
          <w:sz w:val="17"/>
          <w:szCs w:val="17"/>
          <w:i w:val="1"/>
          <w:iCs w:val="1"/>
          <w:color w:val="auto"/>
        </w:rPr>
        <w:t>Risk Factors—Risks Relating to</w:t>
      </w:r>
      <w:r>
        <w:rPr>
          <w:rFonts w:ascii="Arial" w:cs="Arial" w:eastAsia="Arial" w:hAnsi="Arial"/>
          <w:sz w:val="17"/>
          <w:szCs w:val="17"/>
          <w:color w:val="auto"/>
        </w:rPr>
        <w:t xml:space="preserve"> </w:t>
      </w:r>
      <w:r>
        <w:rPr>
          <w:rFonts w:ascii="Arial" w:cs="Arial" w:eastAsia="Arial" w:hAnsi="Arial"/>
          <w:sz w:val="17"/>
          <w:szCs w:val="17"/>
          <w:i w:val="1"/>
          <w:iCs w:val="1"/>
          <w:color w:val="auto"/>
        </w:rPr>
        <w:t>Our Business and Structure</w:t>
      </w:r>
      <w:r>
        <w:rPr>
          <w:rFonts w:ascii="Arial" w:cs="Arial" w:eastAsia="Arial" w:hAnsi="Arial"/>
          <w:sz w:val="17"/>
          <w:szCs w:val="17"/>
          <w:color w:val="auto"/>
        </w:rPr>
        <w:t>” including “</w:t>
      </w:r>
      <w:r>
        <w:rPr>
          <w:rFonts w:ascii="Arial" w:cs="Arial" w:eastAsia="Arial" w:hAnsi="Arial"/>
          <w:sz w:val="17"/>
          <w:szCs w:val="17"/>
          <w:i w:val="1"/>
          <w:iCs w:val="1"/>
          <w:color w:val="auto"/>
        </w:rPr>
        <w:t>Risk Factors—Risks Relating to Our Business and Structure—We are subject to various covenants under Funding I’s Credit Facility which, if not complied with, could result in reduced availability and/or mandatory prepayments under Funding I’s Credit Facility, our 2023 Notes, and our 2031 Asset-Backed Debt</w:t>
      </w:r>
      <w:r>
        <w:rPr>
          <w:rFonts w:ascii="Arial" w:cs="Arial" w:eastAsia="Arial" w:hAnsi="Arial"/>
          <w:sz w:val="17"/>
          <w:szCs w:val="17"/>
          <w:color w:val="auto"/>
        </w:rPr>
        <w:t>” in our most recent Annual Report on Form 10-K for more information. In addition, our New</w:t>
      </w:r>
      <w:r>
        <w:rPr>
          <w:rFonts w:ascii="Arial" w:cs="Arial" w:eastAsia="Arial" w:hAnsi="Arial"/>
          <w:sz w:val="17"/>
          <w:szCs w:val="17"/>
          <w:i w:val="1"/>
          <w:iCs w:val="1"/>
          <w:color w:val="auto"/>
        </w:rPr>
        <w:t xml:space="preserve"> </w:t>
      </w:r>
      <w:r>
        <w:rPr>
          <w:rFonts w:ascii="Arial" w:cs="Arial" w:eastAsia="Arial" w:hAnsi="Arial"/>
          <w:sz w:val="17"/>
          <w:szCs w:val="17"/>
          <w:color w:val="auto"/>
        </w:rPr>
        <w:t>Credit Facility and any debt we may issue or incur in the future could contain more protections for its issuance or incurrence of any such debt with incremental protections could affect the market for and trading levels and prices of the Notes.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640"/>
        <w:spacing w:after="0" w:line="347" w:lineRule="auto"/>
        <w:rPr>
          <w:sz w:val="20"/>
          <w:szCs w:val="20"/>
          <w:color w:val="auto"/>
        </w:rPr>
      </w:pPr>
      <w:r>
        <w:rPr>
          <w:rFonts w:ascii="Arial" w:cs="Arial" w:eastAsia="Arial" w:hAnsi="Arial"/>
          <w:sz w:val="16"/>
          <w:szCs w:val="16"/>
          <w:b w:val="1"/>
          <w:bCs w:val="1"/>
          <w:color w:val="auto"/>
        </w:rPr>
        <w:t>Our amount of debt outstanding may increase as a result of this offering. Our current indebtedness could adversely affect our business, financial condition and results of operations and our ability to meet our payment obligations under the Notes and our other debt.</w:t>
      </w:r>
    </w:p>
    <w:p>
      <w:pPr>
        <w:spacing w:after="0" w:line="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use of debt could have significant consequences on our future operations, including:</w:t>
      </w:r>
    </w:p>
    <w:p>
      <w:pPr>
        <w:spacing w:after="0" w:line="131" w:lineRule="exact"/>
        <w:rPr>
          <w:sz w:val="20"/>
          <w:szCs w:val="20"/>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making it more difficult for us to meet our payment and other obligations under the Notes and our other outstanding debt;</w:t>
      </w:r>
    </w:p>
    <w:p>
      <w:pPr>
        <w:spacing w:after="0" w:line="130" w:lineRule="exact"/>
        <w:rPr>
          <w:rFonts w:ascii="Arial" w:cs="Arial" w:eastAsia="Arial" w:hAnsi="Arial"/>
          <w:sz w:val="18"/>
          <w:szCs w:val="18"/>
          <w:color w:val="auto"/>
        </w:rPr>
      </w:pPr>
    </w:p>
    <w:p>
      <w:pPr>
        <w:ind w:left="1080" w:right="880" w:hanging="424"/>
        <w:spacing w:after="0" w:line="342"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resulting in an event of default if we fail to comply with the financial and other restrictive covenants contained in our financing arrangements, which event of default could result in substantially all of our debt becoming immediately due and payable;</w:t>
      </w:r>
    </w:p>
    <w:p>
      <w:pPr>
        <w:spacing w:after="0" w:line="29" w:lineRule="exact"/>
        <w:rPr>
          <w:rFonts w:ascii="Arial" w:cs="Arial" w:eastAsia="Arial" w:hAnsi="Arial"/>
          <w:sz w:val="16"/>
          <w:szCs w:val="16"/>
          <w:color w:val="auto"/>
        </w:rPr>
      </w:pPr>
    </w:p>
    <w:p>
      <w:pPr>
        <w:ind w:left="108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reducing the availability of our cash flow to fund investments, acquisitions and other general corporate purposes, and limiting our ability to obtain additional financing for these purposes;</w:t>
      </w:r>
    </w:p>
    <w:p>
      <w:pPr>
        <w:spacing w:after="0" w:line="75"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subjecting us to the risk of increased sensitivity to interest rate increases on our indebtedness with variable interest rates, including borrowings under our financing arrangements; and</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and increasing our vulnerability to, changes in our business, the industry in which we operate and the general economy.</w:t>
      </w:r>
    </w:p>
    <w:p>
      <w:pPr>
        <w:spacing w:after="0" w:line="170"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Any of the above-listed factors could have an adverse effect on our business, financial condition and results of operations and our ability to meet our payment obligations under the Notes and our other debt.</w:t>
      </w:r>
    </w:p>
    <w:p>
      <w:pPr>
        <w:spacing w:after="0" w:line="170"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Our ability to meet our payment and other obligations under our financing arrangements depends on our ability to generate significant cash flow in the future. This, to some extent, is subject to general economic, financial, competitive, legislative and regulatory factors as well as other factors that are beyond our control. We cannot assure you that our business will generate cash flow from operations, or that future borrowings will be available to us under our financing arrangements or otherwise, in an amount sufficient to enable us to meet our payment obligations under the Notes and our other debt and to fund other liquidity needs. If we are not able to generate sufficient cash flow to service our debt obligations, we may need to refinance or restructure our debt, including the Notes, sell assets, reduce or delay capital investments, or seek to raise additional capital. If we are unable to implement one or more of these alternatives, we may not be able to meet our payment obligations under the Notes and our other debt, including the obligation to repurchase the Notes at maturity.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optional redemption provision may materially adversely affect your return on the Notes.</w:t>
      </w:r>
    </w:p>
    <w:p>
      <w:pPr>
        <w:spacing w:after="0" w:line="12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Notes will be redeemable in whole or in part upon certain conditions at any time, or from time to time, at our option, as described in “Description of the Notes—Optional Redemption”. We may choose to redeem the Notes at times when prevailing interest rates are lower than the interest rate paid on the Notes. In this circumstance, you may not be able to reinvest the redemption proceeds in a comparable security at an effective interest rate as high as the Notes being redeemed.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Company may not be able to repurchase the Notes upon a Change of Control Repurchase Event.</w:t>
      </w:r>
    </w:p>
    <w:p>
      <w:pPr>
        <w:spacing w:after="0" w:line="12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Upon the occurrence of a Change of Control Repurchase Event, as defined in the indenture that governs the Notes, subject to certain conditions, the Company will be required to offer to repurchase all outstanding Notes at 100% of their principal amount, plus accrued and unpaid interest. The source of funds for that purchase of Notes will be the Company’s available cash or cash generated from the Company’s operations or other potential sources, including borrowings, investment repayments, sales of assets or sales of equity. The Company cannot assure you that sufficient funds from such sources will be available at the time of any Change of Control Repurchase Event to make required repurchases of Notes tendered. Before making any such repurchase of Notes, the Company may have to comply with certain requirements under the Company’s then existing financing arrangements, such as the New Credit Facility and the 2023 Notes. The Company’s future debt instruments may</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5" w:lineRule="auto"/>
        <w:rPr>
          <w:sz w:val="20"/>
          <w:szCs w:val="20"/>
          <w:color w:val="auto"/>
        </w:rPr>
      </w:pPr>
      <w:r>
        <w:rPr>
          <w:rFonts w:ascii="Arial" w:cs="Arial" w:eastAsia="Arial" w:hAnsi="Arial"/>
          <w:sz w:val="17"/>
          <w:szCs w:val="17"/>
          <w:color w:val="auto"/>
        </w:rPr>
        <w:t>also contain similar restrictions and provisions. If the holders of the Notes exercise their right to require the Company to repurchase the Notes upon a Change of Control Repurchase Event, the financial effect of this repurchase could cause a default under the Company’s existing or future debt instruments, even if the Change of Control Repurchase Event itself would not cause a default. It is possible that the Company will not have sufficient funds at the time of the Change of Control Repurchase Event to make the required repurchase of the Notes or the Company’s other debt. See “Description of the Notes—Offer to Repurchase Upon a Change of Control Repurchase Event”.</w:t>
      </w:r>
    </w:p>
    <w:p>
      <w:pPr>
        <w:spacing w:after="0" w:line="280" w:lineRule="exact"/>
        <w:rPr>
          <w:sz w:val="20"/>
          <w:szCs w:val="20"/>
          <w:color w:val="auto"/>
        </w:rPr>
      </w:pPr>
    </w:p>
    <w:p>
      <w:pPr>
        <w:ind w:left="120" w:right="300"/>
        <w:spacing w:after="0" w:line="282" w:lineRule="auto"/>
        <w:rPr>
          <w:sz w:val="20"/>
          <w:szCs w:val="20"/>
          <w:color w:val="auto"/>
        </w:rPr>
      </w:pPr>
      <w:r>
        <w:rPr>
          <w:rFonts w:ascii="Arial" w:cs="Arial" w:eastAsia="Arial" w:hAnsi="Arial"/>
          <w:sz w:val="18"/>
          <w:szCs w:val="18"/>
          <w:b w:val="1"/>
          <w:bCs w:val="1"/>
          <w:color w:val="auto"/>
        </w:rPr>
        <w:t>While a trading market developed after issuing the Existing Notes, we cannot assure you that an active trading market for the Notes will be maintained.</w:t>
      </w:r>
    </w:p>
    <w:p>
      <w:pPr>
        <w:spacing w:after="0" w:line="58"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While a trading market developed after issuing the Existing Notes, we cannot assure you that an active and liquid market for the Notes will be maintained. We do not intend to list the Notes on any securities exchange or for quotation of the Notes on any automated dealer quotation system. If the Notes are traded after their initial issuance, they may trade at a discount to their public offering price depending on prevailing interest rates, the market for similar securities, our credit ratings, general economic conditions, including the impact of COVID-19, our financial condition, performance and prospects and other factors. The underwriters may discontinue any market-making in the Notes at any time at their sole discretion. In addition, any market-making activity will be subject to limits imposed by law. Accordingly, we cannot assure you that a liquid trading market will be maintained for the Notes, that you will be able to sell your Notes at a particular time or that the price you receive when you sell will be favorable. To the extent an active trading market is not maintained, the liquidity and trading price for the Notes may be harmed. Accordingly, you may be required to bear the financial risk of an investment in the Notes for an indefinite period of time</w:t>
      </w:r>
      <w:r>
        <w:rPr>
          <w:rFonts w:ascii="Arial" w:cs="Arial" w:eastAsia="Arial" w:hAnsi="Arial"/>
          <w:sz w:val="17"/>
          <w:szCs w:val="17"/>
          <w:b w:val="1"/>
          <w:bCs w:val="1"/>
          <w:color w:val="auto"/>
        </w:rPr>
        <w:t>.</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If we default on our obligations to pay our other indebtedness, we may not be able to make payments on the Notes.</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Any default under the agreements governing our indebtedness, including a default under our New Credit Facility, the 2023 Notes, the 2031 Asset-Backed Debt or under other indebtedness to which we may be a party that is not waived by the required lenders or holders, and the remedies sought by the holders of such indebtedness could make us unable to pay principal, premium, if any, and interest on the Notes and substantially decrease the market value of the Notes.</w:t>
      </w:r>
    </w:p>
    <w:p>
      <w:pPr>
        <w:spacing w:after="0" w:line="187"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or holders under our New Credit Facility, the 2023 Notes, the 2031 Asset-Backed Debt or other debt we may incur in the future could elect to terminate their commitments, cease making further loans and institute foreclosure proceedings against our assets, and we could be forced into bankruptcy or liquidation.</w:t>
      </w:r>
    </w:p>
    <w:p>
      <w:pPr>
        <w:spacing w:after="0" w:line="17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If our operating performance declines, we may in the future need to seek to obtain waivers from the required lenders or holders under the agreements relating to our New Credit Facility, the 2023 Notes, the 2031 Asset-Backed Debt or other debt that we may incur in the future to avoid being in default. If we breach our covenants under our New Credit Facility, the 2023 Notes, the 2031 Asset-Backed Debt or other debt and seek a waiver, we may not be able to obtain a waiver from the required lenders or holders. If this occurs, we would be in default and our lenders or holders could exercise their rights as described above, and we could be forced into bankruptcy or liquidation. If we are unable to repay debt, lenders or holders having secured obligations, including the lenders or holders under our New Credit Facility and the 2031 Asset-Backed Debt, could proceed against the collateral securing such debt. Because our New Credit Facility, the 2023 Notes and the 2031 Asset-Backed Debt have, and</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080"/>
          </w:cols>
          <w:pgMar w:left="320" w:top="459" w:right="4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any future debt will likely have, customary cross-default provisions, if the indebtedness thereunder or under any future credit facility is accelerated, we may be unable to repay or finance the amounts due.</w:t>
      </w:r>
    </w:p>
    <w:p>
      <w:pPr>
        <w:spacing w:after="0" w:line="274" w:lineRule="exact"/>
        <w:rPr>
          <w:sz w:val="20"/>
          <w:szCs w:val="20"/>
          <w:color w:val="auto"/>
        </w:rPr>
      </w:pPr>
    </w:p>
    <w:p>
      <w:pPr>
        <w:ind w:left="120" w:right="20"/>
        <w:spacing w:after="0" w:line="282" w:lineRule="auto"/>
        <w:rPr>
          <w:sz w:val="20"/>
          <w:szCs w:val="20"/>
          <w:color w:val="auto"/>
        </w:rPr>
      </w:pPr>
      <w:r>
        <w:rPr>
          <w:rFonts w:ascii="Arial" w:cs="Arial" w:eastAsia="Arial" w:hAnsi="Arial"/>
          <w:sz w:val="18"/>
          <w:szCs w:val="18"/>
          <w:b w:val="1"/>
          <w:bCs w:val="1"/>
          <w:color w:val="auto"/>
        </w:rPr>
        <w:t>A downgrade, suspension or withdrawal of a credit rating assigned by a rating agency to us or our unsecured debt, if any, or change in the debt markets could cause the liquidity or market value of the Notes to decline significantly.</w:t>
      </w:r>
    </w:p>
    <w:p>
      <w:pPr>
        <w:spacing w:after="0" w:line="58"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Our credit ratings are an assessment by a rating agency of our ability to pay our debts when due. Consequently, real or anticipated changes in our credit ratings will generally affect the market value of the Notes. These credit ratings may not reflect the potential impact of risks relating to the structure or marketing of the Notes. Credit ratings are not a recommendation to buy, sell or hold any security, and may be revised or withdrawn at any time by the issuing organization in its sole discretion. Neither we nor any underwriter undertakes any obligation to maintain our credit ratings or to advise holders of Notes of any changes in our credit ratings. There can be no assurance that our credit ratings will remain for any given period of time or that such credit ratings will not be lowered or withdrawn entirely by a rating agency if in its judgment future circumstances relating to the basis of the credit ratings, such as adverse changes in our company, so warrant. An increase in the competitive environment, inability to cover distributions, or increase in leverage could lead to a downgrade in our credit ratings and limit our access to the debt and equity markets capability impairing our ability to grow the business. The conditions of the financial markets and prevailing interest rates have fluctuated in the past and are likely to fluctuate in the future, which could have an adverse effect on the market prices of the Notes.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00"/>
          </w:cols>
          <w:pgMar w:left="320" w:top="459"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We estimate that the net proceeds we will receive from the sale of the $85 million aggregate principal amount of the Notes in this offering will be approximately $84.4 million, based on the public offering price of 101.45% of the aggregate principal amount of the Notes offered hereby, plus accrued and unpaid interest from October 1, 2021 up to, but not including, the date of delivery, after deducting the underwriting discounts and commissions of approximately $1.7 million payable by us and estimated offering expenses of approximately $0.2 million payable by us.</w:t>
      </w:r>
    </w:p>
    <w:p>
      <w:pPr>
        <w:spacing w:after="0" w:line="171"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We expect to use the net proceeds from selling securities pursuant to this prospectus supplement to invest in new or existing portfolio companies or for other general corporate or strategic purposes, including repaying amounts outstanding under our existing indebtedness. Affiliates of certain of the underwriters serve as lenders under our New Credit Facility. Accordingly, affiliates of certain of the underwriters are expected to receive proceeds from this offering if we use proceeds from this offering to reduce our outstanding obligations under our New Credit Facility.</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of June 30, 2021, we had $133.4 million in borrowings outstanding under our Credit Facility, $117.8 million outstanding under our 2023 Notes,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$100.0 million outstanding under our Existing Notes and $228.0 million outstanding under the 2031 Asset-Backed Debt. On August 12, 2021, we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terminated the Credit Facility, and Funding I entered into the New Credit Facility, which provides the ability for Funding I to borrow up to $300 million.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may use proceeds of this offering, if any, to repay outstanding obligations under our existing financing arrangements or other indebtedness. After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completing this offering, we may continue to borrow under our existing financing arrangements to finance our investment objectives. See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in our most recent Quarterly Report on Form 10-Q for more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information.</w:t>
      </w:r>
    </w:p>
    <w:p>
      <w:pPr>
        <w:spacing w:after="0" w:line="211"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We may invest the net proceeds from selling securities pursuant to this prospectus supplement in new or existing portfolio companies, and such investments may take up to a year from the closing of this offering, in part because privately negotiated investments in illiquid securities or private middle-market companies require substantial due diligence and structuring. During this period, we may use the net proceeds from this offering to reduce then-outstanding indebtedness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w:t>
      </w:r>
      <w:r>
        <w:rPr>
          <w:rFonts w:ascii="Arial" w:cs="Arial" w:eastAsia="Arial" w:hAnsi="Arial"/>
          <w:sz w:val="17"/>
          <w:szCs w:val="17"/>
          <w:i w:val="1"/>
          <w:iCs w:val="1"/>
          <w:color w:val="auto"/>
        </w:rPr>
        <w:t>Business—Regulation—Temporary</w:t>
      </w:r>
      <w:r>
        <w:rPr>
          <w:rFonts w:ascii="Arial" w:cs="Arial" w:eastAsia="Arial" w:hAnsi="Arial"/>
          <w:sz w:val="17"/>
          <w:szCs w:val="17"/>
          <w:color w:val="auto"/>
        </w:rPr>
        <w:t xml:space="preserve"> </w:t>
      </w:r>
      <w:r>
        <w:rPr>
          <w:rFonts w:ascii="Arial" w:cs="Arial" w:eastAsia="Arial" w:hAnsi="Arial"/>
          <w:sz w:val="17"/>
          <w:szCs w:val="17"/>
          <w:i w:val="1"/>
          <w:iCs w:val="1"/>
          <w:color w:val="auto"/>
        </w:rPr>
        <w:t>Investments</w:t>
      </w:r>
      <w:r>
        <w:rPr>
          <w:rFonts w:ascii="Arial" w:cs="Arial" w:eastAsia="Arial" w:hAnsi="Arial"/>
          <w:sz w:val="17"/>
          <w:szCs w:val="17"/>
          <w:color w:val="auto"/>
        </w:rPr>
        <w:t>” in our most recently filed Annual Report on Form 10- K for more information.</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following table sets forth our cash and capitalization on June 30, 2021 (1) on an actual basis and (2) on an as-adjusted basis to reflect the effects of the sale of $85 million aggregate principal amount of Notes in this offering based on the public offering price of 101.45% of the aggregate principal amount of the Notes offered hereby, plus accrued and unpaid interest from October 1, 2021 up to, but not including, the date of delivery, after deducting the underwriting discounts and commissions of $1.7 million payable by us and estimated offering expenses of approximately $0.2 million payable by us. The as-adjusted information is illustrative only; our capitalization following the completion of this offering is subject to further adjustments, such as the potential repayment of certain amounts of our current indebtedness. You should read this table together with “Use of Proceeds” set forth in this prospectus supplement and in the accompanying prospectus for more information. You should also read this table with our Consolidated Financial Statements and related notes thereto, in conjunction with “Management’s Discussion and Analysis of Financial Condition and Results of Operations” in our most recent Quarterly Report on Form 10-Q for more information.</w:t>
      </w:r>
    </w:p>
    <w:p>
      <w:pPr>
        <w:spacing w:after="0" w:line="18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As of June 30, 2021</w:t>
            </w:r>
          </w:p>
        </w:tc>
      </w:tr>
      <w:tr>
        <w:trPr>
          <w:trHeight w:val="171"/>
        </w:trPr>
        <w:tc>
          <w:tcPr>
            <w:tcW w:w="7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7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right"/>
              <w:ind w:right="840"/>
              <w:spacing w:after="0" w:line="142" w:lineRule="exact"/>
              <w:rPr>
                <w:sz w:val="20"/>
                <w:szCs w:val="20"/>
                <w:color w:val="auto"/>
              </w:rPr>
            </w:pPr>
            <w:r>
              <w:rPr>
                <w:rFonts w:ascii="Arial" w:cs="Arial" w:eastAsia="Arial" w:hAnsi="Arial"/>
                <w:sz w:val="14"/>
                <w:szCs w:val="14"/>
                <w:b w:val="1"/>
                <w:bCs w:val="1"/>
                <w:color w:val="auto"/>
              </w:rPr>
              <w:t>Actual</w:t>
            </w:r>
          </w:p>
        </w:tc>
        <w:tc>
          <w:tcPr>
            <w:tcW w:w="160" w:type="dxa"/>
            <w:vAlign w:val="bottom"/>
          </w:tcPr>
          <w:p>
            <w:pPr>
              <w:spacing w:after="0"/>
              <w:rPr>
                <w:sz w:val="12"/>
                <w:szCs w:val="12"/>
                <w:color w:val="auto"/>
              </w:rPr>
            </w:pPr>
          </w:p>
        </w:tc>
        <w:tc>
          <w:tcPr>
            <w:tcW w:w="96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w w:val="93"/>
              </w:rPr>
              <w:t>As adjusted</w:t>
            </w:r>
          </w:p>
        </w:tc>
        <w:tc>
          <w:tcPr>
            <w:tcW w:w="120" w:type="dxa"/>
            <w:vAlign w:val="bottom"/>
          </w:tcPr>
          <w:p>
            <w:pPr>
              <w:spacing w:after="0"/>
              <w:rPr>
                <w:sz w:val="12"/>
                <w:szCs w:val="12"/>
                <w:color w:val="auto"/>
              </w:rPr>
            </w:pPr>
          </w:p>
        </w:tc>
      </w:tr>
      <w:tr>
        <w:trPr>
          <w:trHeight w:val="209"/>
        </w:trPr>
        <w:tc>
          <w:tcPr>
            <w:tcW w:w="7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(cost—$48,702,743 and $133,145,625, respectively)</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48,702,743</w:t>
            </w:r>
          </w:p>
        </w:tc>
        <w:tc>
          <w:tcPr>
            <w:tcW w:w="5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133,145,625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b w:val="1"/>
                <w:bCs w:val="1"/>
                <w:color w:val="auto"/>
              </w:rPr>
              <w:t>Debt</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payable, at fair value (cost—$133,400,000)</w:t>
            </w:r>
            <w:r>
              <w:rPr>
                <w:rFonts w:ascii="Arial" w:cs="Arial" w:eastAsia="Arial" w:hAnsi="Arial"/>
                <w:sz w:val="15"/>
                <w:szCs w:val="15"/>
                <w:color w:val="auto"/>
              </w:rPr>
              <w:t>(1)</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3"/>
              </w:rPr>
              <w:t>133,066,500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133,066,500</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2023 Notes payable, at fair value (par—$117,792,879)</w:t>
            </w:r>
          </w:p>
        </w:tc>
        <w:tc>
          <w:tcPr>
            <w:tcW w:w="120" w:type="dxa"/>
            <w:vAlign w:val="bottom"/>
          </w:tcPr>
          <w:p>
            <w:pPr>
              <w:spacing w:after="0"/>
              <w:rPr>
                <w:sz w:val="18"/>
                <w:szCs w:val="18"/>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w w:val="93"/>
              </w:rPr>
              <w:t>110,607,514</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110,607,514</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Existing Notes payable, net (par—$100,000,000)</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97,013,575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97,013,575</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2031 Asset-Backed Debt, net (par—$228,000,000)</w:t>
            </w:r>
          </w:p>
        </w:tc>
        <w:tc>
          <w:tcPr>
            <w:tcW w:w="120" w:type="dxa"/>
            <w:vAlign w:val="bottom"/>
          </w:tcPr>
          <w:p>
            <w:pPr>
              <w:spacing w:after="0"/>
              <w:rPr>
                <w:sz w:val="18"/>
                <w:szCs w:val="18"/>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w w:val="93"/>
              </w:rPr>
              <w:t>225,339,466</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225,339,466</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Notes (par—$85,000,000)</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84,332,500</w:t>
            </w:r>
          </w:p>
        </w:tc>
      </w:tr>
      <w:tr>
        <w:trPr>
          <w:trHeight w:val="216"/>
        </w:trPr>
        <w:tc>
          <w:tcPr>
            <w:tcW w:w="7300" w:type="dxa"/>
            <w:vAlign w:val="bottom"/>
          </w:tcPr>
          <w:p>
            <w:pPr>
              <w:spacing w:after="0"/>
              <w:rPr>
                <w:sz w:val="20"/>
                <w:szCs w:val="20"/>
                <w:color w:val="auto"/>
              </w:rPr>
            </w:pPr>
            <w:r>
              <w:rPr>
                <w:rFonts w:ascii="Arial" w:cs="Arial" w:eastAsia="Arial" w:hAnsi="Arial"/>
                <w:sz w:val="18"/>
                <w:szCs w:val="18"/>
                <w:b w:val="1"/>
                <w:bCs w:val="1"/>
                <w:color w:val="auto"/>
              </w:rPr>
              <w:t>Net Asset Value</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7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Common stock, 38,772,074 shares issued and outstanding, par value $0.001 per share, and</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7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100,000,000 shares authorized</w:t>
            </w:r>
          </w:p>
        </w:tc>
        <w:tc>
          <w:tcPr>
            <w:tcW w:w="1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38,772</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38,772</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Paid-in capital in excess of par value</w:t>
            </w:r>
          </w:p>
        </w:tc>
        <w:tc>
          <w:tcPr>
            <w:tcW w:w="120" w:type="dxa"/>
            <w:vAlign w:val="bottom"/>
          </w:tcPr>
          <w:p>
            <w:pPr>
              <w:spacing w:after="0"/>
              <w:rPr>
                <w:sz w:val="18"/>
                <w:szCs w:val="18"/>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w w:val="93"/>
              </w:rPr>
              <w:t>538,151,527</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538,151,527</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Accumulated distributable net loss</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(41,558,619)</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(41,558,619)</w:t>
            </w:r>
          </w:p>
        </w:tc>
      </w:tr>
      <w:tr>
        <w:trPr>
          <w:trHeight w:val="224"/>
        </w:trPr>
        <w:tc>
          <w:tcPr>
            <w:tcW w:w="7300" w:type="dxa"/>
            <w:vAlign w:val="bottom"/>
          </w:tcPr>
          <w:p>
            <w:pPr>
              <w:spacing w:after="0"/>
              <w:rPr>
                <w:sz w:val="20"/>
                <w:szCs w:val="20"/>
                <w:color w:val="auto"/>
              </w:rPr>
            </w:pPr>
            <w:r>
              <w:rPr>
                <w:rFonts w:ascii="Arial" w:cs="Arial" w:eastAsia="Arial" w:hAnsi="Arial"/>
                <w:sz w:val="18"/>
                <w:szCs w:val="18"/>
                <w:color w:val="auto"/>
              </w:rPr>
              <w:t>Total net assets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496,631,680</w:t>
            </w:r>
          </w:p>
        </w:tc>
        <w:tc>
          <w:tcPr>
            <w:tcW w:w="5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496,631,680</w:t>
            </w:r>
          </w:p>
        </w:tc>
        <w:tc>
          <w:tcPr>
            <w:tcW w:w="120" w:type="dxa"/>
            <w:vAlign w:val="bottom"/>
          </w:tcPr>
          <w:p>
            <w:pPr>
              <w:spacing w:after="0"/>
              <w:rPr>
                <w:sz w:val="19"/>
                <w:szCs w:val="19"/>
                <w:color w:val="auto"/>
              </w:rPr>
            </w:pPr>
          </w:p>
        </w:tc>
      </w:tr>
    </w:tbl>
    <w:p>
      <w:pPr>
        <w:ind w:left="660" w:right="380" w:hanging="544"/>
        <w:spacing w:after="0" w:line="25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August 12, 2021, we terminated the Credit Facility, and Funding I entered into the New Credit Facility, which provides the ability for Funding I to borrow up to $300 million. As of September 30, 2021, we had $219.4 million of borrowings outstanding under our New Credit Facility.</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THE NOTES</w:t>
      </w:r>
    </w:p>
    <w:p>
      <w:pPr>
        <w:spacing w:after="0" w:line="229" w:lineRule="exact"/>
        <w:rPr>
          <w:sz w:val="20"/>
          <w:szCs w:val="20"/>
          <w:color w:val="auto"/>
        </w:rPr>
      </w:pPr>
    </w:p>
    <w:p>
      <w:pPr>
        <w:ind w:left="120" w:right="900"/>
        <w:spacing w:after="0" w:line="277" w:lineRule="auto"/>
        <w:rPr>
          <w:sz w:val="20"/>
          <w:szCs w:val="20"/>
          <w:color w:val="auto"/>
        </w:rPr>
      </w:pPr>
      <w:r>
        <w:rPr>
          <w:rFonts w:ascii="Arial" w:cs="Arial" w:eastAsia="Arial" w:hAnsi="Arial"/>
          <w:sz w:val="18"/>
          <w:szCs w:val="18"/>
          <w:i w:val="1"/>
          <w:iCs w:val="1"/>
          <w:color w:val="auto"/>
        </w:rPr>
        <w:t>We will issue the Notes under that certain base indenture, or the base indenture, as supplemented by the first supplemental indenture, or the supplemental indenture, each dated as of March 23, 2021.</w:t>
      </w:r>
    </w:p>
    <w:p>
      <w:pPr>
        <w:spacing w:after="0" w:line="170" w:lineRule="exact"/>
        <w:rPr>
          <w:sz w:val="20"/>
          <w:szCs w:val="20"/>
          <w:color w:val="auto"/>
        </w:rPr>
      </w:pPr>
    </w:p>
    <w:p>
      <w:pPr>
        <w:ind w:left="120" w:right="160"/>
        <w:spacing w:after="0" w:line="291" w:lineRule="auto"/>
        <w:rPr>
          <w:sz w:val="20"/>
          <w:szCs w:val="20"/>
          <w:color w:val="auto"/>
        </w:rPr>
      </w:pPr>
      <w:r>
        <w:rPr>
          <w:rFonts w:ascii="Arial" w:cs="Arial" w:eastAsia="Arial" w:hAnsi="Arial"/>
          <w:sz w:val="16"/>
          <w:szCs w:val="16"/>
          <w:i w:val="1"/>
          <w:iCs w:val="1"/>
          <w:color w:val="auto"/>
        </w:rPr>
        <w:t>As used in this section, all references to the indenture mean the base indenture as supplemented by the supplemental indenture. The terms of the Notes include those expressly set forth in the indenture and those made part of the indenture by reference to the Trust Indenture Act of 1939, as amended, or the TIA. The Notes offered hereby will be treated as a single series with the Existing Notes under the indenture and will have the same terms as the Existing Notes. The Notes offered hereby will have the same CUSIP number and will be fungible and rank equally with the Existing Notes. Upon the issuance of the Notes offered hereby, the outstanding aggregate principal amount of our 4.25% notes due 2026 will be $185 million. We refer to the “Notes” and the “Existing Notes” separately within this prospectus supplement because only the Notes are being offered hereby, but any general discussion of the terms of the Notes also would apply to the Existing Notes because they are treated as the same under the indenture.</w:t>
      </w:r>
    </w:p>
    <w:p>
      <w:pPr>
        <w:spacing w:after="0" w:line="166"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i w:val="1"/>
          <w:iCs w:val="1"/>
          <w:color w:val="auto"/>
        </w:rPr>
        <w:t>The following description is a summary of the material provisions of the Notes and the indenture and does not purport to be complete. This summary is subject to and is qualified by reference to all the provisions of the Notes and the indenture, including the definitions of certain terms used in the indenture. We urge you to read these documents because they, and not this description, define your rights as a holder of the Notes.</w:t>
      </w:r>
    </w:p>
    <w:p>
      <w:pPr>
        <w:spacing w:after="0" w:line="165"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i w:val="1"/>
          <w:iCs w:val="1"/>
          <w:color w:val="auto"/>
        </w:rPr>
        <w:t>For purposes of this description, references to the “Company,” “we,” “our” or “us” refer only to PennantPark Floating Rate Capital Ltd., and not to any of its current or future subsidiaries and references to “subsidiaries” refer only to the Company’s consolidated subsidiaries and exclude any investments held by the Company in the ordinary course of business which are not, under GAAP, consolidated on the financial statements of the Company and its subsidiaries.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Notes offered hereby:</w:t>
      </w:r>
    </w:p>
    <w:p>
      <w:pPr>
        <w:spacing w:after="0" w:line="131" w:lineRule="exact"/>
        <w:rPr>
          <w:sz w:val="20"/>
          <w:szCs w:val="20"/>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will be the Company’s direct, general unsecured, senior obligations;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will initially be issued in an aggregate principal amount of $85 million;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will mature on April 1, 2026, unless earlier redeemed or repurchased, as discussed below;</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will bear interest from October 1, 2021 at an annual rate of 4.25% payable semi-annually on April 1 and October 1 of each year, beginning on April 1, 2022;</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will be subject to redemption at the Company’s option as described under “</w:t>
      </w:r>
      <w:r>
        <w:rPr>
          <w:rFonts w:ascii="Arial" w:cs="Arial" w:eastAsia="Arial" w:hAnsi="Arial"/>
          <w:sz w:val="18"/>
          <w:szCs w:val="18"/>
          <w:i w:val="1"/>
          <w:iCs w:val="1"/>
          <w:color w:val="auto"/>
        </w:rPr>
        <w:t>—</w:t>
      </w:r>
      <w:r>
        <w:rPr>
          <w:rFonts w:ascii="Arial" w:cs="Arial" w:eastAsia="Arial" w:hAnsi="Arial"/>
          <w:sz w:val="18"/>
          <w:szCs w:val="18"/>
          <w:color w:val="auto"/>
        </w:rPr>
        <w:t>Optional Redemption”;</w:t>
      </w:r>
    </w:p>
    <w:p>
      <w:pPr>
        <w:spacing w:after="0" w:line="130" w:lineRule="exact"/>
        <w:rPr>
          <w:rFonts w:ascii="Arial" w:cs="Arial" w:eastAsia="Arial" w:hAnsi="Arial"/>
          <w:sz w:val="18"/>
          <w:szCs w:val="18"/>
          <w:color w:val="auto"/>
        </w:rPr>
      </w:pPr>
    </w:p>
    <w:p>
      <w:pPr>
        <w:ind w:left="1080" w:right="120" w:hanging="424"/>
        <w:spacing w:after="0" w:line="286" w:lineRule="auto"/>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will be subject to repurchase by the Company at the option of the holders following a Change of Control Repurchase Event (as defined below under “</w:t>
      </w:r>
      <w:r>
        <w:rPr>
          <w:rFonts w:ascii="Arial" w:cs="Arial" w:eastAsia="Arial" w:hAnsi="Arial"/>
          <w:sz w:val="17"/>
          <w:szCs w:val="17"/>
          <w:i w:val="1"/>
          <w:iCs w:val="1"/>
          <w:color w:val="auto"/>
        </w:rPr>
        <w:t>—</w:t>
      </w:r>
      <w:r>
        <w:rPr>
          <w:rFonts w:ascii="Arial" w:cs="Arial" w:eastAsia="Arial" w:hAnsi="Arial"/>
          <w:sz w:val="17"/>
          <w:szCs w:val="17"/>
          <w:color w:val="auto"/>
        </w:rPr>
        <w:t xml:space="preserve">Offer to Repurchase Upon a Change of Control Repurchase Event”), at a repurchase price equal to 100% of the principal amount of the Notes to be repurchased, </w:t>
      </w:r>
      <w:r>
        <w:rPr>
          <w:rFonts w:ascii="Arial" w:cs="Arial" w:eastAsia="Arial" w:hAnsi="Arial"/>
          <w:sz w:val="17"/>
          <w:szCs w:val="17"/>
          <w:i w:val="1"/>
          <w:iCs w:val="1"/>
          <w:color w:val="auto"/>
        </w:rPr>
        <w:t>plus</w:t>
      </w:r>
      <w:r>
        <w:rPr>
          <w:rFonts w:ascii="Arial" w:cs="Arial" w:eastAsia="Arial" w:hAnsi="Arial"/>
          <w:sz w:val="17"/>
          <w:szCs w:val="17"/>
          <w:color w:val="auto"/>
        </w:rPr>
        <w:t xml:space="preserve"> accrued and unpaid interest to, but excluding, the date of repurchase;</w:t>
      </w:r>
    </w:p>
    <w:p>
      <w:pPr>
        <w:spacing w:after="0" w:line="70" w:lineRule="exact"/>
        <w:rPr>
          <w:rFonts w:ascii="Arial" w:cs="Arial" w:eastAsia="Arial" w:hAnsi="Arial"/>
          <w:sz w:val="17"/>
          <w:szCs w:val="17"/>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will be issued in denominations of $2,000 and integral multiples of $1,000 in excess thereof; and</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will be represented by one or more registered Notes in global form, but in certain limited circumstances may be represented by Notes in definitive form. See “</w:t>
      </w:r>
      <w:r>
        <w:rPr>
          <w:rFonts w:ascii="Arial" w:cs="Arial" w:eastAsia="Arial" w:hAnsi="Arial"/>
          <w:sz w:val="18"/>
          <w:szCs w:val="18"/>
          <w:i w:val="1"/>
          <w:iCs w:val="1"/>
          <w:color w:val="auto"/>
        </w:rPr>
        <w:t>—</w:t>
      </w:r>
      <w:r>
        <w:rPr>
          <w:rFonts w:ascii="Arial" w:cs="Arial" w:eastAsia="Arial" w:hAnsi="Arial"/>
          <w:sz w:val="18"/>
          <w:szCs w:val="18"/>
          <w:color w:val="auto"/>
        </w:rPr>
        <w:t>Book-Entry, Settlement and Clearance”.</w:t>
      </w:r>
    </w:p>
    <w:p>
      <w:pPr>
        <w:spacing w:after="0" w:line="170" w:lineRule="exact"/>
        <w:rPr>
          <w:sz w:val="20"/>
          <w:szCs w:val="20"/>
          <w:color w:val="auto"/>
        </w:rPr>
      </w:pPr>
    </w:p>
    <w:p>
      <w:pPr>
        <w:ind w:left="120" w:right="140"/>
        <w:spacing w:after="0" w:line="311" w:lineRule="auto"/>
        <w:rPr>
          <w:sz w:val="20"/>
          <w:szCs w:val="20"/>
          <w:color w:val="auto"/>
        </w:rPr>
      </w:pPr>
      <w:r>
        <w:rPr>
          <w:rFonts w:ascii="Arial" w:cs="Arial" w:eastAsia="Arial" w:hAnsi="Arial"/>
          <w:sz w:val="16"/>
          <w:szCs w:val="16"/>
          <w:color w:val="auto"/>
        </w:rPr>
        <w:t>The indenture does not limit the amount of debt that may be issued by the Company or its subsidiaries under the indenture or otherwise. The indenture does not contain any financial covenants and does not restrict us from paying dividends or issuing or repurchasing its other securities. Other than restrictions described under “</w:t>
      </w:r>
      <w:r>
        <w:rPr>
          <w:rFonts w:ascii="Arial" w:cs="Arial" w:eastAsia="Arial" w:hAnsi="Arial"/>
          <w:sz w:val="16"/>
          <w:szCs w:val="16"/>
          <w:i w:val="1"/>
          <w:iCs w:val="1"/>
          <w:color w:val="auto"/>
        </w:rPr>
        <w:t>—</w:t>
      </w:r>
      <w:r>
        <w:rPr>
          <w:rFonts w:ascii="Arial" w:cs="Arial" w:eastAsia="Arial" w:hAnsi="Arial"/>
          <w:sz w:val="16"/>
          <w:szCs w:val="16"/>
          <w:color w:val="auto"/>
        </w:rPr>
        <w:t>Offer to Repurchase Upon a Change of Control Repurchase Event” and “</w:t>
      </w:r>
      <w:r>
        <w:rPr>
          <w:rFonts w:ascii="Arial" w:cs="Arial" w:eastAsia="Arial" w:hAnsi="Arial"/>
          <w:sz w:val="16"/>
          <w:szCs w:val="16"/>
          <w:i w:val="1"/>
          <w:iCs w:val="1"/>
          <w:color w:val="auto"/>
        </w:rPr>
        <w:t>—</w:t>
      </w:r>
      <w:r>
        <w:rPr>
          <w:rFonts w:ascii="Arial" w:cs="Arial" w:eastAsia="Arial" w:hAnsi="Arial"/>
          <w:sz w:val="16"/>
          <w:szCs w:val="16"/>
          <w:color w:val="auto"/>
        </w:rPr>
        <w:t>Merger, Consolidation or Sale of Assets”</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080"/>
          </w:cols>
          <w:pgMar w:left="320" w:top="459" w:right="4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 xml:space="preserve">below, the indenture does not contain any covenants or other provisions designed to afford holders of the Notes protection in the event of a highly leveraged transaction involving the Company or in the event of a decline in our credit rating as the result of a takeover, recapitalization, highly leveraged transaction or similar restructuring involving the Company that could adversely affect such holders. We may, without the consent of the holders, issue additional Notes under the indenture with the same terms (except that the first payment date and the date from which interest may accrue may be different) in an unlimited aggregate principal amount;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additional Notes must be part of the same issue as the Notes offered hereby for U.S. federal income tax purposes if represented by the same CUSIP number as the Notes offered hereby. The $85 million aggregate principal amount of Notes offered hereby will be issued as additional Notes under the indenture.</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do not intend to list the Notes on any securities exchange or any automated dealer quotation system.</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Payments on the Notes; Paying Agent and Registrar; Transfer and Exchange</w:t>
      </w:r>
    </w:p>
    <w:p>
      <w:pPr>
        <w:spacing w:after="0" w:line="121" w:lineRule="exact"/>
        <w:rPr>
          <w:sz w:val="20"/>
          <w:szCs w:val="20"/>
          <w:color w:val="auto"/>
        </w:rPr>
      </w:pPr>
    </w:p>
    <w:p>
      <w:pPr>
        <w:ind w:left="120" w:right="360"/>
        <w:spacing w:after="0" w:line="308" w:lineRule="auto"/>
        <w:rPr>
          <w:sz w:val="20"/>
          <w:szCs w:val="20"/>
          <w:color w:val="auto"/>
        </w:rPr>
      </w:pPr>
      <w:r>
        <w:rPr>
          <w:rFonts w:ascii="Arial" w:cs="Arial" w:eastAsia="Arial" w:hAnsi="Arial"/>
          <w:sz w:val="17"/>
          <w:szCs w:val="17"/>
          <w:color w:val="auto"/>
        </w:rPr>
        <w:t>We will pay the principal of, and interest on, Notes in global form registered in the name of or held by DTC or its nominee in immediately available funds to DTC or its nominee, as the case may be, as the registered holder of such Global Note (as defined below).</w:t>
      </w:r>
    </w:p>
    <w:p>
      <w:pPr>
        <w:spacing w:after="0" w:line="146"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Payment of principal of (and premium, if any) and any such interest on the Notes will be made at the corporate trust office of the paying agent, which initially shall be the trustee, in such coin or currency of the United States of America as at the time of payment is legal tender for payment of public and private debts; provided, however, that, in the case of Notes that are not in global form, at our option, payment of interest may be made by check mailed to the address of the person entitled thereto as such address shall appear in the security register.</w:t>
      </w:r>
    </w:p>
    <w:p>
      <w:pPr>
        <w:spacing w:after="0" w:line="17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A holder of Notes may transfer or exchange Notes at the office of the registrar in accordance with the indenture. A holder may be required, among other things, to furnish appropriate endorsements and transfer documents. No service charge will be imposed by us, the trustee or the registrar for any registration of transfer or exchange of Notes, but we may require a holder to pay a sum sufficient to cover any transfer tax or other similar governmental charge required by law or permitted by the indenture.</w:t>
      </w:r>
    </w:p>
    <w:p>
      <w:pPr>
        <w:spacing w:after="0" w:line="187" w:lineRule="exact"/>
        <w:rPr>
          <w:sz w:val="20"/>
          <w:szCs w:val="20"/>
          <w:color w:val="auto"/>
        </w:rPr>
      </w:pPr>
    </w:p>
    <w:p>
      <w:pPr>
        <w:jc w:val="both"/>
        <w:ind w:left="120" w:right="180"/>
        <w:spacing w:after="0" w:line="286" w:lineRule="auto"/>
        <w:rPr>
          <w:sz w:val="20"/>
          <w:szCs w:val="20"/>
          <w:color w:val="auto"/>
        </w:rPr>
      </w:pPr>
      <w:r>
        <w:rPr>
          <w:rFonts w:ascii="Arial" w:cs="Arial" w:eastAsia="Arial" w:hAnsi="Arial"/>
          <w:sz w:val="17"/>
          <w:szCs w:val="17"/>
          <w:color w:val="auto"/>
        </w:rPr>
        <w:t>The transferor shall provide to the trustee all information reasonably requested by the trustee that is necessary to allow the trustee to comply with any applicable tax reporting obligations, including without limitation any cost basis reporting obligations under Section 6045 of the Code. The trustee may rely on the information provided to it and shall have no responsibility to verify or ensure the accuracy of such information.</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registered holder of the Notes will be treated as its owner for all purposes.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w:t>
      </w:r>
    </w:p>
    <w:p>
      <w:pPr>
        <w:spacing w:after="0" w:line="121"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The Notes will bear cash interest at a rate of 4.25% per year until maturity. Interest on the Notes offered hereby will accrue from October 1, 2021 up to, but not including, the date of delivery, which will be paid by the purchasers of the Notes offered hereby, or the Aggregate Accrued Interest. On April 1, 2022, we will pay the Aggregate Accrued Interest to the holders of the Notes offered hereby as of the applicable record date along with interest accrued on the Notes offered hereby from the date of delivery to such interest payment date. Interest will be payable semiannually in arrears on April 1 and October 1 of each year, beginning on April 1, 2022 with respect to the Notes offered hereby.</w:t>
      </w:r>
    </w:p>
    <w:p>
      <w:pPr>
        <w:spacing w:after="0" w:line="176"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Interest will be paid to the person in whose name the Notes is registered at 5:00 p.m. New York City time (the “close of business”) on or (whether or not a business day), as the case may be, immediately preceding the relevant interest payment date. Interest on the Notes will be computed on the basis of a 360-day year composed of twelve 30-day months.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57" w:lineRule="auto"/>
        <w:rPr>
          <w:sz w:val="20"/>
          <w:szCs w:val="20"/>
          <w:color w:val="auto"/>
        </w:rPr>
      </w:pPr>
      <w:r>
        <w:rPr>
          <w:rFonts w:ascii="Arial" w:cs="Arial" w:eastAsia="Arial" w:hAnsi="Arial"/>
          <w:sz w:val="18"/>
          <w:szCs w:val="18"/>
          <w:color w:val="auto"/>
        </w:rPr>
        <w:t>If any interest payment date, redemption date, the maturity date or any earlier required repurchase date upon a Change of Control Repurchase Event (defined below) of the Notes falls on a day that is not a business day, the required payment will be made on the next succeeding business day and no interest on such payment will accrue in respect of the delay. The term “business day” means, with respect to any of the Notes, any day other than a Saturday, a Sunday or a day on which banking institutions in New York or the city in which the corporate trust office of the trustee is located are authorized or obligated by law or executive order to close.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Ranking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Notes offered hereby will be the Company’s direct, general unsecured obligations that will rank:</w:t>
      </w:r>
    </w:p>
    <w:p>
      <w:pPr>
        <w:spacing w:after="0" w:line="131" w:lineRule="exact"/>
        <w:rPr>
          <w:sz w:val="20"/>
          <w:szCs w:val="20"/>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pari passu </w:t>
      </w:r>
      <w:r>
        <w:rPr>
          <w:rFonts w:ascii="Arial" w:cs="Arial" w:eastAsia="Arial" w:hAnsi="Arial"/>
          <w:sz w:val="18"/>
          <w:szCs w:val="18"/>
          <w:color w:val="auto"/>
        </w:rPr>
        <w:t>in right of payment with any existing and future unsecured unsubordinated indebtedness, including approximately</w:t>
      </w:r>
    </w:p>
    <w:p>
      <w:pPr>
        <w:spacing w:after="0" w:line="23" w:lineRule="exact"/>
        <w:rPr>
          <w:rFonts w:ascii="Arial" w:cs="Arial" w:eastAsia="Arial" w:hAnsi="Arial"/>
          <w:sz w:val="18"/>
          <w:szCs w:val="18"/>
          <w:color w:val="auto"/>
        </w:rPr>
      </w:pPr>
    </w:p>
    <w:p>
      <w:pPr>
        <w:ind w:left="1080" w:right="240"/>
        <w:spacing w:after="0" w:line="260" w:lineRule="auto"/>
        <w:rPr>
          <w:rFonts w:ascii="Arial" w:cs="Arial" w:eastAsia="Arial" w:hAnsi="Arial"/>
          <w:sz w:val="18"/>
          <w:szCs w:val="18"/>
          <w:color w:val="auto"/>
        </w:rPr>
      </w:pPr>
      <w:r>
        <w:rPr>
          <w:rFonts w:ascii="Arial" w:cs="Arial" w:eastAsia="Arial" w:hAnsi="Arial"/>
          <w:sz w:val="18"/>
          <w:szCs w:val="18"/>
          <w:color w:val="auto"/>
        </w:rPr>
        <w:t>$117.8 million aggregate principal outstanding under our 2023 Notes and approximately $100.0 million aggregate principal outstanding under our Existing Notes, each as of June 30, 2021;</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senior to any of our future indebtedness that expressly states it is subordinated in right of payment to the Notes;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senior to any series of preferred stock that we may issue in the future;</w:t>
      </w:r>
    </w:p>
    <w:p>
      <w:pPr>
        <w:spacing w:after="0" w:line="130" w:lineRule="exact"/>
        <w:rPr>
          <w:rFonts w:ascii="Arial" w:cs="Arial" w:eastAsia="Arial" w:hAnsi="Arial"/>
          <w:sz w:val="18"/>
          <w:szCs w:val="18"/>
          <w:color w:val="auto"/>
        </w:rPr>
      </w:pPr>
    </w:p>
    <w:p>
      <w:pPr>
        <w:ind w:left="1080" w:right="160" w:hanging="424"/>
        <w:spacing w:after="0" w:line="342"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effectively subordinated in right of payment to all of our existing and future secured indebtedness (including indebtedness that is initially unsecured, but to which we subsequently grant security), to the extent of the value of the assets securing such indebtedness; and</w:t>
      </w:r>
    </w:p>
    <w:p>
      <w:pPr>
        <w:spacing w:after="0" w:line="29" w:lineRule="exact"/>
        <w:rPr>
          <w:rFonts w:ascii="Arial" w:cs="Arial" w:eastAsia="Arial" w:hAnsi="Arial"/>
          <w:sz w:val="16"/>
          <w:szCs w:val="16"/>
          <w:color w:val="auto"/>
        </w:rPr>
      </w:pPr>
    </w:p>
    <w:p>
      <w:pPr>
        <w:ind w:left="1080" w:right="220" w:hanging="424"/>
        <w:spacing w:after="0" w:line="259"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structurally subordinated to all existing and future indebtedness and other obligations of any of our subsidiaries, financing vehicles or similar facilities, including without limitation, (i) borrowings outstanding under our New Credit Facility, to the extent of the value of the assets securing our New Credit Facility and (ii) approximately $228.0 million outstanding under our 2031 Asset-Backed Debt as of June 30, 2021.</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of June 30, 2021, we had $579.2 million of debt outstanding, of which $217.8 million was unsecured and unsubordinated indebtedness and</w:t>
      </w:r>
    </w:p>
    <w:p>
      <w:pPr>
        <w:spacing w:after="0" w:line="35"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color w:val="auto"/>
        </w:rPr>
        <w:t>$361.4 million was secured indebtedness. On August 12, 2021, we terminated the Credit Facility, and Funding I entered into the New Credit Facility, which provides the ability for Funding I to borrow up to $300 million. After giving effect to the issuance of the Notes, assuming no repayment of amounts owed under the Credit Facility, our total indebtedness would have been approximately $664.2 million aggregate principal amount outstanding as of June 30, 2021.</w:t>
      </w:r>
    </w:p>
    <w:p>
      <w:pPr>
        <w:spacing w:after="0" w:line="193"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In the event of the Company’s bankruptcy, liquidation, reorganization or other winding up, its assets that secure secured debt will be available to pay obligations on the Notes only after all indebtedness under such secured debt has been repaid in full from such assets. We advise you that there may not be sufficient assets remaining to pay amounts due on any or all the Notes then outstanding.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We may redeem some or all of the Notes at any time, or from time to time. If we choose to redeem any of the Notes prior to maturity, we will pay a redemption price equal to the greater of the following amounts, plus, in each case, accrued and unpaid interest to, but not including, the redemption date:</w:t>
      </w:r>
    </w:p>
    <w:p>
      <w:pPr>
        <w:spacing w:after="0" w:line="29"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or</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(exclusive of accrued and unpaid interest to the date of redemption) on the Notes to be redeemed, discounted to the redemption date on a semi-annual basis (assuming a 360-day year consisting of twelve 30-day months) using the applicable Treasury Rate plus 50 basis points;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 however, that if we redeem any of the Notes on or after January 1, 2026 (the date falling three months prior to the maturity date of the Notes),</w:t>
      </w:r>
      <w:r>
        <w:rPr>
          <w:rFonts w:ascii="Arial" w:cs="Arial" w:eastAsia="Arial" w:hAnsi="Arial"/>
          <w:sz w:val="18"/>
          <w:szCs w:val="18"/>
          <w:i w:val="1"/>
          <w:iCs w:val="1"/>
          <w:color w:val="auto"/>
        </w:rPr>
        <w:t xml:space="preserve"> </w:t>
      </w:r>
      <w:r>
        <w:rPr>
          <w:rFonts w:ascii="Arial" w:cs="Arial" w:eastAsia="Arial" w:hAnsi="Arial"/>
          <w:sz w:val="18"/>
          <w:szCs w:val="18"/>
          <w:color w:val="auto"/>
        </w:rPr>
        <w:t>the redemption price for the Notes will be equal to 100% of the principal amount of the Notes to be redeemed, plus accrued and unpaid interest, if any, to, but excluding, the date of redemption.</w:t>
      </w:r>
    </w:p>
    <w:p>
      <w:pPr>
        <w:spacing w:after="0" w:line="184"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 xml:space="preserve">If we choose to redeem any of the Notes, we will deliver a notice of redemption to holders of the Notes not less than 30 nor more than 60 days before the redemption date. Any exercise of our option to redeem the Notes will be done in compliance with the 1940 Act. If we are redeeming less than all of the Notes, the particular Notes to be redeemed will be selected by the trustee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to the extent practicable, or, if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is not practicable for any reason, by lot or in such other manner as the Trustee shall deem fair and appropriate, and in any case in accordance with the applicable procedures of DTC and in accordance with the 1940 Act as directed by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however, that no such partial redemption shall reduce the portion of the principal amount of the Notes not redeemed to less than $2,000. Unless we default in payment of the redemption price, on and after the redemption date, interest will cease to accrue on the Notes or portions of the Notes called for redemption.</w:t>
      </w:r>
    </w:p>
    <w:p>
      <w:pPr>
        <w:spacing w:after="0" w:line="166" w:lineRule="exact"/>
        <w:rPr>
          <w:sz w:val="20"/>
          <w:szCs w:val="20"/>
          <w:color w:val="auto"/>
        </w:rPr>
      </w:pPr>
    </w:p>
    <w:p>
      <w:pPr>
        <w:jc w:val="both"/>
        <w:ind w:left="120" w:right="120"/>
        <w:spacing w:after="0" w:line="277" w:lineRule="auto"/>
        <w:rPr>
          <w:sz w:val="20"/>
          <w:szCs w:val="20"/>
          <w:color w:val="auto"/>
        </w:rPr>
      </w:pPr>
      <w:r>
        <w:rPr>
          <w:rFonts w:ascii="Arial" w:cs="Arial" w:eastAsia="Arial" w:hAnsi="Arial"/>
          <w:sz w:val="18"/>
          <w:szCs w:val="18"/>
          <w:color w:val="auto"/>
        </w:rPr>
        <w:t>For purposes of calculating the redemption price in connection with the redemption of the Notes, on any redemption date, the following terms have the meanings set forth below:</w:t>
      </w:r>
    </w:p>
    <w:p>
      <w:pPr>
        <w:spacing w:after="0" w:line="170" w:lineRule="exact"/>
        <w:rPr>
          <w:sz w:val="20"/>
          <w:szCs w:val="20"/>
          <w:color w:val="auto"/>
        </w:rPr>
      </w:pPr>
    </w:p>
    <w:p>
      <w:pPr>
        <w:jc w:val="both"/>
        <w:ind w:left="120" w:right="120"/>
        <w:spacing w:after="0" w:line="286" w:lineRule="auto"/>
        <w:rPr>
          <w:sz w:val="20"/>
          <w:szCs w:val="20"/>
          <w:color w:val="auto"/>
        </w:rPr>
      </w:pPr>
      <w:r>
        <w:rPr>
          <w:rFonts w:ascii="Arial" w:cs="Arial" w:eastAsia="Arial" w:hAnsi="Arial"/>
          <w:sz w:val="17"/>
          <w:szCs w:val="17"/>
          <w:color w:val="auto"/>
        </w:rPr>
        <w:t>“Comparable Treasury Issue” means the United States Treasury security selected by the Reference Treasury Dealer as having a maturity comparable to the remaining term of the Notes to be redeemed that would be utilized, at the time of selection and in accordance with customary financing practice, in pricing new issues of corporate debt securities of comparable maturity to the remaining term of the Notes being redeemed.</w:t>
      </w:r>
    </w:p>
    <w:p>
      <w:pPr>
        <w:spacing w:after="0" w:line="165"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“Comparable Treasury Price” means (1) the average of the remaining Reference Treasury Dealer Quotations for the redemption date, after excluding the highest and lowest Reference Treasury Dealer Quotations, or (2) if the Quotation Agent obtains fewer than four such Reference Treasury Dealer quotations, the average of all such quotations.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“Quotation Agent” means a Reference Treasury Dealer selected by the Company.</w:t>
      </w:r>
    </w:p>
    <w:p>
      <w:pPr>
        <w:spacing w:after="0" w:line="225" w:lineRule="exact"/>
        <w:rPr>
          <w:sz w:val="20"/>
          <w:szCs w:val="20"/>
          <w:color w:val="auto"/>
        </w:rPr>
      </w:pPr>
    </w:p>
    <w:p>
      <w:pPr>
        <w:jc w:val="both"/>
        <w:ind w:left="120" w:right="40"/>
        <w:spacing w:after="0" w:line="311" w:lineRule="auto"/>
        <w:rPr>
          <w:sz w:val="20"/>
          <w:szCs w:val="20"/>
          <w:color w:val="auto"/>
        </w:rPr>
      </w:pPr>
      <w:r>
        <w:rPr>
          <w:rFonts w:ascii="Arial" w:cs="Arial" w:eastAsia="Arial" w:hAnsi="Arial"/>
          <w:sz w:val="16"/>
          <w:szCs w:val="16"/>
          <w:color w:val="auto"/>
        </w:rPr>
        <w:t xml:space="preserve">“Reference Treasury Dealer” means each of (1) Goldman Sachs &amp; Co. LLC or its affiliates which is a primary U.S. government securities dealer in the United States (a “Primary Treasury Dealer”) and its successors; </w:t>
      </w:r>
      <w:r>
        <w:rPr>
          <w:rFonts w:ascii="Arial" w:cs="Arial" w:eastAsia="Arial" w:hAnsi="Arial"/>
          <w:sz w:val="16"/>
          <w:szCs w:val="16"/>
          <w:i w:val="1"/>
          <w:iCs w:val="1"/>
          <w:color w:val="auto"/>
        </w:rPr>
        <w:t>provided</w:t>
      </w:r>
      <w:r>
        <w:rPr>
          <w:rFonts w:ascii="Arial" w:cs="Arial" w:eastAsia="Arial" w:hAnsi="Arial"/>
          <w:sz w:val="16"/>
          <w:szCs w:val="16"/>
          <w:color w:val="auto"/>
        </w:rPr>
        <w:t>, however, that if Goldman Sachs &amp; Co. LLC or its affiliates shall cease to be a Primary Treasury Dealer, we shall select another Primary Treasury Dealer, and (2) two other Primary Treasury Dealers selected by us.</w:t>
      </w:r>
    </w:p>
    <w:p>
      <w:pPr>
        <w:spacing w:after="0" w:line="14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3:30 p.m. New York time on the third business day preceding such redemption date.</w:t>
      </w:r>
    </w:p>
    <w:p>
      <w:pPr>
        <w:spacing w:after="0" w:line="187"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yield-to-maturity of the Comparable Treasury Issue (computed as of the third business day immediately preceding the redemption), assuming a price for the Comparable Treasury Issue (expressed as a percentage of its principal amount) equal to the Comparable Treasury Price for such redemption date. The redemption price and the Treasury Rate will be determined by us.</w:t>
      </w:r>
    </w:p>
    <w:p>
      <w:pPr>
        <w:spacing w:after="0" w:line="187"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All determinations made by any Reference Treasury Dealer, including the Quotation Agent, with respect to determining the redemption price will be final and binding absent manifest error.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00"/>
          </w:cols>
          <w:pgMar w:left="32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Offer to Repurchase Upon a Change of Control Repurchase Event</w:t>
      </w:r>
    </w:p>
    <w:p>
      <w:pPr>
        <w:spacing w:after="0" w:line="121" w:lineRule="exact"/>
        <w:rPr>
          <w:sz w:val="20"/>
          <w:szCs w:val="20"/>
          <w:color w:val="auto"/>
        </w:rPr>
      </w:pPr>
    </w:p>
    <w:p>
      <w:pPr>
        <w:ind w:left="120"/>
        <w:spacing w:after="0" w:line="266" w:lineRule="auto"/>
        <w:rPr>
          <w:sz w:val="20"/>
          <w:szCs w:val="20"/>
          <w:color w:val="auto"/>
        </w:rPr>
      </w:pPr>
      <w:r>
        <w:rPr>
          <w:rFonts w:ascii="Arial" w:cs="Arial" w:eastAsia="Arial" w:hAnsi="Arial"/>
          <w:sz w:val="17"/>
          <w:szCs w:val="17"/>
          <w:color w:val="auto"/>
        </w:rPr>
        <w:t>If a Change of Control Repurchase Event occurs, unless we have exercised our right to redeem the Notes in full, we will make an offer to each holder of the Notes to repurchase all or any part (in minimum denominations of $2,000 and integral multiples of $1,000 principal amount in excess thereof) of that holder’s Notes at a repurchase price in cash equal to 100% of the aggregate principal amount of Notes repurchased plus any accrued and unpaid interest on the Notes repurchased to the date of purchase. Within 30 days following any Change of Control Repurchase Event or, at our option, prior to any Change of Control, but after the public announcement of the Change of Control, we will send a notice to each holder and the trustee describing the transaction or transactions that constitute or may constitute the Change of Control Repurchase Event and offering to repurchase Notes on the payment date specified in the notice, which date will be no earlier than 30 days and no later than 60 days from the date such notice is sent. The notice shall, if sent prior to the date of consummation of the Change of Control, state that the offer to purchase is conditioned on the Change of Control Repurchase Event occurring on or prior to the payment date specified in the notice. We will comply with the requirements of Rule 14e-1 under the Exchange Act and any other securities laws and regulations thereunder to the extent those laws and regulations are applicable in connection with the repurchase of the Notes as a result of a Change of Control</w:t>
      </w:r>
    </w:p>
    <w:p>
      <w:pPr>
        <w:spacing w:after="0" w:line="7" w:lineRule="exact"/>
        <w:rPr>
          <w:sz w:val="20"/>
          <w:szCs w:val="20"/>
          <w:color w:val="auto"/>
        </w:rPr>
      </w:pPr>
    </w:p>
    <w:p>
      <w:pPr>
        <w:ind w:left="120" w:right="420"/>
        <w:spacing w:after="0" w:line="255" w:lineRule="auto"/>
        <w:rPr>
          <w:sz w:val="20"/>
          <w:szCs w:val="20"/>
          <w:color w:val="auto"/>
        </w:rPr>
      </w:pPr>
      <w:r>
        <w:rPr>
          <w:rFonts w:ascii="Arial" w:cs="Arial" w:eastAsia="Arial" w:hAnsi="Arial"/>
          <w:sz w:val="18"/>
          <w:szCs w:val="18"/>
          <w:color w:val="auto"/>
        </w:rPr>
        <w:t>Repurchase Event. To the extent that the provisions of any securities laws or regulations conflict with the Change of Control Repurchase Event provisions of the Notes, we will comply with the applicable securities laws and regulations and will not be deemed to have breached its obligations under the Change of Control Repurchase Event provisions of the Notes by virtue of such conflict.</w:t>
      </w:r>
    </w:p>
    <w:p>
      <w:pPr>
        <w:spacing w:after="0" w:line="190"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On the Change of Control Repurchase Event payment date, subject to extension if necessary to comply with the provisions of the 1940 Act, we will, to the extent lawful:</w:t>
      </w:r>
    </w:p>
    <w:p>
      <w:pPr>
        <w:spacing w:after="0" w:line="76"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our offer;</w:t>
      </w:r>
    </w:p>
    <w:p>
      <w:pPr>
        <w:spacing w:after="0" w:line="130"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deposit with the paying agent by 11:00 am New York City time, an amount equal to the aggregate purchase price in respect of all Notes or portions of Notes properly tendered; and</w:t>
      </w:r>
    </w:p>
    <w:p>
      <w:pPr>
        <w:spacing w:after="0" w:line="75" w:lineRule="exact"/>
        <w:rPr>
          <w:rFonts w:ascii="Arial" w:cs="Arial" w:eastAsia="Arial" w:hAnsi="Arial"/>
          <w:sz w:val="18"/>
          <w:szCs w:val="18"/>
          <w:color w:val="auto"/>
        </w:rPr>
      </w:pPr>
    </w:p>
    <w:p>
      <w:pPr>
        <w:ind w:left="1080" w:right="560" w:hanging="532"/>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being purchased by us.</w:t>
      </w:r>
    </w:p>
    <w:p>
      <w:pPr>
        <w:spacing w:after="0" w:line="170"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 xml:space="preserve">The paying agent will promptly remit to each holder of Notes properly tendered the purchase price for the Notes, and the trustee will promptly authenticate and mail (or cause to be transferred by book-entry) to each holder a new Note equal in principal amount to any unpurchased portion of any Notes surrendered;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new Note will be in a minimum principal amount of $2,000 or an integral multiple of $1,000 in excess thereof.</w:t>
      </w:r>
    </w:p>
    <w:p>
      <w:pPr>
        <w:spacing w:after="0" w:line="149" w:lineRule="exact"/>
        <w:rPr>
          <w:sz w:val="20"/>
          <w:szCs w:val="20"/>
          <w:color w:val="auto"/>
        </w:rPr>
      </w:pPr>
    </w:p>
    <w:p>
      <w:pPr>
        <w:jc w:val="both"/>
        <w:ind w:left="120" w:right="380"/>
        <w:spacing w:after="0" w:line="263" w:lineRule="auto"/>
        <w:rPr>
          <w:sz w:val="20"/>
          <w:szCs w:val="20"/>
          <w:color w:val="auto"/>
        </w:rPr>
      </w:pPr>
      <w:r>
        <w:rPr>
          <w:rFonts w:ascii="Arial" w:cs="Arial" w:eastAsia="Arial" w:hAnsi="Arial"/>
          <w:sz w:val="18"/>
          <w:szCs w:val="18"/>
          <w:color w:val="auto"/>
        </w:rPr>
        <w:t>We will not be required to make an offer to repurchase the Notes upon a Change of Control Repurchase Event if a third party makes an offer in the manner, at the times and otherwise in compliance with the requirements for an offer made by the Company and such third party purchases all Notes properly tendered and not withdrawn under its offer.</w:t>
      </w:r>
    </w:p>
    <w:p>
      <w:pPr>
        <w:spacing w:after="0" w:line="184"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The source of funds that will be required to repurchase Notes in the event of a Change of Control Repurchase Event will be our available cash or cash generated from its operations or other potential sources, including funds provided by a purchaser in the Change of Control transaction, borrowings, sales of assets or sales of equity. We cannot assure you that sufficient funds from such sources will be available at the time of any Change of Control Repurchase Event to make required repurchases of Notes tendered. See “—Ranking” above as well as the documents incorporated by reference herein for a general discussion of our indebtedness. Before making any such repurchase of Notes, we would also have to comply with certain requirements under our New Credit Facility, to the extent such requirements remain in effect at such time, or otherwise obtain consent from the lenders under the New Credit Facility. Our future debt instruments may contain similar restrictions and provisions. If the holders of the Notes exercise their right to require the Company to repurchase Notes upon a Change of Control Repurchase Event, the financial effect of this repurchase could cause a default under its existing or future debt instruments, even if the Change of Control Repurchase Event itself would not cause a</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default. It is possible that we will not have sufficient funds at the time of the Change of Control Repurchase Event to make the required repurchase of the Notes or its other debt. See “Risk Factors—Risks Relating to the Notes—The Company may not be able to repurchase the Notes upon a Change of Control Repurchase Event.”</w:t>
      </w:r>
    </w:p>
    <w:p>
      <w:pPr>
        <w:spacing w:after="0" w:line="184"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The definition of “Change of Control” includes a phrase relating to the direct or indirect sale, transfer, conveyance or other disposition of “all or substantially all” of our properties or assets and those of its subsidiaries taken as a whole. Although there is a limited body of case law interpreting the phrase “substantially all,” there is no precise, established definition of the phrase under applicable law. Accordingly, the ability of a holder of Notes to require us to repurchase the Notes as a result of a sale, transfer, conveyance or other disposition of less than all of its assets and the assets of its subsidiaries taken as a whole to another person or group may be uncertain.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purposes of the Notes:</w:t>
      </w:r>
    </w:p>
    <w:p>
      <w:pPr>
        <w:spacing w:after="0" w:line="225"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 xml:space="preserve">“Below Investment Grade Rating Event” means the Notes are downgraded below Investment Grade by the Rating Agency on any date from the date of the public notice of an arrangement that results in a Change of Control until the end of the 60-day period following public notice of the occurrence of a Change of Control (which period shall be extended so long as the rating of the Notes is under publicly announced consideration for possible downgrade by the Rating Agency);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Below Investment Grade Rating Event otherwise arising by virtue of a particular reduction in rating shall not be deemed to have occurred in respect of a particular Change of Control (and thus shall not be deemed a Below Investment Grade Rating Event for purposes of the definition of Change of Control Repurchase Event hereunder) if the Rating Agency making the reduction in rating to which this definition would otherwise apply does not announce or publicly confirm or inform us in writing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 of Control” means the occurrence of any of the following:</w:t>
      </w:r>
    </w:p>
    <w:p>
      <w:pPr>
        <w:spacing w:after="0" w:line="131" w:lineRule="exact"/>
        <w:rPr>
          <w:sz w:val="20"/>
          <w:szCs w:val="20"/>
          <w:color w:val="auto"/>
        </w:rPr>
      </w:pPr>
    </w:p>
    <w:p>
      <w:pPr>
        <w:ind w:left="1080" w:right="60" w:hanging="532"/>
        <w:spacing w:after="0" w:line="275" w:lineRule="auto"/>
        <w:tabs>
          <w:tab w:leader="none" w:pos="10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the direct or indirect sale, lease, transfer, conveyance or other disposition (other than by way of merger or consolidation) in one or a series of related transactions, of all or substantially all of the assets of the Company and its Controlled Subsidiaries taken as a whole to any “person” or “group” (as those terms are used in Section 13(d)(3) of the Exchange Act), other than to any Permitted 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for the avoidance of doubt, a pledge of assets pursuant to any secured debt instrument of the Company or its Controlled Subsidiaries shall not be deemed to be any such sale, lease, transfer, conveyance or disposition;</w:t>
      </w:r>
    </w:p>
    <w:p>
      <w:pPr>
        <w:spacing w:after="0" w:line="81" w:lineRule="exact"/>
        <w:rPr>
          <w:rFonts w:ascii="Arial" w:cs="Arial" w:eastAsia="Arial" w:hAnsi="Arial"/>
          <w:sz w:val="17"/>
          <w:szCs w:val="17"/>
          <w:color w:val="auto"/>
        </w:rPr>
      </w:pPr>
    </w:p>
    <w:p>
      <w:pPr>
        <w:jc w:val="both"/>
        <w:ind w:left="1080" w:right="140" w:hanging="532"/>
        <w:spacing w:after="0" w:line="279" w:lineRule="auto"/>
        <w:tabs>
          <w:tab w:leader="none" w:pos="10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consummation of any transaction (including, without limitation, any merger or consolidation) the result of which is that any “person” or “group” (as those terms are used in Section 13(d)(3) of the Exchange Act) (other than any Permitted Holders) becomes the “beneficial owner” (as defined in Rules 13d-3 and 13d-5 under the Exchange Act), directly or indirectly, of more than 50% of the outstanding Voting Stock of the Company, measured by voting power rather than number of shares; or</w:t>
      </w:r>
    </w:p>
    <w:p>
      <w:pPr>
        <w:spacing w:after="0" w:line="76" w:lineRule="exact"/>
        <w:rPr>
          <w:rFonts w:ascii="Arial" w:cs="Arial" w:eastAsia="Arial" w:hAnsi="Arial"/>
          <w:sz w:val="17"/>
          <w:szCs w:val="17"/>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approval by our stockholders of any plan or proposal relating to the liquidation or dissolution of the Company.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 of Control Repurchase Event” means the occurrence of a Change of Control and a Below Investment Grade Rating Event.</w:t>
      </w:r>
    </w:p>
    <w:p>
      <w:pPr>
        <w:spacing w:after="0" w:line="225" w:lineRule="exact"/>
        <w:rPr>
          <w:sz w:val="20"/>
          <w:szCs w:val="20"/>
          <w:color w:val="auto"/>
        </w:rPr>
      </w:pPr>
    </w:p>
    <w:p>
      <w:pPr>
        <w:ind w:left="120" w:right="260"/>
        <w:spacing w:after="0" w:line="286" w:lineRule="auto"/>
        <w:rPr>
          <w:sz w:val="20"/>
          <w:szCs w:val="20"/>
          <w:color w:val="auto"/>
        </w:rPr>
      </w:pPr>
      <w:r>
        <w:rPr>
          <w:rFonts w:ascii="Arial" w:cs="Arial" w:eastAsia="Arial" w:hAnsi="Arial"/>
          <w:sz w:val="17"/>
          <w:szCs w:val="17"/>
          <w:color w:val="auto"/>
        </w:rPr>
        <w:t>“Controlled Subsidiary” means any subsidiary of the Company, 50% or more of the outstanding equity interests of which are owned by the Company and its direct or indirect subsidiaries and of which the Company possesses, directly or indirectly, the power to direct or cause the direction of the management or policies, whether through the ownership of voting equity interests, by agreement or otherwise.</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“Egan-Jones” means Egan-Jones Ratings Company, Inc., also known as Egan-Jones, or any successor thereto.</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“Investment Grade” means a rating of BBB- or better by Egan-Jones (or its equivalent under any successor rating categories of Egan-Jones) (or, if such Rating Agency ceases to rate the Notes for reasons outside of our control, the equivalent investment grade credit ratings from any Rating Agency selected by us as a replacement Rating Agency).</w:t>
      </w:r>
    </w:p>
    <w:p>
      <w:pPr>
        <w:spacing w:after="0" w:line="184"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“Permitted Holders” means (i) the Company, (ii) one or more of the Company’s Controlled Subsidiaries and (iii) the Investment Adviser or any Affiliate of the Investment Adviser that is organized under the laws of a jurisdiction located in the United States of America and in the business of managing or advising clients.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“Rating Agency” means:</w:t>
      </w:r>
    </w:p>
    <w:p>
      <w:pPr>
        <w:spacing w:after="0" w:line="131"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Egan-Jones; and</w:t>
      </w:r>
    </w:p>
    <w:p>
      <w:pPr>
        <w:spacing w:after="0" w:line="130" w:lineRule="exact"/>
        <w:rPr>
          <w:rFonts w:ascii="Arial" w:cs="Arial" w:eastAsia="Arial" w:hAnsi="Arial"/>
          <w:sz w:val="18"/>
          <w:szCs w:val="18"/>
          <w:color w:val="auto"/>
        </w:rPr>
      </w:pPr>
    </w:p>
    <w:p>
      <w:pPr>
        <w:ind w:left="1080" w:right="180" w:hanging="532"/>
        <w:spacing w:after="0" w:line="263"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Egan-Jones ceases to rate the Notes or fails to make a rating of the Notes publicly available for reasons outside of our control, a “nationally recognized statistical rating organization” as defined in Section 3(a)(62) of the Exchange Act selected by us as a replacement agency for Egan-Jones</w:t>
      </w:r>
    </w:p>
    <w:p>
      <w:pPr>
        <w:spacing w:after="0" w:line="184"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“Voting Stock” 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covenants shall apply to the Notes.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117" w:lineRule="exact"/>
        <w:rPr>
          <w:sz w:val="20"/>
          <w:szCs w:val="20"/>
          <w:color w:val="auto"/>
        </w:rPr>
      </w:pPr>
    </w:p>
    <w:p>
      <w:pPr>
        <w:ind w:left="120" w:right="200"/>
        <w:spacing w:after="0" w:line="296" w:lineRule="auto"/>
        <w:rPr>
          <w:sz w:val="20"/>
          <w:szCs w:val="20"/>
          <w:color w:val="auto"/>
        </w:rPr>
      </w:pPr>
      <w:r>
        <w:rPr>
          <w:rFonts w:ascii="Arial" w:cs="Arial" w:eastAsia="Arial" w:hAnsi="Arial"/>
          <w:sz w:val="16"/>
          <w:szCs w:val="16"/>
          <w:color w:val="auto"/>
        </w:rPr>
        <w:t>The indenture will provide that we will not merge or consolidate with or into any other person (other than a merger of a wholly owned subsidiary into the Company), or sell, transfer, lease, convey or otherwise dispose of all or substantially all our property (provided that, for the avoidance of doubt, a pledge of assets pursuant to any secured debt instrument of the Company or its subsidiaries shall not be deemed to be any such sale, transfer, lease, conveyance or disposition; and provided further that this covenant shall not apply to any sale, transfer, lease, conveyance, or other disposition of all or substantially all of our property to a wholly owned subsidiary of the Company) in any one transaction or series of related transactions unless:</w:t>
      </w:r>
    </w:p>
    <w:p>
      <w:pPr>
        <w:spacing w:after="0" w:line="67" w:lineRule="exact"/>
        <w:rPr>
          <w:sz w:val="20"/>
          <w:szCs w:val="20"/>
          <w:color w:val="auto"/>
        </w:rPr>
      </w:pPr>
    </w:p>
    <w:p>
      <w:pPr>
        <w:ind w:left="1080" w:right="140" w:hanging="424"/>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is the surviving person (the “Surviving Person”) or the Surviving Person (if other than the Company) formed by such merger or consolidation or to which such sale, transfer, lease, conveyance or disposition is made shall be a corporation or limited liability company or trust organized and existing under the laws of the United States of America or any state or territory thereof or the District of Columbia;</w:t>
      </w:r>
    </w:p>
    <w:p>
      <w:pPr>
        <w:spacing w:after="0" w:line="92"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Surviving Person (if other than the Company) expressly assumes, by supplemental indenture in form reasonably satisfactory to the trustee, executed and delivered to the trustee by such Surviving Person, the due and punctual payment of the principal of, and premium, if any, and interest on, all the Notes outstanding, and the due and punctual performance and observance of all the covenants and conditions of the indenture to be performed by the Company;</w:t>
      </w:r>
    </w:p>
    <w:p>
      <w:pPr>
        <w:spacing w:after="0" w:line="92"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immediately before and immediately after giving effect to such transaction or series of related transactions, no default or event of default shall have occurred and be continuing; and</w:t>
      </w:r>
    </w:p>
    <w:p>
      <w:pPr>
        <w:spacing w:after="0" w:line="75" w:lineRule="exact"/>
        <w:rPr>
          <w:rFonts w:ascii="Arial" w:cs="Arial" w:eastAsia="Arial" w:hAnsi="Arial"/>
          <w:sz w:val="18"/>
          <w:szCs w:val="18"/>
          <w:color w:val="auto"/>
        </w:rPr>
      </w:pPr>
    </w:p>
    <w:p>
      <w:pPr>
        <w:jc w:val="both"/>
        <w:ind w:left="1080" w:right="40" w:hanging="424"/>
        <w:spacing w:after="0" w:line="263"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shall deliver, or cause to be delivered, to the trustee, an officers’ certificate and an opinion of counsel, each stating that such transaction and the supplemental indenture, if any, in respect thereto, comply with this covenant, that all conditions precedent in the indenture relating to such transaction have been complied with.</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For the purposes of this covenant, the sale, transfer, lease, conveyance or other disposition of all the property of one or more of our subsidiaries, which property, if held by the Company instead of such subsidiaries, would constitute all or substantially all of our property on a consolidated basis, shall be deemed to be the transfer of all or substantially all of our property.</w:t>
      </w:r>
    </w:p>
    <w:p>
      <w:pPr>
        <w:spacing w:after="0" w:line="184"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Although there is a limited body of case law interpreting the phrase “substantially all”, there is no precise established definition of the phrase under applicable law. Accordingly, in certain circumstances there may be a degree of uncertainty as to whether a particular transaction would involve “all or substantially all” of the properties or assets of a person. As a result, it may be unclear as to whether the merger, consolidation or sale of assets covenant would apply to a particular transaction as described above absent a decision by a court of competent jurisdiction. Although these types of transactions are permitted under the indenture, certain of the foregoing transactions could constitute a Change of Control that results in a Change of Control Repurchase Event permitting each holder to require us to repurchase the Notes of such holder as described above.</w:t>
      </w:r>
    </w:p>
    <w:p>
      <w:pPr>
        <w:spacing w:after="0" w:line="164"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An assumption by any person of obligations under the Notes and the indenture might be deemed for U.S. federal income tax purposes to be an exchange of the Notes for new Notes by the beneficial owners thereof, potentially resulting in recognition of gain or loss for such purposes and possibly other adverse tax consequences to the beneficial owners. Beneficial owners of the Notes should consult their own tax advisors regarding the tax consequences of such an assumption.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Covenants</w:t>
      </w:r>
    </w:p>
    <w:p>
      <w:pPr>
        <w:spacing w:after="0" w:line="131" w:lineRule="exact"/>
        <w:rPr>
          <w:sz w:val="20"/>
          <w:szCs w:val="20"/>
          <w:color w:val="auto"/>
        </w:rPr>
      </w:pPr>
    </w:p>
    <w:p>
      <w:pPr>
        <w:ind w:left="1080" w:right="120" w:hanging="424"/>
        <w:spacing w:after="0" w:line="263"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agree that for the period of time during which the Notes are outstanding, it will not violate, whether or not the Company is subject thereto, Section 18(a)(1)(A) as modified by Section 61(a) of the 1940 Act or any successor provisions, but giving effect, in either case, to any exemptive relief granted to the Company by the SEC.</w:t>
      </w:r>
    </w:p>
    <w:p>
      <w:pPr>
        <w:spacing w:after="0" w:line="89" w:lineRule="exact"/>
        <w:rPr>
          <w:rFonts w:ascii="Arial" w:cs="Arial" w:eastAsia="Arial" w:hAnsi="Arial"/>
          <w:sz w:val="18"/>
          <w:szCs w:val="18"/>
          <w:color w:val="auto"/>
        </w:rPr>
      </w:pPr>
    </w:p>
    <w:p>
      <w:pPr>
        <w:ind w:left="1080" w:hanging="424"/>
        <w:spacing w:after="0" w:line="271" w:lineRule="auto"/>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If, at any time, the Company is not subject to the reporting requirements of Sections 13 or 15(d) of the Exchange Act to file any periodic reports with the SEC, we agree to furnish to holders of the Notes and the trustee, for the period of time during which the Notes are outstanding, our audited annual consolidated financial statements, within 90 days of its fiscal year end, and unaudited interim consolidated financial statements, within 45 days of its fiscal quarter end (other than its fourth fiscal quarter). All such financial statements will be prepared, in all material respects, in accordance with GAAP, as applicable. Delivery of such financial statements to the trustee is for informational purposes only and the trustee’s receipt of such shall not constitute actual or constructive notice of any information contained therein or determinable from information contained therein, including our compliance with any of its covenants hereunder (as to which the trustee is entitled to rely exclusively on officers’ certificates).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or Waiver</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are three types of changes we can make to the indenture and the Notes issued thereunder.</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Requiring Your Approval</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First, there are changes that we cannot make to your Notes without your specific approval. The following is a list of those types of changes:</w:t>
      </w:r>
    </w:p>
    <w:p>
      <w:pPr>
        <w:spacing w:after="0" w:line="142"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the Notes;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 any amounts due on the Notes;</w:t>
      </w:r>
    </w:p>
    <w:p>
      <w:pPr>
        <w:spacing w:after="0" w:line="130" w:lineRule="exact"/>
        <w:rPr>
          <w:rFonts w:ascii="Arial" w:cs="Arial" w:eastAsia="Arial" w:hAnsi="Arial"/>
          <w:sz w:val="18"/>
          <w:szCs w:val="18"/>
          <w:color w:val="auto"/>
        </w:rPr>
      </w:pPr>
    </w:p>
    <w:p>
      <w:pPr>
        <w:ind w:left="5460" w:right="2360" w:hanging="4804"/>
        <w:spacing w:after="0" w:line="449" w:lineRule="auto"/>
        <w:tabs>
          <w:tab w:leader="none" w:pos="1094"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the Notes following a default; S-27</w:t>
      </w:r>
    </w:p>
    <w:p>
      <w:pPr>
        <w:sectPr>
          <w:pgSz w:w="11900" w:h="16838" w:orient="portrait"/>
          <w:cols w:equalWidth="0" w:num="1">
            <w:col w:w="11080"/>
          </w:cols>
          <w:pgMar w:left="320" w:top="459" w:right="4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 the place (except as otherwise described in the accompanying prospectus or this prospectus supplement) or currency of payment on the Notes;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modify the subordination provisions in the indenture in a manner that is adverse to outstanding holders of the Notes;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 the percentage of holders of the Notes whose consent is needed to modify or amend the indenture;</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 the percentage of holders of the Notes whose consent is needed to waive compliance with certain provisions of the indenture or to waive certain defaults;</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modify certain of the provisions of the indenture dealing with supplemental indentures, modification and waiver of past defaults, changes to the quorum or voting requirements or the waiver of certain covenants;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Not Requiring Approval</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second type of change does not require any vote by the holders of the Notes. This type is limited to clarifications, establishment of the form or terms of new securities of any series as permitted by the indenture, and certain other changes that would not adversely affect holders of the outstanding Notes in any material respect, including adding additional covenants or event of default. We also do not need any approval to make any change that affects only Notes to be issued under the indenture after the change takes effect.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Requiring Majority Approval</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Any other change to the indenture and the Notes would require the following approval:</w:t>
      </w:r>
    </w:p>
    <w:p>
      <w:pPr>
        <w:spacing w:after="0" w:line="131"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If the change affects only one series of the Notes, it must be approved by the holders of a majority in principal amount of the Notes.</w:t>
      </w:r>
    </w:p>
    <w:p>
      <w:pPr>
        <w:spacing w:after="0" w:line="142" w:lineRule="exact"/>
        <w:rPr>
          <w:rFonts w:ascii="Arial" w:cs="Arial" w:eastAsia="Arial" w:hAnsi="Arial"/>
          <w:sz w:val="17"/>
          <w:szCs w:val="17"/>
          <w:color w:val="auto"/>
        </w:rPr>
      </w:pPr>
    </w:p>
    <w:p>
      <w:pPr>
        <w:ind w:left="1080" w:right="20" w:hanging="424"/>
        <w:spacing w:after="0" w:line="342"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If the change affects more than one series of the Notes issued under the same indenture, it must be approved by the holders of a majority in aggregate principal amount of all of the Notes affected by the change, with all affected series voting together as one class for this purpose.</w:t>
      </w:r>
    </w:p>
    <w:p>
      <w:pPr>
        <w:spacing w:after="0" w:line="124"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The holders of a majority in principal amount of a series of debt securities issued under an indenture, or all series, voting together as one class for this purpose, may waive our compliance with some of its covenants in that indenture. However, we cannot obtain a waiver of a payment default or of any of the matters covered by the bullet points included above under “—Changes Requiring Your Approval”.</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Further Details Concerning Voting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the Notes:</w:t>
      </w:r>
    </w:p>
    <w:p>
      <w:pPr>
        <w:spacing w:after="0" w:line="225" w:lineRule="exact"/>
        <w:rPr>
          <w:sz w:val="20"/>
          <w:szCs w:val="20"/>
          <w:color w:val="auto"/>
        </w:rPr>
      </w:pPr>
    </w:p>
    <w:p>
      <w:pPr>
        <w:jc w:val="both"/>
        <w:ind w:left="120" w:right="260"/>
        <w:spacing w:after="0" w:line="342" w:lineRule="auto"/>
        <w:rPr>
          <w:sz w:val="20"/>
          <w:szCs w:val="20"/>
          <w:color w:val="auto"/>
        </w:rPr>
      </w:pPr>
      <w:r>
        <w:rPr>
          <w:rFonts w:ascii="Arial" w:cs="Arial" w:eastAsia="Arial" w:hAnsi="Arial"/>
          <w:sz w:val="16"/>
          <w:szCs w:val="16"/>
          <w:color w:val="auto"/>
        </w:rPr>
        <w:t>The Notes will not be considered outstanding, and therefore not eligible to vote, if we have deposited or set aside in trust money for their payment or redemption. The Notes will also not be eligible to vote if they have been fully defeased as described later under “—Defeasance—Legal Defeasance”.</w:t>
      </w:r>
    </w:p>
    <w:p>
      <w:pPr>
        <w:spacing w:after="0" w:line="124"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We will generally be entitled to set any day as a record date for the purpose of determining the holders of outstanding indenture securities that are entitled to vote or take other action under the indenture. If we set 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color w:val="auto"/>
        </w:rPr>
        <w:t>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24"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Book-entry and other indirect holders should consult their banks or brokers for information on how approval may be granted or denied if we seek to change the indenture or the Notes or request a waiver.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Each of the following is an event of default:</w:t>
      </w:r>
    </w:p>
    <w:p>
      <w:pPr>
        <w:spacing w:after="0" w:line="131"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default in the payment of any interest upon any Notes when due and payable and the default continues for a period of 30 days;</w:t>
      </w:r>
    </w:p>
    <w:p>
      <w:pPr>
        <w:spacing w:after="0" w:line="142" w:lineRule="exact"/>
        <w:rPr>
          <w:rFonts w:ascii="Arial" w:cs="Arial" w:eastAsia="Arial" w:hAnsi="Arial"/>
          <w:sz w:val="17"/>
          <w:szCs w:val="17"/>
          <w:color w:val="auto"/>
        </w:rPr>
      </w:pPr>
    </w:p>
    <w:p>
      <w:pPr>
        <w:ind w:left="1080" w:right="340" w:hanging="532"/>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default in the payment of the principal of (or premium, if any, on) any Note when it becomes due and payable at its maturity, including upon any redemption date or required repurchase date;</w:t>
      </w:r>
    </w:p>
    <w:p>
      <w:pPr>
        <w:spacing w:after="0" w:line="75" w:lineRule="exact"/>
        <w:rPr>
          <w:rFonts w:ascii="Arial" w:cs="Arial" w:eastAsia="Arial" w:hAnsi="Arial"/>
          <w:sz w:val="18"/>
          <w:szCs w:val="18"/>
          <w:color w:val="auto"/>
        </w:rPr>
      </w:pPr>
    </w:p>
    <w:p>
      <w:pPr>
        <w:ind w:left="1080" w:hanging="532"/>
        <w:spacing w:after="0" w:line="263"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failure for 60 consecutive days after written notice from the trustee or the holders of at least 25% in principal amount of the Notes then outstanding to the Company and the trustee, as applicable, has been received to comply with any of our other agreements contained in the Notes or indenture;</w:t>
      </w:r>
    </w:p>
    <w:p>
      <w:pPr>
        <w:spacing w:after="0" w:line="89" w:lineRule="exact"/>
        <w:rPr>
          <w:rFonts w:ascii="Arial" w:cs="Arial" w:eastAsia="Arial" w:hAnsi="Arial"/>
          <w:sz w:val="18"/>
          <w:szCs w:val="18"/>
          <w:color w:val="auto"/>
        </w:rPr>
      </w:pPr>
    </w:p>
    <w:p>
      <w:pPr>
        <w:ind w:left="1080" w:right="60" w:hanging="532"/>
        <w:spacing w:after="0" w:line="288"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default by the Company or any of its significant subsidiaries, as defined in Article 1, Rule 1-02 of Regulation S-X under the Exchange Act (as applicable to BDCs) (but excluding any subsidiary which is (a) a non-recourse or limited recourse subsidiary, (b) a bankruptcy remote special purpose vehicle or (c) is not consolidated with the Company for purposes of GAAP), with respect to any mortgage, agreement or other instrument under which there may be outstanding, or by which there may be secured or evidenced, any indebtedness for money borrowed in excess of $75 million in the aggregate of the Company and/or any such subsidiary, whether such indebtedness now exists or shall hereafter be created (i) resulting in such indebtedness becoming or being declared due and payable or (ii) constituting a failure to pay the principal or interest of any such debt when due and payable at its stated maturity, upon required repurchase, upon declaration of acceleration or otherwise, unless, in either case, such indebtedness is discharged, or such acceleration is rescinded, stayed or annulled, within a period of 30 calendar days after written notice of such failure is given to the Company by the trustee or to the Company and the trustee by the holders of at least 25% in aggregate principal amount of the Notes then outstanding;</w:t>
      </w:r>
    </w:p>
    <w:p>
      <w:pPr>
        <w:spacing w:after="0" w:line="73" w:lineRule="exact"/>
        <w:rPr>
          <w:rFonts w:ascii="Arial" w:cs="Arial" w:eastAsia="Arial" w:hAnsi="Arial"/>
          <w:sz w:val="16"/>
          <w:szCs w:val="16"/>
          <w:color w:val="auto"/>
        </w:rPr>
      </w:pPr>
    </w:p>
    <w:p>
      <w:pPr>
        <w:ind w:left="1080" w:right="80" w:hanging="532"/>
        <w:spacing w:after="0" w:line="311"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Pursuant to Section 18(a)(1)(C)(ii) and Section 61 of the 1940 Act, or any successor provisions, on the last business day of each of 24 consecutive calendar months, any class of securities shall have an asset coverage (as such term is used in the 1940 Act) of less than 100%, giving effect to any amendments to such provisions of the 1940 Act or to any exemptive relief granted to us by the SEC; and</w:t>
      </w:r>
    </w:p>
    <w:p>
      <w:pPr>
        <w:spacing w:after="0" w:line="54" w:lineRule="exact"/>
        <w:rPr>
          <w:rFonts w:ascii="Arial" w:cs="Arial" w:eastAsia="Arial" w:hAnsi="Arial"/>
          <w:sz w:val="16"/>
          <w:szCs w:val="16"/>
          <w:color w:val="auto"/>
        </w:rPr>
      </w:pPr>
    </w:p>
    <w:p>
      <w:pPr>
        <w:ind w:left="1080" w:right="20" w:hanging="532"/>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involving the Company occur and remain undischarged or unstayed for a period of 90 days.</w:t>
      </w:r>
    </w:p>
    <w:p>
      <w:pPr>
        <w:spacing w:after="0" w:line="170"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If an event of default occurs and is continuing, then and in every such case (other than an event of default specified in item (6) above) the trustee or the holders of at least 25% in principal amount of the outstanding Notes may declare the entire principal amount of Notes to be due and immediately payable, by a notice in writing to us (and to the trustee if given by the holders), and upon any such declaration such principal or specified portion thereof shall become immediately due and payable. Notwithstanding the foregoing, in the case of the events of bankruptcy, insolvency or reorganization described in item (6) above, 100% of the principal of and accrued and unpaid interest on the Notes will automatically become due and payable.</w:t>
      </w:r>
    </w:p>
    <w:p>
      <w:pPr>
        <w:spacing w:after="0" w:line="161"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At any time after a declaration of acceleration with respect to the Notes has been made and before a judgment or decree for payment of the money due has been obtained by the trustee, the holders of a majority in principal amount of the outstanding Notes, by written notice to the Company and the trustee, may rescind and annul such</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declaration and its consequences if (i) we have paid or deposited with the trustee a sum sufficient to pay all overdue installments of interest, if any, on all outstanding Notes, the principal of (and premium, if any, on) all outstanding Notes that have become due otherwise than by such declaration of acceleration and interest thereon at the rate or rates borne by or provided for in such Notes, to the extent that payment of such interest is lawful interest upon overdue installments of interest at the rate or rates borne by or provided for in such Notes, and all sums paid or advanced by the trustee and the reasonable compensation, expenses, disbursements and advances of the trustee, its agents and counsel, and (ii) all events of default with respect to the Notes, other than the nonpayment of the principal of (or premium, if any, on) or interest on such Notes that have become due solely by such declaration of acceleration, have been cured or waived. No such rescission will affect any subsequent default or impair any right consequent thereon.</w:t>
      </w:r>
    </w:p>
    <w:p>
      <w:pPr>
        <w:spacing w:after="0" w:line="166"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No holder of Notes will have any right to institute any proceeding, judicial or otherwise, with respect to the indenture, or for the appointment of a receiver or trustee, or for any other remedy under the indenture, unless:</w:t>
      </w:r>
    </w:p>
    <w:p>
      <w:pPr>
        <w:spacing w:after="0" w:line="76"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such holder has previously given written notice to the trustee of a continuing event of default with respect to the Notes;</w:t>
      </w:r>
    </w:p>
    <w:p>
      <w:pPr>
        <w:spacing w:after="0" w:line="130" w:lineRule="exact"/>
        <w:rPr>
          <w:rFonts w:ascii="Arial" w:cs="Arial" w:eastAsia="Arial" w:hAnsi="Arial"/>
          <w:sz w:val="18"/>
          <w:szCs w:val="18"/>
          <w:color w:val="auto"/>
        </w:rPr>
      </w:pPr>
    </w:p>
    <w:p>
      <w:pPr>
        <w:ind w:left="1080" w:right="360" w:hanging="532"/>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Notes shall have made written request to the trustee to institute proceedings in respect of such event of default;</w:t>
      </w:r>
    </w:p>
    <w:p>
      <w:pPr>
        <w:spacing w:after="0" w:line="75"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security or indemnity satisfactory to the trustee against the costs, expenses and liabilities to be incurred in compliance with such request;</w:t>
      </w:r>
    </w:p>
    <w:p>
      <w:pPr>
        <w:spacing w:after="0" w:line="75" w:lineRule="exact"/>
        <w:rPr>
          <w:rFonts w:ascii="Arial" w:cs="Arial" w:eastAsia="Arial" w:hAnsi="Arial"/>
          <w:sz w:val="18"/>
          <w:szCs w:val="18"/>
          <w:color w:val="auto"/>
        </w:rPr>
      </w:pPr>
    </w:p>
    <w:p>
      <w:pPr>
        <w:ind w:left="1080" w:right="40" w:hanging="532"/>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trustee for 60 days after its receipt of such notice, request and offer of security or indemnity has failed to institute any such proceeding; and</w:t>
      </w:r>
    </w:p>
    <w:p>
      <w:pPr>
        <w:spacing w:after="0" w:line="75" w:lineRule="exact"/>
        <w:rPr>
          <w:rFonts w:ascii="Arial" w:cs="Arial" w:eastAsia="Arial" w:hAnsi="Arial"/>
          <w:sz w:val="18"/>
          <w:szCs w:val="18"/>
          <w:color w:val="auto"/>
        </w:rPr>
      </w:pPr>
    </w:p>
    <w:p>
      <w:pPr>
        <w:ind w:left="1080" w:right="160" w:hanging="532"/>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Notes.</w:t>
      </w:r>
    </w:p>
    <w:p>
      <w:pPr>
        <w:spacing w:after="0" w:line="170"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Notwithstanding any other provision in the indenture, the holder of any Note shall have the right, which is absolute and unconditional, to receive payment of the principal of (and premium, if any, on) and interest, if any, on such Note on the stated maturity or maturity expressed in such Note (or, in the case of redemption, on the redemption date or, in the case of repayment at the option of the holders, on the repayment date) and to institute suit for the enforcement of any such payment, and such rights shall not be impaired without the consent of such holder.</w:t>
      </w:r>
    </w:p>
    <w:p>
      <w:pPr>
        <w:spacing w:after="0" w:line="171" w:lineRule="exact"/>
        <w:rPr>
          <w:sz w:val="20"/>
          <w:szCs w:val="20"/>
          <w:color w:val="auto"/>
        </w:rPr>
      </w:pPr>
    </w:p>
    <w:p>
      <w:pPr>
        <w:ind w:left="120" w:right="100"/>
        <w:spacing w:after="0" w:line="270" w:lineRule="auto"/>
        <w:rPr>
          <w:sz w:val="20"/>
          <w:szCs w:val="20"/>
          <w:color w:val="auto"/>
        </w:rPr>
      </w:pPr>
      <w:r>
        <w:rPr>
          <w:rFonts w:ascii="Arial" w:cs="Arial" w:eastAsia="Arial" w:hAnsi="Arial"/>
          <w:sz w:val="17"/>
          <w:szCs w:val="17"/>
          <w:color w:val="auto"/>
        </w:rPr>
        <w:t xml:space="preserve">The trustee shall be under no obligation to exercise any of the rights or powers vested in it by the indenture at the request or direction of any of the holders of the Notes unless such holders shall have offered to the trustee security or indemnity satisfactory to the trustee against the costs, expenses and liabilities which might be incurred by it in compliance with such request or direction. Subject to the foregoing, the holders of a majority in principal amount of the outstanding Notes shall have the right to direct the time, method and place of conducting any proceeding for any remedy available to the trustee or exercising any trust or power conferred on the trustee with respect to the Notes,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such direction shall not be in conflict with any rule of law or with this indenture, (ii) the trustee may take any other action deemed proper by the trustee that is not inconsistent with such direction and (iii) the trustee need not take any action that it determines in good faith may involve it in personal liability or be unjustly prejudicial (it being understood that the trustee does not have an affirmative duty to ascertain whether or not any such directions are unduly prejudicial to such holders) to the holders of Notes not consenting.</w:t>
      </w:r>
    </w:p>
    <w:p>
      <w:pPr>
        <w:spacing w:after="0" w:line="181"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The holders of not less than a majority in principal amount of the outstanding Notes may on behalf of the holders of all of the Notes waive any past default under the indenture with respect to the Notes and its consequences, except a default (i) in the payment of (or premium, if any, on) or interest, if any, on any of the Notes, or (ii) in respect of a covenant or provision of the indenture which cannot be modified or amended without the consent of the holder of each outstanding Note affected. Upon any such waiver, such default shall cease to exist, and any event of default arising therefrom shall be deemed to have been cured, for every purpose, but no such waiver shall extend to any subsequent or other default or event of default or impair any right consequent thereto.</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We are required to deliver to the trustee, within 120 days after the end of each fiscal year, an officers’ certificate stating that to the knowledge of the signers whether we are in default in the performance of any of the terms, provisions or conditions of the indenture.</w:t>
      </w:r>
    </w:p>
    <w:p>
      <w:pPr>
        <w:spacing w:after="0" w:line="170"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 xml:space="preserve">Within 90 days after the occurrence of any default under the indenture with respect to the Notes, the trustee shall transmit notice of such default actually known to a responsible officer of the trustee, unless such default shall have been cured or waived; </w:t>
      </w:r>
      <w:r>
        <w:rPr>
          <w:rFonts w:ascii="Arial" w:cs="Arial" w:eastAsia="Arial" w:hAnsi="Arial"/>
          <w:sz w:val="17"/>
          <w:szCs w:val="17"/>
          <w:i w:val="1"/>
          <w:iCs w:val="1"/>
          <w:color w:val="auto"/>
        </w:rPr>
        <w:t>provided</w:t>
      </w:r>
      <w:r>
        <w:rPr>
          <w:rFonts w:ascii="Arial" w:cs="Arial" w:eastAsia="Arial" w:hAnsi="Arial"/>
          <w:sz w:val="17"/>
          <w:szCs w:val="17"/>
          <w:color w:val="auto"/>
        </w:rPr>
        <w:t>, however, that, except in the case of a default in the payment of the principal of (or premium, if any, on) or interest, if any, on any of the Notes, the trustee shall be protected in withholding such notice if and so long as it in good faith determines that withholding of such notice is in the interest of the holders of the Notes.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Satisfaction and Discharge</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may satisfy and discharge its obligations under the indenture by delivering to the securities registrar for cancellation all outstanding Notes or by depositing with the trustee, in trust, funds in U.S. dollars in an amount sufficient to pay all of the outstanding Notes after the Notes have become due and payable or will become due and payable within one year (or scheduled for redemption within one year). Such discharge is subject to terms contained in the indenture.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Notes will be subject to covenant defeasance and legal defeasance.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Covenant Defeasance</w:t>
      </w:r>
    </w:p>
    <w:p>
      <w:pPr>
        <w:spacing w:after="0" w:line="12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If certain conditions are satisfied, we can make the deposit described below and be released from some of the restrictive covenants in the indenture under which the Notes were issued. This is called “covenant defeasance.” In that event, you would lose the protection of those restrictive covenants but would gain the protection of having money and government securities set aside in trust to repay your Notes. In order to achieve covenant defeasance, we must do the following:</w:t>
      </w:r>
    </w:p>
    <w:p>
      <w:pPr>
        <w:spacing w:after="0" w:line="92" w:lineRule="exact"/>
        <w:rPr>
          <w:sz w:val="20"/>
          <w:szCs w:val="20"/>
          <w:color w:val="auto"/>
        </w:rPr>
      </w:pPr>
    </w:p>
    <w:p>
      <w:pPr>
        <w:jc w:val="both"/>
        <w:ind w:left="1080" w:right="160" w:hanging="424"/>
        <w:spacing w:after="0" w:line="286" w:lineRule="auto"/>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deposit in trust for the benefit of all holders of the Notes a combination of money and U.S. government or U.S. government agency notes or bonds that will generate enough cash, in the opinion of a nationally recognized investment bank, appraisal firm or firm of independent public accountants, to make interest, principal and any other payments on the Notes on their various due dates.</w:t>
      </w:r>
    </w:p>
    <w:p>
      <w:pPr>
        <w:spacing w:after="0" w:line="70" w:lineRule="exact"/>
        <w:rPr>
          <w:rFonts w:ascii="Arial" w:cs="Arial" w:eastAsia="Arial" w:hAnsi="Arial"/>
          <w:sz w:val="17"/>
          <w:szCs w:val="17"/>
          <w:color w:val="auto"/>
        </w:rPr>
      </w:pPr>
    </w:p>
    <w:p>
      <w:pPr>
        <w:ind w:left="1080" w:right="40" w:hanging="424"/>
        <w:spacing w:after="0" w:line="259"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deliver to the trustee a legal opinion of our counsel confirming, subject to customary limitations and exclusions, that, under current U.S. federal income tax law, we may make the above deposit without causing you to recognize income, gain, or loss for U.S. federal income tax purposes as a result of such covenant defeasance or to be taxed on the Notes any differently than if we did not make the deposit and repaid the Notes at maturity.</w:t>
      </w:r>
    </w:p>
    <w:p>
      <w:pPr>
        <w:spacing w:after="0" w:line="92"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deliver to the trustee a legal opinion and officers’ certificate stating that all conditions precedent to covenant defeasance have been complied with.</w:t>
      </w:r>
    </w:p>
    <w:p>
      <w:pPr>
        <w:spacing w:after="0" w:line="170"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If we accomplished covenant defeasance, you can still look to us for repayment of the Notes if there were a shortfall in the trust deposit or the trustee is prevented from making payment. For example, if one of the remaining Events of Default occurred (such as our bankruptcy) and the Notes became immediately due and payable, there might be a shortfall. Depending on the event causing the default, you may not be able to obtain payment of the shortfall.</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Defeasance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If there is a change in U.S. federal tax law, as described below, the Company can legally release itself from all payment and other obligations on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Notes (called “defeasance” or “legal defeasance”) if we put in place the following other arrangements for you to be repaid:</w:t>
      </w:r>
    </w:p>
    <w:p>
      <w:pPr>
        <w:spacing w:after="0" w:line="116" w:lineRule="exact"/>
        <w:rPr>
          <w:sz w:val="20"/>
          <w:szCs w:val="20"/>
          <w:color w:val="auto"/>
        </w:rPr>
      </w:pPr>
    </w:p>
    <w:p>
      <w:pPr>
        <w:ind w:left="1080" w:right="120" w:hanging="424"/>
        <w:spacing w:after="0" w:line="286" w:lineRule="auto"/>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must deposit in trust for the benefit of all holders of the Notes a combination of money and U.S. government or U.S. government agency notes or bonds that will generate enough cash, in the opinion of a nationally recognized investment bank, appraisal firm or firm of independent public accountants, to make interest, principal and any other payments on the Notes on their various due dates.</w:t>
      </w:r>
    </w:p>
    <w:p>
      <w:pPr>
        <w:spacing w:after="0" w:line="70" w:lineRule="exact"/>
        <w:rPr>
          <w:rFonts w:ascii="Arial" w:cs="Arial" w:eastAsia="Arial" w:hAnsi="Arial"/>
          <w:sz w:val="17"/>
          <w:szCs w:val="17"/>
          <w:color w:val="auto"/>
        </w:rPr>
      </w:pPr>
    </w:p>
    <w:p>
      <w:pPr>
        <w:ind w:left="1080" w:right="100" w:hanging="424"/>
        <w:spacing w:after="0" w:line="254"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must deliver to the trustee a legal opinion confirming, subject to customary limitations and exclusions, that there has been a change in current U.S. federal tax law or an Internal Revenue Service, or IRS, ruling that allows it to make the above deposit without causing you to recognize income, gain, or loss for U.S. federal income tax purposes as a result of such defeasance or to be taxed on the Notes any differently than if we did not make the deposit and repaid the Notes at maturity. Under current U.S. federal tax law, the deposit and our legal release from the Notes would be treated as though we paid you your share of the cash and notes or bonds at the time the cash and notes or bonds were deposited in trust in exchange for your Notes and you would recognize gain or loss on the Notes at the time of the deposit.</w:t>
      </w:r>
    </w:p>
    <w:p>
      <w:pPr>
        <w:spacing w:after="0" w:line="100" w:lineRule="exact"/>
        <w:rPr>
          <w:rFonts w:ascii="Arial" w:cs="Arial" w:eastAsia="Arial" w:hAnsi="Arial"/>
          <w:sz w:val="18"/>
          <w:szCs w:val="18"/>
          <w:color w:val="auto"/>
        </w:rPr>
      </w:pPr>
    </w:p>
    <w:p>
      <w:pPr>
        <w:ind w:left="1080" w:right="66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must deliver to the trustee a legal opinion and officers’ certificate stating that all conditions precedent to defeasance have been complied with.</w:t>
      </w:r>
    </w:p>
    <w:p>
      <w:pPr>
        <w:spacing w:after="0" w:line="170"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If we ever accomplished legal defeasance, as described above, you would have to rely solely on the trust deposit for repayment of the Notes. You could not look to us for repayment in the unlikely event of any shortfall. Conversely, the trust deposit would most likely be protected from claims of our lenders and other creditors if we ever became bankrupt or insolvent.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Trustee</w:t>
      </w:r>
    </w:p>
    <w:p>
      <w:pPr>
        <w:spacing w:after="0" w:line="12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American Stock Transfer &amp; Trust Company, LLC is the trustee, security registrar and paying agent. American Stock Transfer &amp; Trust Company, LLC, in each of its capacities, including without limitation as trustee, security registrar and paying agent, assumes no responsibility for the accuracy or completeness of the information concerning the Company or its affiliates or any other party contained in this prospectus supplement or the related documents or for any failure by the Company or any other party to disclose events that may have occurred and may affect the significance or accuracy of such information, or for any information provided to it by the Company, including but not limited to settlement amounts and any other information.</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may maintain banking relationships in the ordinary course of business with the trustee and its affiliates.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Resignation of Trustee</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Trustee may resign or be removed with respect to the Notes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12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No past, present or future director, officer, employee, incorporator or stockholder of the Company, as such, will have any liability for any obligations of the Company’s under the indenture or the Notes or for any claim based on, in respect of, or by reason of, such obligations or their creation. By accepting any Note, each holder of the Notes will be deemed to waive and release all such liability, and such waiver and release are part of the consideration for the issuance of the Notes.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indenture provides that it and the Notes shall be governed by and construed in accordance with the laws of the State of New York, without regard to principles of conflicts of laws that would cause the application of laws of another jurisdiction.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Settlement and Clearance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Global Notes</w:t>
      </w:r>
    </w:p>
    <w:p>
      <w:pPr>
        <w:spacing w:after="0" w:line="117"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The Notes will be initially issued in the form of one or more registered Notes in global form, without interest coupons, or the Global Notes. Upon issuance, each of the Global Notes will be deposited with the trustee as custodian for DTC and registered in the name of Cede &amp; Co., as nominee of DTC. Ownership of beneficial interests in a Global Note will be limited to persons who have accounts with DTC, or DTC participants, or persons who hold interests through DTC participants. We expect expects that under procedures established by DTC:</w:t>
      </w:r>
    </w:p>
    <w:p>
      <w:pPr>
        <w:spacing w:after="0" w:line="77" w:lineRule="exact"/>
        <w:rPr>
          <w:sz w:val="20"/>
          <w:szCs w:val="20"/>
          <w:color w:val="auto"/>
        </w:rPr>
      </w:pPr>
    </w:p>
    <w:p>
      <w:pPr>
        <w:ind w:left="1080" w:right="8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upon deposit of a Global Note with DTC’s custodian, DTC will credit portions of the principal amount of the Global Note to the accounts of the DTC participants designated by the underwriters; and</w:t>
      </w:r>
    </w:p>
    <w:p>
      <w:pPr>
        <w:spacing w:after="0" w:line="75"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ownership of beneficial interests in a Global Note will be shown on, and transfer of ownership of those interests will be effected only through, records maintained by DTC (with respect to interests of DTC participants) and the records of DTC participants (with respect to other owners of beneficial interests in the Global Note).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Beneficial interests in Global Notes may not be exchanged for Notes in physical, certificated form except in the limited circumstances described below.</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Book-Entry Procedures for Global Notes</w:t>
      </w:r>
    </w:p>
    <w:p>
      <w:pPr>
        <w:spacing w:after="0" w:line="117"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All interests in the Global Notes will be subject to the operations and procedures of DTC. We provide the following summary of those operations and procedures solely for the convenience of investors. The operations and procedures of DTC are controlled by that settlement system and may be changed at any time. None of the Company, the trustee nor the underwriters is responsible for those operations or procedures.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DTC has advised the Company that it is:</w:t>
      </w:r>
    </w:p>
    <w:p>
      <w:pPr>
        <w:spacing w:after="0" w:line="131"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limited purpose trust company organized under the laws of the State of New York;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State Banking Law;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“clearing corporation” within the meaning of the Uniform Commercial Code;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“clearing agency” registered under Section 17A of the Exchange Act.</w:t>
      </w:r>
    </w:p>
    <w:p>
      <w:pPr>
        <w:spacing w:after="0" w:line="225"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including the underwriters;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080"/>
          </w:cols>
          <w:pgMar w:left="320" w:top="459" w:right="4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308" w:lineRule="auto"/>
        <w:rPr>
          <w:sz w:val="20"/>
          <w:szCs w:val="20"/>
          <w:color w:val="auto"/>
        </w:rPr>
      </w:pPr>
      <w:r>
        <w:rPr>
          <w:rFonts w:ascii="Arial" w:cs="Arial" w:eastAsia="Arial" w:hAnsi="Arial"/>
          <w:sz w:val="17"/>
          <w:szCs w:val="17"/>
          <w:color w:val="auto"/>
        </w:rPr>
        <w:t>So long as DTC’s nominee is the registered owner of a Global Note, that nominee will be considered the sole owner or holder of the Notes represented by that Global Note for all purposes under the indenture. Except as provided below, owners of beneficial interests in a Global Note:</w:t>
      </w:r>
    </w:p>
    <w:p>
      <w:pPr>
        <w:spacing w:after="0" w:line="52"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will not be entitled to have Notes represented by the Global Note registered in their names;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will not receive or be entitled to receive physical, certificated Notes; and</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Notes under the indenture for any purpose, including with respect to receiving notices or the giving of any direction, instruction or approval to the trustee under the indenture.</w:t>
      </w:r>
    </w:p>
    <w:p>
      <w:pPr>
        <w:spacing w:after="0" w:line="170"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As a result, each investor who owns a beneficial interest in a Global Note must rely on the procedures of DTC to exercise any rights of a holder of Notes under the indenture (and, if the investor is not a participant or an indirect participant in DTC, on the procedures of the DTC participant through which the investor owns its interest). Payments of principal and interest with respect to the Notes represented by a Global Note will be made by the trustee to DTC’s nominee as the registered holder of the Global Note. Neither the Company nor the trustee will have any responsibility or liability for the payment of amounts to owners of beneficial interests in a Global Note, for any aspect of the records relating to or payments made on account of those interests by DTC, or for maintaining, supervising or reviewing any records of DTC relating to those interests.</w:t>
      </w:r>
    </w:p>
    <w:p>
      <w:pPr>
        <w:spacing w:after="0" w:line="178" w:lineRule="exact"/>
        <w:rPr>
          <w:sz w:val="20"/>
          <w:szCs w:val="20"/>
          <w:color w:val="auto"/>
        </w:rPr>
      </w:pPr>
    </w:p>
    <w:p>
      <w:pPr>
        <w:ind w:left="120" w:right="820"/>
        <w:spacing w:after="0" w:line="342" w:lineRule="auto"/>
        <w:rPr>
          <w:sz w:val="20"/>
          <w:szCs w:val="20"/>
          <w:color w:val="auto"/>
        </w:rPr>
      </w:pPr>
      <w:r>
        <w:rPr>
          <w:rFonts w:ascii="Arial" w:cs="Arial" w:eastAsia="Arial" w:hAnsi="Arial"/>
          <w:sz w:val="16"/>
          <w:szCs w:val="16"/>
          <w:color w:val="auto"/>
        </w:rPr>
        <w:t>Payments by participants and indirect participants in DTC to the owners of beneficial interests in a Global Note will be governed by standing instructions and customary industry practice and will be the responsibility of those participants or indirect participants and DTC.</w:t>
      </w:r>
    </w:p>
    <w:p>
      <w:pPr>
        <w:spacing w:after="0" w:line="124"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Cross-market transfers of beneficial interests in Global Notes between DTC participants, on the one hand, and Euroclear or Clearstream participants, on the other hand, will be effected within DTC through the DTC participants that are acting as depositaries for Euroclear and Clearstream. To deliver or receive an interest in a Global Note held in a Euroclear or Clearstream account, an investor must send transfer instructions to Euroclear or Clearstream, as the case may be, under the rules and procedures of that system and within the established deadlines of that system. If the transaction meets its settlement requirements, Euroclear or Clearstream, as the case may be, will send instructions to its DTC depositary to take action to effect final settlement by delivering or receiving interests in the relevant Global Notes in DTC, and making or receiving payment under normal procedures for same-day funds settlement applicable to DTC. Euroclear and Clearstream participants may not deliver instructions directly to the DTC depositaries that are acting for Euroclear or Clearstream.</w:t>
      </w:r>
    </w:p>
    <w:p>
      <w:pPr>
        <w:spacing w:after="0" w:line="192"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Because the settlement of cross-market transfers takes place during New York business hours, DTC participants may employ their usual procedures for sending securities to the applicable DTC participants acting as depositaries for Euroclear and Clearstream. The sale proceeds will be available to the DTC participant seller on the settlement date. Thus, to a DTC participant, a cross-market transaction will settle no differently from a trade between two DTC participants. Because of time zone differences, the securities account of a Euroclear or Clearstream participant that purchases an interest in a Global Note from a DTC participant will be credited on the business day for Euroclear or Clearstream immediately following the DTC settlement date. Cash received in Euroclear or Clearstream from the sale of an interest in a Global Note to a DTC participant will be reflected in the account of the Euroclear of Clearstream participant the following business day, and receipt of the cash proceeds in the Euroclear or Clearstream participant’s account will be back-valued to the date on which settlement occurs in New York. DTC, Euroclear and Clearstream have agreed to the above procedures to facilitate transfers of interests in the Global Notes among participants in those settlement systems. However, the settlement systems are not obligated to perform these procedures and may discontinue or change these procedures at any time. Neither the Company nor the trustee will have any responsibility or liability for the performance by DTC, Euroclear or Clearstream or their participants or indirect participants of their obligations under the rules and procedures governing their operations, including maintaining, supervising or reviewing the records relating to, or payments made on account of, beneficial ownership interests in Global Notes.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100"/>
          </w:cols>
          <w:pgMar w:left="32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Transfers between participants in DTC will be effected under DTC’s procedures and will be settled in same-day funds.</w:t>
      </w:r>
    </w:p>
    <w:p>
      <w:pPr>
        <w:spacing w:after="0" w:line="22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 connection with any proposed transfer outside the book entry only system, there shall be provided to the trustee all information reasonably requested by the trustee that is necessary to allow the trustee to comply with any applicable tax reporting obligations, including without limitation any cost basis reporting obligations under Section 6045 of the Code. The trustee may rely on the information provided to it and shall have no responsibility to verify or ensure the accuracy of such information.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Notes in physical, certificated form will be issued and delivered to each person that DTC identifies as a beneficial owner of the related Notes only if:</w:t>
      </w:r>
    </w:p>
    <w:p>
      <w:pPr>
        <w:spacing w:after="0" w:line="154" w:lineRule="exact"/>
        <w:rPr>
          <w:sz w:val="20"/>
          <w:szCs w:val="20"/>
          <w:color w:val="auto"/>
        </w:rPr>
      </w:pPr>
    </w:p>
    <w:p>
      <w:pPr>
        <w:ind w:left="1080" w:right="18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DTC notifies us at any time that it is unwilling or unable to continue as depositary for the Global Notes and a successor depositary is not appointed within 90 days;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DTC ceases to be registered as a clearing agency under the Exchange Act and a successor depositary is not appointed within 90 days; or</w:t>
      </w:r>
    </w:p>
    <w:p>
      <w:pPr>
        <w:spacing w:after="0" w:line="153" w:lineRule="exact"/>
        <w:rPr>
          <w:rFonts w:ascii="Arial" w:cs="Arial" w:eastAsia="Arial" w:hAnsi="Arial"/>
          <w:sz w:val="16"/>
          <w:szCs w:val="16"/>
          <w:color w:val="auto"/>
        </w:rPr>
      </w:pPr>
    </w:p>
    <w:p>
      <w:pPr>
        <w:ind w:left="1080" w:right="14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event of default with respect to the Notes has occurred and is continuing and such beneficial owner requests that its Notes be issued in physical, certificated form.</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100"/>
          </w:cols>
          <w:pgMar w:left="32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CERTAIN U.S. FEDERAL INCOME TAX CONSIDERATIONS</w:t>
      </w:r>
    </w:p>
    <w:p>
      <w:pPr>
        <w:spacing w:after="0" w:line="229" w:lineRule="exact"/>
        <w:rPr>
          <w:sz w:val="20"/>
          <w:szCs w:val="20"/>
          <w:color w:val="auto"/>
        </w:rPr>
      </w:pPr>
    </w:p>
    <w:p>
      <w:pPr>
        <w:ind w:left="120" w:right="160"/>
        <w:spacing w:after="0" w:line="272" w:lineRule="auto"/>
        <w:rPr>
          <w:sz w:val="20"/>
          <w:szCs w:val="20"/>
          <w:color w:val="auto"/>
        </w:rPr>
      </w:pPr>
      <w:r>
        <w:rPr>
          <w:rFonts w:ascii="Arial" w:cs="Arial" w:eastAsia="Arial" w:hAnsi="Arial"/>
          <w:sz w:val="17"/>
          <w:szCs w:val="17"/>
          <w:color w:val="auto"/>
        </w:rPr>
        <w:t>The following discussion is a general summary of certain U.S. federal income tax considerations (and, in the case of a non-U.S. holder (as defined below), certain U.S. federal estate tax consequences) applicable to the ownership and disposition of the Notes. This summary does not purport to be a complete description of the income or estate tax considerations applicable to an investment in the Notes. The discussion is based upon the Code, Treasury Regulations, and administrative and judicial interpretations, each as of the date of this prospectus supplement and all of which are subject to change, potentially with retroactive effect or differing interpretations by the IRS so as to result in U.S. federal income tax consequences different from those discussed below. We have not sought and will not seek any ruling from the IRS in respect of the Notes. You should consult your own tax advisor with respect to tax considerations that pertain to your ownership and disposition of our Notes.</w:t>
      </w:r>
    </w:p>
    <w:p>
      <w:pPr>
        <w:spacing w:after="0" w:line="177"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This discussion deals only with Notes held as capital assets within the meaning of Section 1221 of the Code and does not purport to deal with persons in special tax situations or subject to special rules, such as financial institutions, insurance companies, controlled foreign corporations, passive foreign investment companies and regulated investment companies (and shareholders of such corporations), dealers in securities or currencies, traders in securities, former citizens of the United States, persons holding the Notes as a hedge against currency risks or as a position in a “straddle,” “hedge,” “constructive sale transaction” or “conversion transaction” for tax purposes, entities that are tax-exempt for U.S. federal income tax purposes, retirement plans, individual retirement accounts, tax-deferred accounts, persons subject to the alternative minimum tax, persons subject to special rules for the taxable year of inclusion under Section 451(b) of the Code, pass-through entities (including partnerships and entities and arrangements classified as partnerships for U.S. federal income tax purposes) and beneficial owners of pass-through entities, or U.S. holders (as defined below) whose functional currency is not the U.S. dollar. It also does not deal with beneficial owners of the Notes other than those beneficial owners who acquire the Notes in this offering for a price equal to their original issue price (i.e., the first price at which a substantial amount of the notes is sold other than to bond houses, brokers, or similar persons or organizations acting in the capacity of underwriters, placement agents or wholesalers). If you are considering purchasing the Notes, you should consult your own tax advisor concerning the application of the U.S. federal tax laws to you in light of your particular situation, as well as any consequences to you of purchasing, owning and disposing of the Notes under the laws of any other taxing jurisdiction.</w:t>
      </w:r>
    </w:p>
    <w:p>
      <w:pPr>
        <w:spacing w:after="0" w:line="174"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For purposes of this discussion, the term “U.S. holder” means a beneficial owner of a Note that is, for U.S. federal income tax purposes, (i) an individual who is a citizen or resident of the United States, (ii) a corporation or other entity treated as a corporation for U.S. federal income tax purposes, created or organized in or under the laws of the United States or of any political subdivision thereof, (iii) a trust (a) subject to the control of one or more U.S. persons and the primary supervision of a court in the United States, or (b) that has a valid election (under applicable Treasury Regulations) to be treated as a U.S. person for U.S. federal income tax purposes, or (iv) an estate the income of which is subject to U.S. federal income taxation regardless of its source. The term “non-U.S. holder” means a beneficial owner of a Note that is neither a U.S. holder nor a partnership (including an entity or arrangement treated as a partnership for U.S. federal income tax purposes). An individual may, subject to exceptions, be deemed to be a resident of the United States for U.S. federal income tax purposes, as opposed to a non-resident alien, by, among other ways, being present in the United States (i) on at least 31 days in the calendar year, and (ii) for an aggregate of at least 183 days during a three-year period ending in the current calendar year, counting for such purposes all of the days present in the current year, one-third of the days present in the immediately preceding year, and one-sixth of the days present in the second preceding year. Individuals who are residents for such purposes are subject to U.S. federal income tax as if they were U.S. citizens.</w:t>
      </w:r>
    </w:p>
    <w:p>
      <w:pPr>
        <w:spacing w:after="0" w:line="172" w:lineRule="exact"/>
        <w:rPr>
          <w:sz w:val="20"/>
          <w:szCs w:val="20"/>
          <w:color w:val="auto"/>
        </w:rPr>
      </w:pPr>
    </w:p>
    <w:p>
      <w:pPr>
        <w:jc w:val="both"/>
        <w:ind w:left="120" w:right="400"/>
        <w:spacing w:after="0" w:line="311" w:lineRule="auto"/>
        <w:rPr>
          <w:sz w:val="20"/>
          <w:szCs w:val="20"/>
          <w:color w:val="auto"/>
        </w:rPr>
      </w:pPr>
      <w:r>
        <w:rPr>
          <w:rFonts w:ascii="Arial" w:cs="Arial" w:eastAsia="Arial" w:hAnsi="Arial"/>
          <w:sz w:val="16"/>
          <w:szCs w:val="16"/>
          <w:color w:val="auto"/>
        </w:rPr>
        <w:t>If a partnership (including an entity or arrangement treated as a partnership for U.S. federal income tax purposes) holds any Notes, the U.S. federal income tax treatment of a partner of the partnership generally will depend upon the status of the partner, the activities of the partnership and certain determinations made at the partner level. Partners of partnerships holding Notes should consult their own tax advisors.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We intend to treat, for U.S. federal income tax purposes, the issuance of the Notes offered hereby as a “qualified reopening” of the Existing Notes. Accordingly, we intend to treat the Notes offered hereby as having the same “issue date” and the same “issue price” as the Existing Notes for U.S. federal income tax purposes. Since the Existing Notes were treated as issued with less than a de minimis amount of original issue discount, or OID, for U.S. federal income tax purposes, the new Notes in this offering also do not have OID. If the issuance of the Notes offered hereby is not treated as a “qualified reopening,” the issue date and the issue price of the Notes offered hereby would differ from the issue date and issue price of the Existing Notes for U.S. federal income tax purposes and, if in the case the Notes offered hereby were to be issued with OID that is equal to or greater than the “de minimis amount” (as defined in the Treasury Regulations), the Notes offered hereby would be treated as having OID for U.S. federal income tax purposes. The remainder of this discussion assumes that the issuance of the Notes offered hereby will be treated as a qualified reopening for U.S. federal income tax purposes.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Note Holders</w:t>
      </w:r>
    </w:p>
    <w:p>
      <w:pPr>
        <w:spacing w:after="0" w:line="121"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i w:val="1"/>
          <w:iCs w:val="1"/>
          <w:u w:val="single" w:color="auto"/>
          <w:color w:val="auto"/>
        </w:rPr>
        <w:t>Taxation of U.S. Holders</w:t>
      </w:r>
      <w:r>
        <w:rPr>
          <w:rFonts w:ascii="Arial" w:cs="Arial" w:eastAsia="Arial" w:hAnsi="Arial"/>
          <w:sz w:val="17"/>
          <w:szCs w:val="17"/>
          <w:i w:val="1"/>
          <w:iCs w:val="1"/>
          <w:color w:val="auto"/>
        </w:rPr>
        <w:t xml:space="preserve">. </w:t>
      </w:r>
      <w:r>
        <w:rPr>
          <w:rFonts w:ascii="Arial" w:cs="Arial" w:eastAsia="Arial" w:hAnsi="Arial"/>
          <w:sz w:val="17"/>
          <w:szCs w:val="17"/>
          <w:color w:val="auto"/>
        </w:rPr>
        <w:t>For non-tax purposes, the initial offering price for the Notes offered hereby will include the amount attributable to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accrued from October 1, 2021, which, for purposes of this discussion, is referred to as the “pre-issuance accrued interest.” Pre-issuance accrued interest will be included in the accrued interest to be paid on the Notes offered hereby on the first interest payment date after the issuance of the Notes offered hereby. In accordance with applicable Treasury Regulations, for U.S. federal income tax purposes, we will treat the Notes offered hereby as having been purchased for a price that does not include any pre-issuance accrued interest. Provided that the Notes offered hereby are so treated, the portion of the first stated interest payment equal to the pre-issuance accrued interest will be treated as a non-taxable return of such pre-issuance accrued interest and, accordingly, will not be taxable as interest on the Notes offered hereby. U.S. holders should consult their own tax advisors regarding the tax treatment of any pre-issuance accrued interest.</w:t>
      </w:r>
    </w:p>
    <w:p>
      <w:pPr>
        <w:spacing w:after="0" w:line="178"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Payments or accruals of interest on a Note generally will be taxable to a U.S. holder as ordinary interest income at the time they are received (actually or constructively) or accrued, in accordance with the U.S. holder’s regular method of tax accounting.</w:t>
      </w:r>
    </w:p>
    <w:p>
      <w:pPr>
        <w:spacing w:after="0" w:line="170"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If a U.S. holder purchases a Note in this offering at a price (excluding any amount attributable to pre-issuance accrued interest) that exceeds the stated principal amount of the Note, such holder will be considered to have purchased the Note with amortizable bond premium equal to the amount of that excess. A U.S. holder generally may elect to amortize the premium using a constant yield method over the remaining term of the Note as an offset to interest when included in income in accordance with such holder’s regular method of tax accounting. This election to amortize premium on a constant yield method will apply to all debt obligations (other than debt obligations the interest on which is excludable from gross income) held by such holder as of the beginning of, or acquired during or after, the first taxable year for which the election applies and may not be revoked without the consent of the IRS. If a U.S. holder makes the election to amortize bond premium with respect to a Note, such holder will be required to reduce its adjusted tax basis in such Note by the amount of the premium amortized. If a U.S. holder does not elect to amortize bond premium, that premium will decrease the gain or increase the loss such holder would otherwise recognize on the sale, exchange, redemption, retirement or other taxable disposition of the Note. Prospective investors should consult their own tax advisors regarding this election.</w:t>
      </w:r>
    </w:p>
    <w:p>
      <w:pPr>
        <w:spacing w:after="0" w:line="185"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Upon the sale, exchange, redemption, retirement or other taxable disposition of a Note, a U.S. holder generally will recognize capital gain or loss equal to the difference between the amount realized on the sale, exchange, redemption, retirement or other taxable disposition (excluding any amounts representing accrued and unpaid interest, which are treated as ordinary income) and the U.S. holder’s tax basis in the Note. A U.S. holder’s tax basis in a Note generally will equal the amount of the U.S. holder’s initial investment in the Note (less any amount attributable to pre-issuance accrued interest that is excluded from the purchase price of a Note offered hereby for U.S. federal income tax purposes), reduced by the amount of any bond premium previously amortized by the U.S. holder with respect to the Note as well as any cash payments on the Note other than qualified stated interest. Capital gain or loss generally will be long-term capital gain or loss if the Note was held for more than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40"/>
        <w:spacing w:after="0" w:line="259" w:lineRule="auto"/>
        <w:rPr>
          <w:sz w:val="20"/>
          <w:szCs w:val="20"/>
          <w:color w:val="auto"/>
        </w:rPr>
      </w:pPr>
      <w:r>
        <w:rPr>
          <w:rFonts w:ascii="Arial" w:cs="Arial" w:eastAsia="Arial" w:hAnsi="Arial"/>
          <w:sz w:val="18"/>
          <w:szCs w:val="18"/>
          <w:color w:val="auto"/>
        </w:rPr>
        <w:t>one year. Long-term capital gains recognized by individuals and certain other non-corporate U.S. holders generally are eligible for reduced rates of taxation. Currently, a rate of either 15% or 20%, depending on whether the U.S. holder’s income exceeds certain threshold amounts. The distinction between capital gain or loss and ordinary income or loss is also important in other contexts, such as, for example, for purposes of the limitations on a U.S. holder’s ability to offset capital losses against ordinary income.</w:t>
      </w:r>
    </w:p>
    <w:p>
      <w:pPr>
        <w:spacing w:after="0" w:line="187"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Under applicable U.S. Treasury regulations, if a shareholder recognizes a loss with respect to the Notes in excess of certain prescribed thresholds (generally, $2 million or more for a non-corporate U.S. holder or $10 million or more for a corporate U.S. holder), the U.S. holder may be required to file a disclosure statement on IRS Form 8886. Direct U.S. holders of portfolio securities are in many cases excepted from this reporting requirement, but, under current guidance, U.S. holders of securities issued by a RIC are not exempt from this reporting requirement. The fact that a loss is reportable by a taxpayer as just described does not affect the legal determination of whether the taxpayer’s treatment of the loss is proper. Significant monetary penalties apply to a failure to comply with this reporting requirement. States may also have a similar reporting requirement. U.S. holders of the Notes should consult their own tax advisors to determine the applicability of this reporting requirement in light of their particular circumstances.</w:t>
      </w:r>
    </w:p>
    <w:p>
      <w:pPr>
        <w:spacing w:after="0" w:line="166"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A tax of 3.8% is imposed on certain “net investment income” (or “undistributed net investment income”, in the case of estates and trusts) received by certain taxpayers with modified adjusted gross incomes above certain threshold amounts. “Net investment income” as defined for U.S. federal Medicare contribution purposes generally includes interest payments and gain recognized from the sale, exchange, redemption or other taxable disposition of the Notes. Tax-exempt trusts, which are not subject to income taxes generally, and foreign individuals will not be subject to this tax. U.S. holders should consult their own tax advisors regarding the effect, if any, of this tax on their ownership and disposition of the Notes.</w:t>
      </w:r>
    </w:p>
    <w:p>
      <w:pPr>
        <w:spacing w:after="0" w:line="176"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i w:val="1"/>
          <w:iCs w:val="1"/>
          <w:u w:val="single" w:color="auto"/>
          <w:color w:val="auto"/>
        </w:rPr>
        <w:t>Taxation of Non-U.S. Holders</w:t>
      </w:r>
      <w:r>
        <w:rPr>
          <w:rFonts w:ascii="Arial" w:cs="Arial" w:eastAsia="Arial" w:hAnsi="Arial"/>
          <w:sz w:val="18"/>
          <w:szCs w:val="18"/>
          <w:color w:val="auto"/>
        </w:rPr>
        <w:t>. For purposes of this discussion, interest does not include any pre-issuance accrued interest excluded from the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price of the Notes offered hereby. However, to the extent any amount treated as interest for U.S. federal income tax purposes are or would be subject to U.S. federal withholding tax as described below, the applicable withholding agent may withhold such tax on all payments of interest, including payment of pre-issuance accrued interest, if the withholding agent is unable to determine which portion of the payments is attributable to pre-issuance accrued interest.</w:t>
      </w:r>
    </w:p>
    <w:p>
      <w:pPr>
        <w:spacing w:after="0" w:line="188"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A non-U.S. holder generally will not be subject to U.S. federal income or withholding taxes on payments of principal or interest on a Note provided that in the case of interest on a Note (i) the interest is not effectively connected with the conduct by the non-U.S. holder of a trade or business within the United States, (ii) the non-U.S. holder is not a controlled foreign corporation related to the Company through sufficient stock ownership, (iii) the recipient is not a bank receiving interest described in Section 881(c)(3)(A) of the Code, (iv) the non-U.S. holder does not own (actually or constructively) 10% or more of the total combined voting power of all classes of stock of the Company, and (v) the non-U.S. holder provides to the applicable withholding agent a statement on an IRS Form W-8BEN or W-8BEN-E (or other applicable form) signed under penalties of perjury that includes its name and address and certifies that it is not a U.S. person in compliance with applicable requirements, or satisfies documentary evidence requirements for establishing that it is a non-U.S. holder. A non-U.S. holder that is not exempt from tax under these rules generally will be subject to withholding of U.S. federal income tax on payments of interest on the Notes at a rate of 30% unless (i) the interest is effectively connected with the conduct of a U.S. trade or business, in which case the interest will be subject to U.S. federal income tax on a net income basis as applicable to U.S. holders generally (unless an applicable income tax treaty provides otherwise) and such non-U.S. holder would be required to provide a properly executed IRS Form W-8ECI in lieu of the certificates described above, or (ii) an applicable income tax treaty provides for a lower rate of, or exemption from, this withholding. In the case of a non-U.S. holder that is a corporation for U.S. federal income tax purposes and that receives income that is effectively connected with the conduct of a U.S. trade or business, such income may also be subject to a branch profits tax (which is generally imposed on a non-U.S. corporation on the actual or deemed repatriation from the United States of earnings and profits attributable to a</w:t>
      </w:r>
    </w:p>
    <w:p>
      <w:pPr>
        <w:spacing w:after="0" w:line="1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080"/>
          </w:cols>
          <w:pgMar w:left="320" w:top="459" w:right="4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U.S. trade or business) at a 30% rate. The branch profits tax may not apply (or may apply at a reduced rate) if the non-U.S. holder is a qualified resident of a country with which the United States has an income tax treaty.</w:t>
      </w:r>
    </w:p>
    <w:p>
      <w:pPr>
        <w:spacing w:after="0" w:line="170"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To claim the benefit of an income tax treaty or to claim exemption from withholding because interest is effectively connected with a U.S. trade or business, the non-U.S. holder must timely provide the appropriate, properly executed IRS forms to the applicable withholding agent. These forms may be required to be periodically updated.</w:t>
      </w:r>
    </w:p>
    <w:p>
      <w:pPr>
        <w:spacing w:after="0" w:line="184"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Generally, a non-U.S. holder will not be subject to U.S. federal income or withholding taxes on any amount that constitutes capital gain upon the sale, exchange, redemption or retirement of a Note, provided that the gain is not effectively connected with the conduct of a trade or business in the United States by the non-U.S. holder (and, if required by an applicable income tax treaty, is not attributable to a U.S. “permanent establishment” maintained by the non-U.S. holder). Certain other exceptions may be applicable, and a non-U.S. holder should consult its tax advisor in this regard.</w:t>
      </w:r>
    </w:p>
    <w:p>
      <w:pPr>
        <w:spacing w:after="0" w:line="157" w:lineRule="exact"/>
        <w:rPr>
          <w:sz w:val="20"/>
          <w:szCs w:val="20"/>
          <w:color w:val="auto"/>
        </w:rPr>
      </w:pPr>
    </w:p>
    <w:p>
      <w:pPr>
        <w:jc w:val="both"/>
        <w:ind w:left="120" w:right="40"/>
        <w:spacing w:after="0" w:line="287" w:lineRule="auto"/>
        <w:rPr>
          <w:sz w:val="20"/>
          <w:szCs w:val="20"/>
          <w:color w:val="auto"/>
        </w:rPr>
      </w:pPr>
      <w:r>
        <w:rPr>
          <w:rFonts w:ascii="Arial" w:cs="Arial" w:eastAsia="Arial" w:hAnsi="Arial"/>
          <w:sz w:val="16"/>
          <w:szCs w:val="16"/>
          <w:color w:val="auto"/>
        </w:rPr>
        <w:t>A Note that is held by an individual who, at the time of death, is not a citizen or resident of the United States (as specially defined for U.S. federal estate tax purposes) generally will not be subject to the U.S. federal estate tax, unless, at the time of death, (i) such individual directly or indirectly, actually or constructively, owns ten percent or more of the total combined voting power of all classes of our stock entitled to vote within the meaning of</w:t>
      </w:r>
    </w:p>
    <w:p>
      <w:pPr>
        <w:spacing w:after="0" w:line="2" w:lineRule="exact"/>
        <w:rPr>
          <w:sz w:val="20"/>
          <w:szCs w:val="20"/>
          <w:color w:val="auto"/>
        </w:rPr>
      </w:pPr>
    </w:p>
    <w:p>
      <w:pPr>
        <w:ind w:left="120" w:right="280"/>
        <w:spacing w:after="0" w:line="260" w:lineRule="auto"/>
        <w:rPr>
          <w:sz w:val="20"/>
          <w:szCs w:val="20"/>
          <w:color w:val="auto"/>
        </w:rPr>
      </w:pPr>
      <w:r>
        <w:rPr>
          <w:rFonts w:ascii="Arial" w:cs="Arial" w:eastAsia="Arial" w:hAnsi="Arial"/>
          <w:sz w:val="18"/>
          <w:szCs w:val="18"/>
          <w:color w:val="auto"/>
        </w:rPr>
        <w:t>Section 871(h)(3) of the Code and the Treasury Regulations thereunder or (ii) such individual’s interest in the Notes is effectively connected with the individual’s conduct of a U.S. trade or business.</w:t>
      </w:r>
    </w:p>
    <w:p>
      <w:pPr>
        <w:spacing w:after="0" w:line="185"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i w:val="1"/>
          <w:iCs w:val="1"/>
          <w:u w:val="single" w:color="auto"/>
          <w:color w:val="auto"/>
        </w:rPr>
        <w:t>Information Reporting and Backup Withholding</w:t>
      </w:r>
      <w:r>
        <w:rPr>
          <w:rFonts w:ascii="Arial" w:cs="Arial" w:eastAsia="Arial" w:hAnsi="Arial"/>
          <w:sz w:val="16"/>
          <w:szCs w:val="16"/>
          <w:color w:val="auto"/>
        </w:rPr>
        <w:t>. A U.S. holder (other than an “exempt recipient,” including a corporation and certain other persons who,</w:t>
      </w:r>
      <w:r>
        <w:rPr>
          <w:rFonts w:ascii="Arial" w:cs="Arial" w:eastAsia="Arial" w:hAnsi="Arial"/>
          <w:sz w:val="16"/>
          <w:szCs w:val="16"/>
          <w:i w:val="1"/>
          <w:iCs w:val="1"/>
          <w:color w:val="auto"/>
        </w:rPr>
        <w:t xml:space="preserve"> </w:t>
      </w:r>
      <w:r>
        <w:rPr>
          <w:rFonts w:ascii="Arial" w:cs="Arial" w:eastAsia="Arial" w:hAnsi="Arial"/>
          <w:sz w:val="16"/>
          <w:szCs w:val="16"/>
          <w:color w:val="auto"/>
        </w:rPr>
        <w:t>when required, demonstrate their exempt status) may be subject to backup withholding at the applicable rate (currently 24%) on, and will be subject to information reporting requirements with respect to, payments of principal or interest on, and proceeds from the sale, exchange, redemption or retirement of, the Notes. In general, if a non-corporate U.S. holder subject to information reporting fails to furnish a correct taxpayer identification number or otherwise fails to comply with applicable backup withholding requirements, backup withholding at the applicable rate may apply.</w:t>
      </w:r>
    </w:p>
    <w:p>
      <w:pPr>
        <w:spacing w:after="0" w:line="161"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color w:val="auto"/>
        </w:rPr>
        <w:t>If you are a non-U.S. holder, generally, the applicable withholding agent must report to the IRS and to you payments of interest on the Notes and the amount of tax, if any, withheld with respect to those payments. Copies of the information returns reporting such interest payments and any withholding may also be made available to the tax authorities in the country in which you reside under the provisions of a treaty or agreement. In general, backup withholding will not apply to payments of interest on your Notes if you have provided to the applicable withholding agent the required certification that you are not a U.S. person and the applicable withholding agent does not have actual knowledge or reason to know that you are a U.S. person. Information reporting and, depending on the circumstances, backup withholding will apply to payment to you of the proceeds of a sale or other disposition (including a retirement or redemption) of your Notes within the United States or conducted through certain U.S.-related financial intermediaries, unless you certify under penalties of perjury that you are not a U.S. person or you otherwise establish an exemption, and the applicable withholding agent does not have actual knowledge or reason to know that you are a U.S. person.</w:t>
      </w:r>
    </w:p>
    <w:p>
      <w:pPr>
        <w:spacing w:after="0" w:line="18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You should consult your own tax advisor regarding the application of information reporting and backup withholding in your particular circumstance and the availability of and procedure for obtaining an exemption from backup withholding. Backup withholding is not an additional tax, and any amounts withheld under the backup withholding rules may be allowed as a refund or a credit against your U.S. federal income tax liability, provided that the required information is timely furnished to the IRS.</w:t>
      </w:r>
    </w:p>
    <w:p>
      <w:pPr>
        <w:spacing w:after="0" w:line="187"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i w:val="1"/>
          <w:iCs w:val="1"/>
          <w:u w:val="single" w:color="auto"/>
          <w:color w:val="auto"/>
        </w:rPr>
        <w:t>FATCA Withholding on Payments to Certain Foreign Entities</w:t>
      </w:r>
      <w:r>
        <w:rPr>
          <w:rFonts w:ascii="Arial" w:cs="Arial" w:eastAsia="Arial" w:hAnsi="Arial"/>
          <w:sz w:val="18"/>
          <w:szCs w:val="18"/>
          <w:color w:val="auto"/>
        </w:rPr>
        <w:t>. Sections 1471 through 1474 of the Code (provisions commonly referred to as “FATCA”)</w:t>
      </w:r>
      <w:r>
        <w:rPr>
          <w:rFonts w:ascii="Arial" w:cs="Arial" w:eastAsia="Arial" w:hAnsi="Arial"/>
          <w:sz w:val="18"/>
          <w:szCs w:val="18"/>
          <w:i w:val="1"/>
          <w:iCs w:val="1"/>
          <w:color w:val="auto"/>
        </w:rPr>
        <w:t xml:space="preserve"> </w:t>
      </w:r>
      <w:r>
        <w:rPr>
          <w:rFonts w:ascii="Arial" w:cs="Arial" w:eastAsia="Arial" w:hAnsi="Arial"/>
          <w:sz w:val="18"/>
          <w:szCs w:val="18"/>
          <w:color w:val="auto"/>
        </w:rPr>
        <w:t>impose a 30% withholding tax on payments of U.S. source interest, and gross proceeds from the sale, redemption, retirement or other disposition of obligations that give rise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301" w:lineRule="auto"/>
        <w:rPr>
          <w:sz w:val="20"/>
          <w:szCs w:val="20"/>
          <w:color w:val="auto"/>
        </w:rPr>
      </w:pPr>
      <w:r>
        <w:rPr>
          <w:rFonts w:ascii="Arial" w:cs="Arial" w:eastAsia="Arial" w:hAnsi="Arial"/>
          <w:sz w:val="16"/>
          <w:szCs w:val="16"/>
          <w:color w:val="auto"/>
        </w:rPr>
        <w:t>to U.S. source interest payments, in each case to certain non-U.S. entities, including certain foreign financial institutions and investment funds, unless such non-U.S. entity complies with certain reporting requirements regarding its U.S. account holders and its U.S. owners. An intergovernmental agreement between the United States and an applicable foreign country, or future U.S. Treasury regulations or other guidance, may modify these requirements. Accordingly, the entity through which the Notes are held may affect the determination of whether such withholding is required.</w:t>
      </w:r>
    </w:p>
    <w:p>
      <w:pPr>
        <w:spacing w:after="0" w:line="15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While existing U.S. Treasury regulations would require FATCA withholding on payments of the gross proceeds from the sale of any property that could produce U.S. source interest or dividends, in 2018 the U.S. Treasury Department released proposed regulations that eliminated this requirement. Pursuant to these proposed regulations, a taxpayer may (but is not required to) rely on this proposed change to FATCA withholding until final regulations are issued or until such proposed regulations are rescinded.</w:t>
      </w:r>
    </w:p>
    <w:p>
      <w:pPr>
        <w:spacing w:after="0" w:line="187"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The FATCA withholding tax will apply to all withholdable payments without regard to whether the beneficial owner of the payment would otherwise be entitled to an exemption from imposition of withholding tax pursuant to an applicable tax treaty with the United States or U.S. domestic law. If payment of this withholding tax is made, holders that are otherwise eligible for an exemption from, or reduction of, U.S. federal withholding taxes with respect to such interest or proceeds will be required to seek a credit or refund from the IRS to obtain the benefit of such exemption or reduction, if any. We will not pay additional amounts to holders of the Notes in respect of any amounts withheld.</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Each prospective purchaser should consult its own tax advisor regarding FATCA and how it may affect such investor in its particular circumstances.</w:t>
      </w:r>
    </w:p>
    <w:p>
      <w:pPr>
        <w:spacing w:after="0" w:line="356"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You should consult your own tax advisor with respect to the particular tax consequences to you of an investment in the Notes, including the possible effect of any pending legislation or proposed regulations.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100"/>
          </w:cols>
          <w:pgMar w:left="320" w:top="459"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We are offering the Notes described in this prospectus supplement through a number of underwriters. Goldman Sachs &amp; Co. LLC, Keefe, Bruyette &amp; Woods, Inc. and Truist Securities, Inc. are acting as representatives of the several underwriters. We have entered into an underwriting agreement with the underwriters. Subject to the terms and conditions of the underwriting agreement, we have agreed to sell to the underwriters, and each underwriter has severally agreed to purchase, the aggregate principal amount of Notes listed next to its name in the following table:</w:t>
      </w:r>
    </w:p>
    <w:p>
      <w:pPr>
        <w:spacing w:after="0" w:line="177"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48"/>
        </w:trPr>
        <w:tc>
          <w:tcPr>
            <w:tcW w:w="63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71"/>
        </w:trPr>
        <w:tc>
          <w:tcPr>
            <w:tcW w:w="6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of Notes</w:t>
            </w:r>
          </w:p>
        </w:tc>
        <w:tc>
          <w:tcPr>
            <w:tcW w:w="0" w:type="dxa"/>
            <w:vAlign w:val="bottom"/>
          </w:tcPr>
          <w:p>
            <w:pPr>
              <w:spacing w:after="0"/>
              <w:rPr>
                <w:sz w:val="1"/>
                <w:szCs w:val="1"/>
                <w:color w:val="auto"/>
              </w:rPr>
            </w:pPr>
          </w:p>
        </w:tc>
      </w:tr>
      <w:tr>
        <w:trPr>
          <w:trHeight w:val="210"/>
        </w:trPr>
        <w:tc>
          <w:tcPr>
            <w:tcW w:w="6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Goldman Sachs &amp; Co. LLC</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51,000,000</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Keefe, Bruyette &amp; Woods, Inc.</w:t>
            </w: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17,000,000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Truist Securities, Inc.</w:t>
            </w:r>
          </w:p>
        </w:tc>
        <w:tc>
          <w:tcPr>
            <w:tcW w:w="1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JMP Securities LLC</w:t>
            </w: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4,250,000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Ladenburg Thalmann &amp; Co. Inc.</w:t>
            </w:r>
          </w:p>
        </w:tc>
        <w:tc>
          <w:tcPr>
            <w:tcW w:w="1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4,250,000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85,000,000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Subject to the terms and conditions set forth in the underwriting agreement, the underwriters have agreed, severally and not jointly, to purchase all of the Notes sold under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65"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70"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following table shows the per Note and total underwriting discounts and commissions that the Company is to pay to the underwriters in connection with this offering.</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0"/>
              </w:rPr>
              <w:t>Per Note</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ind w:right="155"/>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
        </w:trPr>
        <w:tc>
          <w:tcPr>
            <w:tcW w:w="6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54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vMerge w:val="continue"/>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101.45%</w:t>
            </w:r>
          </w:p>
        </w:tc>
        <w:tc>
          <w:tcPr>
            <w:tcW w:w="2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86,232,500</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Underwriting discount (sales load)</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9"/>
              </w:rPr>
              <w:t>1,700,000</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Proceeds to the Company, before expenses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99.45%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84,532,500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 public offering price set forth above does not include the Aggregate Accrued Interest of $110,381.94 from October 1, 2021 up to, but not including, the date of delivery, which will be paid by the purchasers of the Notes offered hereby. On April 1, 2022, we will pay the Aggregate Accrued Interest to the holders of the Notes offered hereby as of the applicable record date along with interest accrued on the Notes offered hereby from the date of delivery to such interest payment date.</w:t>
      </w:r>
    </w:p>
    <w:p>
      <w:pPr>
        <w:spacing w:after="0" w:line="18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underwriters propose to initially offer some of the Notes in this offering to the public at the public offering price set forth on the cover page of this prospectus supplement and may offer some of the Notes to certain other dealers at the public offering price less a concession not in excess of 1.2% of the aggregate principal amount of the Notes offered hereby. The underwriters may allow, and the dealers may reallow, a discount not in excess of 0.25% of the aggregate principal amount of the Notes offered hereby. After the initial offering of the Notes to the public, the public offering price and other selling terms may be changed. No such change shall change the amount of proceeds to be received by us as set forth on the cover page of this prospectus supplement.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S-41</w:t>
      </w:r>
    </w:p>
    <w:p>
      <w:pPr>
        <w:sectPr>
          <w:pgSz w:w="11900" w:h="16838" w:orient="portrait"/>
          <w:cols w:equalWidth="0" w:num="1">
            <w:col w:w="11140"/>
          </w:cols>
          <w:pgMar w:left="32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expenses of the offering, not including the underwriting discount, are estimated at $0.2 million and are payable by us.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Sales of Similar Securities</w:t>
      </w:r>
    </w:p>
    <w:p>
      <w:pPr>
        <w:spacing w:after="0" w:line="121"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Subject to certain exceptions, we have agreed not to directly or indirectly, offer, pledge, sell, contract to sell, grant any option for the sale of or otherwise transfer or dispose of any debt securities issued or guaranteed by the Company or any securities convertible into or exercisable or exchangeable for debt securities issued or guaranteed by the Company or file any registration statement under the Securities Act with respect to any of the foregoing through the closing date without first obtaining the written consent of the representatives. This consent may be given at any time without public notice.</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The Notes offered hereby are a new issue of securities with no established trading market. The Notes will not be listed on any securities exchange or quoted on any automated dealer quotation system.</w:t>
      </w:r>
    </w:p>
    <w:p>
      <w:pPr>
        <w:spacing w:after="0" w:line="170"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While a trading market developed after issuing the Existing Notes, we cannot assure you that an active and liquid market for the Notes will be maintained. We have been advised by certain of the underwriters that they currently intend to make a market in the Notes after completion of this offering, as permitted by applicable laws and regulations. The underwriters are not obligated, however, to make a market in the Notes and any such market-making may be discontinued at any time in the sole discretion of the underwriters without any notice. Accordingly, no assurance can be given as to the liquidity of, or maintenance of a public trading market for, the Notes. If an active public trading market for the Notes is not maintained, the market price and liquidity of the Notes may be adversely affected.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Price Stabilization, Short Positions</w:t>
      </w:r>
    </w:p>
    <w:p>
      <w:pPr>
        <w:spacing w:after="0" w:line="12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In connection with the offering, the underwriters may purchase and sell Notes in the open market. These transactions may include over-allotment, covering transactions and stabilizing transactions. Over-allotment involves sales of Notes in excess of the aggregate principal amount of Notes to be purchased by the underwriters in the offering, which creates a short position for the underwriters. Covering transactions involve purchases of the Notes in the open market after the distribution has been completed in order to cover short positions. Stabilizing transactions consist of certain bids or purchases of Notes made for the purpose of preventing or retarding a decline in the market price of the Notes while the offering is in progress.</w:t>
      </w:r>
    </w:p>
    <w:p>
      <w:pPr>
        <w:spacing w:after="0" w:line="16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underwriters also may impose a penalty bid. This occurs when a particular underwriter repays to the underwriters a portion of the underwriting discount received by it because the representatives have repurchased Notes sold by or for the account of such underwriter in stabilizing or short covering transactions.</w:t>
      </w:r>
    </w:p>
    <w:p>
      <w:pPr>
        <w:spacing w:after="0" w:line="184"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Any of these activities may cause the price of the Notes to be higher than the price that otherwise would exist in the open market in the absence of such transactions. These transactions may be effected in the over-the-counter market or otherwise and, if commenced, may be discontinued at any time without any notice relating thereto.</w:t>
      </w:r>
    </w:p>
    <w:p>
      <w:pPr>
        <w:spacing w:after="0" w:line="184"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Neither the Company nor any of the underwriters make any representation or prediction as to the direction or magnitude of any effect that the transactions described above may have on the price of the Notes. In addition, neither the Company nor any of the underwriters make any representation that the representatives will engage in these transactions or that these transactions, once commenced, will not be discontinued without notice.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S-42</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311" w:lineRule="auto"/>
        <w:rPr>
          <w:sz w:val="20"/>
          <w:szCs w:val="20"/>
          <w:color w:val="auto"/>
        </w:rPr>
      </w:pPr>
      <w:r>
        <w:rPr>
          <w:rFonts w:ascii="Arial" w:cs="Arial" w:eastAsia="Arial" w:hAnsi="Arial"/>
          <w:sz w:val="16"/>
          <w:szCs w:val="16"/>
          <w:color w:val="auto"/>
        </w:rPr>
        <w:t>investment research, principal investment, hedging, market making, brokerage, valuation services and other financial and non-financial activities and services. Certain of the underwriters and their respective affiliates have provided, and may in the future provide, a variety of these services to the Company and to persons and entities with relationships with the Company, for which they received or will receive customary fees and expenses.</w:t>
      </w:r>
    </w:p>
    <w:p>
      <w:pPr>
        <w:spacing w:after="0" w:line="149" w:lineRule="exact"/>
        <w:rPr>
          <w:sz w:val="20"/>
          <w:szCs w:val="20"/>
          <w:color w:val="auto"/>
        </w:rPr>
      </w:pPr>
    </w:p>
    <w:p>
      <w:pPr>
        <w:ind w:left="120" w:right="160"/>
        <w:spacing w:after="0" w:line="269" w:lineRule="auto"/>
        <w:rPr>
          <w:sz w:val="20"/>
          <w:szCs w:val="20"/>
          <w:color w:val="auto"/>
        </w:rPr>
      </w:pPr>
      <w:r>
        <w:rPr>
          <w:rFonts w:ascii="Arial" w:cs="Arial" w:eastAsia="Arial" w:hAnsi="Arial"/>
          <w:sz w:val="17"/>
          <w:szCs w:val="17"/>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our assets, securities or instruments (directly, as collateral securing other obligations or otherwise) or persons and entities with relationships with us. Certain of the underwriters and their affiliates that have a lending relationship with us routinely hedge their credit exposure to the Company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Any such credit default swaps or short positions could adversely affect future trading prices of the Notes. The underwriters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or short positions in such assets, securities and instruments.</w:t>
      </w:r>
    </w:p>
    <w:p>
      <w:pPr>
        <w:spacing w:after="0" w:line="182"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Affiliates of certain of the underwriters serve as lenders under our New Credit Facility and may serve as lenders or in other roles under any future credit facilities. Some of the underwriters and/or their affiliates were underwriters in connection with our initial public offerings and follow-on public offerings for which they received customary fees. Affiliates of certain of the underwriters are expected to receive part of the proceeds of the offering if we use proceeds from this offering to repay certain amounts outstanding under our New Credit Facility.</w:t>
      </w:r>
    </w:p>
    <w:p>
      <w:pPr>
        <w:spacing w:after="0" w:line="187"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Certain of the net proceeds from the sale of the Notes offered hereby, not including underwriting compensation, may be paid to affiliates of certain of the underwriters as lenders or in other roles. For example, an affiliate of Truist Securities, Inc. is the administrative agent and a lender under our New Credit Facility, and an affiliate of Keefe, Bruyette &amp; Woods, Inc. is a lender. They may receive more than 5% of the proceeds of this offering to the extent the proceeds are used to pay down indebtedness under our New Credit Facility. Affiliates of certain of the underwriters may also serve as lenders or in other roles under any future credit facilities or in connection with follow-on public offerings and other transactions for which they receive customary fees.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Settlement</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 expect that delivery of the Notes offered hereby will be made to investors on or about October 12, 2021, which will be the third business day following the date of pricing of the Notes (such settlement cycle being herein referred to as “T+3”). Under Rule 15c6-1 under the Exchange Act, trades in the secondary market generally are required to settle in two business days, unless the parties to any such trade expressly agree otherwise. Accordingly, purchasers who wish to trade notes on the date of pricing will be required, by virtue of the fact that the notes initially will settle T+3, to specify an alternate settlement cycle at the time of any such trade to prevent a failed settlement. Purchasers of notes who wish to trade notes on the date of pricing should consult their own advisor.</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Principal Business Addresses</w:t>
      </w:r>
    </w:p>
    <w:p>
      <w:pPr>
        <w:spacing w:after="0" w:line="121"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The principal business address of Goldman Sachs &amp; Co. LLC is 200 West Street, New York, New York 10282. The principal business address of Keefe, Bruyette &amp; Woods, Inc. is 787 Seventh Avenue, Fourth Floor, New York, New York 30326. The principal business address of Truist Securities, Inc. is 3333 Peachtree Road NE, Atlanta, Georgia 30326.</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S-43</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Jurisdictions</w:t>
      </w:r>
    </w:p>
    <w:p>
      <w:pPr>
        <w:spacing w:after="0" w:line="12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Other than in the United States, no action has been taken by us or the underwriters that would permit a public offering of the Notes offered by this prospectus supplement in any jurisdiction where action for that purpose is required. The Notes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Notes offered by this prospectus supplement in any jurisdiction in which such an offer or a solicitation is unlawful.</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This prospectus constitutes an “exempt offering document” as defined in and for the purposes of applicable Canadian securities laws. No prospectus has been filed with any securities commission or similar regulatory authority in Canada in connection with the offer and sale of the Notes. No securities commission or similar regulatory authority in Canada has reviewed or in any way passed upon this prospectus or on the merits of the Notes and any representation to the contrary is an offence.</w:t>
      </w:r>
    </w:p>
    <w:p>
      <w:pPr>
        <w:spacing w:after="0" w:line="18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Canadian investors are advised that this prospectus has been prepared in reliance on section 3A.3 of National Instrument 33-105 Underwriting Conflicts (“NI 33-105”). Pursuant to section 3A.3 of NI 33-105, the Company and the underwriters in the offering are exempt from the requirement to provide Canadian investors with certain conflicts of interest disclosure pertaining to “connected issuer” and/or “related issuer” relationships as would otherwise be required pursuant to subsection 2.1(1) of NI 33-105.</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Resale Restrictions</w:t>
      </w:r>
    </w:p>
    <w:p>
      <w:pPr>
        <w:spacing w:after="0" w:line="117"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The offer and sale of the Notes in Canada is being made on a private placement basis only and is exempt from the requirement that the Company prepares and files a prospectus under applicable Canadian securities laws. Any resale of Notes by a Canadian investor in this offering must be made in accordance with applicable Canadian securities laws, which may vary depending on the relevant jurisdiction, and which may require resales to be made in accordance with Canadian prospectus requirements,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Notes outside of Canada.</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Representations of Purchasers</w:t>
      </w:r>
    </w:p>
    <w:p>
      <w:pPr>
        <w:spacing w:after="0" w:line="117"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Each Canadian investor who purchases the Notes will be deemed to have represented to the Company, the underwriters and to each dealer from whom a purchase confirmation is received, as applicable, that the investor is (i) purchasing as principal, or is deemed to be purchasing as principal in accordance with applicable Canadian securities laws; (ii) an “accredited investor” as such term is defined in section 1.1 of National Instrument 45-106 Prospectus Exemptions or, in Ontario, as such term is defined in section 73.3(1) of the Securities Act (Ontario); and (iii) a “permitted client” as such term is defined in section 1.1 of National Instrument 31-103 Registration Requirements, Exemptions and Ongoing Registrant Obligations.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Taxation and Eligibility for Investment</w:t>
      </w:r>
    </w:p>
    <w:p>
      <w:pPr>
        <w:spacing w:after="0" w:line="117"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color w:val="auto"/>
        </w:rPr>
        <w:t>Any discussion of taxation and related matters contained in this prospectus does not purport to be a comprehensive description of all of the tax considerations that may be relevant to a Canadian investor when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S-44</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deciding to purchase the Notes and, in particular, does not address any Canadian tax considerations. No representation or warranty is hereby made as to the tax consequences to a resident, or deemed resident, of Canada of an investment in the Notes or with respect to the eligibility of the Notes for investment by such investor under relevant Canadian federal and provincial legislation and regulations.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Rights of Action for Damages or Rescission</w:t>
      </w:r>
    </w:p>
    <w:p>
      <w:pPr>
        <w:spacing w:after="0" w:line="117"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Securities legislation in certain of the Canadian jurisdictions provides certain purchasers of securities pursuant to an offering memorandum (such as this prospectus), including where the distribution involves an “eligible foreign security” as such term is defined in Ontario Securities Commission Rule</w:t>
      </w:r>
    </w:p>
    <w:p>
      <w:pPr>
        <w:ind w:left="120"/>
        <w:spacing w:after="0" w:line="252" w:lineRule="auto"/>
        <w:rPr>
          <w:sz w:val="20"/>
          <w:szCs w:val="20"/>
          <w:color w:val="auto"/>
        </w:rPr>
      </w:pPr>
      <w:r>
        <w:rPr>
          <w:rFonts w:ascii="Arial" w:cs="Arial" w:eastAsia="Arial" w:hAnsi="Arial"/>
          <w:sz w:val="18"/>
          <w:szCs w:val="18"/>
          <w:color w:val="auto"/>
        </w:rPr>
        <w:t>45-501 Ontario Prospectus and Registration Exemptions and in Multilateral Instrument 45-107 Listing Representation and Statutory Rights of Action Disclosure Exemptions, as applicable, with a remedy for damages or rescission, or both, in addition to any other rights they may have at law, where the offering memorandum, or other offering document that constitutes an offering memorandum,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defences under, applicable Canadian securities legislation. In addition, these remedies are in addition to and without derogation from any other right or remedy available at law to the investor.</w:t>
      </w:r>
    </w:p>
    <w:p>
      <w:pPr>
        <w:spacing w:after="0" w:line="192"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Upon receipt of this document, each Canadian investor hereby confirms that it has expressly requested that all documents evidencing or relating in any way to the sale of the securities described herein (including for greater certainty any purchase confirmation or any notice) be drawn up in the English language only. Par la réception de ce document, chaque investisseur canadien confirme par les présentes qu’il a expressément exigé que tous les documents faisant foi ou se rapportant de quelque manière que ce soit à la vente des valeurs mobilières décrites aux présentes (incluant, pour plus de certitude, toute confirmation d’achat ou tout avis) soient rédigés en anglais seulement.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European Economic Area and the United Kingdom</w:t>
      </w:r>
    </w:p>
    <w:p>
      <w:pPr>
        <w:spacing w:after="0" w:line="121"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The Notes are not intended to be offered, sold or otherwise made available to and should not be offered, sold or otherwise made available to any retail investor in the European Economic Area, or EEA, or in the United Kingdom, or the UK. For these purposes, a retail investor means a person who is one (or more) of: (i) a retail client as defined in point (11) of Article 4(1) of Directive 2014/65/EU, as amended, or the MiFID II; or (ii) a customer within the meaning of Directive (EU) 2016/97, as amended, or the Insurance Distribution Directive, where that customer would not qualify as a professional client as defined in point (10) of Article 4(1) of MiFID II; or (iii) not a qualified investor as defined in Regulation (EU) 2017/1129, as amended, or the Prospectus Regulation. Consequently no key information document required by Regulation (EU) No 1286/2014, as amended, or the PRIIPs Regulation for offering or selling the Notes or otherwise making them available to retail investors in the EEA or in the UK has been prepared and therefore offering or selling the Notes or otherwise making them available to any retail investor in the EEA or in the UK may be unlawful under the PRIIPs Regulation. This prospectus supplement has been prepared on the basis that any offer of Notes in any Member State of the EEA or in the UK will be made pursuant to an exemption under the Prospectus Regulation from the requirement to publish a prospectus for offers of the Notes. This prospectus supplement and the accompanying prospectus is not a prospectus for the purposes of the Prospectus Regulation.</w:t>
      </w:r>
    </w:p>
    <w:p>
      <w:pPr>
        <w:spacing w:after="0" w:line="172"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References to Regulations or Directives include, in relation to the UK, those Regulations or Directives as they form part of UK domestic law by virtue of the European Union (Withdrawal) Act 2018 or have been implemented in UK domestic law, as appropriate.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above selling restriction is in addition to any other selling restrictions set out below.</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S-45</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This document is for distribution only to persons who (i) have professional experience in matters relating to investments and who qualify as investment professionals within the meaning of Article 19(5) of the Financial Services and Markets Act 2000 (Financial Promotion) Order 2005, as amended, or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or FSMA)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Israel</w:t>
      </w:r>
    </w:p>
    <w:p>
      <w:pPr>
        <w:spacing w:after="0" w:line="121" w:lineRule="exact"/>
        <w:rPr>
          <w:sz w:val="20"/>
          <w:szCs w:val="20"/>
          <w:color w:val="auto"/>
        </w:rPr>
      </w:pPr>
    </w:p>
    <w:p>
      <w:pPr>
        <w:ind w:left="120" w:right="40"/>
        <w:spacing w:after="0" w:line="268" w:lineRule="auto"/>
        <w:rPr>
          <w:sz w:val="20"/>
          <w:szCs w:val="20"/>
          <w:color w:val="auto"/>
        </w:rPr>
      </w:pPr>
      <w:r>
        <w:rPr>
          <w:rFonts w:ascii="Arial" w:cs="Arial" w:eastAsia="Arial" w:hAnsi="Arial"/>
          <w:sz w:val="17"/>
          <w:szCs w:val="17"/>
          <w:color w:val="auto"/>
        </w:rPr>
        <w:t>No action has been, or will be, taken in Israel that would permit an offering of the Notes or a distribution of this prospectus supplement and the accompanying prospectus to the public in Israel. In particular, neither the prospectus supplement nor the accompanying prospectus has been reviewed or approved by the Israel Securities Authority. The Notes are being offered to a limited number of qualified investors listed on the first addendum of the Securities Law (a “Qualified Investor”), in all cases under the circumstances that will fall within the private placement exemption of the Israeli Securities Law of 1968, or Securities Law. This prospectus supplement and the accompanying prospectus may not be reproduced or used for any other purpose, nor be furnished to any other person other than those to whom copies have been sent. Any investor in the Notes shall be required to declare in writing prior to such purchase that it qualifies as a Qualified Investor, agrees to be deemed a Qualified Investor, and is aware of the consequences of being classified as a Qualified Investor, that it will comply with the guidelines of the Israel Securities Authority with respect to the sale or offer of securities to Qualified Investors (including those published on September 21, 2014), and that it is purchasing the Notes for its own benefit and on its own account and not with the aim or intention of distributing or offering the Notes to other parties. Nothing in this prospectus supplement or the accompanying prospectus should be considered ‘investment advice’, or ‘investment marketing’ as defined in the Regulation of Investment Advice, Investment Marketing and Portfolio Management Law of 1995. Any investor who purchases the Notes shall be required to declare in writing that it has the knowledge, expertise and experience in financial and business matters so as to be capable of evaluating the risks and merits of an investment in the Notes, without relying on any of the materials provided.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Saudi Arabia</w:t>
      </w:r>
    </w:p>
    <w:p>
      <w:pPr>
        <w:spacing w:after="0" w:line="121"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This prospectus supplement may not be distributed in the Kingdom of Saudi Arabia except to such persons as are permitted under the Rules on the Offer of Securities and Continuing Obligations as issued by the board of the Saudi Arabian Capital Market Authority, or CMA, pursuant to resolution number 3-123-2017 dated 9/4/1439H (corresponding to 27/12/2017G) as amended by resolution number 1-104-2019 dated 01/02/1441H (corresponding to 30/09/2019G), as amended. The CMA does not make any representation as to the accuracy or completeness of this prospectus supplement and expressly disclaims any liability whatsoever for any loss arising from, or incurred in reliance upon, any part of this prospectus supplement. Prospective purchasers of the Notes offered hereby should conduct their own due diligence on the accuracy of the information relating to the Notes. If you do not understand the contents of this prospectus supplement, you should consult an authorized financial advisor.</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to Prospective Investors in Hong Kong</w:t>
      </w:r>
    </w:p>
    <w:p>
      <w:pPr>
        <w:spacing w:after="0" w:line="121"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The Notes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S-46</w:t>
      </w:r>
    </w:p>
    <w:p>
      <w:pPr>
        <w:sectPr>
          <w:pgSz w:w="11900" w:h="16838" w:orient="portrait"/>
          <w:cols w:equalWidth="0" w:num="1">
            <w:col w:w="11140"/>
          </w:cols>
          <w:pgMar w:left="32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Notes which are or are intended to be disposed of only to persons outside Hong Kong or only to “professional investors” in Hong Kong as defined in the Securities and Futures Ordinance and any rules made thereunder.</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to Prospective Investors in Singapore</w:t>
      </w:r>
    </w:p>
    <w:p>
      <w:pPr>
        <w:spacing w:after="0" w:line="121"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This offering circular has not been registered as a prospectus with the Monetary Authority of Singapore. Accordingly, this offering circular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(as defined in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66"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Where the Notes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Notes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Where the Notes are subscribed or purchased under Section 275 of the SFA by a relevant person which is a trust (where the trustee is not an accredited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investor (as defined in Section 4A of the SFA)) whose sole purpose is to hold investments and each beneficiary of the trust is an accredited investor,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beneficiaries’ rights and interest (howsoever described) in that trust shall not be transferable for 6 months after that trust has acquired the Notes under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Section 275 of the SFA except: (1) to an institutional investor under Section 274 of the SFA or to a relevant person (as defined in Section 275(2) of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SFA), (2) where such transfer arises from an offer that is made on terms that such rights or interest are acquired at a consideration of not less than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S$200,000 (or its equivalent in a foreign currency) for each transaction (whether such amount is to be paid for in cash or by exchange of securities 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other assets), (3) where no consideration is or will be given for the transfer, (4) where the transfer is by operation of law, (5) as specified in Section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276(7) of the SFA, or (6) as specified in Regulation 32.</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S-47</w:t>
      </w:r>
    </w:p>
    <w:p>
      <w:pPr>
        <w:sectPr>
          <w:pgSz w:w="11900" w:h="16838" w:orient="portrait"/>
          <w:cols w:equalWidth="0" w:num="1">
            <w:col w:w="11140"/>
          </w:cols>
          <w:pgMar w:left="32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color w:val="auto"/>
        </w:rPr>
        <w:t>Certain legal matters regarding the securities offered by this prospectus supplement will be passed upon for PennantPark Floating Rate Capital Ltd. by Dechert LLP and Venable LLP. Certain legal matters in connection with the offering will be passed upon for the underwriters by Ropes &amp; Gray LLP.</w:t>
      </w:r>
    </w:p>
    <w:p>
      <w:pPr>
        <w:spacing w:after="0" w:line="33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2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The consolidated financial statements and the related consolidated senior securities table of PennantPark Floating Rate Capital Ltd. as of September 30, 2020 and 2019 and for each of the years in the three-year period ended September 30, 2020 and the effectiveness of internal control over financial reporting as of September 30, 2020 incorporated in this prospectus supplement by reference from the PennantPark Floating Rate Capital Ltd. Annual Report on Form 10-K for the year ended September 30, 2020 have been audited by RSM US LLP, an independent registered public accounting firm, as stated in their reports thereon, incorporated herein by reference, and have been incorporated in this prospectus supplement in reliance upon such reports.</w:t>
      </w:r>
    </w:p>
    <w:p>
      <w:pPr>
        <w:spacing w:after="0" w:line="37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INDEPENDENT AUDITOR</w:t>
      </w:r>
    </w:p>
    <w:p>
      <w:pPr>
        <w:spacing w:after="0" w:line="22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The consolidated financial statements of PSSL as of and for the fiscal years ended September 30, 2020 and September 30, 2019 included as Exhibits 99.3 and 99.4, respectively, in our Annual Report on Form 10-K for the fiscal year ended September 30, 2020 have been so included in reliance on the report of RSM US LLP.</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S-48</w:t>
      </w:r>
    </w:p>
    <w:p>
      <w:pPr>
        <w:sectPr>
          <w:pgSz w:w="11900" w:h="16838" w:orient="portrait"/>
          <w:cols w:equalWidth="0" w:num="1">
            <w:col w:w="11080"/>
          </w:cols>
          <w:pgMar w:left="320" w:top="459" w:right="4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This prospectus supplement is part of a registration statement that we have filed with the SEC. We are allowed to “incorporate by reference” the information that we file with the SEC, which means that we can disclose important information to you by referring you to those documents. The information incorporated by reference is considered to comprise a part of this prospectus supplement, and later information that we file with the SEC will automatically update and, where applicable, supersede this information.</w:t>
      </w:r>
    </w:p>
    <w:p>
      <w:pPr>
        <w:spacing w:after="0" w:line="18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incorporate by reference into this prospectus supplement additional documents that we may file with the SEC under Section 13(a), 13(c), 14 or 15(d) of the Exchange Act until all of the securities offered by this prospectus supplement have been sold or we otherwise terminate the offering of these securities; provided, however, that information “furnished” under Item 2.02 or Item 7.01 of Form 8-K or other information “furnished” to the SEC which is not deemed filed is not incorporated by reference in this prospectus supplement.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prospectus supplement incorporates by reference the documents set forth below that have previously been filed with the SEC:</w:t>
      </w:r>
    </w:p>
    <w:p>
      <w:pPr>
        <w:spacing w:after="0" w:line="131" w:lineRule="exact"/>
        <w:rPr>
          <w:sz w:val="20"/>
          <w:szCs w:val="20"/>
          <w:color w:val="auto"/>
        </w:rPr>
      </w:pPr>
    </w:p>
    <w:p>
      <w:pPr>
        <w:ind w:left="1540" w:hanging="331"/>
        <w:spacing w:after="0"/>
        <w:tabs>
          <w:tab w:leader="none" w:pos="15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 xml:space="preserve">our Annual Report on Form 10-K for the fiscal year ended September 30, 2020, filed with the SEC on </w:t>
      </w:r>
      <w:hyperlink r:id="rId67">
        <w:r>
          <w:rPr>
            <w:rFonts w:ascii="Arial" w:cs="Arial" w:eastAsia="Arial" w:hAnsi="Arial"/>
            <w:sz w:val="17"/>
            <w:szCs w:val="17"/>
            <w:u w:val="single" w:color="auto"/>
            <w:color w:val="0000EE"/>
          </w:rPr>
          <w:t>November 18, 2020</w:t>
        </w:r>
      </w:hyperlink>
      <w:r>
        <w:rPr>
          <w:rFonts w:ascii="Arial" w:cs="Arial" w:eastAsia="Arial" w:hAnsi="Arial"/>
          <w:sz w:val="17"/>
          <w:szCs w:val="17"/>
          <w:color w:val="auto"/>
        </w:rPr>
        <w:t>;</w:t>
      </w:r>
    </w:p>
    <w:p>
      <w:pPr>
        <w:spacing w:after="0" w:line="142" w:lineRule="exact"/>
        <w:rPr>
          <w:rFonts w:ascii="Arial" w:cs="Arial" w:eastAsia="Arial" w:hAnsi="Arial"/>
          <w:sz w:val="17"/>
          <w:szCs w:val="17"/>
          <w:color w:val="auto"/>
        </w:rPr>
      </w:pPr>
    </w:p>
    <w:p>
      <w:pPr>
        <w:ind w:left="1540" w:right="20" w:hanging="331"/>
        <w:spacing w:after="0" w:line="277" w:lineRule="auto"/>
        <w:tabs>
          <w:tab w:leader="none" w:pos="1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fiscal quarters ended December 31, 2020, March 31, 2021 and June 30, 2021, filed with the SEC on </w:t>
      </w:r>
      <w:hyperlink r:id="rId68">
        <w:r>
          <w:rPr>
            <w:rFonts w:ascii="Arial" w:cs="Arial" w:eastAsia="Arial" w:hAnsi="Arial"/>
            <w:sz w:val="18"/>
            <w:szCs w:val="18"/>
            <w:u w:val="single" w:color="auto"/>
            <w:color w:val="0000EE"/>
          </w:rPr>
          <w:t>February 9, 2021</w:t>
        </w:r>
      </w:hyperlink>
      <w:r>
        <w:rPr>
          <w:rFonts w:ascii="Arial" w:cs="Arial" w:eastAsia="Arial" w:hAnsi="Arial"/>
          <w:sz w:val="18"/>
          <w:szCs w:val="18"/>
          <w:color w:val="auto"/>
        </w:rPr>
        <w:t xml:space="preserve">, </w:t>
      </w:r>
      <w:hyperlink r:id="rId69">
        <w:r>
          <w:rPr>
            <w:rFonts w:ascii="Arial" w:cs="Arial" w:eastAsia="Arial" w:hAnsi="Arial"/>
            <w:sz w:val="18"/>
            <w:szCs w:val="18"/>
            <w:u w:val="single" w:color="auto"/>
            <w:color w:val="0000EE"/>
          </w:rPr>
          <w:t>May 5,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70">
        <w:r>
          <w:rPr>
            <w:rFonts w:ascii="Arial" w:cs="Arial" w:eastAsia="Arial" w:hAnsi="Arial"/>
            <w:sz w:val="18"/>
            <w:szCs w:val="18"/>
            <w:u w:val="single" w:color="auto"/>
            <w:color w:val="0000EE"/>
          </w:rPr>
          <w:t>August 4, 2021</w:t>
        </w:r>
      </w:hyperlink>
      <w:r>
        <w:rPr>
          <w:rFonts w:ascii="Arial" w:cs="Arial" w:eastAsia="Arial" w:hAnsi="Arial"/>
          <w:sz w:val="18"/>
          <w:szCs w:val="18"/>
          <w:u w:val="single" w:color="auto"/>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respectively;</w:t>
      </w:r>
    </w:p>
    <w:p>
      <w:pPr>
        <w:spacing w:after="0" w:line="75" w:lineRule="exact"/>
        <w:rPr>
          <w:rFonts w:ascii="Arial" w:cs="Arial" w:eastAsia="Arial" w:hAnsi="Arial"/>
          <w:sz w:val="18"/>
          <w:szCs w:val="18"/>
          <w:color w:val="auto"/>
        </w:rPr>
      </w:pPr>
    </w:p>
    <w:p>
      <w:pPr>
        <w:ind w:left="1540" w:right="420" w:hanging="331"/>
        <w:spacing w:after="0" w:line="277" w:lineRule="auto"/>
        <w:tabs>
          <w:tab w:leader="none" w:pos="1540" w:val="left"/>
        </w:tabs>
        <w:numPr>
          <w:ilvl w:val="0"/>
          <w:numId w:val="25"/>
        </w:numPr>
        <w:rPr>
          <w:rFonts w:ascii="Arial" w:cs="Arial" w:eastAsia="Arial" w:hAnsi="Arial"/>
          <w:sz w:val="18"/>
          <w:szCs w:val="18"/>
          <w:color w:val="0000EE"/>
        </w:rPr>
      </w:pPr>
      <w:r>
        <w:rPr>
          <w:rFonts w:ascii="Arial" w:cs="Arial" w:eastAsia="Arial" w:hAnsi="Arial"/>
          <w:sz w:val="18"/>
          <w:szCs w:val="18"/>
          <w:color w:val="auto"/>
        </w:rPr>
        <w:t xml:space="preserve">our Current Reports on Form 8-K, filed with the SEC on </w:t>
      </w:r>
      <w:hyperlink r:id="rId71">
        <w:r>
          <w:rPr>
            <w:rFonts w:ascii="Arial" w:cs="Arial" w:eastAsia="Arial" w:hAnsi="Arial"/>
            <w:sz w:val="18"/>
            <w:szCs w:val="18"/>
            <w:u w:val="single" w:color="auto"/>
            <w:color w:val="0000EE"/>
          </w:rPr>
          <w:t>February 12, 2021</w:t>
        </w:r>
      </w:hyperlink>
      <w:r>
        <w:rPr>
          <w:rFonts w:ascii="Arial" w:cs="Arial" w:eastAsia="Arial" w:hAnsi="Arial"/>
          <w:sz w:val="18"/>
          <w:szCs w:val="18"/>
          <w:color w:val="auto"/>
        </w:rPr>
        <w:t xml:space="preserve">, </w:t>
      </w:r>
      <w:hyperlink r:id="rId72">
        <w:r>
          <w:rPr>
            <w:rFonts w:ascii="Arial" w:cs="Arial" w:eastAsia="Arial" w:hAnsi="Arial"/>
            <w:sz w:val="18"/>
            <w:szCs w:val="18"/>
            <w:u w:val="single" w:color="auto"/>
            <w:color w:val="0000EE"/>
          </w:rPr>
          <w:t>March 19, 2021</w:t>
        </w:r>
      </w:hyperlink>
      <w:r>
        <w:rPr>
          <w:rFonts w:ascii="Arial" w:cs="Arial" w:eastAsia="Arial" w:hAnsi="Arial"/>
          <w:sz w:val="18"/>
          <w:szCs w:val="18"/>
          <w:color w:val="auto"/>
        </w:rPr>
        <w:t xml:space="preserve">, </w:t>
      </w:r>
      <w:hyperlink r:id="rId73">
        <w:r>
          <w:rPr>
            <w:rFonts w:ascii="Arial" w:cs="Arial" w:eastAsia="Arial" w:hAnsi="Arial"/>
            <w:sz w:val="18"/>
            <w:szCs w:val="18"/>
            <w:u w:val="single" w:color="auto"/>
            <w:color w:val="0000EE"/>
          </w:rPr>
          <w:t>March 23, 2021</w:t>
        </w:r>
      </w:hyperlink>
      <w:r>
        <w:rPr>
          <w:rFonts w:ascii="Arial" w:cs="Arial" w:eastAsia="Arial" w:hAnsi="Arial"/>
          <w:sz w:val="18"/>
          <w:szCs w:val="18"/>
          <w:color w:val="auto"/>
        </w:rPr>
        <w:t xml:space="preserve">, </w:t>
      </w:r>
      <w:hyperlink r:id="rId74">
        <w:r>
          <w:rPr>
            <w:rFonts w:ascii="Arial" w:cs="Arial" w:eastAsia="Arial" w:hAnsi="Arial"/>
            <w:sz w:val="18"/>
            <w:szCs w:val="18"/>
            <w:u w:val="single" w:color="auto"/>
            <w:color w:val="0000EE"/>
          </w:rPr>
          <w:t>June 21, 2021</w:t>
        </w:r>
      </w:hyperlink>
      <w:r>
        <w:rPr>
          <w:rFonts w:ascii="Arial" w:cs="Arial" w:eastAsia="Arial" w:hAnsi="Arial"/>
          <w:sz w:val="18"/>
          <w:szCs w:val="18"/>
          <w:color w:val="auto"/>
        </w:rPr>
        <w:t xml:space="preserve">, </w:t>
      </w:r>
      <w:hyperlink r:id="rId75">
        <w:r>
          <w:rPr>
            <w:rFonts w:ascii="Arial" w:cs="Arial" w:eastAsia="Arial" w:hAnsi="Arial"/>
            <w:sz w:val="18"/>
            <w:szCs w:val="18"/>
            <w:u w:val="single" w:color="auto"/>
            <w:color w:val="0000EE"/>
          </w:rPr>
          <w:t>August 18, 2021</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76">
        <w:r>
          <w:rPr>
            <w:rFonts w:ascii="Arial" w:cs="Arial" w:eastAsia="Arial" w:hAnsi="Arial"/>
            <w:sz w:val="18"/>
            <w:szCs w:val="18"/>
            <w:u w:val="single" w:color="auto"/>
            <w:color w:val="0000EE"/>
          </w:rPr>
          <w:t xml:space="preserve">August 20, 2021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77">
        <w:r>
          <w:rPr>
            <w:rFonts w:ascii="Arial" w:cs="Arial" w:eastAsia="Arial" w:hAnsi="Arial"/>
            <w:sz w:val="18"/>
            <w:szCs w:val="18"/>
            <w:u w:val="single" w:color="auto"/>
            <w:color w:val="0000EE"/>
          </w:rPr>
          <w:t>October 7, 2021</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p>
    <w:p>
      <w:pPr>
        <w:spacing w:after="0" w:line="75" w:lineRule="exact"/>
        <w:rPr>
          <w:rFonts w:ascii="Arial" w:cs="Arial" w:eastAsia="Arial" w:hAnsi="Arial"/>
          <w:sz w:val="18"/>
          <w:szCs w:val="18"/>
          <w:color w:val="0000EE"/>
        </w:rPr>
      </w:pPr>
    </w:p>
    <w:p>
      <w:pPr>
        <w:ind w:left="1540" w:right="120" w:hanging="331"/>
        <w:spacing w:after="0" w:line="277" w:lineRule="auto"/>
        <w:tabs>
          <w:tab w:leader="none" w:pos="1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our Definitive Proxy Statement on </w:t>
      </w:r>
      <w:hyperlink r:id="rId78">
        <w:r>
          <w:rPr>
            <w:rFonts w:ascii="Arial" w:cs="Arial" w:eastAsia="Arial" w:hAnsi="Arial"/>
            <w:sz w:val="18"/>
            <w:szCs w:val="18"/>
            <w:u w:val="single" w:color="auto"/>
            <w:color w:val="0000EE"/>
          </w:rPr>
          <w:t>Schedule 14A</w:t>
        </w:r>
      </w:hyperlink>
      <w:r>
        <w:rPr>
          <w:rFonts w:ascii="Arial" w:cs="Arial" w:eastAsia="Arial" w:hAnsi="Arial"/>
          <w:sz w:val="18"/>
          <w:szCs w:val="18"/>
          <w:color w:val="auto"/>
        </w:rPr>
        <w:t>, filed with the SEC on December 8, 2020 (to the extent incorporated by reference into Part III of our Annual Report on Form 10-K for the fiscal year ended September 30, 2020).</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3001010</wp:posOffset>
            </wp:positionH>
            <wp:positionV relativeFrom="paragraph">
              <wp:posOffset>-748030</wp:posOffset>
            </wp:positionV>
            <wp:extent cx="22225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9">
                      <a:extLst>
                        <a:ext uri="{28A0092B-C50C-407E-A947-70E740481C1C}"/>
                      </a:extLst>
                    </a:blip>
                    <a:srcRect/>
                    <a:stretch>
                      <a:fillRect/>
                    </a:stretch>
                  </pic:blipFill>
                  <pic:spPr bwMode="auto">
                    <a:xfrm>
                      <a:off x="0" y="0"/>
                      <a:ext cx="222250" cy="8255"/>
                    </a:xfrm>
                    <a:prstGeom prst="rect">
                      <a:avLst/>
                    </a:prstGeom>
                    <a:noFill/>
                  </pic:spPr>
                </pic:pic>
              </a:graphicData>
            </a:graphic>
          </wp:anchor>
        </w:drawing>
      </w:r>
    </w:p>
    <w:p>
      <w:pPr>
        <w:spacing w:after="0" w:line="150" w:lineRule="exact"/>
        <w:rPr>
          <w:rFonts w:ascii="Arial" w:cs="Arial" w:eastAsia="Arial" w:hAnsi="Arial"/>
          <w:sz w:val="18"/>
          <w:szCs w:val="18"/>
          <w:color w:val="0000EE"/>
        </w:rPr>
      </w:pPr>
    </w:p>
    <w:p>
      <w:pPr>
        <w:ind w:left="120"/>
        <w:spacing w:after="0"/>
        <w:rPr>
          <w:sz w:val="20"/>
          <w:szCs w:val="20"/>
          <w:color w:val="auto"/>
        </w:rPr>
      </w:pPr>
      <w:r>
        <w:rPr>
          <w:rFonts w:ascii="Arial" w:cs="Arial" w:eastAsia="Arial" w:hAnsi="Arial"/>
          <w:sz w:val="18"/>
          <w:szCs w:val="18"/>
          <w:color w:val="auto"/>
        </w:rPr>
        <w:t>To obtain copies of these filings, see “Available Information.”</w:t>
      </w:r>
    </w:p>
    <w:p>
      <w:pPr>
        <w:spacing w:after="0" w:line="158" w:lineRule="exact"/>
        <w:rPr>
          <w:rFonts w:ascii="Arial" w:cs="Arial" w:eastAsia="Arial" w:hAnsi="Arial"/>
          <w:sz w:val="18"/>
          <w:szCs w:val="18"/>
          <w:color w:val="0000EE"/>
        </w:rPr>
      </w:pPr>
    </w:p>
    <w:p>
      <w:pPr>
        <w:jc w:val="center"/>
        <w:ind w:right="-139"/>
        <w:spacing w:after="0"/>
        <w:rPr>
          <w:sz w:val="20"/>
          <w:szCs w:val="20"/>
          <w:color w:val="auto"/>
        </w:rPr>
      </w:pPr>
      <w:r>
        <w:rPr>
          <w:rFonts w:ascii="Arial" w:cs="Arial" w:eastAsia="Arial" w:hAnsi="Arial"/>
          <w:sz w:val="18"/>
          <w:szCs w:val="18"/>
          <w:color w:val="auto"/>
        </w:rPr>
        <w:t>S-49</w:t>
      </w:r>
    </w:p>
    <w:p>
      <w:pPr>
        <w:sectPr>
          <w:pgSz w:w="11900" w:h="16838" w:orient="portrait"/>
          <w:cols w:equalWidth="0" w:num="1">
            <w:col w:w="11100"/>
          </w:cols>
          <w:pgMar w:left="320" w:top="459"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 xml:space="preserve">We file with or submit to the SEC annual, quarterly and current periodic reports, proxy statements and other information meeting the informational requirements of the Exchange Act. This information is available free of charge by calling us collect at (212) 905-1000 or on our website at </w:t>
      </w:r>
      <w:r>
        <w:rPr>
          <w:rFonts w:ascii="Arial" w:cs="Arial" w:eastAsia="Arial" w:hAnsi="Arial"/>
          <w:sz w:val="18"/>
          <w:szCs w:val="18"/>
          <w:i w:val="1"/>
          <w:iCs w:val="1"/>
          <w:u w:val="single" w:color="auto"/>
          <w:color w:val="auto"/>
        </w:rPr>
        <w:t>www.pennantpark.com</w:t>
      </w:r>
      <w:r>
        <w:rPr>
          <w:rFonts w:ascii="Arial" w:cs="Arial" w:eastAsia="Arial" w:hAnsi="Arial"/>
          <w:sz w:val="18"/>
          <w:szCs w:val="18"/>
          <w:color w:val="auto"/>
        </w:rPr>
        <w:t>. Except for the documents incorporated by reference into this prospectus supplement and the accompanying prospectus,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information on our website is not part of this prospectus supplement or the accompanying prospectus. The SEC maintains an Internet website that contains reports, proxy and information statements and other information filed electronically by us with the SEC which are available free of charge on the SEC’s Internet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12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S-50</w:t>
      </w:r>
    </w:p>
    <w:p>
      <w:pPr>
        <w:sectPr>
          <w:pgSz w:w="11900" w:h="16838" w:orient="portrait"/>
          <w:cols w:equalWidth="0" w:num="1">
            <w:col w:w="10940"/>
          </w:cols>
          <w:pgMar w:left="320" w:top="459" w:right="6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63"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75565</wp:posOffset>
            </wp:positionV>
            <wp:extent cx="2219960" cy="514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2">
                      <a:extLst>
                        <a:ext uri="{28A0092B-C50C-407E-A947-70E740481C1C}"/>
                      </a:extLst>
                    </a:blip>
                    <a:srcRect/>
                    <a:stretch>
                      <a:fillRect/>
                    </a:stretch>
                  </pic:blipFill>
                  <pic:spPr bwMode="auto">
                    <a:xfrm>
                      <a:off x="0" y="0"/>
                      <a:ext cx="221996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Common Stock</w:t>
      </w:r>
    </w:p>
    <w:p>
      <w:pPr>
        <w:spacing w:after="0" w:line="89"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Preferred Stock</w:t>
      </w:r>
    </w:p>
    <w:p>
      <w:pPr>
        <w:spacing w:after="0" w:line="89"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Warrants</w:t>
      </w:r>
    </w:p>
    <w:p>
      <w:pPr>
        <w:spacing w:after="0" w:line="89"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Subscription Rights</w:t>
      </w:r>
    </w:p>
    <w:p>
      <w:pPr>
        <w:spacing w:after="0" w:line="89"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134620</wp:posOffset>
            </wp:positionV>
            <wp:extent cx="14744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78" w:lineRule="exact"/>
        <w:rPr>
          <w:sz w:val="20"/>
          <w:szCs w:val="20"/>
          <w:color w:val="auto"/>
        </w:rPr>
      </w:pPr>
    </w:p>
    <w:p>
      <w:pPr>
        <w:ind w:left="120" w:right="120" w:firstLine="551"/>
        <w:spacing w:after="0" w:line="268" w:lineRule="auto"/>
        <w:rPr>
          <w:sz w:val="20"/>
          <w:szCs w:val="20"/>
          <w:color w:val="auto"/>
        </w:rPr>
      </w:pPr>
      <w:r>
        <w:rPr>
          <w:rFonts w:ascii="Arial" w:cs="Arial" w:eastAsia="Arial" w:hAnsi="Arial"/>
          <w:sz w:val="18"/>
          <w:szCs w:val="18"/>
          <w:color w:val="auto"/>
        </w:rPr>
        <w:t>PennantPark Floating Rate Capital Ltd. is a closed-end, externally managed, non-diversified investment company that has elected to be treated as a business development company under the Investment Company Act of 1940, as amended.</w:t>
      </w:r>
    </w:p>
    <w:p>
      <w:pPr>
        <w:spacing w:after="0" w:line="51" w:lineRule="exact"/>
        <w:rPr>
          <w:sz w:val="20"/>
          <w:szCs w:val="20"/>
          <w:color w:val="auto"/>
        </w:rPr>
      </w:pPr>
    </w:p>
    <w:p>
      <w:pPr>
        <w:ind w:left="120" w:right="160" w:firstLine="551"/>
        <w:spacing w:after="0" w:line="323" w:lineRule="auto"/>
        <w:rPr>
          <w:sz w:val="20"/>
          <w:szCs w:val="20"/>
          <w:color w:val="auto"/>
        </w:rPr>
      </w:pPr>
      <w:r>
        <w:rPr>
          <w:rFonts w:ascii="Arial" w:cs="Arial" w:eastAsia="Arial" w:hAnsi="Arial"/>
          <w:sz w:val="15"/>
          <w:szCs w:val="15"/>
          <w:color w:val="auto"/>
        </w:rPr>
        <w:t>Our investment objectives are to generate both current income and capital appreciation while seeking to preserve capital by investing primarily in loans bearing a variable-rate of interest, or Floating Rate Loans, and other investments made to U.S. middle-market companies. Floating Rate Loans or variable-rate investments pay interest at variable-rates, which are determined periodically, on the basis of a floating base lending rate such as the London Interbank Offered Rate, or LIBOR, with or without a floor, plus a fixed spread. We can offer no assurances that we will achieve our investment objectives.</w:t>
      </w:r>
    </w:p>
    <w:p>
      <w:pPr>
        <w:spacing w:after="0" w:line="16" w:lineRule="exact"/>
        <w:rPr>
          <w:sz w:val="20"/>
          <w:szCs w:val="20"/>
          <w:color w:val="auto"/>
        </w:rPr>
      </w:pPr>
    </w:p>
    <w:p>
      <w:pPr>
        <w:ind w:left="120" w:right="340" w:firstLine="551"/>
        <w:spacing w:after="0" w:line="268" w:lineRule="auto"/>
        <w:rPr>
          <w:sz w:val="20"/>
          <w:szCs w:val="20"/>
          <w:color w:val="auto"/>
        </w:rPr>
      </w:pPr>
      <w:r>
        <w:rPr>
          <w:rFonts w:ascii="Arial" w:cs="Arial" w:eastAsia="Arial" w:hAnsi="Arial"/>
          <w:sz w:val="18"/>
          <w:szCs w:val="18"/>
          <w:color w:val="auto"/>
        </w:rPr>
        <w:t>We are managed by PennantPark Investment Advisers, LLC. PennantPark Investment Administration, LLC provides the administrative services necessary for us to operate.</w:t>
      </w:r>
    </w:p>
    <w:p>
      <w:pPr>
        <w:spacing w:after="0" w:line="51" w:lineRule="exact"/>
        <w:rPr>
          <w:sz w:val="20"/>
          <w:szCs w:val="20"/>
          <w:color w:val="auto"/>
        </w:rPr>
      </w:pPr>
    </w:p>
    <w:p>
      <w:pPr>
        <w:ind w:left="120" w:firstLine="551"/>
        <w:spacing w:after="0" w:line="286" w:lineRule="auto"/>
        <w:rPr>
          <w:sz w:val="20"/>
          <w:szCs w:val="20"/>
          <w:color w:val="auto"/>
        </w:rPr>
      </w:pPr>
      <w:r>
        <w:rPr>
          <w:rFonts w:ascii="Arial" w:cs="Arial" w:eastAsia="Arial" w:hAnsi="Arial"/>
          <w:sz w:val="16"/>
          <w:szCs w:val="16"/>
          <w:color w:val="auto"/>
        </w:rPr>
        <w:t>We may offer, from time to time, in one or more offerings or series, together or separately, up to $500,000,000 of our common stock, preferred stock, warrants representing rights to purchase shares of our common stock, preferred stock or debt securities, subscription rights, or debt securities, which we refer to, collectively, as the “securities.”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In the event we offer common stock, the offering price per share of our common stock exclusive of any underwriting commissions or discounts will not be less than the net asset value, or NAV,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Securities and Exchange Commission, or the SEC, may permit. See “Risk Factors” on page 7 and “Sales of Common Stock Below Net Asset Value” on page 13 of this prospectus for more information.</w:t>
      </w:r>
    </w:p>
    <w:p>
      <w:pPr>
        <w:spacing w:after="0" w:line="45" w:lineRule="exact"/>
        <w:rPr>
          <w:sz w:val="20"/>
          <w:szCs w:val="20"/>
          <w:color w:val="auto"/>
        </w:rPr>
      </w:pPr>
    </w:p>
    <w:p>
      <w:pPr>
        <w:ind w:left="120" w:right="200" w:firstLine="551"/>
        <w:spacing w:after="0" w:line="259" w:lineRule="auto"/>
        <w:rPr>
          <w:sz w:val="20"/>
          <w:szCs w:val="20"/>
          <w:color w:val="auto"/>
        </w:rPr>
      </w:pPr>
      <w:r>
        <w:rPr>
          <w:rFonts w:ascii="Arial" w:cs="Arial" w:eastAsia="Arial" w:hAnsi="Arial"/>
          <w:sz w:val="18"/>
          <w:szCs w:val="18"/>
          <w:color w:val="auto"/>
        </w:rPr>
        <w:t>Our common stock is traded on The Nasdaq Global Select Market and the Tel Aviv Stock Exchange, or TASE, under the symbol “PFLT.” The last reported closing price for our common stock on The Nasdaq Global Select Market on January 27, 2020 was $12.01 per share, and our NAV on September 30, 2019 was $12.97 per share.</w:t>
      </w:r>
    </w:p>
    <w:p>
      <w:pPr>
        <w:spacing w:after="0" w:line="59" w:lineRule="exact"/>
        <w:rPr>
          <w:sz w:val="20"/>
          <w:szCs w:val="20"/>
          <w:color w:val="auto"/>
        </w:rPr>
      </w:pPr>
    </w:p>
    <w:p>
      <w:pPr>
        <w:ind w:left="120" w:right="60" w:firstLine="551"/>
        <w:spacing w:after="0" w:line="288" w:lineRule="auto"/>
        <w:rPr>
          <w:sz w:val="20"/>
          <w:szCs w:val="20"/>
          <w:color w:val="auto"/>
        </w:rPr>
      </w:pPr>
      <w:r>
        <w:rPr>
          <w:rFonts w:ascii="Arial" w:cs="Arial" w:eastAsia="Arial" w:hAnsi="Arial"/>
          <w:sz w:val="16"/>
          <w:szCs w:val="16"/>
          <w:color w:val="auto"/>
        </w:rPr>
        <w:t xml:space="preserve">This prospectus and any accompanying prospectus supplement contain important information you should know before investing in our securities. We may also authorize one or more free writing prospectuses to be provided to you in connection with offerings. The prospectus supplement and any free writing prospectus may also add, update, or change information contained in this prospectus. Please read this prospectus, the applicable prospectus supplement, and any free writing prospectus, and the documents incorporated by reference, before you invest in our securities and keep them for future reference. We file annual, quarterly and current reports, proxy statements and other information with the SEC. You may also obtain such information free of charge or make stockholder inquiries by contacting us in writing at 590 Madison Avenue, New York, NY 10022, by calling us collect at (212) 905-1000 or by visiting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i w:val="1"/>
          <w:iCs w:val="1"/>
          <w:color w:val="auto"/>
        </w:rPr>
        <w:t>.</w:t>
      </w:r>
      <w:r>
        <w:rPr>
          <w:rFonts w:ascii="Arial" w:cs="Arial" w:eastAsia="Arial" w:hAnsi="Arial"/>
          <w:sz w:val="16"/>
          <w:szCs w:val="16"/>
          <w:color w:val="auto"/>
        </w:rPr>
        <w:t xml:space="preserve"> The information on our website is not incorporated by reference into this prospectus. The SEC also maintains a website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83820</wp:posOffset>
            </wp:positionV>
            <wp:extent cx="1474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2" w:lineRule="exact"/>
        <w:rPr>
          <w:sz w:val="20"/>
          <w:szCs w:val="20"/>
          <w:color w:val="auto"/>
        </w:rPr>
      </w:pPr>
    </w:p>
    <w:p>
      <w:pPr>
        <w:ind w:left="120" w:right="340" w:firstLine="440"/>
        <w:spacing w:after="0" w:line="339"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Investing in our securities involves a high degree of risk, including the risk of the use of leverage. Before buying any of our securities, you should read the discussion of the material risks of investing in us in “</w:t>
      </w:r>
      <w:hyperlink w:anchor="page62">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7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56515</wp:posOffset>
            </wp:positionV>
            <wp:extent cx="1474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9" w:lineRule="exact"/>
        <w:rPr>
          <w:sz w:val="20"/>
          <w:szCs w:val="20"/>
          <w:color w:val="auto"/>
        </w:rPr>
      </w:pPr>
    </w:p>
    <w:p>
      <w:pPr>
        <w:ind w:left="120" w:right="480" w:firstLine="440"/>
        <w:spacing w:after="0" w:line="275" w:lineRule="auto"/>
        <w:rPr>
          <w:sz w:val="20"/>
          <w:szCs w:val="20"/>
          <w:color w:val="auto"/>
        </w:rPr>
      </w:pPr>
      <w:r>
        <w:rPr>
          <w:rFonts w:ascii="Arial" w:cs="Arial" w:eastAsia="Arial" w:hAnsi="Arial"/>
          <w:sz w:val="18"/>
          <w:szCs w:val="18"/>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93980</wp:posOffset>
            </wp:positionV>
            <wp:extent cx="14744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This prospectus may not be used to consummate sales of securities unless accompanied by a prospectus supplement.</w:t>
      </w:r>
    </w:p>
    <w:p>
      <w:pPr>
        <w:spacing w:after="0" w:line="90"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Prospectus dated January 29, 2020</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firstLine="551"/>
        <w:spacing w:after="0" w:line="288" w:lineRule="auto"/>
        <w:rPr>
          <w:sz w:val="20"/>
          <w:szCs w:val="20"/>
          <w:color w:val="auto"/>
        </w:rPr>
      </w:pPr>
      <w:r>
        <w:rPr>
          <w:rFonts w:ascii="Arial" w:cs="Arial" w:eastAsia="Arial" w:hAnsi="Arial"/>
          <w:sz w:val="16"/>
          <w:szCs w:val="16"/>
          <w:color w:val="auto"/>
        </w:rPr>
        <w:t>You should rely only on the information contained in this prospectus, any accompanying prospectus supplement, any free writing prospectus and the documents incorporated by reference in this prospectus and any applicable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 or free writing prospectuses.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or free writing prospectus is accurate only as of the date of this prospectus or such prospectus supplement or free writing prospectus. We will update these documents to reflect material changes only as required by law. Our business, financial condition, results of operations and prospects may have changed since then.</w:t>
      </w:r>
    </w:p>
    <w:p>
      <w:pPr>
        <w:spacing w:after="0" w:line="280" w:lineRule="exact"/>
        <w:rPr>
          <w:sz w:val="20"/>
          <w:szCs w:val="20"/>
          <w:color w:val="auto"/>
        </w:rPr>
      </w:pPr>
    </w:p>
    <w:tbl>
      <w:tblPr>
        <w:tblLayout w:type="fixed"/>
        <w:tblInd w:w="120" w:type="dxa"/>
        <w:tblCellMar>
          <w:top w:w="0" w:type="dxa"/>
          <w:left w:w="0" w:type="dxa"/>
          <w:bottom w:w="0" w:type="dxa"/>
          <w:right w:w="0" w:type="dxa"/>
        </w:tblCellMar>
      </w:tblPr>
      <w:tr>
        <w:trPr>
          <w:trHeight w:val="228"/>
        </w:trPr>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160" w:type="dxa"/>
            <w:vAlign w:val="bottom"/>
            <w:gridSpan w:val="4"/>
          </w:tcPr>
          <w:p>
            <w:pPr>
              <w:ind w:left="4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0680" w:type="dxa"/>
            <w:vAlign w:val="bottom"/>
            <w:gridSpan w:val="24"/>
            <w:vMerge w:val="restart"/>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PROSPECTUS SUMMARY</w:t>
              </w:r>
            </w:hyperlink>
          </w:p>
        </w:tc>
        <w:tc>
          <w:tcPr>
            <w:tcW w:w="300" w:type="dxa"/>
            <w:vAlign w:val="bottom"/>
            <w:gridSpan w:val="2"/>
          </w:tcPr>
          <w:p>
            <w:pPr>
              <w:spacing w:after="0"/>
              <w:rPr>
                <w:sz w:val="20"/>
                <w:szCs w:val="20"/>
                <w:color w:val="auto"/>
              </w:rPr>
            </w:pPr>
            <w:r>
              <w:rPr>
                <w:rFonts w:ascii="Arial" w:cs="Arial" w:eastAsia="Arial" w:hAnsi="Arial"/>
                <w:sz w:val="13"/>
                <w:szCs w:val="13"/>
                <w:b w:val="1"/>
                <w:bCs w:val="1"/>
                <w:color w:val="auto"/>
                <w:w w:val="89"/>
              </w:rPr>
              <w:t>Page</w:t>
            </w:r>
          </w:p>
        </w:tc>
        <w:tc>
          <w:tcPr>
            <w:tcW w:w="0" w:type="dxa"/>
            <w:vAlign w:val="bottom"/>
          </w:tcPr>
          <w:p>
            <w:pPr>
              <w:spacing w:after="0"/>
              <w:rPr>
                <w:sz w:val="1"/>
                <w:szCs w:val="1"/>
                <w:color w:val="auto"/>
              </w:rPr>
            </w:pPr>
          </w:p>
        </w:tc>
      </w:tr>
      <w:tr>
        <w:trPr>
          <w:trHeight w:val="169"/>
        </w:trPr>
        <w:tc>
          <w:tcPr>
            <w:tcW w:w="10680" w:type="dxa"/>
            <w:vAlign w:val="bottom"/>
            <w:gridSpan w:val="24"/>
            <w:vMerge w:val="continue"/>
          </w:tcPr>
          <w:p>
            <w:pPr>
              <w:spacing w:after="0"/>
              <w:rPr>
                <w:sz w:val="14"/>
                <w:szCs w:val="14"/>
                <w:color w:val="auto"/>
              </w:rPr>
            </w:pPr>
          </w:p>
        </w:tc>
        <w:tc>
          <w:tcPr>
            <w:tcW w:w="2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FEES AND EXPENSES</w:t>
              </w:r>
            </w:hyperlink>
          </w:p>
        </w:tc>
        <w:tc>
          <w:tcPr>
            <w:tcW w:w="8660" w:type="dxa"/>
            <w:vAlign w:val="bottom"/>
            <w:gridSpan w:val="1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2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62">
              <w:r>
                <w:rPr>
                  <w:rFonts w:ascii="Arial" w:cs="Arial" w:eastAsia="Arial" w:hAnsi="Arial"/>
                  <w:sz w:val="18"/>
                  <w:szCs w:val="18"/>
                  <w:color w:val="0000EE"/>
                  <w:w w:val="90"/>
                </w:rPr>
                <w:t>RISK FACTORS</w:t>
              </w:r>
            </w:hyperlink>
          </w:p>
        </w:tc>
        <w:tc>
          <w:tcPr>
            <w:tcW w:w="520" w:type="dxa"/>
            <w:vAlign w:val="bottom"/>
            <w:tcBorders>
              <w:top w:val="single" w:sz="8" w:color="0000EE"/>
            </w:tcBorders>
            <w:gridSpan w:val="5"/>
          </w:tcPr>
          <w:p>
            <w:pPr>
              <w:spacing w:after="0"/>
              <w:rPr>
                <w:sz w:val="17"/>
                <w:szCs w:val="17"/>
                <w:color w:val="auto"/>
              </w:rPr>
            </w:pPr>
          </w:p>
        </w:tc>
        <w:tc>
          <w:tcPr>
            <w:tcW w:w="8940" w:type="dxa"/>
            <w:vAlign w:val="bottom"/>
            <w:gridSpan w:val="1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86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w:anchor="page63">
              <w:r>
                <w:rPr>
                  <w:rFonts w:ascii="Arial" w:cs="Arial" w:eastAsia="Arial" w:hAnsi="Arial"/>
                  <w:sz w:val="18"/>
                  <w:szCs w:val="18"/>
                  <w:color w:val="0000EE"/>
                  <w:w w:val="92"/>
                </w:rPr>
                <w:t>FORWARD-LOOKING STATEMENTS</w:t>
              </w:r>
            </w:hyperlink>
          </w:p>
        </w:tc>
        <w:tc>
          <w:tcPr>
            <w:tcW w:w="7820" w:type="dxa"/>
            <w:vAlign w:val="bottom"/>
            <w:gridSpan w:val="1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54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65">
              <w:r>
                <w:rPr>
                  <w:rFonts w:ascii="Arial" w:cs="Arial" w:eastAsia="Arial" w:hAnsi="Arial"/>
                  <w:sz w:val="18"/>
                  <w:szCs w:val="18"/>
                  <w:color w:val="0000EE"/>
                  <w:w w:val="87"/>
                </w:rPr>
                <w:t>USE OF PROCEEDS</w:t>
              </w:r>
            </w:hyperlink>
          </w:p>
        </w:tc>
        <w:tc>
          <w:tcPr>
            <w:tcW w:w="9140" w:type="dxa"/>
            <w:vAlign w:val="bottom"/>
            <w:gridSpan w:val="2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10680" w:type="dxa"/>
            <w:vAlign w:val="bottom"/>
            <w:gridSpan w:val="24"/>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SENIOR SECURITIES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1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67">
              <w:r>
                <w:rPr>
                  <w:rFonts w:ascii="Arial" w:cs="Arial" w:eastAsia="Arial" w:hAnsi="Arial"/>
                  <w:sz w:val="18"/>
                  <w:szCs w:val="18"/>
                  <w:color w:val="0000EE"/>
                  <w:w w:val="92"/>
                </w:rPr>
                <w:t>PRICE RANGE OF COMMON STOCK</w:t>
              </w:r>
            </w:hyperlink>
          </w:p>
        </w:tc>
        <w:tc>
          <w:tcPr>
            <w:tcW w:w="7800" w:type="dxa"/>
            <w:vAlign w:val="bottom"/>
            <w:gridSpan w:val="1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4520" w:type="dxa"/>
            <w:vAlign w:val="bottom"/>
            <w:tcBorders>
              <w:bottom w:val="single" w:sz="8" w:color="0000EE"/>
            </w:tcBorders>
            <w:gridSpan w:val="20"/>
          </w:tcPr>
          <w:p>
            <w:pPr>
              <w:spacing w:after="0" w:line="196" w:lineRule="exact"/>
              <w:rPr>
                <w:rFonts w:ascii="Arial" w:cs="Arial" w:eastAsia="Arial" w:hAnsi="Arial"/>
                <w:sz w:val="18"/>
                <w:szCs w:val="18"/>
                <w:color w:val="0000EE"/>
                <w:w w:val="93"/>
              </w:rPr>
            </w:pPr>
            <w:hyperlink w:anchor="page68">
              <w:r>
                <w:rPr>
                  <w:rFonts w:ascii="Arial" w:cs="Arial" w:eastAsia="Arial" w:hAnsi="Arial"/>
                  <w:sz w:val="18"/>
                  <w:szCs w:val="18"/>
                  <w:color w:val="0000EE"/>
                  <w:w w:val="93"/>
                </w:rPr>
                <w:t>SALES OF COMMON STOCK BELOW NET ASSET VALUE</w:t>
              </w:r>
            </w:hyperlink>
          </w:p>
        </w:tc>
        <w:tc>
          <w:tcPr>
            <w:tcW w:w="6160" w:type="dxa"/>
            <w:vAlign w:val="bottom"/>
            <w:gridSpan w:val="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10680" w:type="dxa"/>
            <w:vAlign w:val="bottom"/>
            <w:gridSpan w:val="24"/>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DISTRIBUTIONS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13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74">
              <w:r>
                <w:rPr>
                  <w:rFonts w:ascii="Arial" w:cs="Arial" w:eastAsia="Arial" w:hAnsi="Arial"/>
                  <w:sz w:val="18"/>
                  <w:szCs w:val="18"/>
                  <w:color w:val="0000EE"/>
                  <w:w w:val="91"/>
                </w:rPr>
                <w:t>PORTFOLIO COMPANIES</w:t>
              </w:r>
            </w:hyperlink>
          </w:p>
        </w:tc>
        <w:tc>
          <w:tcPr>
            <w:tcW w:w="8680" w:type="dxa"/>
            <w:vAlign w:val="bottom"/>
            <w:gridSpan w:val="1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0680" w:type="dxa"/>
            <w:vAlign w:val="bottom"/>
            <w:gridSpan w:val="24"/>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PORTFOLIO MANAGEMENT</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80" w:type="dxa"/>
            <w:vAlign w:val="bottom"/>
            <w:tcBorders>
              <w:bottom w:val="single" w:sz="8" w:color="0000EE"/>
            </w:tcBorders>
            <w:gridSpan w:val="15"/>
          </w:tcPr>
          <w:p>
            <w:pPr>
              <w:spacing w:after="0" w:line="196" w:lineRule="exact"/>
              <w:rPr>
                <w:rFonts w:ascii="Arial" w:cs="Arial" w:eastAsia="Arial" w:hAnsi="Arial"/>
                <w:sz w:val="18"/>
                <w:szCs w:val="18"/>
                <w:color w:val="0000EE"/>
                <w:w w:val="93"/>
              </w:rPr>
            </w:pPr>
            <w:hyperlink w:anchor="page84">
              <w:r>
                <w:rPr>
                  <w:rFonts w:ascii="Arial" w:cs="Arial" w:eastAsia="Arial" w:hAnsi="Arial"/>
                  <w:sz w:val="18"/>
                  <w:szCs w:val="18"/>
                  <w:color w:val="0000EE"/>
                  <w:w w:val="93"/>
                </w:rPr>
                <w:t>DETERMINATION OF NET ASSET VALUE</w:t>
              </w:r>
            </w:hyperlink>
          </w:p>
        </w:tc>
        <w:tc>
          <w:tcPr>
            <w:tcW w:w="7400" w:type="dxa"/>
            <w:vAlign w:val="bottom"/>
            <w:gridSpan w:val="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0680" w:type="dxa"/>
            <w:vAlign w:val="bottom"/>
            <w:gridSpan w:val="24"/>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DESCRIPTION OF OUR CAPITAL STOCK</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8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94">
              <w:r>
                <w:rPr>
                  <w:rFonts w:ascii="Arial" w:cs="Arial" w:eastAsia="Arial" w:hAnsi="Arial"/>
                  <w:sz w:val="18"/>
                  <w:szCs w:val="18"/>
                  <w:color w:val="0000EE"/>
                  <w:w w:val="90"/>
                </w:rPr>
                <w:t>DESCRIPTION OF OUR PREFERRED STOCK</w:t>
              </w:r>
            </w:hyperlink>
          </w:p>
        </w:tc>
        <w:tc>
          <w:tcPr>
            <w:tcW w:w="7200" w:type="dxa"/>
            <w:vAlign w:val="bottom"/>
            <w:gridSpan w:val="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10680" w:type="dxa"/>
            <w:vAlign w:val="bottom"/>
            <w:gridSpan w:val="24"/>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DESCRIPTION OF OUR WARRANTS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24"/>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DESCRIPTION OF OUR SUBSCRIPTION RIGHTS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336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1"/>
              </w:rPr>
            </w:pPr>
            <w:hyperlink w:anchor="page98">
              <w:r>
                <w:rPr>
                  <w:rFonts w:ascii="Arial" w:cs="Arial" w:eastAsia="Arial" w:hAnsi="Arial"/>
                  <w:sz w:val="18"/>
                  <w:szCs w:val="18"/>
                  <w:color w:val="0000EE"/>
                  <w:w w:val="91"/>
                </w:rPr>
                <w:t>DESCRIPTION OF OUR DEBT SECURITIES</w:t>
              </w:r>
            </w:hyperlink>
          </w:p>
        </w:tc>
        <w:tc>
          <w:tcPr>
            <w:tcW w:w="420" w:type="dxa"/>
            <w:vAlign w:val="bottom"/>
            <w:tcBorders>
              <w:top w:val="single" w:sz="8" w:color="0000EE"/>
            </w:tcBorders>
            <w:gridSpan w:val="2"/>
          </w:tcPr>
          <w:p>
            <w:pPr>
              <w:spacing w:after="0"/>
              <w:rPr>
                <w:sz w:val="17"/>
                <w:szCs w:val="17"/>
                <w:color w:val="auto"/>
              </w:rPr>
            </w:pPr>
          </w:p>
        </w:tc>
        <w:tc>
          <w:tcPr>
            <w:tcW w:w="6900" w:type="dxa"/>
            <w:vAlign w:val="bottom"/>
            <w:gridSpan w:val="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10680" w:type="dxa"/>
            <w:vAlign w:val="bottom"/>
            <w:gridSpan w:val="24"/>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BROKERAGE ALLOCATIONS AND OTHER PRACTICES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1620" w:type="dxa"/>
            <w:vAlign w:val="bottom"/>
            <w:gridSpan w:val="9"/>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24"/>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MATERIAL U.S. FEDERAL INCOME TAX CONSIDERATIONS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20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4"/>
              </w:rPr>
            </w:pPr>
            <w:hyperlink w:anchor="page120">
              <w:r>
                <w:rPr>
                  <w:rFonts w:ascii="Arial" w:cs="Arial" w:eastAsia="Arial" w:hAnsi="Arial"/>
                  <w:sz w:val="18"/>
                  <w:szCs w:val="18"/>
                  <w:color w:val="0000EE"/>
                  <w:w w:val="94"/>
                </w:rPr>
                <w:t>PLAN OF DISTRIBUTION</w:t>
              </w:r>
            </w:hyperlink>
          </w:p>
        </w:tc>
        <w:tc>
          <w:tcPr>
            <w:tcW w:w="2740" w:type="dxa"/>
            <w:vAlign w:val="bottom"/>
            <w:tcBorders>
              <w:top w:val="single" w:sz="8" w:color="0000EE"/>
            </w:tcBorders>
            <w:gridSpan w:val="15"/>
          </w:tcPr>
          <w:p>
            <w:pPr>
              <w:spacing w:after="0"/>
              <w:rPr>
                <w:sz w:val="17"/>
                <w:szCs w:val="17"/>
                <w:color w:val="auto"/>
              </w:rPr>
            </w:pPr>
          </w:p>
        </w:tc>
        <w:tc>
          <w:tcPr>
            <w:tcW w:w="5940" w:type="dxa"/>
            <w:vAlign w:val="bottom"/>
            <w:gridSpan w:val="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10680" w:type="dxa"/>
            <w:vAlign w:val="bottom"/>
            <w:gridSpan w:val="24"/>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SUB-ADMINISTRATOR, CUSTODIAN, TRANSFER AGENT AND TRUSTEE</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4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w:anchor="page122">
              <w:r>
                <w:rPr>
                  <w:rFonts w:ascii="Arial" w:cs="Arial" w:eastAsia="Arial" w:hAnsi="Arial"/>
                  <w:sz w:val="18"/>
                  <w:szCs w:val="18"/>
                  <w:color w:val="0000EE"/>
                  <w:w w:val="93"/>
                </w:rPr>
                <w:t>LEGAL MATTERS</w:t>
              </w:r>
            </w:hyperlink>
          </w:p>
        </w:tc>
        <w:tc>
          <w:tcPr>
            <w:tcW w:w="4360" w:type="dxa"/>
            <w:vAlign w:val="bottom"/>
            <w:tcBorders>
              <w:top w:val="single" w:sz="8" w:color="0000EE"/>
            </w:tcBorders>
            <w:gridSpan w:val="20"/>
          </w:tcPr>
          <w:p>
            <w:pPr>
              <w:spacing w:after="0"/>
              <w:rPr>
                <w:sz w:val="17"/>
                <w:szCs w:val="17"/>
                <w:color w:val="auto"/>
              </w:rPr>
            </w:pPr>
          </w:p>
        </w:tc>
        <w:tc>
          <w:tcPr>
            <w:tcW w:w="490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4680" w:type="dxa"/>
            <w:vAlign w:val="bottom"/>
            <w:tcBorders>
              <w:bottom w:val="single" w:sz="8" w:color="0000EE"/>
            </w:tcBorders>
            <w:gridSpan w:val="21"/>
          </w:tcPr>
          <w:p>
            <w:pPr>
              <w:spacing w:after="0" w:line="196" w:lineRule="exact"/>
              <w:rPr>
                <w:rFonts w:ascii="Arial" w:cs="Arial" w:eastAsia="Arial" w:hAnsi="Arial"/>
                <w:sz w:val="18"/>
                <w:szCs w:val="18"/>
                <w:color w:val="0000EE"/>
                <w:w w:val="93"/>
              </w:rPr>
            </w:pPr>
            <w:hyperlink w:anchor="page122">
              <w:r>
                <w:rPr>
                  <w:rFonts w:ascii="Arial" w:cs="Arial" w:eastAsia="Arial" w:hAnsi="Arial"/>
                  <w:sz w:val="18"/>
                  <w:szCs w:val="18"/>
                  <w:color w:val="0000EE"/>
                  <w:w w:val="93"/>
                </w:rPr>
                <w:t>INDEPENDENT REGISTERED PUBLIC ACCOUNTING FIRM</w:t>
              </w:r>
            </w:hyperlink>
          </w:p>
        </w:tc>
        <w:tc>
          <w:tcPr>
            <w:tcW w:w="600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0680" w:type="dxa"/>
            <w:vAlign w:val="bottom"/>
            <w:gridSpan w:val="24"/>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INCORPORATION BY REFERENCE</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27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AVAILABLE INFORMATION</w:t>
              </w:r>
            </w:hyperlink>
          </w:p>
        </w:tc>
        <w:tc>
          <w:tcPr>
            <w:tcW w:w="7940" w:type="dxa"/>
            <w:vAlign w:val="bottom"/>
            <w:gridSpan w:val="1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00"/>
          </w:cols>
          <w:pgMar w:left="320" w:top="459" w:right="4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left="120" w:firstLine="551"/>
        <w:spacing w:after="0" w:line="286" w:lineRule="auto"/>
        <w:rPr>
          <w:sz w:val="20"/>
          <w:szCs w:val="20"/>
          <w:color w:val="auto"/>
        </w:rPr>
      </w:pPr>
      <w:r>
        <w:rPr>
          <w:rFonts w:ascii="Arial" w:cs="Arial" w:eastAsia="Arial" w:hAnsi="Arial"/>
          <w:sz w:val="16"/>
          <w:szCs w:val="16"/>
          <w:color w:val="auto"/>
        </w:rPr>
        <w:t>This prospectus is part of a registration statement that we have filed with the SEC using the “shelf” registration process. Under the shelf registration process, we may offer from time to time up to $500,000,000 of our common stock, preferred stock, warrants representing rights to purchase shares of our common stock, preferred stock or debt securities, subscription rights or debt securities on the terms to be determined at the time of the offering.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described in one or more supplements to this prospectus. This prospectus provides you with a general description of the securities that we may offer. The information contained in this prospectus is accurate only as of the date on the front of this prospectus and our business, financial condition, results of operations and prospects may have changed since that date.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and any free writing prospectus, together with any exhibits and the additional information described in the section titled “Available Information,” before you make an investment decision.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734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0">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firstLine="426"/>
        <w:spacing w:after="0" w:line="282" w:lineRule="auto"/>
        <w:rPr>
          <w:sz w:val="20"/>
          <w:szCs w:val="20"/>
          <w:color w:val="auto"/>
        </w:rPr>
      </w:pPr>
      <w:r>
        <w:rPr>
          <w:rFonts w:ascii="Arial" w:cs="Arial" w:eastAsia="Arial" w:hAnsi="Arial"/>
          <w:sz w:val="16"/>
          <w:szCs w:val="16"/>
          <w:i w:val="1"/>
          <w:iCs w:val="1"/>
          <w:color w:val="auto"/>
        </w:rPr>
        <w:t>This summary highlights some of the information in this prospectus. It is not complete and may not contain all of the information that you may want to consider in making an investment decision, References to our portfolio, our investments and our business include investments we make through our consolidated subsidiaries. Some of the statements in this prospectus constitute forward-looking statements, which apply to both us and our consolidated subsidiaries, as applicable, and relate to future events, future performance or future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any accompanying prospectus supplement or free writing prospectus, except where the context suggests otherwise: the terms “we,” “us,” “our” and “Company” refer to PennantPark Floating Rate Capital Ltd. and its wholly-owned consolidated subsidiaries; “Funding I” refers to PennantPark Floating Rate Funding I, LLC; “Taxable Subsidiary” refers to PFLT Investment Holdings, LLC; “PSSL” refers to PennantPark Senior Secured Loan Fund I LLC, an unconsolidated joint venture; “PennantPark Investment Advisers” or “Investment Adviser” refers to PennantPark Investment Advisers, LLC; “PennantPark Investment Administration” or “Administrator” refers to PennantPark Investment Administration, LLC; “2023 Notes” refers to our 3.83% Series A notes due 2023; “Code” refers to the Internal Revenue Code of 1986, as amended; “RIC” refers to a regulated investment company under the Code; “1940 Act” refers to the Investment Company Act of 1940, as amended; “BDC” refers to a business development company under the 1940 Act; “Credit Facility” refers to our multi-currency senior secured revolving credit facility, as amended and restated with SunTrust Bank and other lenders, or the “Lenders” “Securitization Issuer” refers to PennantPark CLO I, Ltd.; “Securitization Issuers” refers to the Securitization Issuer and PennantPark CLO I, LLC; “Debt Securitization” refers to the $301.4 million term debt securitization completed by the Securitization Issuers; “2031 Asset-Backed Debt” refers to (i) the issuance of the Class A-1 Senior Secured Floating Rate Notes due 2031, the Class A-2 Senior Secured Fixed Rate Notes due 2031, the Class B-1 Senior Secured Floating Rate Notes due 2031, the Class B-2 Senior Secured Fixed Rate Notes due 2031, the Class C-1 Secured Deferrable Floating Rate Notes due 2031, the Class C-2 Notes Secured Deferrable Fixed Rate Notes due 2031, and the Class D Secured Deferrable Floating Notes due 2031 and</w:t>
      </w:r>
    </w:p>
    <w:p>
      <w:pPr>
        <w:spacing w:after="0" w:line="10" w:lineRule="exact"/>
        <w:rPr>
          <w:sz w:val="20"/>
          <w:szCs w:val="20"/>
          <w:color w:val="auto"/>
        </w:rPr>
      </w:pPr>
    </w:p>
    <w:p>
      <w:pPr>
        <w:ind w:left="300" w:right="720" w:hanging="2"/>
        <w:spacing w:after="0" w:line="260" w:lineRule="auto"/>
        <w:tabs>
          <w:tab w:leader="none" w:pos="565"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the borrowing of the Class A-1 Senior Secured Floating Rate Notes due 2031 by the Securitization Issuers in connection with the Debt Securitization.</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 Business of PennantPark Floating Rate Capital Ltd.</w:t>
      </w:r>
    </w:p>
    <w:p>
      <w:pPr>
        <w:spacing w:after="0" w:line="121" w:lineRule="exact"/>
        <w:rPr>
          <w:sz w:val="20"/>
          <w:szCs w:val="20"/>
          <w:color w:val="auto"/>
        </w:rPr>
      </w:pPr>
    </w:p>
    <w:p>
      <w:pPr>
        <w:ind w:left="300" w:firstLine="426"/>
        <w:spacing w:after="0" w:line="308" w:lineRule="auto"/>
        <w:rPr>
          <w:sz w:val="20"/>
          <w:szCs w:val="20"/>
          <w:color w:val="auto"/>
        </w:rPr>
      </w:pPr>
      <w:r>
        <w:rPr>
          <w:rFonts w:ascii="Arial" w:cs="Arial" w:eastAsia="Arial" w:hAnsi="Arial"/>
          <w:sz w:val="17"/>
          <w:szCs w:val="17"/>
          <w:color w:val="auto"/>
        </w:rPr>
        <w:t>PennantPark Floating Rate Capital Ltd. is a BDC whose objectives are to generate both current income and capital appreciation while seeking to preserve capital by investing primarily in Floating Rate Loans and other investments made to U.S. middle-market companies.</w:t>
      </w:r>
    </w:p>
    <w:p>
      <w:pPr>
        <w:spacing w:after="0" w:line="146" w:lineRule="exact"/>
        <w:rPr>
          <w:sz w:val="20"/>
          <w:szCs w:val="20"/>
          <w:color w:val="auto"/>
        </w:rPr>
      </w:pPr>
    </w:p>
    <w:p>
      <w:pPr>
        <w:ind w:left="300" w:right="320" w:firstLine="426"/>
        <w:spacing w:after="0" w:line="291" w:lineRule="auto"/>
        <w:rPr>
          <w:sz w:val="20"/>
          <w:szCs w:val="20"/>
          <w:color w:val="auto"/>
        </w:rPr>
      </w:pPr>
      <w:r>
        <w:rPr>
          <w:rFonts w:ascii="Arial" w:cs="Arial" w:eastAsia="Arial" w:hAnsi="Arial"/>
          <w:sz w:val="16"/>
          <w:szCs w:val="16"/>
          <w:color w:val="auto"/>
        </w:rPr>
        <w:t>We believe that Floating Rate Loans to U.S. middle-market companies offer attractive risk-reward to investors due to a limited amount of capital available for such companies. We use the term “middle-market” to refer to companies with annual revenues between $50 million and</w:t>
      </w:r>
    </w:p>
    <w:p>
      <w:pPr>
        <w:ind w:left="300" w:right="60"/>
        <w:spacing w:after="0" w:line="269" w:lineRule="auto"/>
        <w:rPr>
          <w:sz w:val="20"/>
          <w:szCs w:val="20"/>
          <w:color w:val="auto"/>
        </w:rPr>
      </w:pPr>
      <w:r>
        <w:rPr>
          <w:rFonts w:ascii="Arial" w:cs="Arial" w:eastAsia="Arial" w:hAnsi="Arial"/>
          <w:sz w:val="17"/>
          <w:szCs w:val="17"/>
          <w:color w:val="auto"/>
        </w:rPr>
        <w:t>$1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36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105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2">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0" w:firstLine="426"/>
        <w:spacing w:after="0" w:line="293" w:lineRule="auto"/>
        <w:rPr>
          <w:sz w:val="20"/>
          <w:szCs w:val="20"/>
          <w:color w:val="auto"/>
        </w:rPr>
      </w:pPr>
      <w:r>
        <w:rPr>
          <w:rFonts w:ascii="Arial" w:cs="Arial" w:eastAsia="Arial" w:hAnsi="Arial"/>
          <w:sz w:val="16"/>
          <w:szCs w:val="16"/>
          <w:color w:val="auto"/>
        </w:rPr>
        <w:t>Under normal market conditions, we generally expect that at least 80% of the value of our Managed Assets, which means our net assets plus any borrowings for investment purposes,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w:t>
      </w:r>
    </w:p>
    <w:p>
      <w:pPr>
        <w:spacing w:after="0" w:line="164" w:lineRule="exact"/>
        <w:rPr>
          <w:sz w:val="20"/>
          <w:szCs w:val="20"/>
          <w:color w:val="auto"/>
        </w:rPr>
      </w:pPr>
    </w:p>
    <w:p>
      <w:pPr>
        <w:ind w:left="300" w:firstLine="426"/>
        <w:spacing w:after="0" w:line="255"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 For a description of our debt capital, see “Management’s Discussion and Analysis of Financial Condition and Results of Operations—Liquidity and Capital Resources” in our most recent Annual Report on Form 10-K or Quarterly Report on Form 10-Q.</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Organization and Structure of PennantPark Floating Rate Capital Ltd.</w:t>
      </w:r>
    </w:p>
    <w:p>
      <w:pPr>
        <w:spacing w:after="0" w:line="121" w:lineRule="exact"/>
        <w:rPr>
          <w:sz w:val="20"/>
          <w:szCs w:val="20"/>
          <w:color w:val="auto"/>
        </w:rPr>
      </w:pPr>
    </w:p>
    <w:p>
      <w:pPr>
        <w:ind w:left="300" w:right="260" w:firstLine="426"/>
        <w:spacing w:after="0" w:line="263" w:lineRule="auto"/>
        <w:rPr>
          <w:sz w:val="20"/>
          <w:szCs w:val="20"/>
          <w:color w:val="auto"/>
        </w:rPr>
      </w:pPr>
      <w:r>
        <w:rPr>
          <w:rFonts w:ascii="Arial" w:cs="Arial" w:eastAsia="Arial" w:hAnsi="Arial"/>
          <w:sz w:val="18"/>
          <w:szCs w:val="18"/>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84" w:lineRule="exact"/>
        <w:rPr>
          <w:sz w:val="20"/>
          <w:szCs w:val="20"/>
          <w:color w:val="auto"/>
        </w:rPr>
      </w:pPr>
    </w:p>
    <w:p>
      <w:pPr>
        <w:ind w:left="720"/>
        <w:spacing w:after="0"/>
        <w:rPr>
          <w:sz w:val="20"/>
          <w:szCs w:val="20"/>
          <w:color w:val="auto"/>
        </w:rPr>
      </w:pPr>
      <w:r>
        <w:rPr>
          <w:rFonts w:ascii="Arial" w:cs="Arial" w:eastAsia="Arial" w:hAnsi="Arial"/>
          <w:sz w:val="16"/>
          <w:szCs w:val="16"/>
          <w:color w:val="auto"/>
        </w:rPr>
        <w:t>Funding I, our wholly owned subsidiary and a special purpose entity, was organized in Delaware as a limited liability company in May 2011.</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 formed Funding I in order to establish our Credit Facility.</w:t>
      </w:r>
    </w:p>
    <w:p>
      <w:pPr>
        <w:spacing w:after="0" w:line="211" w:lineRule="exact"/>
        <w:rPr>
          <w:sz w:val="20"/>
          <w:szCs w:val="20"/>
          <w:color w:val="auto"/>
        </w:rPr>
      </w:pPr>
    </w:p>
    <w:p>
      <w:pPr>
        <w:ind w:left="300" w:right="20" w:firstLine="426"/>
        <w:spacing w:after="0" w:line="263" w:lineRule="auto"/>
        <w:rPr>
          <w:sz w:val="20"/>
          <w:szCs w:val="20"/>
          <w:color w:val="auto"/>
        </w:rPr>
      </w:pPr>
      <w:r>
        <w:rPr>
          <w:rFonts w:ascii="Arial" w:cs="Arial" w:eastAsia="Arial" w:hAnsi="Arial"/>
          <w:sz w:val="18"/>
          <w:szCs w:val="18"/>
          <w:color w:val="auto"/>
        </w:rPr>
        <w:t>In May 2017, we and a subsidiary of Kemper Corporation (NYSE: KMPR), Trinity Universal Insurance Company, or Kemper, formed PSSL, an unconsolidated joint venture. PSSL invests primarily in middle-market and other corporate debt securities consistent with our strategy. PSSL was formed as a Delaware limited liability company.</w:t>
      </w:r>
    </w:p>
    <w:p>
      <w:pPr>
        <w:spacing w:after="0" w:line="184" w:lineRule="exact"/>
        <w:rPr>
          <w:sz w:val="20"/>
          <w:szCs w:val="20"/>
          <w:color w:val="auto"/>
        </w:rPr>
      </w:pPr>
    </w:p>
    <w:p>
      <w:pPr>
        <w:ind w:left="300" w:right="40" w:firstLine="426"/>
        <w:spacing w:after="0" w:line="277" w:lineRule="auto"/>
        <w:rPr>
          <w:sz w:val="20"/>
          <w:szCs w:val="20"/>
          <w:color w:val="auto"/>
        </w:rPr>
      </w:pPr>
      <w:r>
        <w:rPr>
          <w:rFonts w:ascii="Arial" w:cs="Arial" w:eastAsia="Arial" w:hAnsi="Arial"/>
          <w:sz w:val="18"/>
          <w:szCs w:val="18"/>
          <w:color w:val="auto"/>
        </w:rPr>
        <w:t>In April 2019, our wholly owned subsidiary, the Securitization Issuer, was incorporated in the Cayman Islands as an exempted company with limited liability. We formed the Securitization Issuer in order to complete the Debt Securitization.</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ind w:left="300" w:firstLine="426"/>
        <w:spacing w:after="0" w:line="289" w:lineRule="auto"/>
        <w:rPr>
          <w:sz w:val="20"/>
          <w:szCs w:val="20"/>
          <w:color w:val="auto"/>
        </w:rPr>
      </w:pPr>
      <w:r>
        <w:rPr>
          <w:rFonts w:ascii="Arial" w:cs="Arial" w:eastAsia="Arial" w:hAnsi="Arial"/>
          <w:sz w:val="16"/>
          <w:szCs w:val="16"/>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invested $10 billion in 526 companies with approximately 185 different financial sponsors through its managed funds.</w:t>
      </w:r>
    </w:p>
    <w:p>
      <w:pPr>
        <w:spacing w:after="0" w:line="35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849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4">
                      <a:extLst>
                        <a:ext uri="{28A0092B-C50C-407E-A947-70E740481C1C}"/>
                      </a:extLst>
                    </a:blip>
                    <a:srcRect/>
                    <a:stretch>
                      <a:fillRect/>
                    </a:stretch>
                  </pic:blipFill>
                  <pic:spPr bwMode="auto">
                    <a:xfrm>
                      <a:off x="0" y="0"/>
                      <a:ext cx="6998970" cy="61849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71" w:lineRule="auto"/>
        <w:rPr>
          <w:sz w:val="20"/>
          <w:szCs w:val="20"/>
          <w:color w:val="auto"/>
        </w:rPr>
      </w:pPr>
      <w:r>
        <w:rPr>
          <w:rFonts w:ascii="Arial" w:cs="Arial" w:eastAsia="Arial" w:hAnsi="Arial"/>
          <w:sz w:val="17"/>
          <w:szCs w:val="17"/>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assists in the determination and publication of our NAV, oversees the preparation and filing of our tax returns, and monitors the payment of our expenses as well as the performance of administrative and professional services rendered to us by others. Furthermore, our Administrator offers, on our behalf, significant managerial assistance to those portfolio companies to which we are required to offer such assistance. See “Risk Factors—Risks Relating to our Business and Structure—There are significant potential conflicts of interest which could impact our investment returns” in our most recent Annual Report on Form 10-K for more information.</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300" w:right="60" w:firstLine="426"/>
        <w:spacing w:after="0" w:line="254" w:lineRule="auto"/>
        <w:rPr>
          <w:sz w:val="20"/>
          <w:szCs w:val="20"/>
          <w:color w:val="auto"/>
        </w:rPr>
      </w:pPr>
      <w:r>
        <w:rPr>
          <w:rFonts w:ascii="Arial" w:cs="Arial" w:eastAsia="Arial" w:hAnsi="Arial"/>
          <w:sz w:val="18"/>
          <w:szCs w:val="18"/>
          <w:color w:val="auto"/>
        </w:rPr>
        <w:t>We believe that the limited amount of capital available to middle-market companies, coupled with the desire of these companies for flexible sources of capital, creates an attractive investment environment for us. From our perspective, middle market companies have faced difficulty in raising debt through the private and public capital markets. We believe that, as a result of the difficulties in the credit markets and fewer sources of capital for middle-market companies, we see opportunities for improved risk-reward on our investments. Furthermore, we believe that with a large pool of uninvested private equity capital seeking debt capital to complete private investments and a substantial supply of refinancing opportunities, there is an opportunity to attain attractive risk-reward with debt investments. See “Business” in our most recent Annual Report on Form 10-K for more information.</w:t>
      </w:r>
    </w:p>
    <w:p>
      <w:pPr>
        <w:spacing w:after="0" w:line="29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300" w:right="180" w:firstLine="426"/>
        <w:spacing w:after="0" w:line="259" w:lineRule="auto"/>
        <w:rPr>
          <w:sz w:val="20"/>
          <w:szCs w:val="20"/>
          <w:color w:val="auto"/>
        </w:rPr>
      </w:pPr>
      <w:r>
        <w:rPr>
          <w:rFonts w:ascii="Arial" w:cs="Arial" w:eastAsia="Arial" w:hAnsi="Arial"/>
          <w:sz w:val="18"/>
          <w:szCs w:val="18"/>
          <w:color w:val="auto"/>
        </w:rPr>
        <w:t>We may use the net proceeds from selling securities pursuant to this prospectus to reduce our then-outstanding debt obligations, to invest in new or existing portfolio companies, to capitalize a subsidiary or for other general corporate or strategic purposes. Any supplements to this prospectus or free writing prospectus relating to an offering will more fully identify the use of the proceeds from such offering. See “Use of Proceeds” for more information.</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Distributions on Common Stock</w:t>
      </w:r>
    </w:p>
    <w:p>
      <w:pPr>
        <w:spacing w:after="0" w:line="121" w:lineRule="exact"/>
        <w:rPr>
          <w:sz w:val="20"/>
          <w:szCs w:val="20"/>
          <w:color w:val="auto"/>
        </w:rPr>
      </w:pPr>
    </w:p>
    <w:p>
      <w:pPr>
        <w:ind w:left="300" w:right="560" w:firstLine="426"/>
        <w:spacing w:after="0" w:line="277" w:lineRule="auto"/>
        <w:rPr>
          <w:sz w:val="20"/>
          <w:szCs w:val="20"/>
          <w:color w:val="auto"/>
        </w:rPr>
      </w:pPr>
      <w:r>
        <w:rPr>
          <w:rFonts w:ascii="Arial" w:cs="Arial" w:eastAsia="Arial" w:hAnsi="Arial"/>
          <w:sz w:val="18"/>
          <w:szCs w:val="18"/>
          <w:color w:val="auto"/>
        </w:rPr>
        <w:t>We intend to continue our monthly distributions to our stockholders. Our monthly distributions, if any, are determined by our board of directors. Distributions may include a return of capital. See “Distributions” for more information.</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Dividends on Preferred Stock</w:t>
      </w:r>
    </w:p>
    <w:p>
      <w:pPr>
        <w:spacing w:after="0" w:line="121" w:lineRule="exact"/>
        <w:rPr>
          <w:sz w:val="20"/>
          <w:szCs w:val="20"/>
          <w:color w:val="auto"/>
        </w:rPr>
      </w:pPr>
    </w:p>
    <w:p>
      <w:pPr>
        <w:ind w:left="300" w:firstLine="426"/>
        <w:spacing w:after="0" w:line="296" w:lineRule="auto"/>
        <w:rPr>
          <w:sz w:val="20"/>
          <w:szCs w:val="20"/>
          <w:color w:val="auto"/>
        </w:rPr>
      </w:pPr>
      <w:r>
        <w:rPr>
          <w:rFonts w:ascii="Arial" w:cs="Arial" w:eastAsia="Arial" w:hAnsi="Arial"/>
          <w:sz w:val="16"/>
          <w:szCs w:val="16"/>
          <w:color w:val="auto"/>
        </w:rPr>
        <w:t>We may issue preferred stock from time to time, although we have no immediate intention to do so. Any such preferred stock will be a senior security for purposes of the 1940 Act and, accordingly, subject to the leverage test under the 1940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weekly to quarterly and is subject to extension. The dividend rate could be variable and determined for each dividend period. See “Description of our Preferred Stock” for more information.</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ind w:left="300" w:right="380" w:firstLine="426"/>
        <w:spacing w:after="0" w:line="277" w:lineRule="auto"/>
        <w:rPr>
          <w:sz w:val="20"/>
          <w:szCs w:val="20"/>
          <w:color w:val="auto"/>
        </w:rPr>
      </w:pPr>
      <w:r>
        <w:rPr>
          <w:rFonts w:ascii="Arial" w:cs="Arial" w:eastAsia="Arial" w:hAnsi="Arial"/>
          <w:sz w:val="18"/>
          <w:szCs w:val="18"/>
          <w:color w:val="auto"/>
        </w:rPr>
        <w:t>We may offer, from time to time, up to $500 million of our securities, on terms to be determined at the time of each such offering and set forth in a supplement to this prospectus.</w:t>
      </w:r>
    </w:p>
    <w:p>
      <w:pPr>
        <w:spacing w:after="0" w:line="35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7160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6">
                      <a:extLst>
                        <a:ext uri="{28A0092B-C50C-407E-A947-70E740481C1C}"/>
                      </a:extLst>
                    </a:blip>
                    <a:srcRect/>
                    <a:stretch>
                      <a:fillRect/>
                    </a:stretch>
                  </pic:blipFill>
                  <pic:spPr bwMode="auto">
                    <a:xfrm>
                      <a:off x="0" y="0"/>
                      <a:ext cx="6998970" cy="37160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54" w:lineRule="auto"/>
        <w:rPr>
          <w:sz w:val="20"/>
          <w:szCs w:val="20"/>
          <w:color w:val="auto"/>
        </w:rPr>
      </w:pPr>
      <w:r>
        <w:rPr>
          <w:rFonts w:ascii="Arial" w:cs="Arial" w:eastAsia="Arial" w:hAnsi="Arial"/>
          <w:sz w:val="18"/>
          <w:szCs w:val="18"/>
          <w:color w:val="auto"/>
        </w:rPr>
        <w:t>Securities may be offered at prices and on terms described in one or more supplements to this prospectus. We may sell our securities through underwriters or dealers, “at-the-market” to or through a market maker, into an existing trading market or otherwise directly to one or more purchasers or through agents or through a combination of methods of sale.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any accompanying supplements to this prospectus may not exceed 10% of the aggregate offering price of the securities as set forth on the cover page of such supplement to this prospectus.</w:t>
      </w:r>
    </w:p>
    <w:p>
      <w:pPr>
        <w:spacing w:after="0" w:line="192" w:lineRule="exact"/>
        <w:rPr>
          <w:sz w:val="20"/>
          <w:szCs w:val="20"/>
          <w:color w:val="auto"/>
        </w:rPr>
      </w:pPr>
    </w:p>
    <w:p>
      <w:pPr>
        <w:ind w:left="300" w:right="480" w:firstLine="426"/>
        <w:spacing w:after="0" w:line="308" w:lineRule="auto"/>
        <w:rPr>
          <w:sz w:val="20"/>
          <w:szCs w:val="20"/>
          <w:color w:val="auto"/>
        </w:rPr>
      </w:pPr>
      <w:r>
        <w:rPr>
          <w:rFonts w:ascii="Arial" w:cs="Arial" w:eastAsia="Arial" w:hAnsi="Arial"/>
          <w:sz w:val="17"/>
          <w:szCs w:val="17"/>
          <w:color w:val="auto"/>
        </w:rPr>
        <w:t>We may not sell securities pursuant to this prospectus without delivering a prospectus supplement describing the terms of the particular securities to be offered and the method of the offering of such securities. See “Plan of Distribution” for more information.</w:t>
      </w:r>
    </w:p>
    <w:p>
      <w:pPr>
        <w:spacing w:after="0" w:line="25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ind w:left="300" w:firstLine="426"/>
        <w:spacing w:after="0" w:line="301" w:lineRule="auto"/>
        <w:rPr>
          <w:sz w:val="20"/>
          <w:szCs w:val="20"/>
          <w:color w:val="auto"/>
        </w:rPr>
      </w:pPr>
      <w:r>
        <w:rPr>
          <w:rFonts w:ascii="Arial" w:cs="Arial" w:eastAsia="Arial" w:hAnsi="Arial"/>
          <w:sz w:val="16"/>
          <w:szCs w:val="16"/>
          <w:color w:val="auto"/>
        </w:rPr>
        <w:t>Our business is subject to numerous risks, as described in the section titled “Risk Factors” in this prospectus, the applicable prospectus supplement and related free writing prospectuses we may authorize for use in connection with a specific offering, if any, and under similar headings in the documents that are incorporated by reference into this prospectus, including the section titled “Risk Factors” included in our most recent Annual Report on Form 10-K and Quarterly Reports on Form 10-Q, as well as any amendments reflected in subsequent filings with the SEC.</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 xml:space="preserve">Our administrative and principal executive offices are located at 590 Madison Avenue, 15th Floor, New York, NY 10022. Our phone number is (212) 905-1000, and our Internet website address is </w:t>
      </w:r>
      <w:r>
        <w:rPr>
          <w:rFonts w:ascii="Arial" w:cs="Arial" w:eastAsia="Arial" w:hAnsi="Arial"/>
          <w:sz w:val="18"/>
          <w:szCs w:val="18"/>
          <w:i w:val="1"/>
          <w:iCs w:val="1"/>
          <w:u w:val="single" w:color="auto"/>
          <w:color w:val="auto"/>
        </w:rPr>
        <w:t>www.pennantpark.com</w:t>
      </w:r>
      <w:r>
        <w:rPr>
          <w:rFonts w:ascii="Arial" w:cs="Arial" w:eastAsia="Arial" w:hAnsi="Arial"/>
          <w:sz w:val="18"/>
          <w:szCs w:val="18"/>
          <w:color w:val="auto"/>
        </w:rPr>
        <w:t>. Information contained on our website is not incorporated by reference into this prospectus or any supplements to this prospectus, and you should not consider information contained on our website to be part of this prospectus or any supplements to this prospectus.</w:t>
      </w:r>
    </w:p>
    <w:p>
      <w:pPr>
        <w:spacing w:after="0" w:line="37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from actual results. The following table should not be considered a representation of our future expenses. Actual expenses may be greater or less than shown. Except where the context suggests otherwise, whenever this prospectus or any prospectus supplements, if any, contains a reference to fees or expenses paid by “you” or “us” or that “we” will pay, stockholders will indirectly bear such fees or expenses as investors in us.</w:t>
      </w:r>
    </w:p>
    <w:p>
      <w:pPr>
        <w:spacing w:after="0" w:line="21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Sales load</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Total stockholder expenses</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7"/>
              </w:rPr>
              <w:t>Estimated annual expenses (as a percentage of average net assets attributable</w:t>
            </w: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 common shares)</w:t>
            </w:r>
            <w:r>
              <w:rPr>
                <w:rFonts w:ascii="Arial" w:cs="Arial" w:eastAsia="Arial" w:hAnsi="Arial"/>
                <w:sz w:val="15"/>
                <w:szCs w:val="15"/>
                <w:b w:val="1"/>
                <w:bCs w:val="1"/>
                <w:color w:val="auto"/>
              </w:rPr>
              <w:t>(3)</w:t>
            </w:r>
          </w:p>
        </w:tc>
        <w:tc>
          <w:tcPr>
            <w:tcW w:w="4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Management fees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2.13%</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Interest on borrowed funds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5.23%</w:t>
            </w: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Acquired fund fees and expenses</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5.47%</w:t>
            </w: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Other expenses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0.78%</w:t>
            </w: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estimated annual expenses</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14.81%</w:t>
            </w:r>
            <w:r>
              <w:rPr>
                <w:rFonts w:ascii="Arial" w:cs="Arial" w:eastAsia="Arial" w:hAnsi="Arial"/>
                <w:sz w:val="15"/>
                <w:szCs w:val="15"/>
                <w:color w:val="auto"/>
                <w:w w:val="98"/>
              </w:rPr>
              <w:t>(9)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760" w:hanging="424"/>
        <w:spacing w:after="0" w:line="258"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the event that the securities to which this prospectus relates are sold to or through underwriters or agents, a corresponding prospectus supplement will disclose the applicable sales load.</w:t>
      </w:r>
    </w:p>
    <w:p>
      <w:pPr>
        <w:spacing w:after="0" w:line="1" w:lineRule="exact"/>
        <w:rPr>
          <w:rFonts w:ascii="Arial" w:cs="Arial" w:eastAsia="Arial" w:hAnsi="Arial"/>
          <w:sz w:val="18"/>
          <w:szCs w:val="18"/>
          <w:color w:val="auto"/>
        </w:rPr>
      </w:pPr>
    </w:p>
    <w:p>
      <w:pPr>
        <w:ind w:left="540" w:right="80" w:hanging="424"/>
        <w:spacing w:after="0" w:line="250"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related prospectus supplement will disclose the estimated amount of offering expenses, the offering price and the offering expenses borne by us as a percentage of the offering price.</w:t>
      </w:r>
    </w:p>
    <w:p>
      <w:pPr>
        <w:ind w:left="540" w:hanging="424"/>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Net assets attributable to common shares equals average net assets for the fiscal year ended September 30, 2019.</w:t>
      </w:r>
    </w:p>
    <w:p>
      <w:pPr>
        <w:spacing w:after="0" w:line="9" w:lineRule="exact"/>
        <w:rPr>
          <w:rFonts w:ascii="Arial" w:cs="Arial" w:eastAsia="Arial" w:hAnsi="Arial"/>
          <w:sz w:val="18"/>
          <w:szCs w:val="18"/>
          <w:color w:val="auto"/>
        </w:rPr>
      </w:pPr>
    </w:p>
    <w:p>
      <w:pPr>
        <w:ind w:left="540" w:right="180" w:hanging="424"/>
        <w:spacing w:after="0" w:line="250"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1.00% of our average adjusted gross assets on September 30, 2019. See “Business—Investment Management Agreement” and “Business—Investment Advisory Fees” in our most recent Annual Report on Form 10-K for more information.</w:t>
      </w:r>
    </w:p>
    <w:p>
      <w:pPr>
        <w:spacing w:after="0" w:line="1" w:lineRule="exact"/>
        <w:rPr>
          <w:rFonts w:ascii="Arial" w:cs="Arial" w:eastAsia="Arial" w:hAnsi="Arial"/>
          <w:sz w:val="18"/>
          <w:szCs w:val="18"/>
          <w:color w:val="auto"/>
        </w:rPr>
      </w:pPr>
    </w:p>
    <w:p>
      <w:pPr>
        <w:ind w:left="540" w:hanging="424"/>
        <w:spacing w:after="0" w:line="265" w:lineRule="auto"/>
        <w:tabs>
          <w:tab w:leader="none" w:pos="5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portion of incentive fees paid with respect to net investment income and capital gains, if any, is based on actual amounts incurred during the fiscal year ended September 30, 2019.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U.S. generally accepted accounting principles, or GAAP. As we cannot predict our future net investment income or capital gains, the incentive fee paid in future periods, if any, may be substantially different than the fee earned during the fiscal year ended September 30, 2019. For more detailed information about the incentive fee, please see “Business—Investment Management Agreement” and “Business—Investment Advisory Fees” in our most recent Annual Report on Form 10-K for more information.</w:t>
      </w:r>
    </w:p>
    <w:p>
      <w:pPr>
        <w:spacing w:after="0" w:line="1" w:lineRule="exact"/>
        <w:rPr>
          <w:rFonts w:ascii="Arial" w:cs="Arial" w:eastAsia="Arial" w:hAnsi="Arial"/>
          <w:sz w:val="17"/>
          <w:szCs w:val="17"/>
          <w:color w:val="auto"/>
        </w:rPr>
      </w:pPr>
    </w:p>
    <w:p>
      <w:pPr>
        <w:jc w:val="both"/>
        <w:ind w:left="540" w:hanging="424"/>
        <w:spacing w:after="0" w:line="255"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of September 30, 2019, we had $265.3 million in borrowings outstanding under our Credit Facility, $138.6 million outstanding under our 2023 Notes and $228.0 million outstanding under the 2031 Asset-Backed Debt. We may use proceeds of an offering of securities under this registration statement to repay</w:t>
      </w:r>
    </w:p>
    <w:p>
      <w:pPr>
        <w:spacing w:after="0" w:line="1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80"/>
          </w:cols>
          <w:pgMar w:left="320" w:top="459" w:right="4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line="253" w:lineRule="auto"/>
        <w:rPr>
          <w:sz w:val="20"/>
          <w:szCs w:val="20"/>
          <w:color w:val="auto"/>
        </w:rPr>
      </w:pPr>
      <w:r>
        <w:rPr>
          <w:rFonts w:ascii="Arial" w:cs="Arial" w:eastAsia="Arial" w:hAnsi="Arial"/>
          <w:sz w:val="18"/>
          <w:szCs w:val="18"/>
          <w:color w:val="auto"/>
        </w:rPr>
        <w:t>outstanding obligations under our Credit Facility. After completing any such offering, we may continue to borrow under our Credit Facility to finance our investment objectives. Annual interest expense on borrowed funds represents actual interest expense, amendment costs incurred on our Credit Facility, and debt issuance costs, if any, for the fiscal year ended September 30, 2019 and we caution you that our actual interest expense in the future will depend on prevailing interest rates and our rate of borrowing, which may be substantially higher than the amount provided in this table.</w:t>
      </w:r>
    </w:p>
    <w:p>
      <w:pPr>
        <w:spacing w:after="0" w:line="3" w:lineRule="exact"/>
        <w:rPr>
          <w:sz w:val="20"/>
          <w:szCs w:val="20"/>
          <w:color w:val="auto"/>
        </w:rPr>
      </w:pPr>
    </w:p>
    <w:p>
      <w:pPr>
        <w:ind w:left="540" w:hanging="424"/>
        <w:spacing w:after="0" w:line="281" w:lineRule="auto"/>
        <w:tabs>
          <w:tab w:leader="none" w:pos="5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stockholders indirectly bear 87.5% of the expenses of our investment in PSSL. No management fee is charged by PennantPark Investment Advisers in connection with PSSL. PSSL pays the Administrator an annual fee of 0.25% of average gross assets under management. For this chart, PSSL fees and operating expenses are based on our share of the actual fees and operating expenses of PSSL for the fiscal year ended September 30, 2019. Expenses for PSSL may fluctuate over time and may be substantially higher or lower in the future.</w:t>
      </w:r>
    </w:p>
    <w:p>
      <w:pPr>
        <w:spacing w:after="0" w:line="2" w:lineRule="exact"/>
        <w:rPr>
          <w:rFonts w:ascii="Arial" w:cs="Arial" w:eastAsia="Arial" w:hAnsi="Arial"/>
          <w:sz w:val="16"/>
          <w:szCs w:val="16"/>
          <w:color w:val="auto"/>
        </w:rPr>
      </w:pPr>
    </w:p>
    <w:p>
      <w:pPr>
        <w:ind w:left="540" w:right="100" w:hanging="424"/>
        <w:spacing w:after="0" w:line="250"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expenses” includes our general and administrative expenses, professional fees, directors’ fees, insurance costs, and the expenses of the Investment Adviser reimbursable under our Investment Management Agreement and of the Administrator reimbursable under our Administration Agreement. Such expenses are based on estimated amounts for the current fiscal year.</w:t>
      </w:r>
    </w:p>
    <w:p>
      <w:pPr>
        <w:spacing w:after="0" w:line="1" w:lineRule="exact"/>
        <w:rPr>
          <w:rFonts w:ascii="Arial" w:cs="Arial" w:eastAsia="Arial" w:hAnsi="Arial"/>
          <w:sz w:val="18"/>
          <w:szCs w:val="18"/>
          <w:color w:val="auto"/>
        </w:rPr>
      </w:pPr>
    </w:p>
    <w:p>
      <w:pPr>
        <w:ind w:left="540" w:right="60" w:hanging="424"/>
        <w:spacing w:after="0" w:line="270" w:lineRule="auto"/>
        <w:tabs>
          <w:tab w:leader="none" w:pos="5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average net assets (defined as total assets less indebtedness) rather than total assets, which include assets that have been funded with borrowed money. If the “Total estimated annual expenses” percentage were calculated instead as a percentage of total assets, our “Total estimated annual expenses” would be 7.23% of average total assets.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Example</w:t>
      </w:r>
    </w:p>
    <w:p>
      <w:pPr>
        <w:spacing w:after="0" w:line="121" w:lineRule="exact"/>
        <w:rPr>
          <w:sz w:val="20"/>
          <w:szCs w:val="20"/>
          <w:color w:val="auto"/>
        </w:rPr>
      </w:pPr>
    </w:p>
    <w:p>
      <w:pPr>
        <w:ind w:left="120" w:right="600" w:firstLine="440"/>
        <w:spacing w:after="0" w:line="291" w:lineRule="auto"/>
        <w:rPr>
          <w:sz w:val="20"/>
          <w:szCs w:val="20"/>
          <w:color w:val="auto"/>
        </w:rPr>
      </w:pPr>
      <w:r>
        <w:rPr>
          <w:rFonts w:ascii="Arial" w:cs="Arial" w:eastAsia="Arial" w:hAnsi="Arial"/>
          <w:sz w:val="16"/>
          <w:szCs w:val="16"/>
          <w:color w:val="auto"/>
        </w:rPr>
        <w:t>The following example illustrates the projected dollar amount of total cumulative expenses that you would pay on a $1,000 hypothetical investment in common shares, assuming (1) a 3.00% sales load (underwriting discounts and commissions) and offering expenses totaling 0.50%,</w:t>
      </w:r>
    </w:p>
    <w:p>
      <w:pPr>
        <w:ind w:left="120" w:right="700" w:hanging="4"/>
        <w:spacing w:after="0" w:line="260" w:lineRule="auto"/>
        <w:tabs>
          <w:tab w:leader="none" w:pos="3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total net estimated annual expenses of 13.61% of average net assets attributable to common shares as set forth in the table above (other than performance-based incentive fees) and (3) a 5% annual return.</w:t>
      </w:r>
    </w:p>
    <w:p>
      <w:pPr>
        <w:spacing w:after="0" w:line="19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540" w:type="dxa"/>
            <w:vAlign w:val="bottom"/>
            <w:gridSpan w:val="2"/>
          </w:tcPr>
          <w:p>
            <w:pPr>
              <w:spacing w:after="0"/>
              <w:rPr>
                <w:sz w:val="20"/>
                <w:szCs w:val="20"/>
                <w:color w:val="auto"/>
              </w:rPr>
            </w:pPr>
            <w:r>
              <w:rPr>
                <w:rFonts w:ascii="Arial" w:cs="Arial" w:eastAsia="Arial" w:hAnsi="Arial"/>
                <w:sz w:val="14"/>
                <w:szCs w:val="14"/>
                <w:b w:val="1"/>
                <w:bCs w:val="1"/>
                <w:color w:val="auto"/>
              </w:rPr>
              <w:t>You would pay the following expenses on a $1,000 common</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91"/>
        </w:trPr>
        <w:tc>
          <w:tcPr>
            <w:tcW w:w="3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stock investment:</w:t>
            </w:r>
          </w:p>
        </w:tc>
        <w:tc>
          <w:tcPr>
            <w:tcW w:w="2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1 year</w:t>
            </w:r>
          </w:p>
        </w:tc>
        <w:tc>
          <w:tcPr>
            <w:tcW w:w="240" w:type="dxa"/>
            <w:vAlign w:val="bottom"/>
          </w:tcPr>
          <w:p>
            <w:pPr>
              <w:spacing w:after="0"/>
              <w:rPr>
                <w:sz w:val="16"/>
                <w:szCs w:val="16"/>
                <w:color w:val="auto"/>
              </w:rPr>
            </w:pP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rPr>
              <w:t>3 years</w:t>
            </w:r>
          </w:p>
        </w:tc>
        <w:tc>
          <w:tcPr>
            <w:tcW w:w="260" w:type="dxa"/>
            <w:vAlign w:val="bottom"/>
          </w:tcPr>
          <w:p>
            <w:pPr>
              <w:spacing w:after="0"/>
              <w:rPr>
                <w:sz w:val="16"/>
                <w:szCs w:val="16"/>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5 years</w:t>
            </w:r>
          </w:p>
        </w:tc>
        <w:tc>
          <w:tcPr>
            <w:tcW w:w="260" w:type="dxa"/>
            <w:vAlign w:val="bottom"/>
          </w:tcPr>
          <w:p>
            <w:pPr>
              <w:spacing w:after="0"/>
              <w:rPr>
                <w:sz w:val="16"/>
                <w:szCs w:val="16"/>
                <w:color w:val="auto"/>
              </w:rPr>
            </w:pP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w w:val="96"/>
              </w:rPr>
              <w:t>10 years</w:t>
            </w:r>
          </w:p>
        </w:tc>
      </w:tr>
      <w:tr>
        <w:trPr>
          <w:trHeight w:val="175"/>
        </w:trPr>
        <w:tc>
          <w:tcPr>
            <w:tcW w:w="654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4"/>
              </w:rPr>
              <w:t>Assuming a 5% annual return (assumes no return from net realized capital gains or net</w:t>
            </w:r>
          </w:p>
        </w:tc>
        <w:tc>
          <w:tcPr>
            <w:tcW w:w="2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30"/>
        </w:trPr>
        <w:tc>
          <w:tcPr>
            <w:tcW w:w="6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unrealized capital appreciation)</w:t>
            </w:r>
          </w:p>
        </w:tc>
        <w:tc>
          <w:tcPr>
            <w:tcW w:w="8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$ 161</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381</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564</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901</w:t>
            </w:r>
          </w:p>
        </w:tc>
      </w:tr>
      <w:tr>
        <w:trPr>
          <w:trHeight w:val="202"/>
        </w:trPr>
        <w:tc>
          <w:tcPr>
            <w:tcW w:w="6540" w:type="dxa"/>
            <w:vAlign w:val="bottom"/>
            <w:gridSpan w:val="2"/>
          </w:tcPr>
          <w:p>
            <w:pPr>
              <w:spacing w:after="0" w:line="201" w:lineRule="exact"/>
              <w:rPr>
                <w:sz w:val="20"/>
                <w:szCs w:val="20"/>
                <w:color w:val="auto"/>
              </w:rPr>
            </w:pPr>
            <w:r>
              <w:rPr>
                <w:rFonts w:ascii="Arial" w:cs="Arial" w:eastAsia="Arial" w:hAnsi="Arial"/>
                <w:sz w:val="18"/>
                <w:szCs w:val="18"/>
                <w:color w:val="auto"/>
                <w:w w:val="93"/>
              </w:rPr>
              <w:t>Assuming a 5% annual return (assumes return from only realized capital gains and thus</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6540" w:type="dxa"/>
            <w:vAlign w:val="bottom"/>
            <w:gridSpan w:val="2"/>
          </w:tcPr>
          <w:p>
            <w:pPr>
              <w:ind w:left="180"/>
              <w:spacing w:after="0"/>
              <w:rPr>
                <w:sz w:val="20"/>
                <w:szCs w:val="20"/>
                <w:color w:val="auto"/>
              </w:rPr>
            </w:pPr>
            <w:r>
              <w:rPr>
                <w:rFonts w:ascii="Arial" w:cs="Arial" w:eastAsia="Arial" w:hAnsi="Arial"/>
                <w:sz w:val="18"/>
                <w:szCs w:val="18"/>
                <w:color w:val="auto"/>
              </w:rPr>
              <w:t>subject to the capital gains incentive fee)</w:t>
            </w:r>
          </w:p>
        </w:tc>
        <w:tc>
          <w:tcPr>
            <w:tcW w:w="880" w:type="dxa"/>
            <w:vAlign w:val="bottom"/>
            <w:gridSpan w:val="3"/>
          </w:tcPr>
          <w:p>
            <w:pPr>
              <w:ind w:left="240"/>
              <w:spacing w:after="0"/>
              <w:rPr>
                <w:sz w:val="20"/>
                <w:szCs w:val="20"/>
                <w:color w:val="auto"/>
              </w:rPr>
            </w:pPr>
            <w:r>
              <w:rPr>
                <w:rFonts w:ascii="Arial" w:cs="Arial" w:eastAsia="Arial" w:hAnsi="Arial"/>
                <w:sz w:val="18"/>
                <w:szCs w:val="18"/>
                <w:color w:val="auto"/>
              </w:rPr>
              <w:t>$ 169</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400</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589</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923</w:t>
            </w:r>
          </w:p>
        </w:tc>
      </w:tr>
    </w:tbl>
    <w:p>
      <w:pPr>
        <w:spacing w:after="0" w:line="202"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If we were to earn an annual return equal to or less than 5% from net investment income, the incentive fee under our Investment Management Agreement would not be earned or payable. If our returns on our investments, including the realized capital gains, result in an incentive fee, then our expenses would be higher. The example assumes that all distributions are reinvested at NAV. See “Distributions” for more information.</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Investing in our securities involves a number of significant risks. In addition to the other information contained in this prospectus and the applicable prospectus supplement and any free writing prospectus, you should consider carefully the following information and the risk factors incorporated by reference in our recent Annual Report on Form 10-K filed on November 20, 2019 or our then most recent Annual Report on Form 10-K and any subsequent Quarterly Reports on Form 10-Q or Current Reports on Form 8-K we file after the date of this prospectus, and all other information contained or incorporated by reference into this prospectus, as updated by our subsequent filings under the Securities Exchange Act of 1934, as amended, or the Exchange Act, and the risk factors and other information contained in any prospectus supplement and any free writing prospectus before acquiring any of such securities and before making an investment in our securities. Additional risks and uncertainties not presently known to us or not presently deemed material by us may also impair our operations and performance. Each of the risk factors could materially adversely affect our business, financial condition and results of operations. In such case, the NAV and market price of our common stock could decline or the value of our preferred stock, warrants, subscription rights or debt securities may decline, and investors may lose all or part of their investment. Please also read carefully the section titled “Forward-Looking Statements.”</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80"/>
          </w:cols>
          <w:pgMar w:left="320" w:top="459" w:right="4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This prospectus, including the documents we incorporate by reference herein, contains, and any applicable prospectus supplement or free writing prospectus, including the documents we incorporate by reference therein, contain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or incorporated by reference in this prospectus and any applicable prospectus supplement or free writing prospectus involve risks and uncertainties, including statements as to:</w:t>
      </w:r>
    </w:p>
    <w:p>
      <w:pPr>
        <w:spacing w:after="0" w:line="83"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impact of fluctuations in interest rates and foreign exchange rates on our business and our portfolio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expected financings and investments and ability to fund capital commitments to PSSL;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impact of price and volume fluctuations in the stock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impact of Brexit and other world economic and political issues.</w:t>
      </w:r>
    </w:p>
    <w:p>
      <w:pPr>
        <w:spacing w:after="0" w:line="225"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set forth in “Risk Factors” and elsewhere in this prospectus.</w:t>
      </w:r>
    </w:p>
    <w:p>
      <w:pPr>
        <w:spacing w:after="0" w:line="14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contained or incorporated by reference in this prospectus and any applicable prospectus supplement or free writing prospectus should not be regarded as a representation by us that our plans and objectives will be achieved.</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80"/>
          </w:cols>
          <w:pgMar w:left="320" w:top="459" w:right="4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We base the forward-looking statements included in this prospectus, any prospectus supplement, free writing prospectus and documents incorporated by reference on information available to us on the date of the relevant document, and we assume no obligation to update any such forward-looking statements. Although we undertake no obligation to revise or update any forward-looking statements in such documents, whether as a result of new information, future events or otherwise, you are advised to consult any additional disclosures that we may make directly to you or through reports that we have filed or in the future may file with the SEC, including reports on Form 10-K/Q and current reports on Form 8-K.</w:t>
      </w:r>
    </w:p>
    <w:p>
      <w:pPr>
        <w:spacing w:after="0" w:line="176"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You should understand that under Section 27A(b)(2)(B) of the Securities Act of 1933, as amended, or the Securities Act, and Section 21E(b)(2)(B) of the Exchange Act, the “safe harbor” provisions of the Private Securities Litigation Reform Act of 1995 do not apply to forward-looking statements made in connection with any offering of securities pursuant to this prospectus or in periodic reports we file under the Exchange Act.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Unless otherwise specified in a prospectus supplement or a free writing prospectus we have authorized for use in connection with a specific offering, we may use the net proceeds from selling securities pursuant to this prospectus for general corporate or strategic purposes, including making investments in portfolio companies or repaying outstanding indebtedness.</w:t>
      </w:r>
    </w:p>
    <w:p>
      <w:pPr>
        <w:spacing w:after="0" w:line="184"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indebtedness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“Business—Regulation—Temporary Investments” in our most recently filed Annual Report on Form 10-K for more information.</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SENIOR SECURITIES</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Information about our senior securities shown in the following table as of September 30, 2019, 2018, 2017, 2016, 2015, 2014, 2013, 2012 and 2011 is from our Consolidated Financial Statements which have been audited by an independent registered public accounting firm for those periods. This information about our senior securities should be read in conjunction with our Consolidated Financial Statements and related notes thereto and “Management’s Discussion and Analysis of Financial Condition and Results of Operations” included in our most recent Annual Report on Form 10-K for more information.</w:t>
      </w:r>
    </w:p>
    <w:p>
      <w:pPr>
        <w:spacing w:after="0" w:line="19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Total Amount</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91"/>
              <w:spacing w:after="0"/>
              <w:rPr>
                <w:sz w:val="20"/>
                <w:szCs w:val="20"/>
                <w:color w:val="auto"/>
              </w:rPr>
            </w:pPr>
            <w:r>
              <w:rPr>
                <w:rFonts w:ascii="Arial" w:cs="Arial" w:eastAsia="Arial" w:hAnsi="Arial"/>
                <w:sz w:val="14"/>
                <w:szCs w:val="14"/>
                <w:b w:val="1"/>
                <w:bCs w:val="1"/>
                <w:color w:val="auto"/>
                <w:w w:val="89"/>
              </w:rPr>
              <w:t>Asset</w:t>
            </w:r>
          </w:p>
        </w:tc>
        <w:tc>
          <w:tcPr>
            <w:tcW w:w="70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w w:val="91"/>
              </w:rPr>
              <w:t>Class and Year</w:t>
            </w:r>
          </w:p>
        </w:tc>
        <w:tc>
          <w:tcPr>
            <w:tcW w:w="2660" w:type="dxa"/>
            <w:vAlign w:val="bottom"/>
            <w:vMerge w:val="restart"/>
          </w:tcPr>
          <w:p>
            <w:pPr>
              <w:spacing w:after="0"/>
              <w:rPr>
                <w:sz w:val="12"/>
                <w:szCs w:val="12"/>
                <w:color w:val="auto"/>
              </w:rPr>
            </w:pPr>
          </w:p>
        </w:tc>
        <w:tc>
          <w:tcPr>
            <w:tcW w:w="17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Coverage</w:t>
            </w:r>
          </w:p>
        </w:tc>
        <w:tc>
          <w:tcPr>
            <w:tcW w:w="162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rPr>
              <w:t>Market Value</w:t>
            </w:r>
          </w:p>
        </w:tc>
        <w:tc>
          <w:tcPr>
            <w:tcW w:w="0" w:type="dxa"/>
            <w:vAlign w:val="bottom"/>
          </w:tcPr>
          <w:p>
            <w:pPr>
              <w:spacing w:after="0"/>
              <w:rPr>
                <w:sz w:val="1"/>
                <w:szCs w:val="1"/>
                <w:color w:val="auto"/>
              </w:rPr>
            </w:pPr>
          </w:p>
        </w:tc>
      </w:tr>
      <w:tr>
        <w:trPr>
          <w:trHeight w:val="178"/>
        </w:trPr>
        <w:tc>
          <w:tcPr>
            <w:tcW w:w="940" w:type="dxa"/>
            <w:vAlign w:val="bottom"/>
            <w:tcBorders>
              <w:bottom w:val="single" w:sz="8" w:color="auto"/>
            </w:tcBorders>
            <w:vMerge w:val="continue"/>
          </w:tcPr>
          <w:p>
            <w:pPr>
              <w:spacing w:after="0"/>
              <w:rPr>
                <w:sz w:val="15"/>
                <w:szCs w:val="15"/>
                <w:color w:val="auto"/>
              </w:rPr>
            </w:pPr>
          </w:p>
        </w:tc>
        <w:tc>
          <w:tcPr>
            <w:tcW w:w="2660" w:type="dxa"/>
            <w:vAlign w:val="bottom"/>
            <w:vMerge w:val="continue"/>
          </w:tcPr>
          <w:p>
            <w:pPr>
              <w:spacing w:after="0"/>
              <w:rPr>
                <w:sz w:val="15"/>
                <w:szCs w:val="15"/>
                <w:color w:val="auto"/>
              </w:rPr>
            </w:pPr>
          </w:p>
        </w:tc>
        <w:tc>
          <w:tcPr>
            <w:tcW w:w="2660" w:type="dxa"/>
            <w:vAlign w:val="bottom"/>
            <w:gridSpan w:val="3"/>
          </w:tcPr>
          <w:p>
            <w:pPr>
              <w:ind w:left="1740"/>
              <w:spacing w:after="0" w:line="158" w:lineRule="exact"/>
              <w:rPr>
                <w:sz w:val="20"/>
                <w:szCs w:val="20"/>
                <w:color w:val="auto"/>
              </w:rPr>
            </w:pPr>
            <w:r>
              <w:rPr>
                <w:rFonts w:ascii="Arial" w:cs="Arial" w:eastAsia="Arial" w:hAnsi="Arial"/>
                <w:sz w:val="14"/>
                <w:szCs w:val="14"/>
                <w:b w:val="1"/>
                <w:bCs w:val="1"/>
                <w:color w:val="auto"/>
                <w:w w:val="92"/>
              </w:rPr>
              <w:t>Outstanding</w:t>
            </w:r>
            <w:r>
              <w:rPr>
                <w:rFonts w:ascii="Arial" w:cs="Arial" w:eastAsia="Arial" w:hAnsi="Arial"/>
                <w:sz w:val="12"/>
                <w:szCs w:val="12"/>
                <w:b w:val="1"/>
                <w:bCs w:val="1"/>
                <w:color w:val="auto"/>
                <w:w w:val="92"/>
              </w:rPr>
              <w:t>(1)</w:t>
            </w:r>
          </w:p>
        </w:tc>
        <w:tc>
          <w:tcPr>
            <w:tcW w:w="1380" w:type="dxa"/>
            <w:vAlign w:val="bottom"/>
            <w:gridSpan w:val="3"/>
          </w:tcPr>
          <w:p>
            <w:pPr>
              <w:ind w:left="700"/>
              <w:spacing w:after="0" w:line="158" w:lineRule="exact"/>
              <w:rPr>
                <w:sz w:val="20"/>
                <w:szCs w:val="20"/>
                <w:color w:val="auto"/>
              </w:rPr>
            </w:pPr>
            <w:r>
              <w:rPr>
                <w:rFonts w:ascii="Arial" w:cs="Arial" w:eastAsia="Arial" w:hAnsi="Arial"/>
                <w:sz w:val="14"/>
                <w:szCs w:val="14"/>
                <w:b w:val="1"/>
                <w:bCs w:val="1"/>
                <w:color w:val="auto"/>
                <w:w w:val="97"/>
              </w:rPr>
              <w:t>per Unit</w:t>
            </w:r>
            <w:r>
              <w:rPr>
                <w:rFonts w:ascii="Arial" w:cs="Arial" w:eastAsia="Arial" w:hAnsi="Arial"/>
                <w:sz w:val="12"/>
                <w:szCs w:val="12"/>
                <w:b w:val="1"/>
                <w:bCs w:val="1"/>
                <w:color w:val="auto"/>
                <w:w w:val="97"/>
              </w:rPr>
              <w:t>(2)</w:t>
            </w:r>
          </w:p>
        </w:tc>
        <w:tc>
          <w:tcPr>
            <w:tcW w:w="700" w:type="dxa"/>
            <w:vAlign w:val="bottom"/>
          </w:tcPr>
          <w:p>
            <w:pPr>
              <w:spacing w:after="0"/>
              <w:rPr>
                <w:sz w:val="15"/>
                <w:szCs w:val="15"/>
                <w:color w:val="auto"/>
              </w:rPr>
            </w:pPr>
          </w:p>
        </w:tc>
        <w:tc>
          <w:tcPr>
            <w:tcW w:w="92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6"/>
              </w:rPr>
              <w:t>Per Unit</w:t>
            </w:r>
            <w:r>
              <w:rPr>
                <w:rFonts w:ascii="Arial" w:cs="Arial" w:eastAsia="Arial" w:hAnsi="Arial"/>
                <w:sz w:val="12"/>
                <w:szCs w:val="12"/>
                <w:b w:val="1"/>
                <w:bCs w:val="1"/>
                <w:color w:val="auto"/>
                <w:w w:val="96"/>
              </w:rPr>
              <w:t>(3)</w:t>
            </w:r>
          </w:p>
        </w:tc>
        <w:tc>
          <w:tcPr>
            <w:tcW w:w="0" w:type="dxa"/>
            <w:vAlign w:val="bottom"/>
          </w:tcPr>
          <w:p>
            <w:pPr>
              <w:spacing w:after="0"/>
              <w:rPr>
                <w:sz w:val="1"/>
                <w:szCs w:val="1"/>
                <w:color w:val="auto"/>
              </w:rPr>
            </w:pPr>
          </w:p>
        </w:tc>
      </w:tr>
      <w:tr>
        <w:trPr>
          <w:trHeight w:val="189"/>
        </w:trPr>
        <w:tc>
          <w:tcPr>
            <w:tcW w:w="36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Credit Facility</w:t>
            </w:r>
          </w:p>
        </w:tc>
        <w:tc>
          <w:tcPr>
            <w:tcW w:w="17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Fiscal 2019</w:t>
            </w:r>
          </w:p>
        </w:tc>
        <w:tc>
          <w:tcPr>
            <w:tcW w:w="194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265,308</w:t>
            </w:r>
          </w:p>
        </w:tc>
        <w:tc>
          <w:tcPr>
            <w:tcW w:w="8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1,786</w:t>
            </w:r>
          </w:p>
        </w:tc>
        <w:tc>
          <w:tcPr>
            <w:tcW w:w="7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2018</w:t>
            </w:r>
          </w:p>
        </w:tc>
        <w:tc>
          <w:tcPr>
            <w:tcW w:w="194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333,728</w:t>
            </w:r>
          </w:p>
        </w:tc>
        <w:tc>
          <w:tcPr>
            <w:tcW w:w="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7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Fiscal 2017</w:t>
            </w:r>
          </w:p>
        </w:tc>
        <w:tc>
          <w:tcPr>
            <w:tcW w:w="194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253,783</w:t>
            </w:r>
          </w:p>
        </w:tc>
        <w:tc>
          <w:tcPr>
            <w:tcW w:w="8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2,780</w:t>
            </w:r>
          </w:p>
        </w:tc>
        <w:tc>
          <w:tcPr>
            <w:tcW w:w="7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2016</w:t>
            </w:r>
          </w:p>
        </w:tc>
        <w:tc>
          <w:tcPr>
            <w:tcW w:w="194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232,908</w:t>
            </w:r>
          </w:p>
        </w:tc>
        <w:tc>
          <w:tcPr>
            <w:tcW w:w="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w:t>
            </w:r>
          </w:p>
        </w:tc>
        <w:tc>
          <w:tcPr>
            <w:tcW w:w="7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Fiscal 2015</w:t>
            </w:r>
          </w:p>
        </w:tc>
        <w:tc>
          <w:tcPr>
            <w:tcW w:w="194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29,600</w:t>
            </w:r>
          </w:p>
        </w:tc>
        <w:tc>
          <w:tcPr>
            <w:tcW w:w="8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13,598</w:t>
            </w:r>
          </w:p>
        </w:tc>
        <w:tc>
          <w:tcPr>
            <w:tcW w:w="7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2014</w:t>
            </w:r>
          </w:p>
        </w:tc>
        <w:tc>
          <w:tcPr>
            <w:tcW w:w="194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146,400</w:t>
            </w:r>
          </w:p>
        </w:tc>
        <w:tc>
          <w:tcPr>
            <w:tcW w:w="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7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Fiscal 2013</w:t>
            </w:r>
          </w:p>
        </w:tc>
        <w:tc>
          <w:tcPr>
            <w:tcW w:w="194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99,600</w:t>
            </w:r>
          </w:p>
        </w:tc>
        <w:tc>
          <w:tcPr>
            <w:tcW w:w="8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3,109</w:t>
            </w:r>
          </w:p>
        </w:tc>
        <w:tc>
          <w:tcPr>
            <w:tcW w:w="7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2012</w:t>
            </w:r>
          </w:p>
        </w:tc>
        <w:tc>
          <w:tcPr>
            <w:tcW w:w="194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75,500</w:t>
            </w:r>
          </w:p>
        </w:tc>
        <w:tc>
          <w:tcPr>
            <w:tcW w:w="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w:t>
            </w:r>
          </w:p>
        </w:tc>
        <w:tc>
          <w:tcPr>
            <w:tcW w:w="7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Fiscal 2011</w:t>
            </w:r>
          </w:p>
        </w:tc>
        <w:tc>
          <w:tcPr>
            <w:tcW w:w="194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24,650</w:t>
            </w:r>
          </w:p>
        </w:tc>
        <w:tc>
          <w:tcPr>
            <w:tcW w:w="8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4,735</w:t>
            </w:r>
          </w:p>
        </w:tc>
        <w:tc>
          <w:tcPr>
            <w:tcW w:w="7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2023 Notes</w:t>
            </w: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Fiscal 2019</w:t>
            </w:r>
          </w:p>
        </w:tc>
        <w:tc>
          <w:tcPr>
            <w:tcW w:w="194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138,580</w:t>
            </w:r>
          </w:p>
        </w:tc>
        <w:tc>
          <w:tcPr>
            <w:tcW w:w="8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1,786</w:t>
            </w:r>
          </w:p>
        </w:tc>
        <w:tc>
          <w:tcPr>
            <w:tcW w:w="7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2018</w:t>
            </w:r>
          </w:p>
        </w:tc>
        <w:tc>
          <w:tcPr>
            <w:tcW w:w="194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138,580</w:t>
            </w:r>
          </w:p>
        </w:tc>
        <w:tc>
          <w:tcPr>
            <w:tcW w:w="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7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2031 Asset-Backed Debt</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2019</w:t>
            </w:r>
          </w:p>
        </w:tc>
        <w:tc>
          <w:tcPr>
            <w:tcW w:w="194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228,000</w:t>
            </w:r>
          </w:p>
        </w:tc>
        <w:tc>
          <w:tcPr>
            <w:tcW w:w="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7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Total cost of each class of senior securities outstanding at the end of the period presented in thousands (000s).</w:t>
      </w:r>
    </w:p>
    <w:p>
      <w:pPr>
        <w:spacing w:after="0" w:line="23" w:lineRule="exact"/>
        <w:rPr>
          <w:rFonts w:ascii="Arial" w:cs="Arial" w:eastAsia="Arial" w:hAnsi="Arial"/>
          <w:sz w:val="18"/>
          <w:szCs w:val="18"/>
          <w:color w:val="auto"/>
        </w:rPr>
      </w:pPr>
    </w:p>
    <w:p>
      <w:pPr>
        <w:ind w:left="540" w:right="60" w:hanging="424"/>
        <w:spacing w:after="0" w:line="250"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at par. This asset coverage ratio is multiplied by $1,000 to determine the Asset Coverage Per Unit.</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Not applicable, as senior securities are not registered for public trading in the United States of America.</w:t>
      </w:r>
    </w:p>
    <w:p>
      <w:pPr>
        <w:spacing w:after="0" w:line="14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320" w:top="459" w:right="6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PRICE RANGE OF COMMON STOCK</w:t>
      </w:r>
    </w:p>
    <w:p>
      <w:pPr>
        <w:spacing w:after="0" w:line="22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Our common stock is traded on The Nasdaq Global Select Market and the TASE under the symbol “PFLT.” The following table lists the high and low closing sale prices for our common stock, the closing sale prices as a premium or (discount) to our NAV per share and distributions per share on The Nasdaq Global Select Market since October 1, 2017. On January 27, 2020, the last reported closing price of our common stock on The Nasdaq Global Select Market was $12.01 per share.</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8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Closing Sales Price</w:t>
            </w:r>
          </w:p>
        </w:tc>
        <w:tc>
          <w:tcPr>
            <w:tcW w:w="19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3"/>
              </w:rPr>
              <w:t>Premium / (Discount)</w:t>
            </w:r>
          </w:p>
        </w:tc>
        <w:tc>
          <w:tcPr>
            <w:tcW w:w="17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Premium / (Discount)</w:t>
            </w:r>
          </w:p>
        </w:tc>
        <w:tc>
          <w:tcPr>
            <w:tcW w:w="240" w:type="dxa"/>
            <w:vAlign w:val="bottom"/>
          </w:tcPr>
          <w:p>
            <w:pPr>
              <w:spacing w:after="0"/>
              <w:rPr>
                <w:sz w:val="14"/>
                <w:szCs w:val="14"/>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Distributions</w:t>
            </w:r>
          </w:p>
        </w:tc>
        <w:tc>
          <w:tcPr>
            <w:tcW w:w="0" w:type="dxa"/>
            <w:vAlign w:val="bottom"/>
          </w:tcPr>
          <w:p>
            <w:pPr>
              <w:spacing w:after="0"/>
              <w:rPr>
                <w:sz w:val="1"/>
                <w:szCs w:val="1"/>
                <w:color w:val="auto"/>
              </w:rPr>
            </w:pPr>
          </w:p>
        </w:tc>
      </w:tr>
      <w:tr>
        <w:trPr>
          <w:trHeight w:val="162"/>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2700" w:type="dxa"/>
            <w:vAlign w:val="bottom"/>
            <w:vMerge w:val="restart"/>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8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on NASDAQ</w:t>
            </w:r>
          </w:p>
        </w:tc>
        <w:tc>
          <w:tcPr>
            <w:tcW w:w="19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0"/>
              </w:rPr>
              <w:t>of High Sales</w:t>
            </w:r>
          </w:p>
        </w:tc>
        <w:tc>
          <w:tcPr>
            <w:tcW w:w="17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of Low Sales</w:t>
            </w:r>
          </w:p>
        </w:tc>
        <w:tc>
          <w:tcPr>
            <w:tcW w:w="24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0" w:type="dxa"/>
            <w:vAlign w:val="bottom"/>
            <w:tcBorders>
              <w:bottom w:val="single" w:sz="8" w:color="auto"/>
            </w:tcBorders>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980" w:type="dxa"/>
            <w:vAlign w:val="bottom"/>
            <w:gridSpan w:val="2"/>
          </w:tcPr>
          <w:p>
            <w:pPr>
              <w:jc w:val="right"/>
              <w:ind w:right="500"/>
              <w:spacing w:after="0" w:line="129" w:lineRule="exact"/>
              <w:rPr>
                <w:sz w:val="20"/>
                <w:szCs w:val="20"/>
                <w:color w:val="auto"/>
              </w:rPr>
            </w:pPr>
            <w:r>
              <w:rPr>
                <w:rFonts w:ascii="Arial" w:cs="Arial" w:eastAsia="Arial" w:hAnsi="Arial"/>
                <w:sz w:val="14"/>
                <w:szCs w:val="14"/>
                <w:b w:val="1"/>
                <w:bCs w:val="1"/>
                <w:color w:val="auto"/>
              </w:rPr>
              <w:t>NAV</w:t>
            </w:r>
            <w:r>
              <w:rPr>
                <w:rFonts w:ascii="Arial" w:cs="Arial" w:eastAsia="Arial" w:hAnsi="Arial"/>
                <w:sz w:val="12"/>
                <w:szCs w:val="12"/>
                <w:b w:val="1"/>
                <w:bCs w:val="1"/>
                <w:color w:val="auto"/>
              </w:rPr>
              <w:t>(1)</w:t>
            </w:r>
          </w:p>
        </w:tc>
        <w:tc>
          <w:tcPr>
            <w:tcW w:w="740" w:type="dxa"/>
            <w:vAlign w:val="bottom"/>
            <w:tcBorders>
              <w:top w:val="single" w:sz="8" w:color="auto"/>
            </w:tcBorders>
            <w:gridSpan w:val="2"/>
          </w:tcPr>
          <w:p>
            <w:pPr>
              <w:ind w:left="100"/>
              <w:spacing w:after="0" w:line="129" w:lineRule="exact"/>
              <w:rPr>
                <w:sz w:val="20"/>
                <w:szCs w:val="20"/>
                <w:color w:val="auto"/>
              </w:rPr>
            </w:pPr>
            <w:r>
              <w:rPr>
                <w:rFonts w:ascii="Arial" w:cs="Arial" w:eastAsia="Arial" w:hAnsi="Arial"/>
                <w:sz w:val="14"/>
                <w:szCs w:val="14"/>
                <w:b w:val="1"/>
                <w:bCs w:val="1"/>
                <w:color w:val="auto"/>
              </w:rPr>
              <w:t>High</w:t>
            </w:r>
          </w:p>
        </w:tc>
        <w:tc>
          <w:tcPr>
            <w:tcW w:w="2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28"/>
              <w:spacing w:after="0" w:line="129" w:lineRule="exact"/>
              <w:rPr>
                <w:sz w:val="20"/>
                <w:szCs w:val="20"/>
                <w:color w:val="auto"/>
              </w:rPr>
            </w:pPr>
            <w:r>
              <w:rPr>
                <w:rFonts w:ascii="Arial" w:cs="Arial" w:eastAsia="Arial" w:hAnsi="Arial"/>
                <w:sz w:val="14"/>
                <w:szCs w:val="14"/>
                <w:b w:val="1"/>
                <w:bCs w:val="1"/>
                <w:color w:val="auto"/>
              </w:rPr>
              <w:t>Low</w:t>
            </w:r>
          </w:p>
        </w:tc>
        <w:tc>
          <w:tcPr>
            <w:tcW w:w="500" w:type="dxa"/>
            <w:vAlign w:val="bottom"/>
          </w:tcPr>
          <w:p>
            <w:pPr>
              <w:spacing w:after="0"/>
              <w:rPr>
                <w:sz w:val="12"/>
                <w:szCs w:val="12"/>
                <w:color w:val="auto"/>
              </w:rPr>
            </w:pPr>
          </w:p>
        </w:tc>
        <w:tc>
          <w:tcPr>
            <w:tcW w:w="1940" w:type="dxa"/>
            <w:vAlign w:val="bottom"/>
            <w:gridSpan w:val="2"/>
          </w:tcPr>
          <w:p>
            <w:pPr>
              <w:jc w:val="center"/>
              <w:ind w:right="620"/>
              <w:spacing w:after="0" w:line="129" w:lineRule="exact"/>
              <w:rPr>
                <w:sz w:val="20"/>
                <w:szCs w:val="20"/>
                <w:color w:val="auto"/>
              </w:rPr>
            </w:pPr>
            <w:r>
              <w:rPr>
                <w:rFonts w:ascii="Arial" w:cs="Arial" w:eastAsia="Arial" w:hAnsi="Arial"/>
                <w:sz w:val="14"/>
                <w:szCs w:val="14"/>
                <w:b w:val="1"/>
                <w:bCs w:val="1"/>
                <w:color w:val="auto"/>
                <w:w w:val="96"/>
              </w:rPr>
              <w:t>Price to NAV</w:t>
            </w:r>
            <w:r>
              <w:rPr>
                <w:rFonts w:ascii="Arial" w:cs="Arial" w:eastAsia="Arial" w:hAnsi="Arial"/>
                <w:sz w:val="12"/>
                <w:szCs w:val="12"/>
                <w:b w:val="1"/>
                <w:bCs w:val="1"/>
                <w:color w:val="auto"/>
                <w:w w:val="96"/>
              </w:rPr>
              <w:t>(2)</w:t>
            </w:r>
          </w:p>
        </w:tc>
        <w:tc>
          <w:tcPr>
            <w:tcW w:w="172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94"/>
              </w:rPr>
              <w:t>Price to NAV</w:t>
            </w:r>
            <w:r>
              <w:rPr>
                <w:rFonts w:ascii="Arial" w:cs="Arial" w:eastAsia="Arial" w:hAnsi="Arial"/>
                <w:sz w:val="12"/>
                <w:szCs w:val="12"/>
                <w:b w:val="1"/>
                <w:bCs w:val="1"/>
                <w:color w:val="auto"/>
                <w:w w:val="94"/>
              </w:rPr>
              <w:t>(2)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171"/>
        </w:trPr>
        <w:tc>
          <w:tcPr>
            <w:tcW w:w="3120" w:type="dxa"/>
            <w:vAlign w:val="bottom"/>
            <w:tcBorders>
              <w:top w:val="single" w:sz="8" w:color="CCEEFF"/>
            </w:tcBorders>
            <w:gridSpan w:val="2"/>
            <w:shd w:val="clear" w:color="auto" w:fill="CCEEFF"/>
          </w:tcPr>
          <w:p>
            <w:pPr>
              <w:spacing w:after="0" w:line="171" w:lineRule="exact"/>
              <w:rPr>
                <w:sz w:val="20"/>
                <w:szCs w:val="20"/>
                <w:color w:val="auto"/>
              </w:rPr>
            </w:pPr>
            <w:r>
              <w:rPr>
                <w:rFonts w:ascii="Arial" w:cs="Arial" w:eastAsia="Arial" w:hAnsi="Arial"/>
                <w:sz w:val="18"/>
                <w:szCs w:val="18"/>
                <w:b w:val="1"/>
                <w:bCs w:val="1"/>
                <w:color w:val="auto"/>
              </w:rPr>
              <w:t>Fiscal Year Ending September 30,</w:t>
            </w:r>
          </w:p>
        </w:tc>
        <w:tc>
          <w:tcPr>
            <w:tcW w:w="50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1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2020</w:t>
            </w:r>
          </w:p>
        </w:tc>
        <w:tc>
          <w:tcPr>
            <w:tcW w:w="5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120" w:type="dxa"/>
            <w:vAlign w:val="bottom"/>
            <w:gridSpan w:val="2"/>
          </w:tcPr>
          <w:p>
            <w:pPr>
              <w:spacing w:after="0" w:line="201" w:lineRule="exact"/>
              <w:rPr>
                <w:sz w:val="20"/>
                <w:szCs w:val="20"/>
                <w:color w:val="auto"/>
              </w:rPr>
            </w:pPr>
            <w:r>
              <w:rPr>
                <w:rFonts w:ascii="Arial" w:cs="Arial" w:eastAsia="Arial" w:hAnsi="Arial"/>
                <w:sz w:val="18"/>
                <w:szCs w:val="18"/>
                <w:color w:val="auto"/>
              </w:rPr>
              <w:t>Second quarter (through</w:t>
            </w: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180"/>
              <w:spacing w:after="0"/>
              <w:rPr>
                <w:sz w:val="20"/>
                <w:szCs w:val="20"/>
                <w:color w:val="auto"/>
              </w:rPr>
            </w:pPr>
            <w:r>
              <w:rPr>
                <w:rFonts w:ascii="Arial" w:cs="Arial" w:eastAsia="Arial" w:hAnsi="Arial"/>
                <w:sz w:val="18"/>
                <w:szCs w:val="18"/>
                <w:color w:val="auto"/>
              </w:rPr>
              <w:t>January 27, 2020)</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 N/A</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$12.40</w:t>
            </w:r>
          </w:p>
        </w:tc>
        <w:tc>
          <w:tcPr>
            <w:tcW w:w="1240" w:type="dxa"/>
            <w:vAlign w:val="bottom"/>
            <w:gridSpan w:val="3"/>
          </w:tcPr>
          <w:p>
            <w:pPr>
              <w:jc w:val="right"/>
              <w:ind w:right="500"/>
              <w:spacing w:after="0"/>
              <w:rPr>
                <w:sz w:val="20"/>
                <w:szCs w:val="20"/>
                <w:color w:val="auto"/>
              </w:rPr>
            </w:pPr>
            <w:r>
              <w:rPr>
                <w:rFonts w:ascii="Arial" w:cs="Arial" w:eastAsia="Arial" w:hAnsi="Arial"/>
                <w:sz w:val="18"/>
                <w:szCs w:val="18"/>
                <w:color w:val="auto"/>
              </w:rPr>
              <w:t>$12.01</w:t>
            </w:r>
          </w:p>
        </w:tc>
        <w:tc>
          <w:tcPr>
            <w:tcW w:w="1940" w:type="dxa"/>
            <w:vAlign w:val="bottom"/>
            <w:gridSpan w:val="2"/>
          </w:tcPr>
          <w:p>
            <w:pPr>
              <w:ind w:left="1020"/>
              <w:spacing w:after="0"/>
              <w:rPr>
                <w:sz w:val="20"/>
                <w:szCs w:val="20"/>
                <w:color w:val="auto"/>
              </w:rPr>
            </w:pPr>
            <w:r>
              <w:rPr>
                <w:rFonts w:ascii="Arial" w:cs="Arial" w:eastAsia="Arial" w:hAnsi="Arial"/>
                <w:sz w:val="18"/>
                <w:szCs w:val="18"/>
                <w:color w:val="auto"/>
              </w:rPr>
              <w:t>N/A%</w:t>
            </w:r>
          </w:p>
        </w:tc>
        <w:tc>
          <w:tcPr>
            <w:tcW w:w="1720" w:type="dxa"/>
            <w:vAlign w:val="bottom"/>
            <w:gridSpan w:val="2"/>
          </w:tcPr>
          <w:p>
            <w:pPr>
              <w:ind w:left="1020"/>
              <w:spacing w:after="0"/>
              <w:rPr>
                <w:sz w:val="20"/>
                <w:szCs w:val="20"/>
                <w:color w:val="auto"/>
              </w:rPr>
            </w:pPr>
            <w:r>
              <w:rPr>
                <w:rFonts w:ascii="Arial" w:cs="Arial" w:eastAsia="Arial" w:hAnsi="Arial"/>
                <w:sz w:val="18"/>
                <w:szCs w:val="18"/>
                <w:color w:val="auto"/>
              </w:rPr>
              <w:t>N/A%</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ind w:left="300"/>
              <w:spacing w:after="0"/>
              <w:rPr>
                <w:sz w:val="20"/>
                <w:szCs w:val="20"/>
                <w:color w:val="auto"/>
              </w:rPr>
            </w:pPr>
            <w:r>
              <w:rPr>
                <w:rFonts w:ascii="Arial" w:cs="Arial" w:eastAsia="Arial" w:hAnsi="Arial"/>
                <w:sz w:val="18"/>
                <w:szCs w:val="18"/>
                <w:color w:val="auto"/>
                <w:w w:val="97"/>
              </w:rPr>
              <w:t>0.095</w:t>
            </w:r>
            <w:r>
              <w:rPr>
                <w:rFonts w:ascii="Arial" w:cs="Arial" w:eastAsia="Arial" w:hAnsi="Arial"/>
                <w:sz w:val="15"/>
                <w:szCs w:val="15"/>
                <w:color w:val="auto"/>
                <w:w w:val="97"/>
              </w:rPr>
              <w:t>(3)</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N/A</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12.56</w:t>
            </w:r>
          </w:p>
        </w:tc>
        <w:tc>
          <w:tcPr>
            <w:tcW w:w="12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11.33</w:t>
            </w:r>
          </w:p>
        </w:tc>
        <w:tc>
          <w:tcPr>
            <w:tcW w:w="19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N/A</w:t>
            </w:r>
          </w:p>
        </w:tc>
        <w:tc>
          <w:tcPr>
            <w:tcW w:w="172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N/A</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198"/>
        </w:trPr>
        <w:tc>
          <w:tcPr>
            <w:tcW w:w="312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Fiscal Year Ended September 30,</w:t>
            </w: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gridSpan w:val="2"/>
          </w:tcPr>
          <w:p>
            <w:pPr>
              <w:ind w:left="180"/>
              <w:spacing w:after="0"/>
              <w:rPr>
                <w:sz w:val="20"/>
                <w:szCs w:val="20"/>
                <w:color w:val="auto"/>
              </w:rPr>
            </w:pPr>
            <w:r>
              <w:rPr>
                <w:rFonts w:ascii="Arial" w:cs="Arial" w:eastAsia="Arial" w:hAnsi="Arial"/>
                <w:sz w:val="18"/>
                <w:szCs w:val="18"/>
                <w:b w:val="1"/>
                <w:bCs w:val="1"/>
                <w:color w:val="auto"/>
              </w:rPr>
              <w:t>2019</w:t>
            </w: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12.97</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11.79</w:t>
            </w:r>
          </w:p>
        </w:tc>
        <w:tc>
          <w:tcPr>
            <w:tcW w:w="12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11.22</w:t>
            </w:r>
          </w:p>
        </w:tc>
        <w:tc>
          <w:tcPr>
            <w:tcW w:w="19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w:t>
            </w:r>
          </w:p>
        </w:tc>
        <w:tc>
          <w:tcPr>
            <w:tcW w:w="1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13.07</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13.35</w:t>
            </w:r>
          </w:p>
        </w:tc>
        <w:tc>
          <w:tcPr>
            <w:tcW w:w="1240" w:type="dxa"/>
            <w:vAlign w:val="bottom"/>
            <w:gridSpan w:val="3"/>
          </w:tcPr>
          <w:p>
            <w:pPr>
              <w:jc w:val="right"/>
              <w:ind w:right="500"/>
              <w:spacing w:after="0"/>
              <w:rPr>
                <w:sz w:val="20"/>
                <w:szCs w:val="20"/>
                <w:color w:val="auto"/>
              </w:rPr>
            </w:pPr>
            <w:r>
              <w:rPr>
                <w:rFonts w:ascii="Arial" w:cs="Arial" w:eastAsia="Arial" w:hAnsi="Arial"/>
                <w:sz w:val="18"/>
                <w:szCs w:val="18"/>
                <w:color w:val="auto"/>
              </w:rPr>
              <w:t>11.44</w:t>
            </w:r>
          </w:p>
        </w:tc>
        <w:tc>
          <w:tcPr>
            <w:tcW w:w="1940" w:type="dxa"/>
            <w:vAlign w:val="bottom"/>
            <w:gridSpan w:val="2"/>
          </w:tcPr>
          <w:p>
            <w:pPr>
              <w:jc w:val="right"/>
              <w:ind w:right="620"/>
              <w:spacing w:after="0"/>
              <w:rPr>
                <w:sz w:val="20"/>
                <w:szCs w:val="20"/>
                <w:color w:val="auto"/>
              </w:rPr>
            </w:pPr>
            <w:r>
              <w:rPr>
                <w:rFonts w:ascii="Arial" w:cs="Arial" w:eastAsia="Arial" w:hAnsi="Arial"/>
                <w:sz w:val="18"/>
                <w:szCs w:val="18"/>
                <w:color w:val="auto"/>
              </w:rPr>
              <w:t>2</w:t>
            </w: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30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13.24</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13.38</w:t>
            </w:r>
          </w:p>
        </w:tc>
        <w:tc>
          <w:tcPr>
            <w:tcW w:w="12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11.80</w:t>
            </w:r>
          </w:p>
        </w:tc>
        <w:tc>
          <w:tcPr>
            <w:tcW w:w="19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w:t>
            </w:r>
          </w:p>
        </w:tc>
        <w:tc>
          <w:tcPr>
            <w:tcW w:w="1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13.66</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13.34</w:t>
            </w:r>
          </w:p>
        </w:tc>
        <w:tc>
          <w:tcPr>
            <w:tcW w:w="1240" w:type="dxa"/>
            <w:vAlign w:val="bottom"/>
            <w:gridSpan w:val="3"/>
          </w:tcPr>
          <w:p>
            <w:pPr>
              <w:jc w:val="right"/>
              <w:ind w:right="500"/>
              <w:spacing w:after="0"/>
              <w:rPr>
                <w:sz w:val="20"/>
                <w:szCs w:val="20"/>
                <w:color w:val="auto"/>
              </w:rPr>
            </w:pPr>
            <w:r>
              <w:rPr>
                <w:rFonts w:ascii="Arial" w:cs="Arial" w:eastAsia="Arial" w:hAnsi="Arial"/>
                <w:sz w:val="18"/>
                <w:szCs w:val="18"/>
                <w:color w:val="auto"/>
              </w:rPr>
              <w:t>11.20</w:t>
            </w:r>
          </w:p>
        </w:tc>
        <w:tc>
          <w:tcPr>
            <w:tcW w:w="1940" w:type="dxa"/>
            <w:vAlign w:val="bottom"/>
            <w:gridSpan w:val="2"/>
          </w:tcPr>
          <w:p>
            <w:pPr>
              <w:jc w:val="right"/>
              <w:ind w:right="560"/>
              <w:spacing w:after="0"/>
              <w:rPr>
                <w:sz w:val="20"/>
                <w:szCs w:val="20"/>
                <w:color w:val="auto"/>
              </w:rPr>
            </w:pPr>
            <w:r>
              <w:rPr>
                <w:rFonts w:ascii="Arial" w:cs="Arial" w:eastAsia="Arial" w:hAnsi="Arial"/>
                <w:sz w:val="18"/>
                <w:szCs w:val="18"/>
                <w:color w:val="auto"/>
              </w:rPr>
              <w:t>(2)</w:t>
            </w: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30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198"/>
        </w:trPr>
        <w:tc>
          <w:tcPr>
            <w:tcW w:w="312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Fiscal Year Ended September 30,</w:t>
            </w:r>
          </w:p>
        </w:tc>
        <w:tc>
          <w:tcPr>
            <w:tcW w:w="5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2018</w:t>
            </w:r>
          </w:p>
        </w:tc>
        <w:tc>
          <w:tcPr>
            <w:tcW w:w="5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13.82</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13.83</w:t>
            </w:r>
          </w:p>
        </w:tc>
        <w:tc>
          <w:tcPr>
            <w:tcW w:w="1240" w:type="dxa"/>
            <w:vAlign w:val="bottom"/>
            <w:gridSpan w:val="3"/>
          </w:tcPr>
          <w:p>
            <w:pPr>
              <w:jc w:val="right"/>
              <w:ind w:right="500"/>
              <w:spacing w:after="0"/>
              <w:rPr>
                <w:sz w:val="20"/>
                <w:szCs w:val="20"/>
                <w:color w:val="auto"/>
              </w:rPr>
            </w:pPr>
            <w:r>
              <w:rPr>
                <w:rFonts w:ascii="Arial" w:cs="Arial" w:eastAsia="Arial" w:hAnsi="Arial"/>
                <w:sz w:val="18"/>
                <w:szCs w:val="18"/>
                <w:color w:val="auto"/>
              </w:rPr>
              <w:t>13.15</w:t>
            </w:r>
          </w:p>
        </w:tc>
        <w:tc>
          <w:tcPr>
            <w:tcW w:w="1940" w:type="dxa"/>
            <w:vAlign w:val="bottom"/>
            <w:gridSpan w:val="2"/>
          </w:tcPr>
          <w:p>
            <w:pPr>
              <w:jc w:val="right"/>
              <w:ind w:right="620"/>
              <w:spacing w:after="0"/>
              <w:rPr>
                <w:sz w:val="20"/>
                <w:szCs w:val="20"/>
                <w:color w:val="auto"/>
              </w:rPr>
            </w:pPr>
            <w:r>
              <w:rPr>
                <w:rFonts w:ascii="Arial" w:cs="Arial" w:eastAsia="Arial" w:hAnsi="Arial"/>
                <w:sz w:val="18"/>
                <w:szCs w:val="18"/>
                <w:color w:val="auto"/>
              </w:rPr>
              <w:t>0</w:t>
            </w: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30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13.82</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14.10</w:t>
            </w:r>
          </w:p>
        </w:tc>
        <w:tc>
          <w:tcPr>
            <w:tcW w:w="12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13.08</w:t>
            </w:r>
          </w:p>
        </w:tc>
        <w:tc>
          <w:tcPr>
            <w:tcW w:w="19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w:t>
            </w:r>
          </w:p>
        </w:tc>
        <w:tc>
          <w:tcPr>
            <w:tcW w:w="1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13.98</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13.85</w:t>
            </w:r>
          </w:p>
        </w:tc>
        <w:tc>
          <w:tcPr>
            <w:tcW w:w="1240" w:type="dxa"/>
            <w:vAlign w:val="bottom"/>
            <w:gridSpan w:val="3"/>
          </w:tcPr>
          <w:p>
            <w:pPr>
              <w:jc w:val="right"/>
              <w:ind w:right="500"/>
              <w:spacing w:after="0"/>
              <w:rPr>
                <w:sz w:val="20"/>
                <w:szCs w:val="20"/>
                <w:color w:val="auto"/>
              </w:rPr>
            </w:pPr>
            <w:r>
              <w:rPr>
                <w:rFonts w:ascii="Arial" w:cs="Arial" w:eastAsia="Arial" w:hAnsi="Arial"/>
                <w:sz w:val="18"/>
                <w:szCs w:val="18"/>
                <w:color w:val="auto"/>
              </w:rPr>
              <w:t>12.19</w:t>
            </w:r>
          </w:p>
        </w:tc>
        <w:tc>
          <w:tcPr>
            <w:tcW w:w="1940" w:type="dxa"/>
            <w:vAlign w:val="bottom"/>
            <w:gridSpan w:val="2"/>
          </w:tcPr>
          <w:p>
            <w:pPr>
              <w:jc w:val="right"/>
              <w:ind w:right="560"/>
              <w:spacing w:after="0"/>
              <w:rPr>
                <w:sz w:val="20"/>
                <w:szCs w:val="20"/>
                <w:color w:val="auto"/>
              </w:rPr>
            </w:pPr>
            <w:r>
              <w:rPr>
                <w:rFonts w:ascii="Arial" w:cs="Arial" w:eastAsia="Arial" w:hAnsi="Arial"/>
                <w:sz w:val="18"/>
                <w:szCs w:val="18"/>
                <w:color w:val="auto"/>
              </w:rPr>
              <w:t>(1)</w:t>
            </w: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30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13.86</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14.61</w:t>
            </w:r>
          </w:p>
        </w:tc>
        <w:tc>
          <w:tcPr>
            <w:tcW w:w="12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13.72</w:t>
            </w:r>
          </w:p>
        </w:tc>
        <w:tc>
          <w:tcPr>
            <w:tcW w:w="19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w:t>
            </w:r>
          </w:p>
        </w:tc>
        <w:tc>
          <w:tcPr>
            <w:tcW w:w="1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160" w:hanging="424"/>
        <w:spacing w:after="0" w:line="258"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Calculated as the respective high or low closing sales price less NAV per share, divided by the quarter-end NAV per share.</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a dividend of $0.095 per share payable on February 3, 2020 to stockholders of record as of January 16, 2020.</w:t>
      </w:r>
    </w:p>
    <w:p>
      <w:pPr>
        <w:spacing w:after="0" w:line="211"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Shares of BDCs may trade at a market price both above and below the NAV that is attributable to those shares. Our shares have traded above and below our NAV. Our shares closed on The Nasdaq Global Select Market at $11.60 and $13.15 on September 30, 2019 and 2018, respectively. Our NAV per share was $12.97 and $13.82 for the same periods.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 As of December 31, 2019 we had 43 stockholders of record.</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40"/>
          </w:cols>
          <w:pgMar w:left="32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22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Our stockholders may approve our ability to sell shares of our common stock below our then current NAV per share in one or more public offerings of our common stock.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92" w:lineRule="exact"/>
        <w:rPr>
          <w:sz w:val="20"/>
          <w:szCs w:val="20"/>
          <w:color w:val="auto"/>
        </w:rPr>
      </w:pPr>
    </w:p>
    <w:p>
      <w:pPr>
        <w:ind w:left="1080" w:right="2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effect that an offering below NAV per share would have on our stockholders, including the potential dilution they would experience as a result of the offering;</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amount per share by which the offering price per share and the net proceeds per share are less than the most recently determined NAV per share;</w:t>
      </w:r>
    </w:p>
    <w:p>
      <w:pPr>
        <w:spacing w:after="0" w:line="75"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relationship of recent market prices of our common stock to NAV per share and the potential impact of the offering on the market price per share of our common stock;</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our shares, less distributing commissions or discounts, and would not be below current market price;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in the current financial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in the offering;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leverage available to us both before and after the offering and other borrowing terms;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potential investment opportunities available relative to the potential dilutive effect of additional capital at the time of the offering.</w:t>
      </w:r>
    </w:p>
    <w:p>
      <w:pPr>
        <w:spacing w:after="0" w:line="237" w:lineRule="exact"/>
        <w:rPr>
          <w:sz w:val="20"/>
          <w:szCs w:val="20"/>
          <w:color w:val="auto"/>
        </w:rPr>
      </w:pPr>
    </w:p>
    <w:p>
      <w:pPr>
        <w:ind w:left="120" w:right="260" w:firstLine="440"/>
        <w:spacing w:after="0" w:line="286" w:lineRule="auto"/>
        <w:rPr>
          <w:sz w:val="20"/>
          <w:szCs w:val="20"/>
          <w:color w:val="auto"/>
        </w:rPr>
      </w:pPr>
      <w:r>
        <w:rPr>
          <w:rFonts w:ascii="Arial" w:cs="Arial" w:eastAsia="Arial" w:hAnsi="Arial"/>
          <w:sz w:val="17"/>
          <w:szCs w:val="17"/>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PennantPark Floating Rate Capital Ltd. or from the offering of common stock at a premium to NAV per share.</w:t>
      </w:r>
    </w:p>
    <w:p>
      <w:pPr>
        <w:spacing w:after="0" w:line="165"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Sales by us of our common stock at a discount from NAV pose potential risks for our existing stockholders whether or not they participate in the offering, as well as for new investors who participate in the offering.</w:t>
      </w:r>
    </w:p>
    <w:p>
      <w:pPr>
        <w:spacing w:after="0" w:line="170" w:lineRule="exact"/>
        <w:rPr>
          <w:sz w:val="20"/>
          <w:szCs w:val="20"/>
          <w:color w:val="auto"/>
        </w:rPr>
      </w:pPr>
    </w:p>
    <w:p>
      <w:pPr>
        <w:ind w:left="120" w:right="160" w:firstLine="440"/>
        <w:spacing w:after="0" w:line="269" w:lineRule="auto"/>
        <w:rPr>
          <w:sz w:val="20"/>
          <w:szCs w:val="20"/>
          <w:color w:val="auto"/>
        </w:rPr>
      </w:pPr>
      <w:r>
        <w:rPr>
          <w:rFonts w:ascii="Arial" w:cs="Arial" w:eastAsia="Arial" w:hAnsi="Arial"/>
          <w:sz w:val="17"/>
          <w:szCs w:val="17"/>
          <w:color w:val="auto"/>
        </w:rPr>
        <w:t>We will not seek to sell shares under a prospectus supplement to the registration statement, or a post-effective amendment to the registration statement, of which this prospectus forms a part (the “current registration statement”) if the cumulative dilution to our NAV per share arising from 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 each subsequent offering. For example, if our most recently determined NAV per share at the time of the first offering is $10.00, and we have 100 million shares outstanding, the sale of an additional 25 million shares at net proceeds to us of $5.00 per share (a 50% discount) would produce dilution of 10.0%. If we subsequently determined that our NAV per share increased to $11.00 on the then outstanding 125 million shares and contemplated an additional offering, we could, for example, propose to sell approximately 31.25 million additional shares at a price that would be expected to yield net proceeds to us of $8.25 per share, resulting in incremental dilution of 5.0%, before we would reach the aggregate 15% limit. If we file a new post-effective amendment, the threshold would reset.</w:t>
      </w:r>
    </w:p>
    <w:p>
      <w:pPr>
        <w:spacing w:after="0" w:line="182"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The following three headings and accompanying tables explain and provide hypothetical examples assuming proceeds are temporarily invested in cash equivalents on the impact of an offering at a price less than NAV per share on three different sets of investors:</w:t>
      </w:r>
    </w:p>
    <w:p>
      <w:pPr>
        <w:spacing w:after="0" w:line="52" w:lineRule="exact"/>
        <w:rPr>
          <w:sz w:val="20"/>
          <w:szCs w:val="20"/>
          <w:color w:val="auto"/>
        </w:rPr>
      </w:pPr>
    </w:p>
    <w:p>
      <w:pPr>
        <w:ind w:left="5540" w:right="5040" w:hanging="4884"/>
        <w:spacing w:after="0" w:line="535" w:lineRule="auto"/>
        <w:tabs>
          <w:tab w:leader="none" w:pos="1094" w:val="left"/>
        </w:tabs>
        <w:numPr>
          <w:ilvl w:val="0"/>
          <w:numId w:val="34"/>
        </w:numPr>
        <w:rPr>
          <w:rFonts w:ascii="Arial" w:cs="Arial" w:eastAsia="Arial" w:hAnsi="Arial"/>
          <w:sz w:val="16"/>
          <w:szCs w:val="16"/>
          <w:color w:val="auto"/>
        </w:rPr>
      </w:pPr>
      <w:r>
        <w:rPr>
          <w:rFonts w:ascii="Arial" w:cs="Arial" w:eastAsia="Arial" w:hAnsi="Arial"/>
          <w:sz w:val="16"/>
          <w:szCs w:val="16"/>
          <w:color w:val="auto"/>
        </w:rPr>
        <w:t>existing stockholders who do not purchase any shares in the offering; 13</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existing stockholders who purchase a relatively small amount of shares in the offering or a relatively large amount of shares in the offering;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new investors who become stockholders by purchasing shares in the offering.</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Impact on Existing Stockholders who do not Participate in the Offering</w:t>
      </w:r>
    </w:p>
    <w:p>
      <w:pPr>
        <w:spacing w:after="0" w:line="117"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Our existing stockholders who do not participate, or who are not given the opportunity to participate, in an offering below NAV per share or who do not buy additional shares in the secondary market at the same or lower price we obtain in the offering (after any underwriting discounts and commissions) face the greatest potential risks. All 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77"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84"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effect on nonparticipating stockholder A of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left="301"/>
              <w:spacing w:after="0"/>
              <w:rPr>
                <w:sz w:val="20"/>
                <w:szCs w:val="20"/>
                <w:color w:val="auto"/>
              </w:rPr>
            </w:pPr>
            <w:r>
              <w:rPr>
                <w:rFonts w:ascii="Arial" w:cs="Arial" w:eastAsia="Arial" w:hAnsi="Arial"/>
                <w:sz w:val="14"/>
                <w:szCs w:val="14"/>
                <w:b w:val="1"/>
                <w:bCs w:val="1"/>
                <w:color w:val="auto"/>
                <w:w w:val="95"/>
              </w:rPr>
              <w:t>Example 1</w:t>
            </w: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left="302"/>
              <w:spacing w:after="0"/>
              <w:rPr>
                <w:sz w:val="20"/>
                <w:szCs w:val="20"/>
                <w:color w:val="auto"/>
              </w:rPr>
            </w:pPr>
            <w:r>
              <w:rPr>
                <w:rFonts w:ascii="Arial" w:cs="Arial" w:eastAsia="Arial" w:hAnsi="Arial"/>
                <w:sz w:val="14"/>
                <w:szCs w:val="14"/>
                <w:b w:val="1"/>
                <w:bCs w:val="1"/>
                <w:color w:val="auto"/>
                <w:w w:val="95"/>
              </w:rPr>
              <w:t>Example 2</w:t>
            </w: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left="322"/>
              <w:spacing w:after="0"/>
              <w:rPr>
                <w:sz w:val="20"/>
                <w:szCs w:val="20"/>
                <w:color w:val="auto"/>
              </w:rPr>
            </w:pPr>
            <w:r>
              <w:rPr>
                <w:rFonts w:ascii="Arial" w:cs="Arial" w:eastAsia="Arial" w:hAnsi="Arial"/>
                <w:sz w:val="14"/>
                <w:szCs w:val="14"/>
                <w:b w:val="1"/>
                <w:bCs w:val="1"/>
                <w:color w:val="auto"/>
                <w:w w:val="95"/>
              </w:rPr>
              <w:t>Example 3</w:t>
            </w: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99"/>
              </w:rPr>
              <w:t>5% Offering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4"/>
          </w:tcPr>
          <w:p>
            <w:pPr>
              <w:jc w:val="center"/>
              <w:ind w:right="560"/>
              <w:spacing w:after="0" w:line="149" w:lineRule="exact"/>
              <w:rPr>
                <w:sz w:val="20"/>
                <w:szCs w:val="20"/>
                <w:color w:val="auto"/>
              </w:rPr>
            </w:pPr>
            <w:r>
              <w:rPr>
                <w:rFonts w:ascii="Arial" w:cs="Arial" w:eastAsia="Arial" w:hAnsi="Arial"/>
                <w:sz w:val="14"/>
                <w:szCs w:val="14"/>
                <w:b w:val="1"/>
                <w:bCs w:val="1"/>
                <w:color w:val="auto"/>
                <w:w w:val="99"/>
              </w:rPr>
              <w:t>10% Offering</w:t>
            </w:r>
          </w:p>
        </w:tc>
        <w:tc>
          <w:tcPr>
            <w:tcW w:w="100" w:type="dxa"/>
            <w:vAlign w:val="bottom"/>
          </w:tcPr>
          <w:p>
            <w:pPr>
              <w:spacing w:after="0"/>
              <w:rPr>
                <w:sz w:val="12"/>
                <w:szCs w:val="12"/>
                <w:color w:val="auto"/>
              </w:rPr>
            </w:pPr>
          </w:p>
        </w:tc>
        <w:tc>
          <w:tcPr>
            <w:tcW w:w="178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9"/>
              </w:rPr>
              <w:t>25% Offering</w:t>
            </w: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100" w:type="dxa"/>
            <w:vAlign w:val="bottom"/>
          </w:tcPr>
          <w:p>
            <w:pPr>
              <w:spacing w:after="0"/>
              <w:rPr>
                <w:sz w:val="14"/>
                <w:szCs w:val="14"/>
                <w:color w:val="auto"/>
              </w:rPr>
            </w:pPr>
          </w:p>
        </w:tc>
        <w:tc>
          <w:tcPr>
            <w:tcW w:w="188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3"/>
              </w:rPr>
              <w:t>at 5% Discount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4"/>
              </w:rPr>
              <w:t>at 10% Discount</w:t>
            </w:r>
          </w:p>
        </w:tc>
        <w:tc>
          <w:tcPr>
            <w:tcW w:w="100" w:type="dxa"/>
            <w:vAlign w:val="bottom"/>
          </w:tcPr>
          <w:p>
            <w:pPr>
              <w:spacing w:after="0"/>
              <w:rPr>
                <w:sz w:val="14"/>
                <w:szCs w:val="14"/>
                <w:color w:val="auto"/>
              </w:rPr>
            </w:pPr>
          </w:p>
        </w:tc>
        <w:tc>
          <w:tcPr>
            <w:tcW w:w="17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4"/>
              </w:rPr>
              <w:t>at 25% Discount</w:t>
            </w:r>
          </w:p>
        </w:tc>
        <w:tc>
          <w:tcPr>
            <w:tcW w:w="0" w:type="dxa"/>
            <w:vAlign w:val="bottom"/>
          </w:tcPr>
          <w:p>
            <w:pPr>
              <w:spacing w:after="0"/>
              <w:rPr>
                <w:sz w:val="1"/>
                <w:szCs w:val="1"/>
                <w:color w:val="auto"/>
              </w:rPr>
            </w:pPr>
          </w:p>
        </w:tc>
      </w:tr>
      <w:tr>
        <w:trPr>
          <w:trHeight w:val="119"/>
        </w:trPr>
        <w:tc>
          <w:tcPr>
            <w:tcW w:w="370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1180" w:type="dxa"/>
            <w:vAlign w:val="bottom"/>
            <w:tcBorders>
              <w:top w:val="single" w:sz="8" w:color="auto"/>
            </w:tcBorders>
            <w:gridSpan w:val="3"/>
          </w:tcPr>
          <w:p>
            <w:pPr>
              <w:jc w:val="right"/>
              <w:ind w:right="500"/>
              <w:spacing w:after="0" w:line="119" w:lineRule="exact"/>
              <w:rPr>
                <w:sz w:val="20"/>
                <w:szCs w:val="20"/>
                <w:color w:val="auto"/>
              </w:rPr>
            </w:pPr>
            <w:r>
              <w:rPr>
                <w:rFonts w:ascii="Arial" w:cs="Arial" w:eastAsia="Arial" w:hAnsi="Arial"/>
                <w:sz w:val="13"/>
                <w:szCs w:val="13"/>
                <w:b w:val="1"/>
                <w:bCs w:val="1"/>
                <w:color w:val="auto"/>
              </w:rPr>
              <w:t>Following</w:t>
            </w:r>
          </w:p>
        </w:tc>
        <w:tc>
          <w:tcPr>
            <w:tcW w:w="460" w:type="dxa"/>
            <w:vAlign w:val="bottom"/>
            <w:tcBorders>
              <w:top w:val="single" w:sz="8" w:color="auto"/>
            </w:tcBorders>
          </w:tcPr>
          <w:p>
            <w:pPr>
              <w:jc w:val="right"/>
              <w:ind w:right="77"/>
              <w:spacing w:after="0" w:line="119" w:lineRule="exact"/>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Borders>
              <w:top w:val="single" w:sz="8" w:color="auto"/>
            </w:tcBorders>
            <w:gridSpan w:val="3"/>
          </w:tcPr>
          <w:p>
            <w:pPr>
              <w:jc w:val="right"/>
              <w:ind w:right="500"/>
              <w:spacing w:after="0" w:line="119" w:lineRule="exact"/>
              <w:rPr>
                <w:sz w:val="20"/>
                <w:szCs w:val="20"/>
                <w:color w:val="auto"/>
              </w:rPr>
            </w:pPr>
            <w:r>
              <w:rPr>
                <w:rFonts w:ascii="Arial" w:cs="Arial" w:eastAsia="Arial" w:hAnsi="Arial"/>
                <w:sz w:val="13"/>
                <w:szCs w:val="13"/>
                <w:b w:val="1"/>
                <w:bCs w:val="1"/>
                <w:color w:val="auto"/>
              </w:rPr>
              <w:t>Following</w:t>
            </w:r>
          </w:p>
        </w:tc>
        <w:tc>
          <w:tcPr>
            <w:tcW w:w="460" w:type="dxa"/>
            <w:vAlign w:val="bottom"/>
            <w:tcBorders>
              <w:top w:val="single" w:sz="8" w:color="auto"/>
            </w:tcBorders>
          </w:tcPr>
          <w:p>
            <w:pPr>
              <w:jc w:val="right"/>
              <w:ind w:right="77"/>
              <w:spacing w:after="0" w:line="119" w:lineRule="exact"/>
              <w:rPr>
                <w:sz w:val="20"/>
                <w:szCs w:val="20"/>
                <w:color w:val="auto"/>
              </w:rPr>
            </w:pPr>
            <w:r>
              <w:rPr>
                <w:rFonts w:ascii="Arial" w:cs="Arial" w:eastAsia="Arial" w:hAnsi="Arial"/>
                <w:sz w:val="13"/>
                <w:szCs w:val="13"/>
                <w:b w:val="1"/>
                <w:bCs w:val="1"/>
                <w:color w:val="auto"/>
              </w:rPr>
              <w:t>%</w:t>
            </w:r>
          </w:p>
        </w:tc>
        <w:tc>
          <w:tcPr>
            <w:tcW w:w="480" w:type="dxa"/>
            <w:vAlign w:val="bottom"/>
          </w:tcPr>
          <w:p>
            <w:pPr>
              <w:spacing w:after="0"/>
              <w:rPr>
                <w:sz w:val="10"/>
                <w:szCs w:val="10"/>
                <w:color w:val="auto"/>
              </w:rPr>
            </w:pPr>
          </w:p>
        </w:tc>
        <w:tc>
          <w:tcPr>
            <w:tcW w:w="1160" w:type="dxa"/>
            <w:vAlign w:val="bottom"/>
            <w:tcBorders>
              <w:top w:val="single" w:sz="8" w:color="auto"/>
            </w:tcBorders>
            <w:gridSpan w:val="3"/>
          </w:tcPr>
          <w:p>
            <w:pPr>
              <w:jc w:val="right"/>
              <w:ind w:right="48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78"/>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1200" w:type="dxa"/>
            <w:vAlign w:val="bottom"/>
            <w:gridSpan w:val="3"/>
          </w:tcPr>
          <w:p>
            <w:pPr>
              <w:ind w:left="40"/>
              <w:spacing w:after="0"/>
              <w:rPr>
                <w:sz w:val="20"/>
                <w:szCs w:val="20"/>
                <w:color w:val="auto"/>
              </w:rPr>
            </w:pPr>
            <w:r>
              <w:rPr>
                <w:rFonts w:ascii="Arial" w:cs="Arial" w:eastAsia="Arial" w:hAnsi="Arial"/>
                <w:sz w:val="14"/>
                <w:szCs w:val="14"/>
                <w:b w:val="1"/>
                <w:bCs w:val="1"/>
                <w:color w:val="auto"/>
              </w:rPr>
              <w:t>Below NAV</w:t>
            </w:r>
          </w:p>
        </w:tc>
        <w:tc>
          <w:tcPr>
            <w:tcW w:w="100" w:type="dxa"/>
            <w:vAlign w:val="bottom"/>
          </w:tcPr>
          <w:p>
            <w:pPr>
              <w:spacing w:after="0"/>
              <w:rPr>
                <w:sz w:val="14"/>
                <w:szCs w:val="14"/>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Sale</w:t>
            </w: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5"/>
              </w:rPr>
              <w:t>Change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Sale</w:t>
            </w: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5"/>
              </w:rPr>
              <w:t>Change</w:t>
            </w:r>
          </w:p>
        </w:tc>
        <w:tc>
          <w:tcPr>
            <w:tcW w:w="100" w:type="dxa"/>
            <w:vAlign w:val="bottom"/>
          </w:tcPr>
          <w:p>
            <w:pPr>
              <w:spacing w:after="0"/>
              <w:rPr>
                <w:sz w:val="14"/>
                <w:szCs w:val="14"/>
                <w:color w:val="auto"/>
              </w:rPr>
            </w:pPr>
          </w:p>
        </w:tc>
        <w:tc>
          <w:tcPr>
            <w:tcW w:w="10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83"/>
        </w:trPr>
        <w:tc>
          <w:tcPr>
            <w:tcW w:w="37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i w:val="1"/>
                <w:iCs w:val="1"/>
                <w:color w:val="auto"/>
              </w:rPr>
              <w:t>Offering Price</w:t>
            </w: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6"/>
                <w:szCs w:val="16"/>
                <w:color w:val="auto"/>
              </w:rPr>
              <w:t>Price per share to public</w:t>
            </w: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440"/>
              <w:spacing w:after="0"/>
              <w:rPr>
                <w:sz w:val="20"/>
                <w:szCs w:val="20"/>
                <w:color w:val="auto"/>
              </w:rPr>
            </w:pPr>
            <w:r>
              <w:rPr>
                <w:rFonts w:ascii="Arial" w:cs="Arial" w:eastAsia="Arial" w:hAnsi="Arial"/>
                <w:sz w:val="16"/>
                <w:szCs w:val="16"/>
                <w:color w:val="auto"/>
              </w:rPr>
              <w:t>10.00</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9.47</w:t>
            </w:r>
          </w:p>
        </w:tc>
        <w:tc>
          <w:tcPr>
            <w:tcW w:w="440" w:type="dxa"/>
            <w:vAlign w:val="bottom"/>
          </w:tcPr>
          <w:p>
            <w:pPr>
              <w:spacing w:after="0"/>
              <w:rPr>
                <w:sz w:val="18"/>
                <w:szCs w:val="18"/>
                <w:color w:val="auto"/>
              </w:rPr>
            </w:pPr>
          </w:p>
        </w:tc>
        <w:tc>
          <w:tcPr>
            <w:tcW w:w="9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420"/>
              <w:spacing w:after="0"/>
              <w:rPr>
                <w:sz w:val="20"/>
                <w:szCs w:val="20"/>
                <w:color w:val="auto"/>
              </w:rPr>
            </w:pPr>
            <w:r>
              <w:rPr>
                <w:rFonts w:ascii="Arial" w:cs="Arial" w:eastAsia="Arial" w:hAnsi="Arial"/>
                <w:sz w:val="16"/>
                <w:szCs w:val="16"/>
                <w:color w:val="auto"/>
              </w:rPr>
              <w:t>7.89</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Net offering proceeds per share to issuer</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9.50</w:t>
            </w: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7.50</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700" w:type="dxa"/>
            <w:vAlign w:val="bottom"/>
          </w:tcPr>
          <w:p>
            <w:pPr>
              <w:spacing w:after="0"/>
              <w:rPr>
                <w:sz w:val="20"/>
                <w:szCs w:val="20"/>
                <w:color w:val="auto"/>
              </w:rPr>
            </w:pPr>
            <w:r>
              <w:rPr>
                <w:rFonts w:ascii="Arial" w:cs="Arial" w:eastAsia="Arial" w:hAnsi="Arial"/>
                <w:sz w:val="16"/>
                <w:szCs w:val="16"/>
                <w:b w:val="1"/>
                <w:bCs w:val="1"/>
                <w:i w:val="1"/>
                <w:iCs w:val="1"/>
                <w:color w:val="auto"/>
              </w:rPr>
              <w:t>Decrease to NAV</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Total shares outstanding</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w w:val="92"/>
              </w:rPr>
              <w:t>1,000,000</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w w:val="87"/>
              </w:rPr>
              <w:t>1,050,000</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5.00%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1,100,000</w:t>
            </w: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w w:val="87"/>
              </w:rPr>
              <w:t>1,250,000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202"/>
        </w:trPr>
        <w:tc>
          <w:tcPr>
            <w:tcW w:w="3700" w:type="dxa"/>
            <w:vAlign w:val="bottom"/>
          </w:tcPr>
          <w:p>
            <w:pPr>
              <w:spacing w:after="0"/>
              <w:rPr>
                <w:sz w:val="20"/>
                <w:szCs w:val="20"/>
                <w:color w:val="auto"/>
              </w:rPr>
            </w:pPr>
            <w:r>
              <w:rPr>
                <w:rFonts w:ascii="Arial" w:cs="Arial" w:eastAsia="Arial" w:hAnsi="Arial"/>
                <w:sz w:val="16"/>
                <w:szCs w:val="16"/>
                <w:color w:val="auto"/>
              </w:rPr>
              <w:t>NAV per share</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420"/>
              <w:spacing w:after="0"/>
              <w:rPr>
                <w:sz w:val="20"/>
                <w:szCs w:val="20"/>
                <w:color w:val="auto"/>
              </w:rPr>
            </w:pPr>
            <w:r>
              <w:rPr>
                <w:rFonts w:ascii="Arial" w:cs="Arial" w:eastAsia="Arial" w:hAnsi="Arial"/>
                <w:sz w:val="16"/>
                <w:szCs w:val="16"/>
                <w:color w:val="auto"/>
              </w:rPr>
              <w:t>10.00</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440"/>
              <w:spacing w:after="0"/>
              <w:rPr>
                <w:sz w:val="20"/>
                <w:szCs w:val="20"/>
                <w:color w:val="auto"/>
              </w:rPr>
            </w:pPr>
            <w:r>
              <w:rPr>
                <w:rFonts w:ascii="Arial" w:cs="Arial" w:eastAsia="Arial" w:hAnsi="Arial"/>
                <w:sz w:val="16"/>
                <w:szCs w:val="16"/>
                <w:color w:val="auto"/>
              </w:rPr>
              <w:t>9.98</w:t>
            </w: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(0.20)%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9.91</w:t>
            </w:r>
          </w:p>
        </w:tc>
        <w:tc>
          <w:tcPr>
            <w:tcW w:w="44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(0.90)%</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420"/>
              <w:spacing w:after="0"/>
              <w:rPr>
                <w:sz w:val="20"/>
                <w:szCs w:val="20"/>
                <w:color w:val="auto"/>
              </w:rPr>
            </w:pPr>
            <w:r>
              <w:rPr>
                <w:rFonts w:ascii="Arial" w:cs="Arial" w:eastAsia="Arial" w:hAnsi="Arial"/>
                <w:sz w:val="16"/>
                <w:szCs w:val="16"/>
                <w:color w:val="auto"/>
              </w:rPr>
              <w:t>9.50</w:t>
            </w: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Dilution to Stockholder A</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6"/>
                <w:szCs w:val="16"/>
                <w:color w:val="auto"/>
              </w:rPr>
              <w:t>Shares held by stockholder A</w:t>
            </w: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6"/>
                <w:szCs w:val="16"/>
                <w:color w:val="auto"/>
              </w:rPr>
              <w:t>10,000</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10,000</w:t>
            </w:r>
          </w:p>
        </w:tc>
        <w:tc>
          <w:tcPr>
            <w:tcW w:w="440" w:type="dxa"/>
            <w:vAlign w:val="bottom"/>
          </w:tcPr>
          <w:p>
            <w:pPr>
              <w:spacing w:after="0"/>
              <w:rPr>
                <w:sz w:val="18"/>
                <w:szCs w:val="18"/>
                <w:color w:val="auto"/>
              </w:rPr>
            </w:pPr>
          </w:p>
        </w:tc>
        <w:tc>
          <w:tcPr>
            <w:tcW w:w="9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6"/>
                <w:szCs w:val="16"/>
                <w:color w:val="auto"/>
              </w:rPr>
              <w:t>10,000</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Percentage held by stockholder A</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0.95%</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(5.00)%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0.91%</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(9.00)%</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0.80%</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203"/>
        </w:trPr>
        <w:tc>
          <w:tcPr>
            <w:tcW w:w="3700" w:type="dxa"/>
            <w:vAlign w:val="bottom"/>
          </w:tcPr>
          <w:p>
            <w:pPr>
              <w:spacing w:after="0"/>
              <w:rPr>
                <w:sz w:val="20"/>
                <w:szCs w:val="20"/>
                <w:color w:val="auto"/>
              </w:rPr>
            </w:pPr>
            <w:r>
              <w:rPr>
                <w:rFonts w:ascii="Arial" w:cs="Arial" w:eastAsia="Arial" w:hAnsi="Arial"/>
                <w:sz w:val="16"/>
                <w:szCs w:val="16"/>
                <w:b w:val="1"/>
                <w:bCs w:val="1"/>
                <w:color w:val="auto"/>
              </w:rPr>
              <w:t>Total Asset Values</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NAV held by stockholder A</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100,000</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99,800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(0.20)%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99,100</w:t>
            </w: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(0.90)%</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95,000</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193"/>
        </w:trPr>
        <w:tc>
          <w:tcPr>
            <w:tcW w:w="3700" w:type="dxa"/>
            <w:vAlign w:val="bottom"/>
          </w:tcPr>
          <w:p>
            <w:pPr>
              <w:ind w:left="320"/>
              <w:spacing w:after="0"/>
              <w:rPr>
                <w:sz w:val="20"/>
                <w:szCs w:val="20"/>
                <w:color w:val="auto"/>
              </w:rPr>
            </w:pPr>
            <w:r>
              <w:rPr>
                <w:rFonts w:ascii="Arial" w:cs="Arial" w:eastAsia="Arial" w:hAnsi="Arial"/>
                <w:sz w:val="16"/>
                <w:szCs w:val="16"/>
                <w:color w:val="auto"/>
              </w:rPr>
              <w:t>Total investment by stockholder A (assumed to</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gridSpan w:val="2"/>
            <w:vMerge w:val="restart"/>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gridSpan w:val="2"/>
            <w:vMerge w:val="restart"/>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3700" w:type="dxa"/>
            <w:vAlign w:val="bottom"/>
          </w:tcPr>
          <w:p>
            <w:pPr>
              <w:ind w:left="480"/>
              <w:spacing w:after="0"/>
              <w:rPr>
                <w:sz w:val="20"/>
                <w:szCs w:val="20"/>
                <w:color w:val="auto"/>
              </w:rPr>
            </w:pPr>
            <w:r>
              <w:rPr>
                <w:rFonts w:ascii="Arial" w:cs="Arial" w:eastAsia="Arial" w:hAnsi="Arial"/>
                <w:sz w:val="16"/>
                <w:szCs w:val="16"/>
                <w:color w:val="auto"/>
              </w:rPr>
              <w:t>be $10.00 per share)</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420"/>
              <w:spacing w:after="0"/>
              <w:rPr>
                <w:sz w:val="20"/>
                <w:szCs w:val="20"/>
                <w:color w:val="auto"/>
              </w:rPr>
            </w:pPr>
            <w:r>
              <w:rPr>
                <w:rFonts w:ascii="Arial" w:cs="Arial" w:eastAsia="Arial" w:hAnsi="Arial"/>
                <w:sz w:val="16"/>
                <w:szCs w:val="16"/>
                <w:color w:val="auto"/>
              </w:rPr>
              <w:t>100,000</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440"/>
              <w:spacing w:after="0"/>
              <w:rPr>
                <w:sz w:val="20"/>
                <w:szCs w:val="20"/>
                <w:color w:val="auto"/>
              </w:rPr>
            </w:pPr>
            <w:r>
              <w:rPr>
                <w:rFonts w:ascii="Arial" w:cs="Arial" w:eastAsia="Arial" w:hAnsi="Arial"/>
                <w:sz w:val="16"/>
                <w:szCs w:val="16"/>
                <w:color w:val="auto"/>
              </w:rPr>
              <w:t>100,000</w:t>
            </w:r>
          </w:p>
        </w:tc>
        <w:tc>
          <w:tcPr>
            <w:tcW w:w="800" w:type="dxa"/>
            <w:vAlign w:val="bottom"/>
            <w:gridSpan w:val="2"/>
            <w:vMerge w:val="continue"/>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100,000</w:t>
            </w:r>
          </w:p>
        </w:tc>
        <w:tc>
          <w:tcPr>
            <w:tcW w:w="4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420"/>
              <w:spacing w:after="0"/>
              <w:rPr>
                <w:sz w:val="20"/>
                <w:szCs w:val="20"/>
                <w:color w:val="auto"/>
              </w:rPr>
            </w:pPr>
            <w:r>
              <w:rPr>
                <w:rFonts w:ascii="Arial" w:cs="Arial" w:eastAsia="Arial" w:hAnsi="Arial"/>
                <w:sz w:val="16"/>
                <w:szCs w:val="16"/>
                <w:color w:val="auto"/>
              </w:rPr>
              <w:t>100,000</w:t>
            </w:r>
          </w:p>
        </w:tc>
        <w:tc>
          <w:tcPr>
            <w:tcW w:w="7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7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dilution to stockholder A (total NAV less</w:t>
            </w:r>
          </w:p>
        </w:tc>
        <w:tc>
          <w:tcPr>
            <w:tcW w:w="100" w:type="dxa"/>
            <w:vAlign w:val="bottom"/>
            <w:shd w:val="clear" w:color="auto" w:fill="CCEEFF"/>
          </w:tcPr>
          <w:p>
            <w:pPr>
              <w:spacing w:after="0"/>
              <w:rPr>
                <w:sz w:val="16"/>
                <w:szCs w:val="16"/>
                <w:color w:val="auto"/>
              </w:rPr>
            </w:pPr>
          </w:p>
        </w:tc>
        <w:tc>
          <w:tcPr>
            <w:tcW w:w="1100" w:type="dxa"/>
            <w:vAlign w:val="bottom"/>
            <w:gridSpan w:val="2"/>
            <w:vMerge w:val="restart"/>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gridSpan w:val="2"/>
            <w:vMerge w:val="restart"/>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gridSpan w:val="2"/>
            <w:vMerge w:val="restart"/>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3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investment)</w:t>
            </w: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(200)</w:t>
            </w:r>
          </w:p>
        </w:tc>
        <w:tc>
          <w:tcPr>
            <w:tcW w:w="800" w:type="dxa"/>
            <w:vAlign w:val="bottom"/>
            <w:gridSpan w:val="2"/>
            <w:vMerge w:val="continue"/>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(900)</w:t>
            </w:r>
          </w:p>
        </w:tc>
        <w:tc>
          <w:tcPr>
            <w:tcW w:w="9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(5,000)</w:t>
            </w:r>
          </w:p>
        </w:tc>
        <w:tc>
          <w:tcPr>
            <w:tcW w:w="7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w:t>
            </w: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2"/>
              </w:rPr>
              <w:t>Example 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2"/>
              </w:rPr>
              <w:t>Example 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5"/>
              </w:rPr>
              <w:t>Example 3</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4"/>
          </w:tcPr>
          <w:p>
            <w:pPr>
              <w:jc w:val="center"/>
              <w:ind w:right="480"/>
              <w:spacing w:after="0" w:line="149" w:lineRule="exact"/>
              <w:rPr>
                <w:sz w:val="20"/>
                <w:szCs w:val="20"/>
                <w:color w:val="auto"/>
              </w:rPr>
            </w:pPr>
            <w:r>
              <w:rPr>
                <w:rFonts w:ascii="Arial" w:cs="Arial" w:eastAsia="Arial" w:hAnsi="Arial"/>
                <w:sz w:val="14"/>
                <w:szCs w:val="14"/>
                <w:b w:val="1"/>
                <w:bCs w:val="1"/>
                <w:color w:val="auto"/>
                <w:w w:val="99"/>
              </w:rPr>
              <w:t>5% Offering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4"/>
          </w:tcPr>
          <w:p>
            <w:pPr>
              <w:jc w:val="center"/>
              <w:ind w:right="460"/>
              <w:spacing w:after="0" w:line="149" w:lineRule="exact"/>
              <w:rPr>
                <w:sz w:val="20"/>
                <w:szCs w:val="20"/>
                <w:color w:val="auto"/>
              </w:rPr>
            </w:pPr>
            <w:r>
              <w:rPr>
                <w:rFonts w:ascii="Arial" w:cs="Arial" w:eastAsia="Arial" w:hAnsi="Arial"/>
                <w:sz w:val="14"/>
                <w:szCs w:val="14"/>
                <w:b w:val="1"/>
                <w:bCs w:val="1"/>
                <w:color w:val="auto"/>
                <w:w w:val="97"/>
              </w:rPr>
              <w:t>10% Offering</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99"/>
              </w:rPr>
              <w:t>25% Offering</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5"/>
              </w:rPr>
              <w:t>at 5% Discount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4"/>
              </w:rPr>
              <w:t>at 10% Discount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4"/>
              </w:rPr>
              <w:t>at 25% Discount</w:t>
            </w:r>
          </w:p>
        </w:tc>
        <w:tc>
          <w:tcPr>
            <w:tcW w:w="0" w:type="dxa"/>
            <w:vAlign w:val="bottom"/>
          </w:tcPr>
          <w:p>
            <w:pPr>
              <w:spacing w:after="0"/>
              <w:rPr>
                <w:sz w:val="1"/>
                <w:szCs w:val="1"/>
                <w:color w:val="auto"/>
              </w:rPr>
            </w:pPr>
          </w:p>
        </w:tc>
      </w:tr>
      <w:tr>
        <w:trPr>
          <w:trHeight w:val="119"/>
        </w:trPr>
        <w:tc>
          <w:tcPr>
            <w:tcW w:w="4320" w:type="dxa"/>
            <w:vAlign w:val="bottom"/>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78"/>
              <w:spacing w:after="0" w:line="119" w:lineRule="exact"/>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Following</w:t>
            </w:r>
          </w:p>
        </w:tc>
        <w:tc>
          <w:tcPr>
            <w:tcW w:w="460" w:type="dxa"/>
            <w:vAlign w:val="bottom"/>
            <w:tcBorders>
              <w:top w:val="single" w:sz="8" w:color="auto"/>
            </w:tcBorders>
          </w:tcPr>
          <w:p>
            <w:pPr>
              <w:jc w:val="right"/>
              <w:ind w:right="78"/>
              <w:spacing w:after="0" w:line="119" w:lineRule="exact"/>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80"/>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Below NAV</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7"/>
              </w:rPr>
              <w:t>Sale</w:t>
            </w:r>
          </w:p>
        </w:tc>
        <w:tc>
          <w:tcPr>
            <w:tcW w:w="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Sale</w:t>
            </w:r>
          </w:p>
        </w:tc>
        <w:tc>
          <w:tcPr>
            <w:tcW w:w="8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Change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7"/>
              </w:rPr>
              <w:t>Sale</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83"/>
        </w:trPr>
        <w:tc>
          <w:tcPr>
            <w:tcW w:w="43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Per Share Amounts</w:t>
            </w:r>
          </w:p>
        </w:tc>
        <w:tc>
          <w:tcPr>
            <w:tcW w:w="2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320"/>
              <w:spacing w:after="0"/>
              <w:rPr>
                <w:sz w:val="20"/>
                <w:szCs w:val="20"/>
                <w:color w:val="auto"/>
              </w:rPr>
            </w:pPr>
            <w:r>
              <w:rPr>
                <w:rFonts w:ascii="Arial" w:cs="Arial" w:eastAsia="Arial" w:hAnsi="Arial"/>
                <w:sz w:val="16"/>
                <w:szCs w:val="16"/>
                <w:color w:val="auto"/>
              </w:rPr>
              <w:t>NAV per share held by stockholder A</w:t>
            </w:r>
          </w:p>
        </w:tc>
        <w:tc>
          <w:tcPr>
            <w:tcW w:w="240" w:type="dxa"/>
            <w:vAlign w:val="bottom"/>
          </w:tcPr>
          <w:p>
            <w:pPr>
              <w:spacing w:after="0"/>
              <w:rPr>
                <w:sz w:val="18"/>
                <w:szCs w:val="18"/>
                <w:color w:val="auto"/>
              </w:rPr>
            </w:pPr>
          </w:p>
        </w:tc>
        <w:tc>
          <w:tcPr>
            <w:tcW w:w="70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3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6"/>
                <w:szCs w:val="16"/>
                <w:color w:val="auto"/>
              </w:rPr>
              <w:t>9.98</w:t>
            </w: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380"/>
              <w:spacing w:after="0"/>
              <w:rPr>
                <w:sz w:val="20"/>
                <w:szCs w:val="20"/>
                <w:color w:val="auto"/>
              </w:rPr>
            </w:pPr>
            <w:r>
              <w:rPr>
                <w:rFonts w:ascii="Arial" w:cs="Arial" w:eastAsia="Arial" w:hAnsi="Arial"/>
                <w:sz w:val="16"/>
                <w:szCs w:val="16"/>
                <w:color w:val="auto"/>
              </w:rPr>
              <w:t>9.91</w:t>
            </w:r>
          </w:p>
        </w:tc>
        <w:tc>
          <w:tcPr>
            <w:tcW w:w="8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6"/>
                <w:szCs w:val="16"/>
                <w:color w:val="auto"/>
              </w:rPr>
              <w:t>9.50</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3"/>
        </w:trPr>
        <w:tc>
          <w:tcPr>
            <w:tcW w:w="432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9"/>
              </w:rPr>
              <w:t>Investment per share held by stockholder A (assumed to</w:t>
            </w: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3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be $10.00 per share on shares held prior to sale)</w:t>
            </w: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10.00</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10.00</w:t>
            </w:r>
          </w:p>
        </w:tc>
        <w:tc>
          <w:tcPr>
            <w:tcW w:w="820" w:type="dxa"/>
            <w:vAlign w:val="bottom"/>
            <w:gridSpan w:val="2"/>
            <w:vMerge w:val="continue"/>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10.00</w:t>
            </w:r>
          </w:p>
        </w:tc>
        <w:tc>
          <w:tcPr>
            <w:tcW w:w="800" w:type="dxa"/>
            <w:vAlign w:val="bottom"/>
            <w:gridSpan w:val="2"/>
            <w:vMerge w:val="continue"/>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10.00</w:t>
            </w:r>
          </w:p>
        </w:tc>
        <w:tc>
          <w:tcPr>
            <w:tcW w:w="7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320" w:type="dxa"/>
            <w:vAlign w:val="bottom"/>
          </w:tcPr>
          <w:p>
            <w:pPr>
              <w:ind w:left="320"/>
              <w:spacing w:after="0"/>
              <w:rPr>
                <w:sz w:val="20"/>
                <w:szCs w:val="20"/>
                <w:color w:val="auto"/>
              </w:rPr>
            </w:pPr>
            <w:r>
              <w:rPr>
                <w:rFonts w:ascii="Arial" w:cs="Arial" w:eastAsia="Arial" w:hAnsi="Arial"/>
                <w:sz w:val="16"/>
                <w:szCs w:val="16"/>
                <w:color w:val="auto"/>
              </w:rPr>
              <w:t>Dilution per share held by stockholder A (NAV per share</w:t>
            </w:r>
          </w:p>
        </w:tc>
        <w:tc>
          <w:tcPr>
            <w:tcW w:w="240" w:type="dxa"/>
            <w:vAlign w:val="bottom"/>
          </w:tcPr>
          <w:p>
            <w:pPr>
              <w:spacing w:after="0"/>
              <w:rPr>
                <w:sz w:val="16"/>
                <w:szCs w:val="16"/>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gridSpan w:val="2"/>
            <w:vMerge w:val="restart"/>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320" w:type="dxa"/>
            <w:vAlign w:val="bottom"/>
          </w:tcPr>
          <w:p>
            <w:pPr>
              <w:ind w:left="480"/>
              <w:spacing w:after="0"/>
              <w:rPr>
                <w:sz w:val="20"/>
                <w:szCs w:val="20"/>
                <w:color w:val="auto"/>
              </w:rPr>
            </w:pPr>
            <w:r>
              <w:rPr>
                <w:rFonts w:ascii="Arial" w:cs="Arial" w:eastAsia="Arial" w:hAnsi="Arial"/>
                <w:sz w:val="16"/>
                <w:szCs w:val="16"/>
                <w:color w:val="auto"/>
              </w:rPr>
              <w:t>less investment per share)</w:t>
            </w:r>
          </w:p>
        </w:tc>
        <w:tc>
          <w:tcPr>
            <w:tcW w:w="24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6"/>
                <w:szCs w:val="16"/>
                <w:color w:val="auto"/>
              </w:rPr>
              <w:t>(0.02)</w:t>
            </w:r>
          </w:p>
        </w:tc>
        <w:tc>
          <w:tcPr>
            <w:tcW w:w="820" w:type="dxa"/>
            <w:vAlign w:val="bottom"/>
            <w:gridSpan w:val="2"/>
            <w:vMerge w:val="continue"/>
          </w:tcPr>
          <w:p>
            <w:pPr>
              <w:spacing w:after="0"/>
              <w:rPr>
                <w:sz w:val="18"/>
                <w:szCs w:val="18"/>
                <w:color w:val="auto"/>
              </w:rPr>
            </w:pPr>
          </w:p>
        </w:tc>
        <w:tc>
          <w:tcPr>
            <w:tcW w:w="2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6"/>
                <w:szCs w:val="16"/>
                <w:color w:val="auto"/>
              </w:rPr>
              <w:t>(0.09)</w:t>
            </w:r>
          </w:p>
        </w:tc>
        <w:tc>
          <w:tcPr>
            <w:tcW w:w="800" w:type="dxa"/>
            <w:vAlign w:val="bottom"/>
            <w:gridSpan w:val="2"/>
            <w:vMerge w:val="continue"/>
          </w:tcPr>
          <w:p>
            <w:pPr>
              <w:spacing w:after="0"/>
              <w:rPr>
                <w:sz w:val="18"/>
                <w:szCs w:val="18"/>
                <w:color w:val="auto"/>
              </w:rPr>
            </w:pPr>
          </w:p>
        </w:tc>
        <w:tc>
          <w:tcPr>
            <w:tcW w:w="30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6"/>
                <w:szCs w:val="16"/>
                <w:color w:val="auto"/>
              </w:rPr>
              <w:t>(0.50)</w:t>
            </w: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43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Percentage dilution to stockholder A (dilution per share</w:t>
            </w:r>
          </w:p>
        </w:tc>
        <w:tc>
          <w:tcPr>
            <w:tcW w:w="240" w:type="dxa"/>
            <w:vAlign w:val="bottom"/>
            <w:shd w:val="clear" w:color="auto" w:fill="CCEEFF"/>
          </w:tcPr>
          <w:p>
            <w:pPr>
              <w:spacing w:after="0"/>
              <w:rPr>
                <w:sz w:val="16"/>
                <w:szCs w:val="16"/>
                <w:color w:val="auto"/>
              </w:rPr>
            </w:pPr>
          </w:p>
        </w:tc>
        <w:tc>
          <w:tcPr>
            <w:tcW w:w="700" w:type="dxa"/>
            <w:vAlign w:val="bottom"/>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restart"/>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3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divided by investment per share)</w:t>
            </w:r>
          </w:p>
        </w:tc>
        <w:tc>
          <w:tcPr>
            <w:tcW w:w="24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Impact on Existing Stockholders who Participate in the Offering</w:t>
      </w:r>
    </w:p>
    <w:p>
      <w:pPr>
        <w:spacing w:after="0" w:line="117"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Our existing stockholders who participate in an offering below NAV per share or who buy additional shares in the secondary market at the same or lower price as we obtain in the offering (after any underwriting discounts and commissions) will experience the same types of NAV dilution as the nonparticipating stockholders, albeit at a lower level, to the extent they purchase less than the same percentage of the offering below NAV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offerings below NAV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86" w:lineRule="exact"/>
        <w:rPr>
          <w:sz w:val="20"/>
          <w:szCs w:val="20"/>
          <w:color w:val="auto"/>
        </w:rPr>
      </w:pPr>
    </w:p>
    <w:p>
      <w:pPr>
        <w:ind w:left="120" w:right="300" w:firstLine="440"/>
        <w:spacing w:after="0" w:line="257" w:lineRule="auto"/>
        <w:rPr>
          <w:sz w:val="20"/>
          <w:szCs w:val="20"/>
          <w:color w:val="auto"/>
        </w:rPr>
      </w:pPr>
      <w:r>
        <w:rPr>
          <w:rFonts w:ascii="Arial" w:cs="Arial" w:eastAsia="Arial" w:hAnsi="Arial"/>
          <w:sz w:val="18"/>
          <w:szCs w:val="18"/>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 in the hypothetical offering of 25% of the shares outstanding at a 25% discount to NAV from the prior chart for stockholder A that acquires shares equal to (1) 50% of their proportionate share of the offering (i.e. 1,250 shares which is 0.50% of the offering of 250,000 shares rather than their 1.00% proportionate share) and (2) 150% of</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40"/>
          </w:cols>
          <w:pgMar w:left="32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their proportionate share of the offering (i.e. 3,750 shares which is 1.50% of the offering of 250,000 shares rather than their 1.00% proportionate share).</w:t>
      </w:r>
    </w:p>
    <w:p>
      <w:pPr>
        <w:spacing w:after="0" w:line="26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80" w:type="dxa"/>
            <w:vAlign w:val="bottom"/>
          </w:tcPr>
          <w:p>
            <w:pPr>
              <w:spacing w:after="0"/>
              <w:rPr>
                <w:sz w:val="14"/>
                <w:szCs w:val="14"/>
                <w:color w:val="auto"/>
              </w:rPr>
            </w:pPr>
          </w:p>
        </w:tc>
        <w:tc>
          <w:tcPr>
            <w:tcW w:w="204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50% Participation</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19"/>
        </w:trPr>
        <w:tc>
          <w:tcPr>
            <w:tcW w:w="5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1260" w:type="dxa"/>
            <w:vAlign w:val="bottom"/>
            <w:tcBorders>
              <w:top w:val="single" w:sz="8" w:color="auto"/>
            </w:tcBorders>
            <w:gridSpan w:val="3"/>
          </w:tcPr>
          <w:p>
            <w:pPr>
              <w:jc w:val="right"/>
              <w:ind w:right="58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101"/>
              <w:spacing w:after="0" w:line="119" w:lineRule="exact"/>
              <w:rPr>
                <w:sz w:val="20"/>
                <w:szCs w:val="20"/>
                <w:color w:val="auto"/>
              </w:rPr>
            </w:pPr>
            <w:r>
              <w:rPr>
                <w:rFonts w:ascii="Arial" w:cs="Arial" w:eastAsia="Arial" w:hAnsi="Arial"/>
                <w:sz w:val="13"/>
                <w:szCs w:val="13"/>
                <w:b w:val="1"/>
                <w:bCs w:val="1"/>
                <w:color w:val="auto"/>
              </w:rPr>
              <w:t>%</w:t>
            </w: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Borders>
              <w:top w:val="single" w:sz="8" w:color="auto"/>
            </w:tcBorders>
            <w:gridSpan w:val="3"/>
          </w:tcPr>
          <w:p>
            <w:pPr>
              <w:jc w:val="right"/>
              <w:ind w:right="58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81"/>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b w:val="1"/>
                <w:bCs w:val="1"/>
                <w:color w:val="auto"/>
              </w:rPr>
              <w:t>Below NAV</w:t>
            </w:r>
          </w:p>
        </w:tc>
        <w:tc>
          <w:tcPr>
            <w:tcW w:w="80" w:type="dxa"/>
            <w:vAlign w:val="bottom"/>
          </w:tcPr>
          <w:p>
            <w:pPr>
              <w:spacing w:after="0"/>
              <w:rPr>
                <w:sz w:val="14"/>
                <w:szCs w:val="14"/>
                <w:color w:val="auto"/>
              </w:rPr>
            </w:pPr>
          </w:p>
        </w:tc>
        <w:tc>
          <w:tcPr>
            <w:tcW w:w="11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Sale</w:t>
            </w: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9"/>
              </w:rPr>
              <w:t>Change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83"/>
        </w:trPr>
        <w:tc>
          <w:tcPr>
            <w:tcW w:w="52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Offering Price</w:t>
            </w: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40" w:type="dxa"/>
            <w:vAlign w:val="bottom"/>
          </w:tcPr>
          <w:p>
            <w:pPr>
              <w:spacing w:after="0"/>
              <w:rPr>
                <w:sz w:val="20"/>
                <w:szCs w:val="20"/>
                <w:color w:val="auto"/>
              </w:rPr>
            </w:pPr>
            <w:r>
              <w:rPr>
                <w:rFonts w:ascii="Arial" w:cs="Arial" w:eastAsia="Arial" w:hAnsi="Arial"/>
                <w:sz w:val="16"/>
                <w:szCs w:val="16"/>
                <w:color w:val="auto"/>
              </w:rPr>
              <w:t>Price per share to public</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520"/>
              <w:spacing w:after="0"/>
              <w:rPr>
                <w:sz w:val="20"/>
                <w:szCs w:val="20"/>
                <w:color w:val="auto"/>
              </w:rPr>
            </w:pPr>
            <w:r>
              <w:rPr>
                <w:rFonts w:ascii="Arial" w:cs="Arial" w:eastAsia="Arial" w:hAnsi="Arial"/>
                <w:sz w:val="16"/>
                <w:szCs w:val="16"/>
                <w:color w:val="auto"/>
              </w:rPr>
              <w:t>7.89</w:t>
            </w:r>
          </w:p>
        </w:tc>
        <w:tc>
          <w:tcPr>
            <w:tcW w:w="86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7.89</w:t>
            </w:r>
          </w:p>
        </w:tc>
        <w:tc>
          <w:tcPr>
            <w:tcW w:w="52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Net proceeds per share to issuer</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7.50</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5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240" w:type="dxa"/>
            <w:vAlign w:val="bottom"/>
          </w:tcPr>
          <w:p>
            <w:pPr>
              <w:spacing w:after="0"/>
              <w:rPr>
                <w:sz w:val="20"/>
                <w:szCs w:val="20"/>
                <w:color w:val="auto"/>
              </w:rPr>
            </w:pPr>
            <w:r>
              <w:rPr>
                <w:rFonts w:ascii="Arial" w:cs="Arial" w:eastAsia="Arial" w:hAnsi="Arial"/>
                <w:sz w:val="16"/>
                <w:szCs w:val="16"/>
                <w:b w:val="1"/>
                <w:bCs w:val="1"/>
                <w:color w:val="auto"/>
              </w:rPr>
              <w:t>Increases in Shares and Decrease to NAV</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Total shares outstanding</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1,000,000</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w w:val="89"/>
              </w:rPr>
              <w:t>1,250,000</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25.00%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1,250,000</w:t>
            </w:r>
          </w:p>
        </w:tc>
        <w:tc>
          <w:tcPr>
            <w:tcW w:w="5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203"/>
        </w:trPr>
        <w:tc>
          <w:tcPr>
            <w:tcW w:w="5240" w:type="dxa"/>
            <w:vAlign w:val="bottom"/>
          </w:tcPr>
          <w:p>
            <w:pPr>
              <w:spacing w:after="0"/>
              <w:rPr>
                <w:sz w:val="20"/>
                <w:szCs w:val="20"/>
                <w:color w:val="auto"/>
              </w:rPr>
            </w:pPr>
            <w:r>
              <w:rPr>
                <w:rFonts w:ascii="Arial" w:cs="Arial" w:eastAsia="Arial" w:hAnsi="Arial"/>
                <w:sz w:val="16"/>
                <w:szCs w:val="16"/>
                <w:color w:val="auto"/>
              </w:rPr>
              <w:t>NAV per share</w:t>
            </w:r>
          </w:p>
        </w:tc>
        <w:tc>
          <w:tcPr>
            <w:tcW w:w="300" w:type="dxa"/>
            <w:vAlign w:val="bottom"/>
            <w:gridSpan w:val="2"/>
          </w:tcPr>
          <w:p>
            <w:pPr>
              <w:ind w:left="20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10.00</w:t>
            </w:r>
          </w:p>
        </w:tc>
        <w:tc>
          <w:tcPr>
            <w:tcW w:w="5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520"/>
              <w:spacing w:after="0"/>
              <w:rPr>
                <w:sz w:val="20"/>
                <w:szCs w:val="20"/>
                <w:color w:val="auto"/>
              </w:rPr>
            </w:pPr>
            <w:r>
              <w:rPr>
                <w:rFonts w:ascii="Arial" w:cs="Arial" w:eastAsia="Arial" w:hAnsi="Arial"/>
                <w:sz w:val="16"/>
                <w:szCs w:val="16"/>
                <w:color w:val="auto"/>
              </w:rPr>
              <w:t>9.50</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(5.00)%</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9.50</w:t>
            </w:r>
          </w:p>
        </w:tc>
        <w:tc>
          <w:tcPr>
            <w:tcW w:w="52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(Dilution)/Accretion to Participating Stockholder A</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tcPr>
          <w:p>
            <w:pPr>
              <w:spacing w:after="0"/>
              <w:rPr>
                <w:sz w:val="20"/>
                <w:szCs w:val="20"/>
                <w:color w:val="auto"/>
              </w:rPr>
            </w:pPr>
            <w:r>
              <w:rPr>
                <w:rFonts w:ascii="Arial" w:cs="Arial" w:eastAsia="Arial" w:hAnsi="Arial"/>
                <w:sz w:val="16"/>
                <w:szCs w:val="16"/>
                <w:color w:val="auto"/>
              </w:rPr>
              <w:t>Shares held by stockholder A</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10,000</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6"/>
                <w:szCs w:val="16"/>
                <w:color w:val="auto"/>
              </w:rPr>
              <w:t>11,250</w:t>
            </w: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12.50%</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13,750</w:t>
            </w:r>
          </w:p>
        </w:tc>
        <w:tc>
          <w:tcPr>
            <w:tcW w:w="52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37.50%</w:t>
            </w: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Percentage held by stockholder A</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1.00%</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0.90%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8"/>
              </w:rPr>
              <w:t>(10.00)%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1.10%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3"/>
        </w:trPr>
        <w:tc>
          <w:tcPr>
            <w:tcW w:w="5240" w:type="dxa"/>
            <w:vAlign w:val="bottom"/>
          </w:tcPr>
          <w:p>
            <w:pPr>
              <w:spacing w:after="0"/>
              <w:rPr>
                <w:sz w:val="20"/>
                <w:szCs w:val="20"/>
                <w:color w:val="auto"/>
              </w:rPr>
            </w:pPr>
            <w:r>
              <w:rPr>
                <w:rFonts w:ascii="Arial" w:cs="Arial" w:eastAsia="Arial" w:hAnsi="Arial"/>
                <w:sz w:val="16"/>
                <w:szCs w:val="16"/>
                <w:b w:val="1"/>
                <w:bCs w:val="1"/>
                <w:color w:val="auto"/>
              </w:rPr>
              <w:t>Total Asset Values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Total NAV held by stockholder A</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106,875</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6.88%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130,625</w:t>
            </w:r>
          </w:p>
        </w:tc>
        <w:tc>
          <w:tcPr>
            <w:tcW w:w="5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30.63%</w:t>
            </w:r>
          </w:p>
        </w:tc>
        <w:tc>
          <w:tcPr>
            <w:tcW w:w="0" w:type="dxa"/>
            <w:vAlign w:val="bottom"/>
          </w:tcPr>
          <w:p>
            <w:pPr>
              <w:spacing w:after="0"/>
              <w:rPr>
                <w:sz w:val="1"/>
                <w:szCs w:val="1"/>
                <w:color w:val="auto"/>
              </w:rPr>
            </w:pPr>
          </w:p>
        </w:tc>
      </w:tr>
      <w:tr>
        <w:trPr>
          <w:trHeight w:val="193"/>
        </w:trPr>
        <w:tc>
          <w:tcPr>
            <w:tcW w:w="5240" w:type="dxa"/>
            <w:vAlign w:val="bottom"/>
          </w:tcPr>
          <w:p>
            <w:pPr>
              <w:spacing w:after="0"/>
              <w:rPr>
                <w:sz w:val="20"/>
                <w:szCs w:val="20"/>
                <w:color w:val="auto"/>
              </w:rPr>
            </w:pPr>
            <w:r>
              <w:rPr>
                <w:rFonts w:ascii="Arial" w:cs="Arial" w:eastAsia="Arial" w:hAnsi="Arial"/>
                <w:sz w:val="16"/>
                <w:szCs w:val="16"/>
                <w:color w:val="auto"/>
                <w:w w:val="94"/>
              </w:rPr>
              <w:t>Total investment by stockholder A (assumed to be $10.00 per share on shares</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240" w:type="dxa"/>
            <w:vAlign w:val="bottom"/>
          </w:tcPr>
          <w:p>
            <w:pPr>
              <w:ind w:left="160"/>
              <w:spacing w:after="0"/>
              <w:rPr>
                <w:sz w:val="20"/>
                <w:szCs w:val="20"/>
                <w:color w:val="auto"/>
              </w:rPr>
            </w:pPr>
            <w:r>
              <w:rPr>
                <w:rFonts w:ascii="Arial" w:cs="Arial" w:eastAsia="Arial" w:hAnsi="Arial"/>
                <w:sz w:val="16"/>
                <w:szCs w:val="16"/>
                <w:color w:val="auto"/>
              </w:rPr>
              <w:t>held prior to sale)</w:t>
            </w:r>
          </w:p>
        </w:tc>
        <w:tc>
          <w:tcPr>
            <w:tcW w:w="300" w:type="dxa"/>
            <w:vAlign w:val="bottom"/>
            <w:gridSpan w:val="2"/>
          </w:tcPr>
          <w:p>
            <w:pPr>
              <w:ind w:left="20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100,000</w:t>
            </w:r>
          </w:p>
        </w:tc>
        <w:tc>
          <w:tcPr>
            <w:tcW w:w="5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520"/>
              <w:spacing w:after="0"/>
              <w:rPr>
                <w:sz w:val="20"/>
                <w:szCs w:val="20"/>
                <w:color w:val="auto"/>
              </w:rPr>
            </w:pPr>
            <w:r>
              <w:rPr>
                <w:rFonts w:ascii="Arial" w:cs="Arial" w:eastAsia="Arial" w:hAnsi="Arial"/>
                <w:sz w:val="16"/>
                <w:szCs w:val="16"/>
                <w:color w:val="auto"/>
              </w:rPr>
              <w:t>109,863</w:t>
            </w: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9.86%</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129,588</w:t>
            </w:r>
          </w:p>
        </w:tc>
        <w:tc>
          <w:tcPr>
            <w:tcW w:w="5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29.59%</w:t>
            </w:r>
          </w:p>
        </w:tc>
        <w:tc>
          <w:tcPr>
            <w:tcW w:w="0" w:type="dxa"/>
            <w:vAlign w:val="bottom"/>
          </w:tcPr>
          <w:p>
            <w:pPr>
              <w:spacing w:after="0"/>
              <w:rPr>
                <w:sz w:val="1"/>
                <w:szCs w:val="1"/>
                <w:color w:val="auto"/>
              </w:rPr>
            </w:pPr>
          </w:p>
        </w:tc>
      </w:tr>
      <w:tr>
        <w:trPr>
          <w:trHeight w:val="206"/>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w w:val="99"/>
              </w:rPr>
              <w:t>Total (dilution)/accretion to stockholder A (total NAV less total investment)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(2,988)</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1,037</w:t>
            </w:r>
          </w:p>
        </w:tc>
        <w:tc>
          <w:tcPr>
            <w:tcW w:w="5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240" w:type="dxa"/>
            <w:vAlign w:val="bottom"/>
          </w:tcPr>
          <w:p>
            <w:pPr>
              <w:spacing w:after="0"/>
              <w:rPr>
                <w:sz w:val="20"/>
                <w:szCs w:val="20"/>
                <w:color w:val="auto"/>
              </w:rPr>
            </w:pPr>
            <w:r>
              <w:rPr>
                <w:rFonts w:ascii="Arial" w:cs="Arial" w:eastAsia="Arial" w:hAnsi="Arial"/>
                <w:sz w:val="16"/>
                <w:szCs w:val="16"/>
                <w:b w:val="1"/>
                <w:bCs w:val="1"/>
                <w:color w:val="auto"/>
              </w:rPr>
              <w:t>Per Share Amounts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NAV per share held by stockholder A</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9.50</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5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5240" w:type="dxa"/>
            <w:vAlign w:val="bottom"/>
          </w:tcPr>
          <w:p>
            <w:pPr>
              <w:ind w:left="320"/>
              <w:spacing w:after="0"/>
              <w:rPr>
                <w:sz w:val="20"/>
                <w:szCs w:val="20"/>
                <w:color w:val="auto"/>
              </w:rPr>
            </w:pPr>
            <w:r>
              <w:rPr>
                <w:rFonts w:ascii="Arial" w:cs="Arial" w:eastAsia="Arial" w:hAnsi="Arial"/>
                <w:sz w:val="16"/>
                <w:szCs w:val="16"/>
                <w:color w:val="auto"/>
                <w:w w:val="97"/>
              </w:rPr>
              <w:t>Investment per share held by stockholder A (assumed to be $10.00 per</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240" w:type="dxa"/>
            <w:vAlign w:val="bottom"/>
          </w:tcPr>
          <w:p>
            <w:pPr>
              <w:ind w:left="480"/>
              <w:spacing w:after="0"/>
              <w:rPr>
                <w:sz w:val="20"/>
                <w:szCs w:val="20"/>
                <w:color w:val="auto"/>
              </w:rPr>
            </w:pPr>
            <w:r>
              <w:rPr>
                <w:rFonts w:ascii="Arial" w:cs="Arial" w:eastAsia="Arial" w:hAnsi="Arial"/>
                <w:sz w:val="16"/>
                <w:szCs w:val="16"/>
                <w:color w:val="auto"/>
              </w:rPr>
              <w:t>share on shares held prior to sale)</w:t>
            </w:r>
          </w:p>
        </w:tc>
        <w:tc>
          <w:tcPr>
            <w:tcW w:w="300" w:type="dxa"/>
            <w:vAlign w:val="bottom"/>
            <w:gridSpan w:val="2"/>
          </w:tcPr>
          <w:p>
            <w:pPr>
              <w:ind w:left="20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10.00</w:t>
            </w:r>
          </w:p>
        </w:tc>
        <w:tc>
          <w:tcPr>
            <w:tcW w:w="5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520"/>
              <w:spacing w:after="0"/>
              <w:rPr>
                <w:sz w:val="20"/>
                <w:szCs w:val="20"/>
                <w:color w:val="auto"/>
              </w:rPr>
            </w:pPr>
            <w:r>
              <w:rPr>
                <w:rFonts w:ascii="Arial" w:cs="Arial" w:eastAsia="Arial" w:hAnsi="Arial"/>
                <w:sz w:val="16"/>
                <w:szCs w:val="16"/>
                <w:color w:val="auto"/>
              </w:rPr>
              <w:t>9.77</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(2.30)%</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9.42</w:t>
            </w:r>
          </w:p>
        </w:tc>
        <w:tc>
          <w:tcPr>
            <w:tcW w:w="5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(5.80)%</w:t>
            </w:r>
          </w:p>
        </w:tc>
        <w:tc>
          <w:tcPr>
            <w:tcW w:w="0" w:type="dxa"/>
            <w:vAlign w:val="bottom"/>
          </w:tcPr>
          <w:p>
            <w:pPr>
              <w:spacing w:after="0"/>
              <w:rPr>
                <w:sz w:val="1"/>
                <w:szCs w:val="1"/>
                <w:color w:val="auto"/>
              </w:rPr>
            </w:pPr>
          </w:p>
        </w:tc>
      </w:tr>
      <w:tr>
        <w:trPr>
          <w:trHeight w:val="196"/>
        </w:trPr>
        <w:tc>
          <w:tcPr>
            <w:tcW w:w="524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5"/>
              </w:rPr>
              <w:t>(Dilution)/accretion per share held by stockholder A (NAV per share less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investment per share)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(0.27)</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5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5240" w:type="dxa"/>
            <w:vAlign w:val="bottom"/>
          </w:tcPr>
          <w:p>
            <w:pPr>
              <w:ind w:left="320"/>
              <w:spacing w:after="0"/>
              <w:rPr>
                <w:sz w:val="20"/>
                <w:szCs w:val="20"/>
                <w:color w:val="auto"/>
              </w:rPr>
            </w:pPr>
            <w:r>
              <w:rPr>
                <w:rFonts w:ascii="Arial" w:cs="Arial" w:eastAsia="Arial" w:hAnsi="Arial"/>
                <w:sz w:val="16"/>
                <w:szCs w:val="16"/>
                <w:color w:val="auto"/>
                <w:w w:val="97"/>
              </w:rPr>
              <w:t>Percentage (dilution)/accretion to stockholder A ((dilution)/accretion per</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240" w:type="dxa"/>
            <w:vAlign w:val="bottom"/>
          </w:tcPr>
          <w:p>
            <w:pPr>
              <w:ind w:left="480"/>
              <w:spacing w:after="0"/>
              <w:rPr>
                <w:sz w:val="20"/>
                <w:szCs w:val="20"/>
                <w:color w:val="auto"/>
              </w:rPr>
            </w:pPr>
            <w:r>
              <w:rPr>
                <w:rFonts w:ascii="Arial" w:cs="Arial" w:eastAsia="Arial" w:hAnsi="Arial"/>
                <w:sz w:val="16"/>
                <w:szCs w:val="16"/>
                <w:color w:val="auto"/>
              </w:rPr>
              <w:t>share divided by investment per share)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(2.76)%</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0.85%</w:t>
            </w:r>
          </w:p>
        </w:tc>
        <w:tc>
          <w:tcPr>
            <w:tcW w:w="0" w:type="dxa"/>
            <w:vAlign w:val="bottom"/>
          </w:tcPr>
          <w:p>
            <w:pPr>
              <w:spacing w:after="0"/>
              <w:rPr>
                <w:sz w:val="1"/>
                <w:szCs w:val="1"/>
                <w:color w:val="auto"/>
              </w:rPr>
            </w:pPr>
          </w:p>
        </w:tc>
      </w:tr>
    </w:tbl>
    <w:p>
      <w:pPr>
        <w:spacing w:after="0" w:line="31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Impact on New Investors</w:t>
      </w:r>
    </w:p>
    <w:p>
      <w:pPr>
        <w:spacing w:after="0" w:line="117"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84"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Investors who are not currently stockholders, but who participate in an offering below NAV and whose investment per share is greater than the resulting NAV per share due to any underwriting discounts and commissions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any underwriting discounts and commissions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offerings below NAV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per share. Their decrease could be more pronounced as the size of the offering and level of discounts increases.</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32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effects on a stockholder A at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left="321"/>
              <w:spacing w:after="0"/>
              <w:rPr>
                <w:sz w:val="20"/>
                <w:szCs w:val="20"/>
                <w:color w:val="auto"/>
              </w:rPr>
            </w:pPr>
            <w:r>
              <w:rPr>
                <w:rFonts w:ascii="Arial" w:cs="Arial" w:eastAsia="Arial" w:hAnsi="Arial"/>
                <w:sz w:val="14"/>
                <w:szCs w:val="14"/>
                <w:b w:val="1"/>
                <w:bCs w:val="1"/>
                <w:color w:val="auto"/>
                <w:w w:val="95"/>
              </w:rPr>
              <w:t>Example 1</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left="321"/>
              <w:spacing w:after="0"/>
              <w:rPr>
                <w:sz w:val="20"/>
                <w:szCs w:val="20"/>
                <w:color w:val="auto"/>
              </w:rPr>
            </w:pPr>
            <w:r>
              <w:rPr>
                <w:rFonts w:ascii="Arial" w:cs="Arial" w:eastAsia="Arial" w:hAnsi="Arial"/>
                <w:sz w:val="14"/>
                <w:szCs w:val="14"/>
                <w:b w:val="1"/>
                <w:bCs w:val="1"/>
                <w:color w:val="auto"/>
                <w:w w:val="92"/>
              </w:rPr>
              <w:t>Example 2</w:t>
            </w: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left="321"/>
              <w:spacing w:after="0"/>
              <w:rPr>
                <w:sz w:val="20"/>
                <w:szCs w:val="20"/>
                <w:color w:val="auto"/>
              </w:rPr>
            </w:pPr>
            <w:r>
              <w:rPr>
                <w:rFonts w:ascii="Arial" w:cs="Arial" w:eastAsia="Arial" w:hAnsi="Arial"/>
                <w:sz w:val="14"/>
                <w:szCs w:val="14"/>
                <w:b w:val="1"/>
                <w:bCs w:val="1"/>
                <w:color w:val="auto"/>
                <w:w w:val="95"/>
              </w:rPr>
              <w:t>Example 3</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99"/>
              </w:rPr>
              <w:t>5% Offering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gridSpan w:val="4"/>
          </w:tcPr>
          <w:p>
            <w:pPr>
              <w:jc w:val="center"/>
              <w:ind w:right="580"/>
              <w:spacing w:after="0" w:line="149" w:lineRule="exact"/>
              <w:rPr>
                <w:sz w:val="20"/>
                <w:szCs w:val="20"/>
                <w:color w:val="auto"/>
              </w:rPr>
            </w:pPr>
            <w:r>
              <w:rPr>
                <w:rFonts w:ascii="Arial" w:cs="Arial" w:eastAsia="Arial" w:hAnsi="Arial"/>
                <w:sz w:val="14"/>
                <w:szCs w:val="14"/>
                <w:b w:val="1"/>
                <w:bCs w:val="1"/>
                <w:color w:val="auto"/>
                <w:w w:val="97"/>
              </w:rPr>
              <w:t>10% Offering</w:t>
            </w:r>
          </w:p>
        </w:tc>
        <w:tc>
          <w:tcPr>
            <w:tcW w:w="80" w:type="dxa"/>
            <w:vAlign w:val="bottom"/>
          </w:tcPr>
          <w:p>
            <w:pPr>
              <w:spacing w:after="0"/>
              <w:rPr>
                <w:sz w:val="12"/>
                <w:szCs w:val="12"/>
                <w:color w:val="auto"/>
              </w:rPr>
            </w:pPr>
          </w:p>
        </w:tc>
        <w:tc>
          <w:tcPr>
            <w:tcW w:w="182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9"/>
              </w:rPr>
              <w:t>25% Offering</w:t>
            </w: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1120" w:type="dxa"/>
            <w:vAlign w:val="bottom"/>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80" w:type="dxa"/>
            <w:vAlign w:val="bottom"/>
          </w:tcPr>
          <w:p>
            <w:pPr>
              <w:spacing w:after="0"/>
              <w:rPr>
                <w:sz w:val="14"/>
                <w:szCs w:val="14"/>
                <w:color w:val="auto"/>
              </w:rPr>
            </w:pPr>
          </w:p>
        </w:tc>
        <w:tc>
          <w:tcPr>
            <w:tcW w:w="192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5"/>
              </w:rPr>
              <w:t>at 5% Discount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96"/>
              </w:rPr>
              <w:t>at 10% Discount</w:t>
            </w:r>
          </w:p>
        </w:tc>
        <w:tc>
          <w:tcPr>
            <w:tcW w:w="80" w:type="dxa"/>
            <w:vAlign w:val="bottom"/>
          </w:tcPr>
          <w:p>
            <w:pPr>
              <w:spacing w:after="0"/>
              <w:rPr>
                <w:sz w:val="14"/>
                <w:szCs w:val="14"/>
                <w:color w:val="auto"/>
              </w:rPr>
            </w:pPr>
          </w:p>
        </w:tc>
        <w:tc>
          <w:tcPr>
            <w:tcW w:w="18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4"/>
              </w:rPr>
              <w:t>at 25% Discount</w:t>
            </w:r>
          </w:p>
        </w:tc>
        <w:tc>
          <w:tcPr>
            <w:tcW w:w="0" w:type="dxa"/>
            <w:vAlign w:val="bottom"/>
          </w:tcPr>
          <w:p>
            <w:pPr>
              <w:spacing w:after="0"/>
              <w:rPr>
                <w:sz w:val="1"/>
                <w:szCs w:val="1"/>
                <w:color w:val="auto"/>
              </w:rPr>
            </w:pPr>
          </w:p>
        </w:tc>
      </w:tr>
      <w:tr>
        <w:trPr>
          <w:trHeight w:val="119"/>
        </w:trPr>
        <w:tc>
          <w:tcPr>
            <w:tcW w:w="366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18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81"/>
              <w:spacing w:after="0" w:line="119" w:lineRule="exact"/>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460" w:type="dxa"/>
            <w:vAlign w:val="bottom"/>
            <w:tcBorders>
              <w:top w:val="single" w:sz="8" w:color="auto"/>
            </w:tcBorders>
          </w:tcPr>
          <w:p>
            <w:pPr>
              <w:jc w:val="right"/>
              <w:ind w:right="81"/>
              <w:spacing w:after="0" w:line="119" w:lineRule="exact"/>
              <w:rPr>
                <w:sz w:val="20"/>
                <w:szCs w:val="20"/>
                <w:color w:val="auto"/>
              </w:rPr>
            </w:pPr>
            <w:r>
              <w:rPr>
                <w:rFonts w:ascii="Arial" w:cs="Arial" w:eastAsia="Arial" w:hAnsi="Arial"/>
                <w:sz w:val="13"/>
                <w:szCs w:val="13"/>
                <w:b w:val="1"/>
                <w:bCs w:val="1"/>
                <w:color w:val="auto"/>
              </w:rPr>
              <w:t>%</w:t>
            </w:r>
          </w:p>
        </w:tc>
        <w:tc>
          <w:tcPr>
            <w:tcW w:w="520" w:type="dxa"/>
            <w:vAlign w:val="bottom"/>
          </w:tcPr>
          <w:p>
            <w:pPr>
              <w:spacing w:after="0"/>
              <w:rPr>
                <w:sz w:val="10"/>
                <w:szCs w:val="10"/>
                <w:color w:val="auto"/>
              </w:rPr>
            </w:pPr>
          </w:p>
        </w:tc>
        <w:tc>
          <w:tcPr>
            <w:tcW w:w="1180" w:type="dxa"/>
            <w:vAlign w:val="bottom"/>
            <w:tcBorders>
              <w:top w:val="single" w:sz="8" w:color="auto"/>
            </w:tcBorders>
            <w:gridSpan w:val="3"/>
          </w:tcPr>
          <w:p>
            <w:pPr>
              <w:jc w:val="right"/>
              <w:ind w:right="50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81"/>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1120" w:type="dxa"/>
            <w:vAlign w:val="bottom"/>
          </w:tcPr>
          <w:p>
            <w:pPr>
              <w:ind w:left="40"/>
              <w:spacing w:after="0"/>
              <w:rPr>
                <w:sz w:val="20"/>
                <w:szCs w:val="20"/>
                <w:color w:val="auto"/>
              </w:rPr>
            </w:pPr>
            <w:r>
              <w:rPr>
                <w:rFonts w:ascii="Arial" w:cs="Arial" w:eastAsia="Arial" w:hAnsi="Arial"/>
                <w:sz w:val="14"/>
                <w:szCs w:val="14"/>
                <w:b w:val="1"/>
                <w:bCs w:val="1"/>
                <w:color w:val="auto"/>
              </w:rPr>
              <w:t>Below NAV</w:t>
            </w:r>
          </w:p>
        </w:tc>
        <w:tc>
          <w:tcPr>
            <w:tcW w:w="80" w:type="dxa"/>
            <w:vAlign w:val="bottom"/>
          </w:tcPr>
          <w:p>
            <w:pPr>
              <w:spacing w:after="0"/>
              <w:rPr>
                <w:sz w:val="14"/>
                <w:szCs w:val="14"/>
                <w:color w:val="auto"/>
              </w:rPr>
            </w:pPr>
          </w:p>
        </w:tc>
        <w:tc>
          <w:tcPr>
            <w:tcW w:w="11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9"/>
              </w:rPr>
              <w:t>Change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9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5"/>
              </w:rPr>
              <w:t>Change</w:t>
            </w:r>
          </w:p>
        </w:tc>
        <w:tc>
          <w:tcPr>
            <w:tcW w:w="80" w:type="dxa"/>
            <w:vAlign w:val="bottom"/>
          </w:tcPr>
          <w:p>
            <w:pPr>
              <w:spacing w:after="0"/>
              <w:rPr>
                <w:sz w:val="14"/>
                <w:szCs w:val="14"/>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83"/>
        </w:trPr>
        <w:tc>
          <w:tcPr>
            <w:tcW w:w="36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Offering Price</w:t>
            </w:r>
          </w:p>
        </w:tc>
        <w:tc>
          <w:tcPr>
            <w:tcW w:w="1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60" w:type="dxa"/>
            <w:vAlign w:val="bottom"/>
          </w:tcPr>
          <w:p>
            <w:pPr>
              <w:spacing w:after="0"/>
              <w:rPr>
                <w:sz w:val="20"/>
                <w:szCs w:val="20"/>
                <w:color w:val="auto"/>
              </w:rPr>
            </w:pPr>
            <w:r>
              <w:rPr>
                <w:rFonts w:ascii="Arial" w:cs="Arial" w:eastAsia="Arial" w:hAnsi="Arial"/>
                <w:sz w:val="16"/>
                <w:szCs w:val="16"/>
                <w:color w:val="auto"/>
              </w:rPr>
              <w:t>Price per share to public</w:t>
            </w:r>
          </w:p>
        </w:tc>
        <w:tc>
          <w:tcPr>
            <w:tcW w:w="1120" w:type="dxa"/>
            <w:vAlign w:val="bottom"/>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60"/>
              <w:spacing w:after="0"/>
              <w:rPr>
                <w:sz w:val="20"/>
                <w:szCs w:val="20"/>
                <w:color w:val="auto"/>
              </w:rPr>
            </w:pPr>
            <w:r>
              <w:rPr>
                <w:rFonts w:ascii="Arial" w:cs="Arial" w:eastAsia="Arial" w:hAnsi="Arial"/>
                <w:sz w:val="16"/>
                <w:szCs w:val="16"/>
                <w:color w:val="auto"/>
              </w:rPr>
              <w:t>10.00</w:t>
            </w:r>
          </w:p>
        </w:tc>
        <w:tc>
          <w:tcPr>
            <w:tcW w:w="82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9.47</w:t>
            </w:r>
          </w:p>
        </w:tc>
        <w:tc>
          <w:tcPr>
            <w:tcW w:w="460" w:type="dxa"/>
            <w:vAlign w:val="bottom"/>
          </w:tcPr>
          <w:p>
            <w:pPr>
              <w:spacing w:after="0"/>
              <w:rPr>
                <w:sz w:val="17"/>
                <w:szCs w:val="17"/>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40"/>
              <w:spacing w:after="0"/>
              <w:rPr>
                <w:sz w:val="20"/>
                <w:szCs w:val="20"/>
                <w:color w:val="auto"/>
              </w:rPr>
            </w:pPr>
            <w:r>
              <w:rPr>
                <w:rFonts w:ascii="Arial" w:cs="Arial" w:eastAsia="Arial" w:hAnsi="Arial"/>
                <w:sz w:val="16"/>
                <w:szCs w:val="16"/>
                <w:color w:val="auto"/>
              </w:rPr>
              <w:t>7.89</w:t>
            </w: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spacing w:after="0"/>
              <w:rPr>
                <w:sz w:val="20"/>
                <w:szCs w:val="20"/>
                <w:color w:val="auto"/>
              </w:rPr>
            </w:pPr>
            <w:r>
              <w:rPr>
                <w:rFonts w:ascii="Arial" w:cs="Arial" w:eastAsia="Arial" w:hAnsi="Arial"/>
                <w:sz w:val="16"/>
                <w:szCs w:val="16"/>
                <w:color w:val="auto"/>
              </w:rPr>
              <w:t>Net offering proceeds per share to issuer</w:t>
            </w:r>
          </w:p>
        </w:tc>
        <w:tc>
          <w:tcPr>
            <w:tcW w:w="11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9.50</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4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7.50</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20"/>
                <w:szCs w:val="20"/>
                <w:color w:val="auto"/>
              </w:rPr>
            </w:pPr>
            <w:r>
              <w:rPr>
                <w:rFonts w:ascii="Arial" w:cs="Arial" w:eastAsia="Arial" w:hAnsi="Arial"/>
                <w:sz w:val="16"/>
                <w:szCs w:val="16"/>
                <w:b w:val="1"/>
                <w:bCs w:val="1"/>
                <w:color w:val="auto"/>
              </w:rPr>
              <w:t>Decrease to NAV</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spacing w:after="0"/>
              <w:rPr>
                <w:sz w:val="20"/>
                <w:szCs w:val="20"/>
                <w:color w:val="auto"/>
              </w:rPr>
            </w:pPr>
            <w:r>
              <w:rPr>
                <w:rFonts w:ascii="Arial" w:cs="Arial" w:eastAsia="Arial" w:hAnsi="Arial"/>
                <w:sz w:val="16"/>
                <w:szCs w:val="16"/>
                <w:color w:val="auto"/>
              </w:rPr>
              <w:t>Total shares outstanding</w:t>
            </w:r>
          </w:p>
        </w:tc>
        <w:tc>
          <w:tcPr>
            <w:tcW w:w="11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w w:val="87"/>
              </w:rPr>
              <w:t>1,050,000</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1,100,000</w:t>
            </w:r>
          </w:p>
        </w:tc>
        <w:tc>
          <w:tcPr>
            <w:tcW w:w="4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10.00%</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w w:val="89"/>
              </w:rPr>
              <w:t>1,250,000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20"/>
                <w:szCs w:val="20"/>
                <w:color w:val="auto"/>
              </w:rPr>
            </w:pPr>
            <w:r>
              <w:rPr>
                <w:rFonts w:ascii="Arial" w:cs="Arial" w:eastAsia="Arial" w:hAnsi="Arial"/>
                <w:sz w:val="16"/>
                <w:szCs w:val="16"/>
                <w:color w:val="auto"/>
              </w:rPr>
              <w:t>NAV per share</w:t>
            </w:r>
          </w:p>
        </w:tc>
        <w:tc>
          <w:tcPr>
            <w:tcW w:w="1120" w:type="dxa"/>
            <w:vAlign w:val="bottom"/>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60"/>
              <w:spacing w:after="0"/>
              <w:rPr>
                <w:sz w:val="20"/>
                <w:szCs w:val="20"/>
                <w:color w:val="auto"/>
              </w:rPr>
            </w:pPr>
            <w:r>
              <w:rPr>
                <w:rFonts w:ascii="Arial" w:cs="Arial" w:eastAsia="Arial" w:hAnsi="Arial"/>
                <w:sz w:val="16"/>
                <w:szCs w:val="16"/>
                <w:color w:val="auto"/>
              </w:rPr>
              <w:t>9.98</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(0.20)%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9.91</w:t>
            </w:r>
          </w:p>
        </w:tc>
        <w:tc>
          <w:tcPr>
            <w:tcW w:w="460" w:type="dxa"/>
            <w:vAlign w:val="bottom"/>
          </w:tcPr>
          <w:p>
            <w:pPr>
              <w:spacing w:after="0"/>
              <w:rPr>
                <w:sz w:val="17"/>
                <w:szCs w:val="17"/>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(0.90)%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40"/>
              <w:spacing w:after="0"/>
              <w:rPr>
                <w:sz w:val="20"/>
                <w:szCs w:val="20"/>
                <w:color w:val="auto"/>
              </w:rPr>
            </w:pPr>
            <w:r>
              <w:rPr>
                <w:rFonts w:ascii="Arial" w:cs="Arial" w:eastAsia="Arial" w:hAnsi="Arial"/>
                <w:sz w:val="16"/>
                <w:szCs w:val="16"/>
                <w:color w:val="auto"/>
              </w:rPr>
              <w:t>9.50</w:t>
            </w: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Dilution to Stockholder A</w:t>
            </w: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spacing w:after="0"/>
              <w:rPr>
                <w:sz w:val="20"/>
                <w:szCs w:val="20"/>
                <w:color w:val="auto"/>
              </w:rPr>
            </w:pPr>
            <w:r>
              <w:rPr>
                <w:rFonts w:ascii="Arial" w:cs="Arial" w:eastAsia="Arial" w:hAnsi="Arial"/>
                <w:sz w:val="16"/>
                <w:szCs w:val="16"/>
                <w:color w:val="auto"/>
              </w:rPr>
              <w:t>Shares held by stockholder A</w:t>
            </w:r>
          </w:p>
        </w:tc>
        <w:tc>
          <w:tcPr>
            <w:tcW w:w="1120" w:type="dxa"/>
            <w:vAlign w:val="bottom"/>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6"/>
                <w:szCs w:val="16"/>
                <w:color w:val="auto"/>
              </w:rPr>
              <w:t>500</w:t>
            </w:r>
          </w:p>
        </w:tc>
        <w:tc>
          <w:tcPr>
            <w:tcW w:w="82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1,000</w:t>
            </w:r>
          </w:p>
        </w:tc>
        <w:tc>
          <w:tcPr>
            <w:tcW w:w="460" w:type="dxa"/>
            <w:vAlign w:val="bottom"/>
          </w:tcPr>
          <w:p>
            <w:pPr>
              <w:spacing w:after="0"/>
              <w:rPr>
                <w:sz w:val="17"/>
                <w:szCs w:val="17"/>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6"/>
                <w:szCs w:val="16"/>
                <w:color w:val="auto"/>
              </w:rPr>
              <w:t>2,500</w:t>
            </w: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spacing w:after="0"/>
              <w:rPr>
                <w:sz w:val="20"/>
                <w:szCs w:val="20"/>
                <w:color w:val="auto"/>
              </w:rPr>
            </w:pPr>
            <w:r>
              <w:rPr>
                <w:rFonts w:ascii="Arial" w:cs="Arial" w:eastAsia="Arial" w:hAnsi="Arial"/>
                <w:sz w:val="16"/>
                <w:szCs w:val="16"/>
                <w:color w:val="auto"/>
              </w:rPr>
              <w:t>Percentage held by stockholder A</w:t>
            </w:r>
          </w:p>
        </w:tc>
        <w:tc>
          <w:tcPr>
            <w:tcW w:w="11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0.05%</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0.90%</w:t>
            </w: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0.20%</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20"/>
                <w:szCs w:val="20"/>
                <w:color w:val="auto"/>
              </w:rPr>
            </w:pPr>
            <w:r>
              <w:rPr>
                <w:rFonts w:ascii="Arial" w:cs="Arial" w:eastAsia="Arial" w:hAnsi="Arial"/>
                <w:sz w:val="16"/>
                <w:szCs w:val="16"/>
                <w:b w:val="1"/>
                <w:bCs w:val="1"/>
                <w:color w:val="auto"/>
              </w:rPr>
              <w:t>Total Asset Values</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NAV held by stockholder A</w:t>
            </w:r>
          </w:p>
        </w:tc>
        <w:tc>
          <w:tcPr>
            <w:tcW w:w="11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4,990</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9,910</w:t>
            </w:r>
          </w:p>
        </w:tc>
        <w:tc>
          <w:tcPr>
            <w:tcW w:w="4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23,750</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660" w:type="dxa"/>
            <w:vAlign w:val="bottom"/>
          </w:tcPr>
          <w:p>
            <w:pPr>
              <w:ind w:left="320"/>
              <w:spacing w:after="0"/>
              <w:rPr>
                <w:sz w:val="20"/>
                <w:szCs w:val="20"/>
                <w:color w:val="auto"/>
              </w:rPr>
            </w:pPr>
            <w:r>
              <w:rPr>
                <w:rFonts w:ascii="Arial" w:cs="Arial" w:eastAsia="Arial" w:hAnsi="Arial"/>
                <w:sz w:val="16"/>
                <w:szCs w:val="16"/>
                <w:color w:val="auto"/>
              </w:rPr>
              <w:t>Total investment by stockholder A</w:t>
            </w:r>
          </w:p>
        </w:tc>
        <w:tc>
          <w:tcPr>
            <w:tcW w:w="1120" w:type="dxa"/>
            <w:vAlign w:val="bottom"/>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60"/>
              <w:spacing w:after="0"/>
              <w:rPr>
                <w:sz w:val="20"/>
                <w:szCs w:val="20"/>
                <w:color w:val="auto"/>
              </w:rPr>
            </w:pPr>
            <w:r>
              <w:rPr>
                <w:rFonts w:ascii="Arial" w:cs="Arial" w:eastAsia="Arial" w:hAnsi="Arial"/>
                <w:sz w:val="16"/>
                <w:szCs w:val="16"/>
                <w:color w:val="auto"/>
              </w:rPr>
              <w:t>5,000</w:t>
            </w:r>
          </w:p>
        </w:tc>
        <w:tc>
          <w:tcPr>
            <w:tcW w:w="82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9,470</w:t>
            </w:r>
          </w:p>
        </w:tc>
        <w:tc>
          <w:tcPr>
            <w:tcW w:w="460" w:type="dxa"/>
            <w:vAlign w:val="bottom"/>
          </w:tcPr>
          <w:p>
            <w:pPr>
              <w:spacing w:after="0"/>
              <w:rPr>
                <w:sz w:val="17"/>
                <w:szCs w:val="17"/>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40"/>
              <w:spacing w:after="0"/>
              <w:rPr>
                <w:sz w:val="20"/>
                <w:szCs w:val="20"/>
                <w:color w:val="auto"/>
              </w:rPr>
            </w:pPr>
            <w:r>
              <w:rPr>
                <w:rFonts w:ascii="Arial" w:cs="Arial" w:eastAsia="Arial" w:hAnsi="Arial"/>
                <w:sz w:val="16"/>
                <w:szCs w:val="16"/>
                <w:color w:val="auto"/>
              </w:rPr>
              <w:t>19,725</w:t>
            </w: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6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(dilution)/accretion to stockholder A</w:t>
            </w: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NAV less total investment)</w:t>
            </w:r>
          </w:p>
        </w:tc>
        <w:tc>
          <w:tcPr>
            <w:tcW w:w="11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(10)</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4,025</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660" w:type="dxa"/>
            <w:vAlign w:val="bottom"/>
          </w:tcPr>
          <w:p>
            <w:pPr>
              <w:spacing w:after="0"/>
              <w:rPr>
                <w:sz w:val="20"/>
                <w:szCs w:val="20"/>
                <w:color w:val="auto"/>
              </w:rPr>
            </w:pPr>
            <w:r>
              <w:rPr>
                <w:rFonts w:ascii="Arial" w:cs="Arial" w:eastAsia="Arial" w:hAnsi="Arial"/>
                <w:sz w:val="16"/>
                <w:szCs w:val="16"/>
                <w:b w:val="1"/>
                <w:bCs w:val="1"/>
                <w:color w:val="auto"/>
              </w:rPr>
              <w:t>Per Share Amounts</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NAV per share held by stockholder A</w:t>
            </w:r>
          </w:p>
        </w:tc>
        <w:tc>
          <w:tcPr>
            <w:tcW w:w="11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9.98</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w:t>
            </w:r>
          </w:p>
        </w:tc>
        <w:tc>
          <w:tcPr>
            <w:tcW w:w="4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9.50</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660" w:type="dxa"/>
            <w:vAlign w:val="bottom"/>
          </w:tcPr>
          <w:p>
            <w:pPr>
              <w:ind w:left="320"/>
              <w:spacing w:after="0"/>
              <w:rPr>
                <w:sz w:val="20"/>
                <w:szCs w:val="20"/>
                <w:color w:val="auto"/>
              </w:rPr>
            </w:pPr>
            <w:r>
              <w:rPr>
                <w:rFonts w:ascii="Arial" w:cs="Arial" w:eastAsia="Arial" w:hAnsi="Arial"/>
                <w:sz w:val="16"/>
                <w:szCs w:val="16"/>
                <w:color w:val="auto"/>
              </w:rPr>
              <w:t>Investment per share held by stockholder A</w:t>
            </w:r>
          </w:p>
        </w:tc>
        <w:tc>
          <w:tcPr>
            <w:tcW w:w="1120" w:type="dxa"/>
            <w:vAlign w:val="bottom"/>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60"/>
              <w:spacing w:after="0"/>
              <w:rPr>
                <w:sz w:val="20"/>
                <w:szCs w:val="20"/>
                <w:color w:val="auto"/>
              </w:rPr>
            </w:pPr>
            <w:r>
              <w:rPr>
                <w:rFonts w:ascii="Arial" w:cs="Arial" w:eastAsia="Arial" w:hAnsi="Arial"/>
                <w:sz w:val="16"/>
                <w:szCs w:val="16"/>
                <w:color w:val="auto"/>
              </w:rPr>
              <w:t>10.00</w:t>
            </w:r>
          </w:p>
        </w:tc>
        <w:tc>
          <w:tcPr>
            <w:tcW w:w="82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9.47</w:t>
            </w:r>
          </w:p>
        </w:tc>
        <w:tc>
          <w:tcPr>
            <w:tcW w:w="460" w:type="dxa"/>
            <w:vAlign w:val="bottom"/>
          </w:tcPr>
          <w:p>
            <w:pPr>
              <w:spacing w:after="0"/>
              <w:rPr>
                <w:sz w:val="17"/>
                <w:szCs w:val="17"/>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40"/>
              <w:spacing w:after="0"/>
              <w:rPr>
                <w:sz w:val="20"/>
                <w:szCs w:val="20"/>
                <w:color w:val="auto"/>
              </w:rPr>
            </w:pPr>
            <w:r>
              <w:rPr>
                <w:rFonts w:ascii="Arial" w:cs="Arial" w:eastAsia="Arial" w:hAnsi="Arial"/>
                <w:sz w:val="16"/>
                <w:szCs w:val="16"/>
                <w:color w:val="auto"/>
              </w:rPr>
              <w:t>7.89</w:t>
            </w: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6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(Dilution)/accretion per share held by</w:t>
            </w: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stockholder A (NAV per share less</w:t>
            </w: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investment per share)</w:t>
            </w:r>
          </w:p>
        </w:tc>
        <w:tc>
          <w:tcPr>
            <w:tcW w:w="11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(0.02)</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0.44</w:t>
            </w: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1.61</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660" w:type="dxa"/>
            <w:vAlign w:val="bottom"/>
          </w:tcPr>
          <w:p>
            <w:pPr>
              <w:ind w:left="320"/>
              <w:spacing w:after="0"/>
              <w:rPr>
                <w:sz w:val="20"/>
                <w:szCs w:val="20"/>
                <w:color w:val="auto"/>
              </w:rPr>
            </w:pPr>
            <w:r>
              <w:rPr>
                <w:rFonts w:ascii="Arial" w:cs="Arial" w:eastAsia="Arial" w:hAnsi="Arial"/>
                <w:sz w:val="16"/>
                <w:szCs w:val="16"/>
                <w:color w:val="auto"/>
              </w:rPr>
              <w:t>Percentage (dilution)/accretion to</w:t>
            </w: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60" w:type="dxa"/>
            <w:vAlign w:val="bottom"/>
          </w:tcPr>
          <w:p>
            <w:pPr>
              <w:ind w:left="480"/>
              <w:spacing w:after="0"/>
              <w:rPr>
                <w:sz w:val="20"/>
                <w:szCs w:val="20"/>
                <w:color w:val="auto"/>
              </w:rPr>
            </w:pPr>
            <w:r>
              <w:rPr>
                <w:rFonts w:ascii="Arial" w:cs="Arial" w:eastAsia="Arial" w:hAnsi="Arial"/>
                <w:sz w:val="16"/>
                <w:szCs w:val="16"/>
                <w:color w:val="auto"/>
              </w:rPr>
              <w:t>stockholder A ((dilution)/accretion per</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80"/>
              <w:spacing w:after="0"/>
              <w:rPr>
                <w:sz w:val="20"/>
                <w:szCs w:val="20"/>
                <w:color w:val="auto"/>
              </w:rPr>
            </w:pPr>
            <w:r>
              <w:rPr>
                <w:rFonts w:ascii="Arial" w:cs="Arial" w:eastAsia="Arial" w:hAnsi="Arial"/>
                <w:sz w:val="16"/>
                <w:szCs w:val="16"/>
                <w:color w:val="auto"/>
              </w:rPr>
              <w:t>share divided by investment per share)</w:t>
            </w:r>
          </w:p>
        </w:tc>
        <w:tc>
          <w:tcPr>
            <w:tcW w:w="1120" w:type="dxa"/>
            <w:vAlign w:val="bottom"/>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(0.20)%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6"/>
                <w:szCs w:val="16"/>
                <w:color w:val="auto"/>
              </w:rPr>
              <w:t>4.65%</w:t>
            </w:r>
          </w:p>
        </w:tc>
        <w:tc>
          <w:tcPr>
            <w:tcW w:w="80" w:type="dxa"/>
            <w:vAlign w:val="bottom"/>
          </w:tcPr>
          <w:p>
            <w:pPr>
              <w:spacing w:after="0"/>
              <w:rPr>
                <w:sz w:val="17"/>
                <w:szCs w:val="17"/>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20.41%</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40"/>
          </w:cols>
          <w:pgMar w:left="32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left="120" w:right="280" w:firstLine="440"/>
        <w:spacing w:after="0" w:line="257" w:lineRule="auto"/>
        <w:rPr>
          <w:sz w:val="20"/>
          <w:szCs w:val="20"/>
          <w:color w:val="auto"/>
        </w:rPr>
      </w:pPr>
      <w:r>
        <w:rPr>
          <w:rFonts w:ascii="Arial" w:cs="Arial" w:eastAsia="Arial" w:hAnsi="Arial"/>
          <w:sz w:val="18"/>
          <w:szCs w:val="18"/>
          <w:color w:val="auto"/>
        </w:rPr>
        <w:t>We intend to continue making monthly distributions to our stockholders. The timing and amount of our monthly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w:t>
      </w:r>
    </w:p>
    <w:p>
      <w:pPr>
        <w:spacing w:after="0" w:line="188" w:lineRule="exact"/>
        <w:rPr>
          <w:sz w:val="20"/>
          <w:szCs w:val="20"/>
          <w:color w:val="auto"/>
        </w:rPr>
      </w:pPr>
    </w:p>
    <w:p>
      <w:pPr>
        <w:ind w:left="120" w:right="820" w:firstLine="440"/>
        <w:spacing w:after="0" w:line="277" w:lineRule="auto"/>
        <w:rPr>
          <w:sz w:val="20"/>
          <w:szCs w:val="20"/>
          <w:color w:val="auto"/>
        </w:rPr>
      </w:pPr>
      <w:r>
        <w:rPr>
          <w:rFonts w:ascii="Arial" w:cs="Arial" w:eastAsia="Arial" w:hAnsi="Arial"/>
          <w:sz w:val="18"/>
          <w:szCs w:val="18"/>
          <w:color w:val="auto"/>
        </w:rPr>
        <w:t>Each year, a Form 1099-DIV will be sent to stockholders subject to information reporting that will state the amount and composition of distributions and provide information with respect to appropriate tax treatment of our distributions.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tax characteristics of distributions declared, in accordance with Section 19(a) of the 1940 Act, during the years ended September 30, 2019 and</w:t>
      </w:r>
    </w:p>
    <w:p>
      <w:pPr>
        <w:spacing w:after="0" w:line="46" w:lineRule="exact"/>
        <w:rPr>
          <w:sz w:val="20"/>
          <w:szCs w:val="20"/>
          <w:color w:val="auto"/>
        </w:rPr>
      </w:pPr>
    </w:p>
    <w:p>
      <w:pPr>
        <w:ind w:left="120" w:right="360"/>
        <w:spacing w:after="0" w:line="253" w:lineRule="auto"/>
        <w:rPr>
          <w:sz w:val="20"/>
          <w:szCs w:val="20"/>
          <w:color w:val="auto"/>
        </w:rPr>
      </w:pPr>
      <w:r>
        <w:rPr>
          <w:rFonts w:ascii="Arial" w:cs="Arial" w:eastAsia="Arial" w:hAnsi="Arial"/>
          <w:sz w:val="18"/>
          <w:szCs w:val="18"/>
          <w:color w:val="auto"/>
        </w:rPr>
        <w:t>2018 from ordinary income (including short-term gains, if any), totaled $44.2 million and $42.8 million, or $1.14 and $1.14 per share, respectively, based on the weighted average shares outstanding for the respective periods. Additionally, for the year ended September 30, 2019 and 2018, we had long-term capital gain distributions of zero and $0.8 million, or zero and $0.02 per share, respectively, based on the weighted average shares outstanding.</w:t>
      </w:r>
    </w:p>
    <w:p>
      <w:pPr>
        <w:spacing w:after="0" w:line="193"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when applicable to us as a BDC under the 1940 Act and due to provisions in future credit facilities. If we do not distribute a certain minimum percentage of our income annually, we will suffer adverse tax consequences, including possible loss of our ability to be subject to tax as a RIC. We cannot assure stockholders that they will receive any distributions or distributions at a particular level.</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PORTFOLIO COMPANIES</w:t>
      </w:r>
    </w:p>
    <w:p>
      <w:pPr>
        <w:spacing w:after="0" w:line="229"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The following is a listing of each portfolio company or its affiliate, together referred to as portfolio companies, in which we had an investment as of September 30, 2019.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For additional information see our “Consolidated Schedule of Investments” in our Consolidated Financial Statements included in our most recent Annual Report on Form 10-K.</w:t>
      </w:r>
    </w:p>
    <w:p>
      <w:pPr>
        <w:spacing w:after="0" w:line="188" w:lineRule="exact"/>
        <w:rPr>
          <w:sz w:val="20"/>
          <w:szCs w:val="20"/>
          <w:color w:val="auto"/>
        </w:rPr>
      </w:pPr>
    </w:p>
    <w:p>
      <w:pPr>
        <w:ind w:left="120" w:right="80" w:firstLine="440"/>
        <w:spacing w:after="0" w:line="253" w:lineRule="auto"/>
        <w:rPr>
          <w:sz w:val="20"/>
          <w:szCs w:val="20"/>
          <w:color w:val="auto"/>
        </w:rPr>
      </w:pPr>
      <w:r>
        <w:rPr>
          <w:rFonts w:ascii="Arial" w:cs="Arial" w:eastAsia="Arial" w:hAnsi="Arial"/>
          <w:sz w:val="18"/>
          <w:szCs w:val="18"/>
          <w:color w:val="auto"/>
        </w:rPr>
        <w:t>The portfolio companies are presented in three categories: “Companies less than 5% owned” which represent portfolio companies where we directly or indirectly own less than 5% of the outstanding voting securities of such portfolio company and where we have no other affiliations with such portfolio company; “Companies 5% to 24% owned” which represent portfolio companies where we directly or indirectly own 5% or more but less than 25% of the outstanding voting securities of such portfolio company and, therefore, are deemed to be an affiliated person under the 1940 Act; and “Companies 25% or more owned” which represent portfolio companies where we directly or indirectly own 25% or more of the outstanding voting securities of such portfolio company and, therefore, are generally presumed to be controlled by us under the 1940 Act. We make available significant managerial assistance to our portfolio companies. Certain assets are pledged as collateral under our Credit Facility or secure the 2031 Asset-Backed Debt as disclosed in our Consolidated Schedule of Investments. Unless otherwise noted, we held no voting board membership on any of our portfolio companies.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Type of Investment,</w:t>
            </w:r>
          </w:p>
        </w:tc>
        <w:tc>
          <w:tcPr>
            <w:tcW w:w="12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Voting</w:t>
            </w:r>
          </w:p>
        </w:tc>
        <w:tc>
          <w:tcPr>
            <w:tcW w:w="80" w:type="dxa"/>
            <w:vAlign w:val="bottom"/>
          </w:tcPr>
          <w:p>
            <w:pPr>
              <w:spacing w:after="0"/>
              <w:rPr>
                <w:sz w:val="14"/>
                <w:szCs w:val="14"/>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3380" w:type="dxa"/>
            <w:vAlign w:val="bottom"/>
            <w:gridSpan w:val="2"/>
            <w:vMerge w:val="continue"/>
          </w:tcPr>
          <w:p>
            <w:pPr>
              <w:spacing w:after="0"/>
              <w:rPr>
                <w:sz w:val="12"/>
                <w:szCs w:val="12"/>
                <w:color w:val="auto"/>
              </w:rPr>
            </w:pPr>
          </w:p>
        </w:tc>
        <w:tc>
          <w:tcPr>
            <w:tcW w:w="2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Nature of Business</w:t>
            </w:r>
          </w:p>
        </w:tc>
        <w:tc>
          <w:tcPr>
            <w:tcW w:w="3440" w:type="dxa"/>
            <w:vAlign w:val="bottom"/>
            <w:gridSpan w:val="2"/>
            <w:vMerge w:val="continue"/>
          </w:tcPr>
          <w:p>
            <w:pPr>
              <w:spacing w:after="0"/>
              <w:rPr>
                <w:sz w:val="12"/>
                <w:szCs w:val="12"/>
                <w:color w:val="auto"/>
              </w:rPr>
            </w:pPr>
          </w:p>
        </w:tc>
        <w:tc>
          <w:tcPr>
            <w:tcW w:w="1220" w:type="dxa"/>
            <w:vAlign w:val="bottom"/>
            <w:gridSpan w:val="2"/>
          </w:tcPr>
          <w:p>
            <w:pPr>
              <w:jc w:val="right"/>
              <w:ind w:right="480"/>
              <w:spacing w:after="0" w:line="145" w:lineRule="exact"/>
              <w:rPr>
                <w:sz w:val="20"/>
                <w:szCs w:val="20"/>
                <w:color w:val="auto"/>
              </w:rPr>
            </w:pPr>
            <w:r>
              <w:rPr>
                <w:rFonts w:ascii="Arial" w:cs="Arial" w:eastAsia="Arial" w:hAnsi="Arial"/>
                <w:sz w:val="14"/>
                <w:szCs w:val="14"/>
                <w:b w:val="1"/>
                <w:bCs w:val="1"/>
                <w:color w:val="auto"/>
                <w:w w:val="95"/>
              </w:rPr>
              <w:t>Percentage</w:t>
            </w: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1500" w:type="dxa"/>
            <w:vAlign w:val="bottom"/>
          </w:tcPr>
          <w:p>
            <w:pPr>
              <w:spacing w:after="0"/>
              <w:rPr>
                <w:sz w:val="15"/>
                <w:szCs w:val="15"/>
                <w:color w:val="auto"/>
              </w:rPr>
            </w:pPr>
          </w:p>
        </w:tc>
        <w:tc>
          <w:tcPr>
            <w:tcW w:w="2060" w:type="dxa"/>
            <w:vAlign w:val="bottom"/>
            <w:gridSpan w:val="2"/>
            <w:vMerge w:val="continue"/>
          </w:tcPr>
          <w:p>
            <w:pPr>
              <w:spacing w:after="0"/>
              <w:rPr>
                <w:sz w:val="15"/>
                <w:szCs w:val="15"/>
                <w:color w:val="auto"/>
              </w:rPr>
            </w:pPr>
          </w:p>
        </w:tc>
        <w:tc>
          <w:tcPr>
            <w:tcW w:w="3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Interest</w:t>
            </w:r>
            <w:r>
              <w:rPr>
                <w:rFonts w:ascii="Arial" w:cs="Arial" w:eastAsia="Arial" w:hAnsi="Arial"/>
                <w:sz w:val="12"/>
                <w:szCs w:val="12"/>
                <w:b w:val="1"/>
                <w:bCs w:val="1"/>
                <w:color w:val="auto"/>
                <w:w w:val="98"/>
              </w:rPr>
              <w:t>(1)</w:t>
            </w:r>
            <w:r>
              <w:rPr>
                <w:rFonts w:ascii="Arial" w:cs="Arial" w:eastAsia="Arial" w:hAnsi="Arial"/>
                <w:sz w:val="14"/>
                <w:szCs w:val="14"/>
                <w:b w:val="1"/>
                <w:bCs w:val="1"/>
                <w:color w:val="auto"/>
                <w:w w:val="98"/>
              </w:rPr>
              <w:t>, Maturity</w:t>
            </w:r>
          </w:p>
        </w:tc>
        <w:tc>
          <w:tcPr>
            <w:tcW w:w="12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1"/>
              </w:rPr>
              <w:t>Ownership</w:t>
            </w:r>
            <w:r>
              <w:rPr>
                <w:rFonts w:ascii="Arial" w:cs="Arial" w:eastAsia="Arial" w:hAnsi="Arial"/>
                <w:sz w:val="12"/>
                <w:szCs w:val="12"/>
                <w:b w:val="1"/>
                <w:bCs w:val="1"/>
                <w:color w:val="auto"/>
                <w:w w:val="91"/>
              </w:rPr>
              <w:t>(2)</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122"/>
        </w:trPr>
        <w:tc>
          <w:tcPr>
            <w:tcW w:w="338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Companies Less than 5% Owned</w:t>
            </w:r>
          </w:p>
        </w:tc>
        <w:tc>
          <w:tcPr>
            <w:tcW w:w="18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320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3380" w:type="dxa"/>
            <w:vAlign w:val="bottom"/>
            <w:gridSpan w:val="2"/>
          </w:tcPr>
          <w:p>
            <w:pPr>
              <w:spacing w:after="0" w:line="130" w:lineRule="exact"/>
              <w:rPr>
                <w:sz w:val="20"/>
                <w:szCs w:val="20"/>
                <w:color w:val="auto"/>
              </w:rPr>
            </w:pPr>
            <w:r>
              <w:rPr>
                <w:rFonts w:ascii="Arial" w:cs="Arial" w:eastAsia="Arial" w:hAnsi="Arial"/>
                <w:sz w:val="14"/>
                <w:szCs w:val="14"/>
                <w:color w:val="auto"/>
              </w:rPr>
              <w:t>18 Fremont Street Acquisition, LLC</w:t>
            </w:r>
          </w:p>
        </w:tc>
        <w:tc>
          <w:tcPr>
            <w:tcW w:w="2060" w:type="dxa"/>
            <w:vAlign w:val="bottom"/>
            <w:gridSpan w:val="2"/>
          </w:tcPr>
          <w:p>
            <w:pPr>
              <w:jc w:val="center"/>
              <w:ind w:right="220"/>
              <w:spacing w:after="0" w:line="130" w:lineRule="exact"/>
              <w:rPr>
                <w:sz w:val="20"/>
                <w:szCs w:val="20"/>
                <w:color w:val="auto"/>
              </w:rPr>
            </w:pPr>
            <w:r>
              <w:rPr>
                <w:rFonts w:ascii="Arial" w:cs="Arial" w:eastAsia="Arial" w:hAnsi="Arial"/>
                <w:sz w:val="14"/>
                <w:szCs w:val="14"/>
                <w:color w:val="auto"/>
                <w:w w:val="91"/>
              </w:rPr>
              <w:t>Hotels, Restaurants and Leisure</w:t>
            </w:r>
          </w:p>
        </w:tc>
        <w:tc>
          <w:tcPr>
            <w:tcW w:w="3440" w:type="dxa"/>
            <w:vAlign w:val="bottom"/>
            <w:gridSpan w:val="2"/>
          </w:tcPr>
          <w:p>
            <w:pPr>
              <w:jc w:val="center"/>
              <w:ind w:right="220"/>
              <w:spacing w:after="0" w:line="130" w:lineRule="exact"/>
              <w:rPr>
                <w:sz w:val="20"/>
                <w:szCs w:val="20"/>
                <w:color w:val="auto"/>
              </w:rPr>
            </w:pPr>
            <w:r>
              <w:rPr>
                <w:rFonts w:ascii="Arial" w:cs="Arial" w:eastAsia="Arial" w:hAnsi="Arial"/>
                <w:sz w:val="14"/>
                <w:szCs w:val="14"/>
                <w:color w:val="auto"/>
                <w:w w:val="94"/>
              </w:rPr>
              <w:t>First Lien Secured Debt, 1M L+800, 08/11/2025</w:t>
            </w:r>
          </w:p>
        </w:tc>
        <w:tc>
          <w:tcPr>
            <w:tcW w:w="1220" w:type="dxa"/>
            <w:vAlign w:val="bottom"/>
            <w:gridSpan w:val="2"/>
          </w:tcPr>
          <w:p>
            <w:pPr>
              <w:jc w:val="right"/>
              <w:ind w:right="460"/>
              <w:spacing w:after="0" w:line="130"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30"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40"/>
              <w:spacing w:after="0" w:line="130" w:lineRule="exact"/>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148"/>
        </w:trPr>
        <w:tc>
          <w:tcPr>
            <w:tcW w:w="3380" w:type="dxa"/>
            <w:vAlign w:val="bottom"/>
            <w:gridSpan w:val="2"/>
          </w:tcPr>
          <w:p>
            <w:pPr>
              <w:spacing w:after="0" w:line="149" w:lineRule="exact"/>
              <w:rPr>
                <w:sz w:val="20"/>
                <w:szCs w:val="20"/>
                <w:color w:val="auto"/>
              </w:rPr>
            </w:pPr>
            <w:r>
              <w:rPr>
                <w:rFonts w:ascii="Arial" w:cs="Arial" w:eastAsia="Arial" w:hAnsi="Arial"/>
                <w:sz w:val="14"/>
                <w:szCs w:val="14"/>
                <w:color w:val="auto"/>
              </w:rPr>
              <w:t>1 Fremont Street</w:t>
            </w:r>
          </w:p>
        </w:tc>
        <w:tc>
          <w:tcPr>
            <w:tcW w:w="1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380" w:type="dxa"/>
            <w:vAlign w:val="bottom"/>
            <w:gridSpan w:val="2"/>
          </w:tcPr>
          <w:p>
            <w:pPr>
              <w:spacing w:after="0"/>
              <w:rPr>
                <w:sz w:val="20"/>
                <w:szCs w:val="20"/>
                <w:color w:val="auto"/>
              </w:rPr>
            </w:pPr>
            <w:r>
              <w:rPr>
                <w:rFonts w:ascii="Arial" w:cs="Arial" w:eastAsia="Arial" w:hAnsi="Arial"/>
                <w:sz w:val="14"/>
                <w:szCs w:val="14"/>
                <w:color w:val="auto"/>
              </w:rPr>
              <w:t>Las Vegas, NV 89101</w:t>
            </w:r>
          </w:p>
        </w:tc>
        <w:tc>
          <w:tcPr>
            <w:tcW w:w="1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Affinion Group Holdings, Inc.</w:t>
            </w:r>
          </w:p>
        </w:tc>
        <w:tc>
          <w:tcPr>
            <w:tcW w:w="20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Consumer Goods: Durable</w:t>
            </w:r>
          </w:p>
        </w:tc>
        <w:tc>
          <w:tcPr>
            <w:tcW w:w="344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87"/>
              </w:rPr>
              <w:t>Warrants</w:t>
            </w:r>
          </w:p>
        </w:tc>
        <w:tc>
          <w:tcPr>
            <w:tcW w:w="1220" w:type="dxa"/>
            <w:vAlign w:val="bottom"/>
            <w:gridSpan w:val="2"/>
            <w:shd w:val="clear" w:color="auto" w:fill="CCEEFF"/>
          </w:tcPr>
          <w:p>
            <w:pPr>
              <w:jc w:val="right"/>
              <w:ind w:right="46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48"/>
        </w:trPr>
        <w:tc>
          <w:tcPr>
            <w:tcW w:w="3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100 Connecticut Avenue</w:t>
            </w:r>
          </w:p>
        </w:tc>
        <w:tc>
          <w:tcPr>
            <w:tcW w:w="1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Norwalk, CT 06850</w:t>
            </w:r>
          </w:p>
        </w:tc>
        <w:tc>
          <w:tcPr>
            <w:tcW w:w="1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380" w:type="dxa"/>
            <w:vAlign w:val="bottom"/>
            <w:gridSpan w:val="2"/>
          </w:tcPr>
          <w:p>
            <w:pPr>
              <w:spacing w:after="0"/>
              <w:rPr>
                <w:sz w:val="20"/>
                <w:szCs w:val="20"/>
                <w:color w:val="auto"/>
              </w:rPr>
            </w:pPr>
            <w:r>
              <w:rPr>
                <w:rFonts w:ascii="Arial" w:cs="Arial" w:eastAsia="Arial" w:hAnsi="Arial"/>
                <w:sz w:val="14"/>
                <w:szCs w:val="14"/>
                <w:color w:val="auto"/>
              </w:rPr>
              <w:t>AG Investco LP</w:t>
            </w:r>
          </w:p>
        </w:tc>
        <w:tc>
          <w:tcPr>
            <w:tcW w:w="206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Software</w:t>
            </w:r>
          </w:p>
        </w:tc>
        <w:tc>
          <w:tcPr>
            <w:tcW w:w="3440" w:type="dxa"/>
            <w:vAlign w:val="bottom"/>
            <w:gridSpan w:val="2"/>
          </w:tcPr>
          <w:p>
            <w:pPr>
              <w:jc w:val="center"/>
              <w:ind w:right="240"/>
              <w:spacing w:after="0"/>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(4)(5)</w:t>
            </w: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715</w:t>
            </w:r>
          </w:p>
        </w:tc>
        <w:tc>
          <w:tcPr>
            <w:tcW w:w="0" w:type="dxa"/>
            <w:vAlign w:val="bottom"/>
          </w:tcPr>
          <w:p>
            <w:pPr>
              <w:spacing w:after="0"/>
              <w:rPr>
                <w:sz w:val="1"/>
                <w:szCs w:val="1"/>
                <w:color w:val="auto"/>
              </w:rPr>
            </w:pPr>
          </w:p>
        </w:tc>
      </w:tr>
      <w:tr>
        <w:trPr>
          <w:trHeight w:val="148"/>
        </w:trPr>
        <w:tc>
          <w:tcPr>
            <w:tcW w:w="3380" w:type="dxa"/>
            <w:vAlign w:val="bottom"/>
            <w:gridSpan w:val="2"/>
          </w:tcPr>
          <w:p>
            <w:pPr>
              <w:spacing w:after="0" w:line="149" w:lineRule="exact"/>
              <w:rPr>
                <w:sz w:val="20"/>
                <w:szCs w:val="20"/>
                <w:color w:val="auto"/>
              </w:rPr>
            </w:pPr>
            <w:r>
              <w:rPr>
                <w:rFonts w:ascii="Arial" w:cs="Arial" w:eastAsia="Arial" w:hAnsi="Arial"/>
                <w:sz w:val="14"/>
                <w:szCs w:val="14"/>
                <w:color w:val="auto"/>
              </w:rPr>
              <w:t>251 Little Falls Drive</w:t>
            </w:r>
          </w:p>
        </w:tc>
        <w:tc>
          <w:tcPr>
            <w:tcW w:w="1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380" w:type="dxa"/>
            <w:vAlign w:val="bottom"/>
            <w:gridSpan w:val="2"/>
          </w:tcPr>
          <w:p>
            <w:pPr>
              <w:spacing w:after="0"/>
              <w:rPr>
                <w:sz w:val="20"/>
                <w:szCs w:val="20"/>
                <w:color w:val="auto"/>
              </w:rPr>
            </w:pPr>
            <w:r>
              <w:rPr>
                <w:rFonts w:ascii="Arial" w:cs="Arial" w:eastAsia="Arial" w:hAnsi="Arial"/>
                <w:sz w:val="14"/>
                <w:szCs w:val="14"/>
                <w:color w:val="auto"/>
              </w:rPr>
              <w:t>Herndon, VA 19808</w:t>
            </w:r>
          </w:p>
        </w:tc>
        <w:tc>
          <w:tcPr>
            <w:tcW w:w="1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Altamira Technologies, LLC</w:t>
            </w:r>
          </w:p>
        </w:tc>
        <w:tc>
          <w:tcPr>
            <w:tcW w:w="20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IT Services</w:t>
            </w:r>
          </w:p>
        </w:tc>
        <w:tc>
          <w:tcPr>
            <w:tcW w:w="344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 3M L+600, 07/24/2025</w:t>
            </w:r>
          </w:p>
        </w:tc>
        <w:tc>
          <w:tcPr>
            <w:tcW w:w="122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7,938</w:t>
            </w:r>
          </w:p>
        </w:tc>
        <w:tc>
          <w:tcPr>
            <w:tcW w:w="0" w:type="dxa"/>
            <w:vAlign w:val="bottom"/>
          </w:tcPr>
          <w:p>
            <w:pPr>
              <w:spacing w:after="0"/>
              <w:rPr>
                <w:sz w:val="1"/>
                <w:szCs w:val="1"/>
                <w:color w:val="auto"/>
              </w:rPr>
            </w:pPr>
          </w:p>
        </w:tc>
      </w:tr>
      <w:tr>
        <w:trPr>
          <w:trHeight w:val="148"/>
        </w:trPr>
        <w:tc>
          <w:tcPr>
            <w:tcW w:w="3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(Altamira Intermediate Company II, Inc.)</w:t>
            </w:r>
          </w:p>
        </w:tc>
        <w:tc>
          <w:tcPr>
            <w:tcW w:w="1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4"/>
              </w:rPr>
              <w:t>Common Equity</w:t>
            </w: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8201 Greensboro Drive, Suite 800</w:t>
            </w:r>
          </w:p>
        </w:tc>
        <w:tc>
          <w:tcPr>
            <w:tcW w:w="1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McLean, VA 22102</w:t>
            </w:r>
          </w:p>
        </w:tc>
        <w:tc>
          <w:tcPr>
            <w:tcW w:w="1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380" w:type="dxa"/>
            <w:vAlign w:val="bottom"/>
            <w:gridSpan w:val="2"/>
          </w:tcPr>
          <w:p>
            <w:pPr>
              <w:spacing w:after="0"/>
              <w:rPr>
                <w:sz w:val="20"/>
                <w:szCs w:val="20"/>
                <w:color w:val="auto"/>
              </w:rPr>
            </w:pPr>
            <w:r>
              <w:rPr>
                <w:rFonts w:ascii="Arial" w:cs="Arial" w:eastAsia="Arial" w:hAnsi="Arial"/>
                <w:sz w:val="14"/>
                <w:szCs w:val="14"/>
                <w:color w:val="auto"/>
              </w:rPr>
              <w:t>American Auto Auction Group, LLC</w:t>
            </w:r>
          </w:p>
        </w:tc>
        <w:tc>
          <w:tcPr>
            <w:tcW w:w="206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Transportation: Consumer</w:t>
            </w:r>
          </w:p>
        </w:tc>
        <w:tc>
          <w:tcPr>
            <w:tcW w:w="344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First Lien Secured Debt, 3M L+475, 01/02/2024</w:t>
            </w:r>
          </w:p>
        </w:tc>
        <w:tc>
          <w:tcPr>
            <w:tcW w:w="122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5,740</w:t>
            </w:r>
          </w:p>
        </w:tc>
        <w:tc>
          <w:tcPr>
            <w:tcW w:w="0" w:type="dxa"/>
            <w:vAlign w:val="bottom"/>
          </w:tcPr>
          <w:p>
            <w:pPr>
              <w:spacing w:after="0"/>
              <w:rPr>
                <w:sz w:val="1"/>
                <w:szCs w:val="1"/>
                <w:color w:val="auto"/>
              </w:rPr>
            </w:pPr>
          </w:p>
        </w:tc>
      </w:tr>
      <w:tr>
        <w:trPr>
          <w:trHeight w:val="148"/>
        </w:trPr>
        <w:tc>
          <w:tcPr>
            <w:tcW w:w="3380" w:type="dxa"/>
            <w:vAlign w:val="bottom"/>
            <w:gridSpan w:val="2"/>
          </w:tcPr>
          <w:p>
            <w:pPr>
              <w:spacing w:after="0" w:line="149" w:lineRule="exact"/>
              <w:rPr>
                <w:sz w:val="20"/>
                <w:szCs w:val="20"/>
                <w:color w:val="auto"/>
              </w:rPr>
            </w:pPr>
            <w:r>
              <w:rPr>
                <w:rFonts w:ascii="Arial" w:cs="Arial" w:eastAsia="Arial" w:hAnsi="Arial"/>
                <w:sz w:val="14"/>
                <w:szCs w:val="14"/>
                <w:color w:val="auto"/>
              </w:rPr>
              <w:t>10333 N. Meridian, Suite 200</w:t>
            </w:r>
          </w:p>
        </w:tc>
        <w:tc>
          <w:tcPr>
            <w:tcW w:w="1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380" w:type="dxa"/>
            <w:vAlign w:val="bottom"/>
            <w:gridSpan w:val="2"/>
          </w:tcPr>
          <w:p>
            <w:pPr>
              <w:spacing w:after="0"/>
              <w:rPr>
                <w:sz w:val="20"/>
                <w:szCs w:val="20"/>
                <w:color w:val="auto"/>
              </w:rPr>
            </w:pPr>
            <w:r>
              <w:rPr>
                <w:rFonts w:ascii="Arial" w:cs="Arial" w:eastAsia="Arial" w:hAnsi="Arial"/>
                <w:sz w:val="14"/>
                <w:szCs w:val="14"/>
                <w:color w:val="auto"/>
              </w:rPr>
              <w:t>Indianapolis, IN 46290</w:t>
            </w:r>
          </w:p>
        </w:tc>
        <w:tc>
          <w:tcPr>
            <w:tcW w:w="1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American Insulated Glass, LLC</w:t>
            </w:r>
          </w:p>
        </w:tc>
        <w:tc>
          <w:tcPr>
            <w:tcW w:w="206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5"/>
              </w:rPr>
              <w:t>Building Products</w:t>
            </w:r>
          </w:p>
        </w:tc>
        <w:tc>
          <w:tcPr>
            <w:tcW w:w="344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 3M L+550, 12/21/2023</w:t>
            </w:r>
          </w:p>
        </w:tc>
        <w:tc>
          <w:tcPr>
            <w:tcW w:w="122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0.6%</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15,023</w:t>
            </w:r>
          </w:p>
        </w:tc>
        <w:tc>
          <w:tcPr>
            <w:tcW w:w="0" w:type="dxa"/>
            <w:vAlign w:val="bottom"/>
          </w:tcPr>
          <w:p>
            <w:pPr>
              <w:spacing w:after="0"/>
              <w:rPr>
                <w:sz w:val="1"/>
                <w:szCs w:val="1"/>
                <w:color w:val="auto"/>
              </w:rPr>
            </w:pPr>
          </w:p>
        </w:tc>
      </w:tr>
      <w:tr>
        <w:trPr>
          <w:trHeight w:val="149"/>
        </w:trPr>
        <w:tc>
          <w:tcPr>
            <w:tcW w:w="3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(Go Dawgs Capital III, LP)</w:t>
            </w:r>
          </w:p>
        </w:tc>
        <w:tc>
          <w:tcPr>
            <w:tcW w:w="1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(5)</w:t>
            </w: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3965 E. Conley Road</w:t>
            </w:r>
          </w:p>
        </w:tc>
        <w:tc>
          <w:tcPr>
            <w:tcW w:w="1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Conley, GA 30288</w:t>
            </w:r>
          </w:p>
        </w:tc>
        <w:tc>
          <w:tcPr>
            <w:tcW w:w="1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380" w:type="dxa"/>
            <w:vAlign w:val="bottom"/>
            <w:gridSpan w:val="2"/>
          </w:tcPr>
          <w:p>
            <w:pPr>
              <w:spacing w:after="0"/>
              <w:rPr>
                <w:sz w:val="20"/>
                <w:szCs w:val="20"/>
                <w:color w:val="auto"/>
              </w:rPr>
            </w:pPr>
            <w:r>
              <w:rPr>
                <w:rFonts w:ascii="Arial" w:cs="Arial" w:eastAsia="Arial" w:hAnsi="Arial"/>
                <w:sz w:val="14"/>
                <w:szCs w:val="14"/>
                <w:color w:val="auto"/>
              </w:rPr>
              <w:t>American Teleconferencing Services, Ltd.</w:t>
            </w:r>
          </w:p>
        </w:tc>
        <w:tc>
          <w:tcPr>
            <w:tcW w:w="206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Telecommunications</w:t>
            </w:r>
          </w:p>
        </w:tc>
        <w:tc>
          <w:tcPr>
            <w:tcW w:w="344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First Lien Secured Debt, 3M L+650, 12/08/2021</w:t>
            </w:r>
          </w:p>
        </w:tc>
        <w:tc>
          <w:tcPr>
            <w:tcW w:w="122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6,771</w:t>
            </w:r>
          </w:p>
        </w:tc>
        <w:tc>
          <w:tcPr>
            <w:tcW w:w="0" w:type="dxa"/>
            <w:vAlign w:val="bottom"/>
          </w:tcPr>
          <w:p>
            <w:pPr>
              <w:spacing w:after="0"/>
              <w:rPr>
                <w:sz w:val="1"/>
                <w:szCs w:val="1"/>
                <w:color w:val="auto"/>
              </w:rPr>
            </w:pPr>
          </w:p>
        </w:tc>
      </w:tr>
      <w:tr>
        <w:trPr>
          <w:trHeight w:val="149"/>
        </w:trPr>
        <w:tc>
          <w:tcPr>
            <w:tcW w:w="3380" w:type="dxa"/>
            <w:vAlign w:val="bottom"/>
            <w:gridSpan w:val="2"/>
          </w:tcPr>
          <w:p>
            <w:pPr>
              <w:spacing w:after="0" w:line="149" w:lineRule="exact"/>
              <w:rPr>
                <w:sz w:val="20"/>
                <w:szCs w:val="20"/>
                <w:color w:val="auto"/>
              </w:rPr>
            </w:pPr>
            <w:r>
              <w:rPr>
                <w:rFonts w:ascii="Arial" w:cs="Arial" w:eastAsia="Arial" w:hAnsi="Arial"/>
                <w:sz w:val="14"/>
                <w:szCs w:val="14"/>
                <w:color w:val="auto"/>
              </w:rPr>
              <w:t>3280 Peachtree Road, NE</w:t>
            </w:r>
          </w:p>
        </w:tc>
        <w:tc>
          <w:tcPr>
            <w:tcW w:w="1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380" w:type="dxa"/>
            <w:vAlign w:val="bottom"/>
            <w:gridSpan w:val="2"/>
          </w:tcPr>
          <w:p>
            <w:pPr>
              <w:spacing w:after="0"/>
              <w:rPr>
                <w:sz w:val="20"/>
                <w:szCs w:val="20"/>
                <w:color w:val="auto"/>
              </w:rPr>
            </w:pPr>
            <w:r>
              <w:rPr>
                <w:rFonts w:ascii="Arial" w:cs="Arial" w:eastAsia="Arial" w:hAnsi="Arial"/>
                <w:sz w:val="14"/>
                <w:szCs w:val="14"/>
                <w:color w:val="auto"/>
              </w:rPr>
              <w:t>Atlanta, GA 30305</w:t>
            </w:r>
          </w:p>
        </w:tc>
        <w:tc>
          <w:tcPr>
            <w:tcW w:w="1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API Technologies Corp.</w:t>
            </w:r>
          </w:p>
        </w:tc>
        <w:tc>
          <w:tcPr>
            <w:tcW w:w="206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3"/>
              </w:rPr>
              <w:t>Electronic Equipment,</w:t>
            </w:r>
          </w:p>
        </w:tc>
        <w:tc>
          <w:tcPr>
            <w:tcW w:w="344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4"/>
              </w:rPr>
              <w:t>First Lien Secured Debt, 1M L+425, 05/11/2026</w:t>
            </w:r>
          </w:p>
        </w:tc>
        <w:tc>
          <w:tcPr>
            <w:tcW w:w="1220" w:type="dxa"/>
            <w:vAlign w:val="bottom"/>
            <w:gridSpan w:val="2"/>
            <w:shd w:val="clear" w:color="auto" w:fill="CCEEFF"/>
          </w:tcPr>
          <w:p>
            <w:pPr>
              <w:jc w:val="right"/>
              <w:ind w:right="46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5,783</w:t>
            </w:r>
          </w:p>
        </w:tc>
        <w:tc>
          <w:tcPr>
            <w:tcW w:w="0" w:type="dxa"/>
            <w:vAlign w:val="bottom"/>
          </w:tcPr>
          <w:p>
            <w:pPr>
              <w:spacing w:after="0"/>
              <w:rPr>
                <w:sz w:val="1"/>
                <w:szCs w:val="1"/>
                <w:color w:val="auto"/>
              </w:rPr>
            </w:pPr>
          </w:p>
        </w:tc>
      </w:tr>
      <w:tr>
        <w:trPr>
          <w:trHeight w:val="148"/>
        </w:trPr>
        <w:tc>
          <w:tcPr>
            <w:tcW w:w="3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4705 S. Apopka Vineland Rd., Suite 210</w:t>
            </w:r>
          </w:p>
        </w:tc>
        <w:tc>
          <w:tcPr>
            <w:tcW w:w="206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1"/>
              </w:rPr>
              <w:t>Instruments, and Components</w:t>
            </w:r>
          </w:p>
        </w:tc>
        <w:tc>
          <w:tcPr>
            <w:tcW w:w="3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Orlando, FL 32819</w:t>
            </w:r>
          </w:p>
        </w:tc>
        <w:tc>
          <w:tcPr>
            <w:tcW w:w="1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40"/>
          </w:cols>
          <w:pgMar w:left="32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Type of Investment,</w:t>
            </w:r>
          </w:p>
        </w:tc>
        <w:tc>
          <w:tcPr>
            <w:tcW w:w="12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Voting</w:t>
            </w:r>
          </w:p>
        </w:tc>
        <w:tc>
          <w:tcPr>
            <w:tcW w:w="80" w:type="dxa"/>
            <w:vAlign w:val="bottom"/>
          </w:tcPr>
          <w:p>
            <w:pPr>
              <w:spacing w:after="0"/>
              <w:rPr>
                <w:sz w:val="14"/>
                <w:szCs w:val="14"/>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4060" w:type="dxa"/>
            <w:vAlign w:val="bottom"/>
            <w:gridSpan w:val="2"/>
            <w:vMerge w:val="continue"/>
          </w:tcPr>
          <w:p>
            <w:pPr>
              <w:spacing w:after="0"/>
              <w:rPr>
                <w:sz w:val="12"/>
                <w:szCs w:val="12"/>
                <w:color w:val="auto"/>
              </w:rPr>
            </w:pPr>
          </w:p>
        </w:tc>
        <w:tc>
          <w:tcPr>
            <w:tcW w:w="18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Nature of Business</w:t>
            </w:r>
          </w:p>
        </w:tc>
        <w:tc>
          <w:tcPr>
            <w:tcW w:w="2960" w:type="dxa"/>
            <w:vAlign w:val="bottom"/>
            <w:gridSpan w:val="2"/>
            <w:vMerge w:val="continue"/>
          </w:tcPr>
          <w:p>
            <w:pPr>
              <w:spacing w:after="0"/>
              <w:rPr>
                <w:sz w:val="12"/>
                <w:szCs w:val="12"/>
                <w:color w:val="auto"/>
              </w:rPr>
            </w:pPr>
          </w:p>
        </w:tc>
        <w:tc>
          <w:tcPr>
            <w:tcW w:w="1260" w:type="dxa"/>
            <w:vAlign w:val="bottom"/>
            <w:gridSpan w:val="2"/>
          </w:tcPr>
          <w:p>
            <w:pPr>
              <w:jc w:val="right"/>
              <w:ind w:right="520"/>
              <w:spacing w:after="0" w:line="145" w:lineRule="exact"/>
              <w:rPr>
                <w:sz w:val="20"/>
                <w:szCs w:val="20"/>
                <w:color w:val="auto"/>
              </w:rPr>
            </w:pPr>
            <w:r>
              <w:rPr>
                <w:rFonts w:ascii="Arial" w:cs="Arial" w:eastAsia="Arial" w:hAnsi="Arial"/>
                <w:sz w:val="14"/>
                <w:szCs w:val="14"/>
                <w:b w:val="1"/>
                <w:bCs w:val="1"/>
                <w:color w:val="auto"/>
                <w:w w:val="95"/>
              </w:rPr>
              <w:t>Percentage</w:t>
            </w: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2180" w:type="dxa"/>
            <w:vAlign w:val="bottom"/>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2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Interest</w:t>
            </w:r>
            <w:r>
              <w:rPr>
                <w:rFonts w:ascii="Arial" w:cs="Arial" w:eastAsia="Arial" w:hAnsi="Arial"/>
                <w:sz w:val="12"/>
                <w:szCs w:val="12"/>
                <w:b w:val="1"/>
                <w:bCs w:val="1"/>
                <w:color w:val="auto"/>
                <w:w w:val="98"/>
              </w:rPr>
              <w:t>(1)</w:t>
            </w:r>
            <w:r>
              <w:rPr>
                <w:rFonts w:ascii="Arial" w:cs="Arial" w:eastAsia="Arial" w:hAnsi="Arial"/>
                <w:sz w:val="14"/>
                <w:szCs w:val="14"/>
                <w:b w:val="1"/>
                <w:bCs w:val="1"/>
                <w:color w:val="auto"/>
                <w:w w:val="98"/>
              </w:rPr>
              <w:t>, Maturity</w:t>
            </w: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1"/>
              </w:rPr>
              <w:t>Ownership</w:t>
            </w:r>
            <w:r>
              <w:rPr>
                <w:rFonts w:ascii="Arial" w:cs="Arial" w:eastAsia="Arial" w:hAnsi="Arial"/>
                <w:sz w:val="12"/>
                <w:szCs w:val="12"/>
                <w:b w:val="1"/>
                <w:bCs w:val="1"/>
                <w:color w:val="auto"/>
                <w:w w:val="91"/>
              </w:rPr>
              <w:t>(2)</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108"/>
        </w:trPr>
        <w:tc>
          <w:tcPr>
            <w:tcW w:w="4060" w:type="dxa"/>
            <w:vAlign w:val="bottom"/>
            <w:tcBorders>
              <w:top w:val="single" w:sz="8" w:color="CCEEFF"/>
            </w:tcBorders>
            <w:gridSpan w:val="2"/>
            <w:shd w:val="clear" w:color="auto" w:fill="CCEEFF"/>
          </w:tcPr>
          <w:p>
            <w:pPr>
              <w:spacing w:after="0" w:line="109" w:lineRule="exact"/>
              <w:rPr>
                <w:sz w:val="20"/>
                <w:szCs w:val="20"/>
                <w:color w:val="auto"/>
              </w:rPr>
            </w:pPr>
            <w:r>
              <w:rPr>
                <w:rFonts w:ascii="Arial" w:cs="Arial" w:eastAsia="Arial" w:hAnsi="Arial"/>
                <w:sz w:val="12"/>
                <w:szCs w:val="12"/>
                <w:color w:val="auto"/>
              </w:rPr>
              <w:t>BEI Precision Systems &amp; Space Company, Inc.</w:t>
            </w:r>
          </w:p>
        </w:tc>
        <w:tc>
          <w:tcPr>
            <w:tcW w:w="156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Aerospace and Defense</w:t>
            </w:r>
          </w:p>
        </w:tc>
        <w:tc>
          <w:tcPr>
            <w:tcW w:w="260" w:type="dxa"/>
            <w:vAlign w:val="bottom"/>
            <w:tcBorders>
              <w:top w:val="single" w:sz="8" w:color="CCEEFF"/>
            </w:tcBorders>
            <w:shd w:val="clear" w:color="auto" w:fill="CCEEFF"/>
          </w:tcPr>
          <w:p>
            <w:pPr>
              <w:spacing w:after="0"/>
              <w:rPr>
                <w:sz w:val="9"/>
                <w:szCs w:val="9"/>
                <w:color w:val="auto"/>
              </w:rPr>
            </w:pPr>
          </w:p>
        </w:tc>
        <w:tc>
          <w:tcPr>
            <w:tcW w:w="268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w:t>
            </w:r>
          </w:p>
        </w:tc>
        <w:tc>
          <w:tcPr>
            <w:tcW w:w="28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w:t>
            </w:r>
          </w:p>
        </w:tc>
        <w:tc>
          <w:tcPr>
            <w:tcW w:w="4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line="109" w:lineRule="exact"/>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11,613</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1100 Murphy Drive</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3M L+550, 04/28/2023</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Maumelle, AR 72113</w:t>
            </w: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60" w:type="dxa"/>
            <w:vAlign w:val="bottom"/>
            <w:gridSpan w:val="2"/>
          </w:tcPr>
          <w:p>
            <w:pPr>
              <w:spacing w:after="0"/>
              <w:rPr>
                <w:sz w:val="20"/>
                <w:szCs w:val="20"/>
                <w:color w:val="auto"/>
              </w:rPr>
            </w:pPr>
            <w:r>
              <w:rPr>
                <w:rFonts w:ascii="Arial" w:cs="Arial" w:eastAsia="Arial" w:hAnsi="Arial"/>
                <w:sz w:val="14"/>
                <w:szCs w:val="14"/>
                <w:color w:val="auto"/>
              </w:rPr>
              <w:t>By Light Professional IT Services, LLC</w:t>
            </w:r>
          </w:p>
        </w:tc>
        <w:tc>
          <w:tcPr>
            <w:tcW w:w="182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High Tech Industries</w:t>
            </w:r>
          </w:p>
        </w:tc>
        <w:tc>
          <w:tcPr>
            <w:tcW w:w="296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tcPr>
          <w:p>
            <w:pPr>
              <w:jc w:val="right"/>
              <w:ind w:right="320"/>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22,316</w:t>
            </w: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(By Light Investco LP)</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3M L+625, 05/16/2022</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3101 Wilson Boulevard, Suite 850</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(4)(5)</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gridSpan w:val="2"/>
          </w:tcPr>
          <w:p>
            <w:pPr>
              <w:spacing w:after="0"/>
              <w:rPr>
                <w:sz w:val="20"/>
                <w:szCs w:val="20"/>
                <w:color w:val="auto"/>
              </w:rPr>
            </w:pPr>
            <w:r>
              <w:rPr>
                <w:rFonts w:ascii="Arial" w:cs="Arial" w:eastAsia="Arial" w:hAnsi="Arial"/>
                <w:sz w:val="14"/>
                <w:szCs w:val="14"/>
                <w:color w:val="auto"/>
              </w:rPr>
              <w:t>Arlington, VA 22201</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Cadence Aerospace, LLC</w:t>
            </w:r>
          </w:p>
        </w:tc>
        <w:tc>
          <w:tcPr>
            <w:tcW w:w="182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0"/>
              </w:rPr>
              <w:t>Aerospace and Defense</w:t>
            </w:r>
          </w:p>
        </w:tc>
        <w:tc>
          <w:tcPr>
            <w:tcW w:w="296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shd w:val="clear" w:color="auto" w:fill="CCEEFF"/>
          </w:tcPr>
          <w:p>
            <w:pPr>
              <w:jc w:val="right"/>
              <w:ind w:right="50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2,855</w:t>
            </w:r>
          </w:p>
        </w:tc>
        <w:tc>
          <w:tcPr>
            <w:tcW w:w="0" w:type="dxa"/>
            <w:vAlign w:val="bottom"/>
          </w:tcPr>
          <w:p>
            <w:pPr>
              <w:spacing w:after="0"/>
              <w:rPr>
                <w:sz w:val="1"/>
                <w:szCs w:val="1"/>
                <w:color w:val="auto"/>
              </w:rPr>
            </w:pPr>
          </w:p>
        </w:tc>
      </w:tr>
      <w:tr>
        <w:trPr>
          <w:trHeight w:val="149"/>
        </w:trPr>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610 Newport Center Drive, Suite 950</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3M L+650, 11/14/2023</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Newport Beach, CA 92660</w:t>
            </w: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60" w:type="dxa"/>
            <w:vAlign w:val="bottom"/>
            <w:gridSpan w:val="2"/>
          </w:tcPr>
          <w:p>
            <w:pPr>
              <w:spacing w:after="0"/>
              <w:rPr>
                <w:sz w:val="20"/>
                <w:szCs w:val="20"/>
                <w:color w:val="auto"/>
              </w:rPr>
            </w:pPr>
            <w:r>
              <w:rPr>
                <w:rFonts w:ascii="Arial" w:cs="Arial" w:eastAsia="Arial" w:hAnsi="Arial"/>
                <w:sz w:val="14"/>
                <w:szCs w:val="14"/>
                <w:color w:val="auto"/>
              </w:rPr>
              <w:t>Cano Health, LLC</w:t>
            </w:r>
          </w:p>
        </w:tc>
        <w:tc>
          <w:tcPr>
            <w:tcW w:w="1820" w:type="dxa"/>
            <w:vAlign w:val="bottom"/>
            <w:gridSpan w:val="2"/>
          </w:tcPr>
          <w:p>
            <w:pPr>
              <w:jc w:val="center"/>
              <w:ind w:right="280"/>
              <w:spacing w:after="0"/>
              <w:rPr>
                <w:sz w:val="20"/>
                <w:szCs w:val="20"/>
                <w:color w:val="auto"/>
              </w:rPr>
            </w:pPr>
            <w:r>
              <w:rPr>
                <w:rFonts w:ascii="Arial" w:cs="Arial" w:eastAsia="Arial" w:hAnsi="Arial"/>
                <w:sz w:val="14"/>
                <w:szCs w:val="14"/>
                <w:color w:val="auto"/>
                <w:w w:val="90"/>
              </w:rPr>
              <w:t>Healthcare and</w:t>
            </w:r>
          </w:p>
        </w:tc>
        <w:tc>
          <w:tcPr>
            <w:tcW w:w="296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tcPr>
          <w:p>
            <w:pPr>
              <w:jc w:val="right"/>
              <w:ind w:right="320"/>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23,913</w:t>
            </w: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(ITC Rumba, LLC)</w:t>
            </w:r>
          </w:p>
        </w:tc>
        <w:tc>
          <w:tcPr>
            <w:tcW w:w="18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0"/>
              </w:rPr>
              <w:t>Pharmaceuticals</w:t>
            </w:r>
          </w:p>
        </w:tc>
        <w:tc>
          <w:tcPr>
            <w:tcW w:w="29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1M L+650, 12/23/2021</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680 N. University Drive</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gridSpan w:val="2"/>
          </w:tcPr>
          <w:p>
            <w:pPr>
              <w:spacing w:after="0"/>
              <w:rPr>
                <w:sz w:val="20"/>
                <w:szCs w:val="20"/>
                <w:color w:val="auto"/>
              </w:rPr>
            </w:pPr>
            <w:r>
              <w:rPr>
                <w:rFonts w:ascii="Arial" w:cs="Arial" w:eastAsia="Arial" w:hAnsi="Arial"/>
                <w:sz w:val="14"/>
                <w:szCs w:val="14"/>
                <w:color w:val="auto"/>
              </w:rPr>
              <w:t>Pembroke Pines, FL 33024</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Cardenas Markets LLC</w:t>
            </w:r>
          </w:p>
        </w:tc>
        <w:tc>
          <w:tcPr>
            <w:tcW w:w="182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1"/>
              </w:rPr>
              <w:t>Beverage, Food and</w:t>
            </w:r>
          </w:p>
        </w:tc>
        <w:tc>
          <w:tcPr>
            <w:tcW w:w="296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shd w:val="clear" w:color="auto" w:fill="CCEEFF"/>
          </w:tcPr>
          <w:p>
            <w:pPr>
              <w:jc w:val="right"/>
              <w:ind w:right="50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3,720</w:t>
            </w:r>
          </w:p>
        </w:tc>
        <w:tc>
          <w:tcPr>
            <w:tcW w:w="0" w:type="dxa"/>
            <w:vAlign w:val="bottom"/>
          </w:tcPr>
          <w:p>
            <w:pPr>
              <w:spacing w:after="0"/>
              <w:rPr>
                <w:sz w:val="1"/>
                <w:szCs w:val="1"/>
                <w:color w:val="auto"/>
              </w:rPr>
            </w:pPr>
          </w:p>
        </w:tc>
      </w:tr>
      <w:tr>
        <w:trPr>
          <w:trHeight w:val="148"/>
        </w:trPr>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2501 East Guasti Road</w:t>
            </w:r>
          </w:p>
        </w:tc>
        <w:tc>
          <w:tcPr>
            <w:tcW w:w="182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89"/>
              </w:rPr>
              <w:t>Tobacco</w:t>
            </w:r>
          </w:p>
        </w:tc>
        <w:tc>
          <w:tcPr>
            <w:tcW w:w="29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1M L+575, 11/29/2023</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Ontario, CA 91761</w:t>
            </w: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60" w:type="dxa"/>
            <w:vAlign w:val="bottom"/>
            <w:gridSpan w:val="2"/>
          </w:tcPr>
          <w:p>
            <w:pPr>
              <w:spacing w:after="0"/>
              <w:rPr>
                <w:sz w:val="20"/>
                <w:szCs w:val="20"/>
                <w:color w:val="auto"/>
              </w:rPr>
            </w:pPr>
            <w:r>
              <w:rPr>
                <w:rFonts w:ascii="Arial" w:cs="Arial" w:eastAsia="Arial" w:hAnsi="Arial"/>
                <w:sz w:val="14"/>
                <w:szCs w:val="14"/>
                <w:color w:val="auto"/>
              </w:rPr>
              <w:t>CHA Holdings, Inc.</w:t>
            </w:r>
          </w:p>
        </w:tc>
        <w:tc>
          <w:tcPr>
            <w:tcW w:w="182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Environmental Industries</w:t>
            </w:r>
          </w:p>
        </w:tc>
        <w:tc>
          <w:tcPr>
            <w:tcW w:w="296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7,329</w:t>
            </w: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575 Broadway, Suite 301</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3M L+450, 04/10/2025</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gridSpan w:val="2"/>
          </w:tcPr>
          <w:p>
            <w:pPr>
              <w:spacing w:after="0"/>
              <w:rPr>
                <w:sz w:val="20"/>
                <w:szCs w:val="20"/>
                <w:color w:val="auto"/>
              </w:rPr>
            </w:pPr>
            <w:r>
              <w:rPr>
                <w:rFonts w:ascii="Arial" w:cs="Arial" w:eastAsia="Arial" w:hAnsi="Arial"/>
                <w:sz w:val="14"/>
                <w:szCs w:val="14"/>
                <w:color w:val="auto"/>
              </w:rPr>
              <w:t>Albany, NY 12207</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Challenger Performance Optimization, Inc.</w:t>
            </w:r>
          </w:p>
        </w:tc>
        <w:tc>
          <w:tcPr>
            <w:tcW w:w="182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0"/>
              </w:rPr>
              <w:t>Business Services</w:t>
            </w:r>
          </w:p>
        </w:tc>
        <w:tc>
          <w:tcPr>
            <w:tcW w:w="29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shd w:val="clear" w:color="auto" w:fill="CCEEFF"/>
          </w:tcPr>
          <w:p>
            <w:pPr>
              <w:jc w:val="right"/>
              <w:ind w:right="50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148"/>
        </w:trPr>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1201 Wilson Blvd.</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1M L+575, 08/31/2023</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Arlington, VA 22209</w:t>
            </w: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60" w:type="dxa"/>
            <w:vAlign w:val="bottom"/>
            <w:gridSpan w:val="2"/>
          </w:tcPr>
          <w:p>
            <w:pPr>
              <w:spacing w:after="0"/>
              <w:rPr>
                <w:sz w:val="20"/>
                <w:szCs w:val="20"/>
                <w:color w:val="auto"/>
              </w:rPr>
            </w:pPr>
            <w:r>
              <w:rPr>
                <w:rFonts w:ascii="Arial" w:cs="Arial" w:eastAsia="Arial" w:hAnsi="Arial"/>
                <w:sz w:val="14"/>
                <w:szCs w:val="14"/>
                <w:color w:val="auto"/>
              </w:rPr>
              <w:t>CI (Summit) Investment Holdings, LLC</w:t>
            </w:r>
          </w:p>
        </w:tc>
        <w:tc>
          <w:tcPr>
            <w:tcW w:w="1820" w:type="dxa"/>
            <w:vAlign w:val="bottom"/>
            <w:gridSpan w:val="2"/>
          </w:tcPr>
          <w:p>
            <w:pPr>
              <w:jc w:val="center"/>
              <w:ind w:right="260"/>
              <w:spacing w:after="0"/>
              <w:rPr>
                <w:sz w:val="20"/>
                <w:szCs w:val="20"/>
                <w:color w:val="auto"/>
              </w:rPr>
            </w:pPr>
            <w:r>
              <w:rPr>
                <w:rFonts w:ascii="Arial" w:cs="Arial" w:eastAsia="Arial" w:hAnsi="Arial"/>
                <w:sz w:val="14"/>
                <w:szCs w:val="14"/>
                <w:color w:val="auto"/>
                <w:w w:val="95"/>
              </w:rPr>
              <w:t>Construction and Building</w:t>
            </w:r>
          </w:p>
        </w:tc>
        <w:tc>
          <w:tcPr>
            <w:tcW w:w="296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Common Equity</w:t>
            </w:r>
          </w:p>
        </w:tc>
        <w:tc>
          <w:tcPr>
            <w:tcW w:w="1260" w:type="dxa"/>
            <w:vAlign w:val="bottom"/>
            <w:gridSpan w:val="2"/>
          </w:tcPr>
          <w:p>
            <w:pPr>
              <w:jc w:val="right"/>
              <w:ind w:right="320"/>
              <w:spacing w:after="0"/>
              <w:rPr>
                <w:sz w:val="20"/>
                <w:szCs w:val="20"/>
                <w:color w:val="auto"/>
              </w:rPr>
            </w:pPr>
            <w:r>
              <w:rPr>
                <w:rFonts w:ascii="Arial" w:cs="Arial" w:eastAsia="Arial" w:hAnsi="Arial"/>
                <w:sz w:val="14"/>
                <w:szCs w:val="14"/>
                <w:color w:val="auto"/>
              </w:rPr>
              <w:t>0.8%</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721</w:t>
            </w: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575 Minnehaha Ave. W.</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gridSpan w:val="2"/>
          </w:tcPr>
          <w:p>
            <w:pPr>
              <w:spacing w:after="0"/>
              <w:rPr>
                <w:sz w:val="20"/>
                <w:szCs w:val="20"/>
                <w:color w:val="auto"/>
              </w:rPr>
            </w:pPr>
            <w:r>
              <w:rPr>
                <w:rFonts w:ascii="Arial" w:cs="Arial" w:eastAsia="Arial" w:hAnsi="Arial"/>
                <w:sz w:val="14"/>
                <w:szCs w:val="14"/>
                <w:color w:val="auto"/>
              </w:rPr>
              <w:t>St. Paul, MN 55103</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Condor Borrower, LLC</w:t>
            </w:r>
          </w:p>
        </w:tc>
        <w:tc>
          <w:tcPr>
            <w:tcW w:w="182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3"/>
              </w:rPr>
              <w:t>High Tech Industries</w:t>
            </w:r>
          </w:p>
        </w:tc>
        <w:tc>
          <w:tcPr>
            <w:tcW w:w="296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2"/>
              </w:rPr>
              <w:t>Second Lien Secured Debt,</w:t>
            </w:r>
          </w:p>
        </w:tc>
        <w:tc>
          <w:tcPr>
            <w:tcW w:w="12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1,737</w:t>
            </w:r>
          </w:p>
        </w:tc>
        <w:tc>
          <w:tcPr>
            <w:tcW w:w="0" w:type="dxa"/>
            <w:vAlign w:val="bottom"/>
          </w:tcPr>
          <w:p>
            <w:pPr>
              <w:spacing w:after="0"/>
              <w:rPr>
                <w:sz w:val="1"/>
                <w:szCs w:val="1"/>
                <w:color w:val="auto"/>
              </w:rPr>
            </w:pPr>
          </w:p>
        </w:tc>
      </w:tr>
      <w:tr>
        <w:trPr>
          <w:trHeight w:val="148"/>
        </w:trPr>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(Condor Holdings Limited</w:t>
            </w:r>
            <w:r>
              <w:rPr>
                <w:rFonts w:ascii="Arial" w:cs="Arial" w:eastAsia="Arial" w:hAnsi="Arial"/>
                <w:sz w:val="12"/>
                <w:szCs w:val="12"/>
                <w:color w:val="auto"/>
              </w:rPr>
              <w:t>(3)</w:t>
            </w:r>
            <w:r>
              <w:rPr>
                <w:rFonts w:ascii="Arial" w:cs="Arial" w:eastAsia="Arial" w:hAnsi="Arial"/>
                <w:sz w:val="14"/>
                <w:szCs w:val="14"/>
                <w:color w:val="auto"/>
              </w:rPr>
              <w:t>)</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3M L+875, 04/25/2025</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(Condor Top Holdco Limited</w:t>
            </w:r>
            <w:r>
              <w:rPr>
                <w:rFonts w:ascii="Arial" w:cs="Arial" w:eastAsia="Arial" w:hAnsi="Arial"/>
                <w:sz w:val="12"/>
                <w:szCs w:val="12"/>
                <w:color w:val="auto"/>
              </w:rPr>
              <w:t>(3)</w:t>
            </w:r>
            <w:r>
              <w:rPr>
                <w:rFonts w:ascii="Arial" w:cs="Arial" w:eastAsia="Arial" w:hAnsi="Arial"/>
                <w:sz w:val="14"/>
                <w:szCs w:val="14"/>
                <w:color w:val="auto"/>
              </w:rPr>
              <w:t>)</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4"/>
              </w:rPr>
              <w:t>Preferred Equity</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 Becker Farm Road</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Roseland, NJ 07068</w:t>
            </w: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60" w:type="dxa"/>
            <w:vAlign w:val="bottom"/>
            <w:gridSpan w:val="2"/>
          </w:tcPr>
          <w:p>
            <w:pPr>
              <w:spacing w:after="0"/>
              <w:rPr>
                <w:sz w:val="20"/>
                <w:szCs w:val="20"/>
                <w:color w:val="auto"/>
              </w:rPr>
            </w:pPr>
            <w:r>
              <w:rPr>
                <w:rFonts w:ascii="Arial" w:cs="Arial" w:eastAsia="Arial" w:hAnsi="Arial"/>
                <w:sz w:val="14"/>
                <w:szCs w:val="14"/>
                <w:color w:val="auto"/>
              </w:rPr>
              <w:t>Confluent Health, LLC</w:t>
            </w:r>
          </w:p>
        </w:tc>
        <w:tc>
          <w:tcPr>
            <w:tcW w:w="182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Health Providers and</w:t>
            </w:r>
          </w:p>
        </w:tc>
        <w:tc>
          <w:tcPr>
            <w:tcW w:w="296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3,940</w:t>
            </w: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75 S English Station Road</w:t>
            </w:r>
          </w:p>
        </w:tc>
        <w:tc>
          <w:tcPr>
            <w:tcW w:w="18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9"/>
              </w:rPr>
              <w:t>Services</w:t>
            </w:r>
          </w:p>
        </w:tc>
        <w:tc>
          <w:tcPr>
            <w:tcW w:w="29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1M L+500, 06/24/2026</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gridSpan w:val="2"/>
          </w:tcPr>
          <w:p>
            <w:pPr>
              <w:spacing w:after="0"/>
              <w:rPr>
                <w:sz w:val="20"/>
                <w:szCs w:val="20"/>
                <w:color w:val="auto"/>
              </w:rPr>
            </w:pPr>
            <w:r>
              <w:rPr>
                <w:rFonts w:ascii="Arial" w:cs="Arial" w:eastAsia="Arial" w:hAnsi="Arial"/>
                <w:sz w:val="14"/>
                <w:szCs w:val="14"/>
                <w:color w:val="auto"/>
              </w:rPr>
              <w:t>Louisville, KY 40245</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DBI Holding, LLC</w:t>
            </w:r>
          </w:p>
        </w:tc>
        <w:tc>
          <w:tcPr>
            <w:tcW w:w="182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0"/>
              </w:rPr>
              <w:t>Business Services</w:t>
            </w:r>
          </w:p>
        </w:tc>
        <w:tc>
          <w:tcPr>
            <w:tcW w:w="296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3"/>
              </w:rPr>
              <w:t>Second Lien Secured Debt, 8.0% fixed PIK,</w:t>
            </w:r>
          </w:p>
        </w:tc>
        <w:tc>
          <w:tcPr>
            <w:tcW w:w="12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3.0%</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17,153</w:t>
            </w:r>
          </w:p>
        </w:tc>
        <w:tc>
          <w:tcPr>
            <w:tcW w:w="0" w:type="dxa"/>
            <w:vAlign w:val="bottom"/>
          </w:tcPr>
          <w:p>
            <w:pPr>
              <w:spacing w:after="0"/>
              <w:rPr>
                <w:sz w:val="1"/>
                <w:szCs w:val="1"/>
                <w:color w:val="auto"/>
              </w:rPr>
            </w:pPr>
          </w:p>
        </w:tc>
      </w:tr>
      <w:tr>
        <w:trPr>
          <w:trHeight w:val="149"/>
        </w:trPr>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100 North Conahan Drive</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02/01/2026</w:t>
            </w: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Hazleton, PA 18201</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4"/>
              </w:rPr>
              <w:t>Preferred Equity</w:t>
            </w:r>
            <w:r>
              <w:rPr>
                <w:rFonts w:ascii="Arial" w:cs="Arial" w:eastAsia="Arial" w:hAnsi="Arial"/>
                <w:sz w:val="12"/>
                <w:szCs w:val="12"/>
                <w:color w:val="auto"/>
                <w:w w:val="94"/>
              </w:rPr>
              <w:t>(5)</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88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96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(5)</w:t>
            </w: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60" w:type="dxa"/>
            <w:vAlign w:val="bottom"/>
            <w:gridSpan w:val="2"/>
          </w:tcPr>
          <w:p>
            <w:pPr>
              <w:spacing w:after="0"/>
              <w:rPr>
                <w:sz w:val="20"/>
                <w:szCs w:val="20"/>
                <w:color w:val="auto"/>
              </w:rPr>
            </w:pPr>
            <w:r>
              <w:rPr>
                <w:rFonts w:ascii="Arial" w:cs="Arial" w:eastAsia="Arial" w:hAnsi="Arial"/>
                <w:sz w:val="14"/>
                <w:szCs w:val="14"/>
                <w:color w:val="auto"/>
              </w:rPr>
              <w:t>DecoPac, Inc.</w:t>
            </w:r>
          </w:p>
        </w:tc>
        <w:tc>
          <w:tcPr>
            <w:tcW w:w="182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Beverage, Food and</w:t>
            </w:r>
          </w:p>
        </w:tc>
        <w:tc>
          <w:tcPr>
            <w:tcW w:w="296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Second Lien Secured Debt,</w:t>
            </w:r>
          </w:p>
        </w:tc>
        <w:tc>
          <w:tcPr>
            <w:tcW w:w="1260" w:type="dxa"/>
            <w:vAlign w:val="bottom"/>
            <w:gridSpan w:val="2"/>
          </w:tcPr>
          <w:p>
            <w:pPr>
              <w:jc w:val="right"/>
              <w:ind w:right="320"/>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12,888</w:t>
            </w:r>
          </w:p>
        </w:tc>
        <w:tc>
          <w:tcPr>
            <w:tcW w:w="0" w:type="dxa"/>
            <w:vAlign w:val="bottom"/>
          </w:tcPr>
          <w:p>
            <w:pPr>
              <w:spacing w:after="0"/>
              <w:rPr>
                <w:sz w:val="1"/>
                <w:szCs w:val="1"/>
                <w:color w:val="auto"/>
              </w:rPr>
            </w:pPr>
          </w:p>
        </w:tc>
      </w:tr>
      <w:tr>
        <w:trPr>
          <w:trHeight w:val="149"/>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(DecoPac Holdings Inc.)</w:t>
            </w:r>
          </w:p>
        </w:tc>
        <w:tc>
          <w:tcPr>
            <w:tcW w:w="18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9"/>
              </w:rPr>
              <w:t>Tobacco</w:t>
            </w:r>
          </w:p>
        </w:tc>
        <w:tc>
          <w:tcPr>
            <w:tcW w:w="29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3M L+825, 03/31/2025</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3500 Thurston Avenue</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gridSpan w:val="2"/>
          </w:tcPr>
          <w:p>
            <w:pPr>
              <w:spacing w:after="0"/>
              <w:rPr>
                <w:sz w:val="20"/>
                <w:szCs w:val="20"/>
                <w:color w:val="auto"/>
              </w:rPr>
            </w:pPr>
            <w:r>
              <w:rPr>
                <w:rFonts w:ascii="Arial" w:cs="Arial" w:eastAsia="Arial" w:hAnsi="Arial"/>
                <w:sz w:val="14"/>
                <w:szCs w:val="14"/>
                <w:color w:val="auto"/>
              </w:rPr>
              <w:t>Anoka, MN 55303</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Deva Holdings, Inc.</w:t>
            </w:r>
          </w:p>
        </w:tc>
        <w:tc>
          <w:tcPr>
            <w:tcW w:w="182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1"/>
              </w:rPr>
              <w:t>Consumer Goods:</w:t>
            </w:r>
          </w:p>
        </w:tc>
        <w:tc>
          <w:tcPr>
            <w:tcW w:w="29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shd w:val="clear" w:color="auto" w:fill="CCEEFF"/>
          </w:tcPr>
          <w:p>
            <w:pPr>
              <w:jc w:val="right"/>
              <w:ind w:right="50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945</w:t>
            </w:r>
          </w:p>
        </w:tc>
        <w:tc>
          <w:tcPr>
            <w:tcW w:w="0" w:type="dxa"/>
            <w:vAlign w:val="bottom"/>
          </w:tcPr>
          <w:p>
            <w:pPr>
              <w:spacing w:after="0"/>
              <w:rPr>
                <w:sz w:val="1"/>
                <w:szCs w:val="1"/>
                <w:color w:val="auto"/>
              </w:rPr>
            </w:pPr>
          </w:p>
        </w:tc>
      </w:tr>
      <w:tr>
        <w:trPr>
          <w:trHeight w:val="149"/>
        </w:trPr>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75 Spring Street, Floor 8</w:t>
            </w:r>
          </w:p>
        </w:tc>
        <w:tc>
          <w:tcPr>
            <w:tcW w:w="182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Non-Durable</w:t>
            </w:r>
          </w:p>
        </w:tc>
        <w:tc>
          <w:tcPr>
            <w:tcW w:w="29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3M L+550, 10/31/2023</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10012</w:t>
            </w: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60" w:type="dxa"/>
            <w:vAlign w:val="bottom"/>
            <w:gridSpan w:val="2"/>
          </w:tcPr>
          <w:p>
            <w:pPr>
              <w:spacing w:after="0"/>
              <w:rPr>
                <w:sz w:val="20"/>
                <w:szCs w:val="20"/>
                <w:color w:val="auto"/>
              </w:rPr>
            </w:pPr>
            <w:r>
              <w:rPr>
                <w:rFonts w:ascii="Arial" w:cs="Arial" w:eastAsia="Arial" w:hAnsi="Arial"/>
                <w:sz w:val="14"/>
                <w:szCs w:val="14"/>
                <w:color w:val="auto"/>
              </w:rPr>
              <w:t>Digital Room Holdings, Inc.</w:t>
            </w:r>
          </w:p>
        </w:tc>
        <w:tc>
          <w:tcPr>
            <w:tcW w:w="1820" w:type="dxa"/>
            <w:vAlign w:val="bottom"/>
            <w:gridSpan w:val="2"/>
          </w:tcPr>
          <w:p>
            <w:pPr>
              <w:jc w:val="center"/>
              <w:ind w:right="260"/>
              <w:spacing w:after="0"/>
              <w:rPr>
                <w:sz w:val="20"/>
                <w:szCs w:val="20"/>
                <w:color w:val="auto"/>
              </w:rPr>
            </w:pPr>
            <w:r>
              <w:rPr>
                <w:rFonts w:ascii="Arial" w:cs="Arial" w:eastAsia="Arial" w:hAnsi="Arial"/>
                <w:sz w:val="14"/>
                <w:szCs w:val="14"/>
                <w:color w:val="auto"/>
                <w:w w:val="97"/>
              </w:rPr>
              <w:t>Media: Advertising,</w:t>
            </w:r>
          </w:p>
        </w:tc>
        <w:tc>
          <w:tcPr>
            <w:tcW w:w="296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9,495</w:t>
            </w:r>
          </w:p>
        </w:tc>
        <w:tc>
          <w:tcPr>
            <w:tcW w:w="0" w:type="dxa"/>
            <w:vAlign w:val="bottom"/>
          </w:tcPr>
          <w:p>
            <w:pPr>
              <w:spacing w:after="0"/>
              <w:rPr>
                <w:sz w:val="1"/>
                <w:szCs w:val="1"/>
                <w:color w:val="auto"/>
              </w:rPr>
            </w:pPr>
          </w:p>
        </w:tc>
      </w:tr>
      <w:tr>
        <w:trPr>
          <w:trHeight w:val="149"/>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8000 Haskell Ave.</w:t>
            </w:r>
          </w:p>
        </w:tc>
        <w:tc>
          <w:tcPr>
            <w:tcW w:w="18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Printing and Publishing</w:t>
            </w:r>
          </w:p>
        </w:tc>
        <w:tc>
          <w:tcPr>
            <w:tcW w:w="29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1M L+500, 05/22/2026</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gridSpan w:val="2"/>
          </w:tcPr>
          <w:p>
            <w:pPr>
              <w:spacing w:after="0"/>
              <w:rPr>
                <w:sz w:val="20"/>
                <w:szCs w:val="20"/>
                <w:color w:val="auto"/>
              </w:rPr>
            </w:pPr>
            <w:r>
              <w:rPr>
                <w:rFonts w:ascii="Arial" w:cs="Arial" w:eastAsia="Arial" w:hAnsi="Arial"/>
                <w:sz w:val="14"/>
                <w:szCs w:val="14"/>
                <w:color w:val="auto"/>
              </w:rPr>
              <w:t>Van Nuys, CA 91406</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40"/>
          </w:cols>
          <w:pgMar w:left="32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Type of Investment,</w:t>
            </w:r>
          </w:p>
        </w:tc>
        <w:tc>
          <w:tcPr>
            <w:tcW w:w="12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Voting</w:t>
            </w:r>
          </w:p>
        </w:tc>
        <w:tc>
          <w:tcPr>
            <w:tcW w:w="80" w:type="dxa"/>
            <w:vAlign w:val="bottom"/>
          </w:tcPr>
          <w:p>
            <w:pPr>
              <w:spacing w:after="0"/>
              <w:rPr>
                <w:sz w:val="14"/>
                <w:szCs w:val="14"/>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4060" w:type="dxa"/>
            <w:vAlign w:val="bottom"/>
            <w:gridSpan w:val="2"/>
            <w:vMerge w:val="continue"/>
          </w:tcPr>
          <w:p>
            <w:pPr>
              <w:spacing w:after="0"/>
              <w:rPr>
                <w:sz w:val="12"/>
                <w:szCs w:val="12"/>
                <w:color w:val="auto"/>
              </w:rPr>
            </w:pPr>
          </w:p>
        </w:tc>
        <w:tc>
          <w:tcPr>
            <w:tcW w:w="18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Nature of Business</w:t>
            </w:r>
          </w:p>
        </w:tc>
        <w:tc>
          <w:tcPr>
            <w:tcW w:w="2960" w:type="dxa"/>
            <w:vAlign w:val="bottom"/>
            <w:gridSpan w:val="2"/>
            <w:vMerge w:val="continue"/>
          </w:tcPr>
          <w:p>
            <w:pPr>
              <w:spacing w:after="0"/>
              <w:rPr>
                <w:sz w:val="12"/>
                <w:szCs w:val="12"/>
                <w:color w:val="auto"/>
              </w:rPr>
            </w:pPr>
          </w:p>
        </w:tc>
        <w:tc>
          <w:tcPr>
            <w:tcW w:w="1260" w:type="dxa"/>
            <w:vAlign w:val="bottom"/>
            <w:gridSpan w:val="2"/>
          </w:tcPr>
          <w:p>
            <w:pPr>
              <w:jc w:val="right"/>
              <w:ind w:right="520"/>
              <w:spacing w:after="0" w:line="145" w:lineRule="exact"/>
              <w:rPr>
                <w:sz w:val="20"/>
                <w:szCs w:val="20"/>
                <w:color w:val="auto"/>
              </w:rPr>
            </w:pPr>
            <w:r>
              <w:rPr>
                <w:rFonts w:ascii="Arial" w:cs="Arial" w:eastAsia="Arial" w:hAnsi="Arial"/>
                <w:sz w:val="14"/>
                <w:szCs w:val="14"/>
                <w:b w:val="1"/>
                <w:bCs w:val="1"/>
                <w:color w:val="auto"/>
                <w:w w:val="95"/>
              </w:rPr>
              <w:t>Percentage</w:t>
            </w: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2180" w:type="dxa"/>
            <w:vAlign w:val="bottom"/>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2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Interest</w:t>
            </w:r>
            <w:r>
              <w:rPr>
                <w:rFonts w:ascii="Arial" w:cs="Arial" w:eastAsia="Arial" w:hAnsi="Arial"/>
                <w:sz w:val="12"/>
                <w:szCs w:val="12"/>
                <w:b w:val="1"/>
                <w:bCs w:val="1"/>
                <w:color w:val="auto"/>
                <w:w w:val="98"/>
              </w:rPr>
              <w:t>(1)</w:t>
            </w:r>
            <w:r>
              <w:rPr>
                <w:rFonts w:ascii="Arial" w:cs="Arial" w:eastAsia="Arial" w:hAnsi="Arial"/>
                <w:sz w:val="14"/>
                <w:szCs w:val="14"/>
                <w:b w:val="1"/>
                <w:bCs w:val="1"/>
                <w:color w:val="auto"/>
                <w:w w:val="98"/>
              </w:rPr>
              <w:t>, Maturity</w:t>
            </w: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1"/>
              </w:rPr>
              <w:t>Ownership</w:t>
            </w:r>
            <w:r>
              <w:rPr>
                <w:rFonts w:ascii="Arial" w:cs="Arial" w:eastAsia="Arial" w:hAnsi="Arial"/>
                <w:sz w:val="12"/>
                <w:szCs w:val="12"/>
                <w:b w:val="1"/>
                <w:bCs w:val="1"/>
                <w:color w:val="auto"/>
                <w:w w:val="91"/>
              </w:rPr>
              <w:t>(2)</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108"/>
        </w:trPr>
        <w:tc>
          <w:tcPr>
            <w:tcW w:w="4060" w:type="dxa"/>
            <w:vAlign w:val="bottom"/>
            <w:tcBorders>
              <w:top w:val="single" w:sz="8" w:color="CCEEFF"/>
            </w:tcBorders>
            <w:gridSpan w:val="2"/>
            <w:shd w:val="clear" w:color="auto" w:fill="CCEEFF"/>
          </w:tcPr>
          <w:p>
            <w:pPr>
              <w:spacing w:after="0" w:line="109" w:lineRule="exact"/>
              <w:rPr>
                <w:sz w:val="20"/>
                <w:szCs w:val="20"/>
                <w:color w:val="auto"/>
              </w:rPr>
            </w:pPr>
            <w:r>
              <w:rPr>
                <w:rFonts w:ascii="Arial" w:cs="Arial" w:eastAsia="Arial" w:hAnsi="Arial"/>
                <w:sz w:val="12"/>
                <w:szCs w:val="12"/>
                <w:color w:val="auto"/>
              </w:rPr>
              <w:t>Douglas Products and Packaging Company LLC</w:t>
            </w:r>
          </w:p>
        </w:tc>
        <w:tc>
          <w:tcPr>
            <w:tcW w:w="156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Chemicals, Plastics and</w:t>
            </w:r>
          </w:p>
        </w:tc>
        <w:tc>
          <w:tcPr>
            <w:tcW w:w="260" w:type="dxa"/>
            <w:vAlign w:val="bottom"/>
            <w:tcBorders>
              <w:top w:val="single" w:sz="8" w:color="CCEEFF"/>
            </w:tcBorders>
            <w:shd w:val="clear" w:color="auto" w:fill="CCEEFF"/>
          </w:tcPr>
          <w:p>
            <w:pPr>
              <w:spacing w:after="0"/>
              <w:rPr>
                <w:sz w:val="9"/>
                <w:szCs w:val="9"/>
                <w:color w:val="auto"/>
              </w:rPr>
            </w:pPr>
          </w:p>
        </w:tc>
        <w:tc>
          <w:tcPr>
            <w:tcW w:w="268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w:t>
            </w:r>
            <w:r>
              <w:rPr>
                <w:rFonts w:ascii="Arial" w:cs="Arial" w:eastAsia="Arial" w:hAnsi="Arial"/>
                <w:sz w:val="10"/>
                <w:szCs w:val="10"/>
                <w:color w:val="auto"/>
              </w:rPr>
              <w:t>(4)</w:t>
            </w:r>
            <w:r>
              <w:rPr>
                <w:rFonts w:ascii="Arial" w:cs="Arial" w:eastAsia="Arial" w:hAnsi="Arial"/>
                <w:sz w:val="12"/>
                <w:szCs w:val="12"/>
                <w:color w:val="auto"/>
              </w:rPr>
              <w:t>,</w:t>
            </w:r>
          </w:p>
        </w:tc>
        <w:tc>
          <w:tcPr>
            <w:tcW w:w="28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w:t>
            </w:r>
          </w:p>
        </w:tc>
        <w:tc>
          <w:tcPr>
            <w:tcW w:w="4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line="109" w:lineRule="exact"/>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26,403</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(Douglas Sewer Intermediate, LLC)</w:t>
            </w:r>
          </w:p>
        </w:tc>
        <w:tc>
          <w:tcPr>
            <w:tcW w:w="182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1"/>
              </w:rPr>
              <w:t>Rubber</w:t>
            </w:r>
          </w:p>
        </w:tc>
        <w:tc>
          <w:tcPr>
            <w:tcW w:w="29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3M L+575, 10/19/2022</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06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(Plant Health Intermediate, Inc.)</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1550 East Old 210 Highway</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Liberty, MO 64068</w:t>
            </w: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60" w:type="dxa"/>
            <w:vAlign w:val="bottom"/>
            <w:gridSpan w:val="2"/>
          </w:tcPr>
          <w:p>
            <w:pPr>
              <w:spacing w:after="0"/>
              <w:rPr>
                <w:sz w:val="20"/>
                <w:szCs w:val="20"/>
                <w:color w:val="auto"/>
              </w:rPr>
            </w:pPr>
            <w:r>
              <w:rPr>
                <w:rFonts w:ascii="Arial" w:cs="Arial" w:eastAsia="Arial" w:hAnsi="Arial"/>
                <w:sz w:val="14"/>
                <w:szCs w:val="14"/>
                <w:color w:val="auto"/>
              </w:rPr>
              <w:t>East Valley Tourist Development Authority</w:t>
            </w:r>
          </w:p>
        </w:tc>
        <w:tc>
          <w:tcPr>
            <w:tcW w:w="182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Hotel, Gaming and</w:t>
            </w:r>
          </w:p>
        </w:tc>
        <w:tc>
          <w:tcPr>
            <w:tcW w:w="296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18,406</w:t>
            </w: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84245 Indio Springs Dr.</w:t>
            </w:r>
          </w:p>
        </w:tc>
        <w:tc>
          <w:tcPr>
            <w:tcW w:w="18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Leisure</w:t>
            </w:r>
          </w:p>
        </w:tc>
        <w:tc>
          <w:tcPr>
            <w:tcW w:w="29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3M L+800, 03/07/2022</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gridSpan w:val="2"/>
          </w:tcPr>
          <w:p>
            <w:pPr>
              <w:spacing w:after="0"/>
              <w:rPr>
                <w:sz w:val="20"/>
                <w:szCs w:val="20"/>
                <w:color w:val="auto"/>
              </w:rPr>
            </w:pPr>
            <w:r>
              <w:rPr>
                <w:rFonts w:ascii="Arial" w:cs="Arial" w:eastAsia="Arial" w:hAnsi="Arial"/>
                <w:sz w:val="14"/>
                <w:szCs w:val="14"/>
                <w:color w:val="auto"/>
              </w:rPr>
              <w:t>Indio, CA 92203</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eCommission Holding Corporation</w:t>
            </w:r>
            <w:r>
              <w:rPr>
                <w:rFonts w:ascii="Arial" w:cs="Arial" w:eastAsia="Arial" w:hAnsi="Arial"/>
                <w:sz w:val="12"/>
                <w:szCs w:val="12"/>
                <w:color w:val="auto"/>
              </w:rPr>
              <w:t>(3)</w:t>
            </w:r>
          </w:p>
        </w:tc>
        <w:tc>
          <w:tcPr>
            <w:tcW w:w="182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2"/>
              </w:rPr>
              <w:t>Banking, Finance,</w:t>
            </w:r>
          </w:p>
        </w:tc>
        <w:tc>
          <w:tcPr>
            <w:tcW w:w="29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21,935</w:t>
            </w:r>
          </w:p>
        </w:tc>
        <w:tc>
          <w:tcPr>
            <w:tcW w:w="0" w:type="dxa"/>
            <w:vAlign w:val="bottom"/>
          </w:tcPr>
          <w:p>
            <w:pPr>
              <w:spacing w:after="0"/>
              <w:rPr>
                <w:sz w:val="1"/>
                <w:szCs w:val="1"/>
                <w:color w:val="auto"/>
              </w:rPr>
            </w:pPr>
          </w:p>
        </w:tc>
      </w:tr>
      <w:tr>
        <w:trPr>
          <w:trHeight w:val="148"/>
        </w:trPr>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11612 Bee Caves Road, Building II, Suite 200</w:t>
            </w:r>
          </w:p>
        </w:tc>
        <w:tc>
          <w:tcPr>
            <w:tcW w:w="182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2"/>
              </w:rPr>
              <w:t>Insurance &amp; Real Estate</w:t>
            </w:r>
          </w:p>
        </w:tc>
        <w:tc>
          <w:tcPr>
            <w:tcW w:w="29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1M L+500, 10/05/2023</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Austin, TX, 78738</w:t>
            </w: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96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60" w:type="dxa"/>
            <w:vAlign w:val="bottom"/>
            <w:gridSpan w:val="2"/>
          </w:tcPr>
          <w:p>
            <w:pPr>
              <w:spacing w:after="0"/>
              <w:rPr>
                <w:sz w:val="20"/>
                <w:szCs w:val="20"/>
                <w:color w:val="auto"/>
              </w:rPr>
            </w:pPr>
            <w:r>
              <w:rPr>
                <w:rFonts w:ascii="Arial" w:cs="Arial" w:eastAsia="Arial" w:hAnsi="Arial"/>
                <w:sz w:val="14"/>
                <w:szCs w:val="14"/>
                <w:color w:val="auto"/>
              </w:rPr>
              <w:t>Education Networks of America, Inc.</w:t>
            </w:r>
          </w:p>
        </w:tc>
        <w:tc>
          <w:tcPr>
            <w:tcW w:w="182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Telecommunications</w:t>
            </w:r>
          </w:p>
        </w:tc>
        <w:tc>
          <w:tcPr>
            <w:tcW w:w="2960" w:type="dxa"/>
            <w:vAlign w:val="bottom"/>
            <w:gridSpan w:val="2"/>
          </w:tcPr>
          <w:p>
            <w:pPr>
              <w:jc w:val="center"/>
              <w:ind w:right="280"/>
              <w:spacing w:after="0"/>
              <w:rPr>
                <w:sz w:val="20"/>
                <w:szCs w:val="20"/>
                <w:color w:val="auto"/>
              </w:rPr>
            </w:pPr>
            <w:r>
              <w:rPr>
                <w:rFonts w:ascii="Arial" w:cs="Arial" w:eastAsia="Arial" w:hAnsi="Arial"/>
                <w:sz w:val="14"/>
                <w:szCs w:val="14"/>
                <w:color w:val="auto"/>
                <w:w w:val="95"/>
              </w:rPr>
              <w:t>First Lien Secured Debt</w:t>
            </w:r>
            <w:r>
              <w:rPr>
                <w:rFonts w:ascii="Arial" w:cs="Arial" w:eastAsia="Arial" w:hAnsi="Arial"/>
                <w:sz w:val="12"/>
                <w:szCs w:val="12"/>
                <w:color w:val="auto"/>
                <w:w w:val="95"/>
              </w:rPr>
              <w:t>(4)</w:t>
            </w:r>
            <w:r>
              <w:rPr>
                <w:rFonts w:ascii="Arial" w:cs="Arial" w:eastAsia="Arial" w:hAnsi="Arial"/>
                <w:sz w:val="14"/>
                <w:szCs w:val="14"/>
                <w:color w:val="auto"/>
                <w:w w:val="95"/>
              </w:rPr>
              <w:t>, 1M L+750 (PIK</w:t>
            </w:r>
          </w:p>
        </w:tc>
        <w:tc>
          <w:tcPr>
            <w:tcW w:w="126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12,528</w:t>
            </w: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618 Grassmere Park Drive</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80" w:type="dxa"/>
            <w:vAlign w:val="bottom"/>
          </w:tcPr>
          <w:p>
            <w:pPr>
              <w:jc w:val="center"/>
              <w:spacing w:after="0" w:line="149" w:lineRule="exact"/>
              <w:rPr>
                <w:sz w:val="20"/>
                <w:szCs w:val="20"/>
                <w:color w:val="auto"/>
              </w:rPr>
            </w:pPr>
            <w:r>
              <w:rPr>
                <w:rFonts w:ascii="Arial" w:cs="Arial" w:eastAsia="Arial" w:hAnsi="Arial"/>
                <w:sz w:val="14"/>
                <w:szCs w:val="14"/>
                <w:color w:val="auto"/>
                <w:w w:val="94"/>
              </w:rPr>
              <w:t>2.5%), 05/06/2021</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Suite 12</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gridSpan w:val="2"/>
          </w:tcPr>
          <w:p>
            <w:pPr>
              <w:spacing w:after="0"/>
              <w:rPr>
                <w:sz w:val="20"/>
                <w:szCs w:val="20"/>
                <w:color w:val="auto"/>
              </w:rPr>
            </w:pPr>
            <w:r>
              <w:rPr>
                <w:rFonts w:ascii="Arial" w:cs="Arial" w:eastAsia="Arial" w:hAnsi="Arial"/>
                <w:sz w:val="14"/>
                <w:szCs w:val="14"/>
                <w:color w:val="auto"/>
              </w:rPr>
              <w:t>Nashville, TN 37211</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Efficient Collaborative Retail Marketing Company, LLC</w:t>
            </w:r>
          </w:p>
        </w:tc>
        <w:tc>
          <w:tcPr>
            <w:tcW w:w="182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6"/>
              </w:rPr>
              <w:t>Media: Diversified and</w:t>
            </w:r>
          </w:p>
        </w:tc>
        <w:tc>
          <w:tcPr>
            <w:tcW w:w="296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shd w:val="clear" w:color="auto" w:fill="CCEEFF"/>
          </w:tcPr>
          <w:p>
            <w:pPr>
              <w:jc w:val="right"/>
              <w:ind w:right="50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7,178</w:t>
            </w:r>
          </w:p>
        </w:tc>
        <w:tc>
          <w:tcPr>
            <w:tcW w:w="0" w:type="dxa"/>
            <w:vAlign w:val="bottom"/>
          </w:tcPr>
          <w:p>
            <w:pPr>
              <w:spacing w:after="0"/>
              <w:rPr>
                <w:sz w:val="1"/>
                <w:szCs w:val="1"/>
                <w:color w:val="auto"/>
              </w:rPr>
            </w:pPr>
          </w:p>
        </w:tc>
      </w:tr>
      <w:tr>
        <w:trPr>
          <w:trHeight w:val="149"/>
        </w:trPr>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27070 Miles Road, Suite A</w:t>
            </w:r>
          </w:p>
        </w:tc>
        <w:tc>
          <w:tcPr>
            <w:tcW w:w="182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Production</w:t>
            </w:r>
          </w:p>
        </w:tc>
        <w:tc>
          <w:tcPr>
            <w:tcW w:w="29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3M L+675, 06/15/2022</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Solon, OH 44139</w:t>
            </w: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60" w:type="dxa"/>
            <w:vAlign w:val="bottom"/>
            <w:gridSpan w:val="2"/>
          </w:tcPr>
          <w:p>
            <w:pPr>
              <w:spacing w:after="0"/>
              <w:rPr>
                <w:sz w:val="20"/>
                <w:szCs w:val="20"/>
                <w:color w:val="auto"/>
              </w:rPr>
            </w:pPr>
            <w:r>
              <w:rPr>
                <w:rFonts w:ascii="Arial" w:cs="Arial" w:eastAsia="Arial" w:hAnsi="Arial"/>
                <w:sz w:val="14"/>
                <w:szCs w:val="14"/>
                <w:color w:val="auto"/>
              </w:rPr>
              <w:t>FlexPrint, LLC</w:t>
            </w:r>
          </w:p>
        </w:tc>
        <w:tc>
          <w:tcPr>
            <w:tcW w:w="182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Professional Services</w:t>
            </w:r>
          </w:p>
        </w:tc>
        <w:tc>
          <w:tcPr>
            <w:tcW w:w="296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4,189</w:t>
            </w: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2845 N. Omaha Street</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3M L+620, 01/02/2024</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gridSpan w:val="2"/>
          </w:tcPr>
          <w:p>
            <w:pPr>
              <w:spacing w:after="0"/>
              <w:rPr>
                <w:sz w:val="20"/>
                <w:szCs w:val="20"/>
                <w:color w:val="auto"/>
              </w:rPr>
            </w:pPr>
            <w:r>
              <w:rPr>
                <w:rFonts w:ascii="Arial" w:cs="Arial" w:eastAsia="Arial" w:hAnsi="Arial"/>
                <w:sz w:val="14"/>
                <w:szCs w:val="14"/>
                <w:color w:val="auto"/>
              </w:rPr>
              <w:t>Mesa, AZ 85215</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Faraday Holdings, LLC</w:t>
            </w:r>
          </w:p>
        </w:tc>
        <w:tc>
          <w:tcPr>
            <w:tcW w:w="182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5"/>
              </w:rPr>
              <w:t>Construction and Building</w:t>
            </w:r>
          </w:p>
        </w:tc>
        <w:tc>
          <w:tcPr>
            <w:tcW w:w="29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6"/>
              </w:rPr>
              <w:t>Common Equity</w:t>
            </w:r>
          </w:p>
        </w:tc>
        <w:tc>
          <w:tcPr>
            <w:tcW w:w="12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332</w:t>
            </w:r>
          </w:p>
        </w:tc>
        <w:tc>
          <w:tcPr>
            <w:tcW w:w="0" w:type="dxa"/>
            <w:vAlign w:val="bottom"/>
          </w:tcPr>
          <w:p>
            <w:pPr>
              <w:spacing w:after="0"/>
              <w:rPr>
                <w:sz w:val="1"/>
                <w:szCs w:val="1"/>
                <w:color w:val="auto"/>
              </w:rPr>
            </w:pPr>
          </w:p>
        </w:tc>
      </w:tr>
      <w:tr>
        <w:trPr>
          <w:trHeight w:val="148"/>
        </w:trPr>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1630 Faraday Avenue</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Carlsbad, CA 92008</w:t>
            </w: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60" w:type="dxa"/>
            <w:vAlign w:val="bottom"/>
            <w:gridSpan w:val="2"/>
          </w:tcPr>
          <w:p>
            <w:pPr>
              <w:spacing w:after="0"/>
              <w:rPr>
                <w:sz w:val="20"/>
                <w:szCs w:val="20"/>
                <w:color w:val="auto"/>
              </w:rPr>
            </w:pPr>
            <w:r>
              <w:rPr>
                <w:rFonts w:ascii="Arial" w:cs="Arial" w:eastAsia="Arial" w:hAnsi="Arial"/>
                <w:sz w:val="14"/>
                <w:szCs w:val="14"/>
                <w:color w:val="auto"/>
              </w:rPr>
              <w:t>GCOM Software LLC</w:t>
            </w:r>
          </w:p>
        </w:tc>
        <w:tc>
          <w:tcPr>
            <w:tcW w:w="182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High Tech Industries</w:t>
            </w:r>
          </w:p>
        </w:tc>
        <w:tc>
          <w:tcPr>
            <w:tcW w:w="296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tcPr>
          <w:p>
            <w:pPr>
              <w:jc w:val="right"/>
              <w:ind w:right="320"/>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14,346</w:t>
            </w:r>
          </w:p>
        </w:tc>
        <w:tc>
          <w:tcPr>
            <w:tcW w:w="0" w:type="dxa"/>
            <w:vAlign w:val="bottom"/>
          </w:tcPr>
          <w:p>
            <w:pPr>
              <w:spacing w:after="0"/>
              <w:rPr>
                <w:sz w:val="1"/>
                <w:szCs w:val="1"/>
                <w:color w:val="auto"/>
              </w:rPr>
            </w:pPr>
          </w:p>
        </w:tc>
      </w:tr>
      <w:tr>
        <w:trPr>
          <w:trHeight w:val="149"/>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(GCOM InvestCo LP)</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1M L+625, 11/14/2022</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24 Madison Avenue (Extension 4)</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(4)(5)</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gridSpan w:val="2"/>
          </w:tcPr>
          <w:p>
            <w:pPr>
              <w:spacing w:after="0"/>
              <w:rPr>
                <w:sz w:val="20"/>
                <w:szCs w:val="20"/>
                <w:color w:val="auto"/>
              </w:rPr>
            </w:pPr>
            <w:r>
              <w:rPr>
                <w:rFonts w:ascii="Arial" w:cs="Arial" w:eastAsia="Arial" w:hAnsi="Arial"/>
                <w:sz w:val="14"/>
                <w:szCs w:val="14"/>
                <w:color w:val="auto"/>
              </w:rPr>
              <w:t>Albany, NY 12203</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Good2Grow LLC</w:t>
            </w:r>
          </w:p>
        </w:tc>
        <w:tc>
          <w:tcPr>
            <w:tcW w:w="182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89"/>
              </w:rPr>
              <w:t>Beverages</w:t>
            </w:r>
          </w:p>
        </w:tc>
        <w:tc>
          <w:tcPr>
            <w:tcW w:w="29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shd w:val="clear" w:color="auto" w:fill="CCEEFF"/>
          </w:tcPr>
          <w:p>
            <w:pPr>
              <w:jc w:val="right"/>
              <w:ind w:right="50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6,914</w:t>
            </w:r>
          </w:p>
        </w:tc>
        <w:tc>
          <w:tcPr>
            <w:tcW w:w="0" w:type="dxa"/>
            <w:vAlign w:val="bottom"/>
          </w:tcPr>
          <w:p>
            <w:pPr>
              <w:spacing w:after="0"/>
              <w:rPr>
                <w:sz w:val="1"/>
                <w:szCs w:val="1"/>
                <w:color w:val="auto"/>
              </w:rPr>
            </w:pPr>
          </w:p>
        </w:tc>
      </w:tr>
      <w:tr>
        <w:trPr>
          <w:trHeight w:val="148"/>
        </w:trPr>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2859 Paces Ferry Road SE #2100</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3M L+425, 11/18/2024</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Atlanta, GA 30339</w:t>
            </w: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60" w:type="dxa"/>
            <w:vAlign w:val="bottom"/>
            <w:gridSpan w:val="2"/>
          </w:tcPr>
          <w:p>
            <w:pPr>
              <w:spacing w:after="0"/>
              <w:rPr>
                <w:sz w:val="20"/>
                <w:szCs w:val="20"/>
                <w:color w:val="auto"/>
              </w:rPr>
            </w:pPr>
            <w:r>
              <w:rPr>
                <w:rFonts w:ascii="Arial" w:cs="Arial" w:eastAsia="Arial" w:hAnsi="Arial"/>
                <w:sz w:val="14"/>
                <w:szCs w:val="14"/>
                <w:color w:val="auto"/>
              </w:rPr>
              <w:t>GSM Holdings, Inc.</w:t>
            </w:r>
          </w:p>
        </w:tc>
        <w:tc>
          <w:tcPr>
            <w:tcW w:w="182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Consumer Goods: Durable</w:t>
            </w:r>
          </w:p>
        </w:tc>
        <w:tc>
          <w:tcPr>
            <w:tcW w:w="296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3385 Roy Orr Blvd., Suite B</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3M L+450, 06/03/2024</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gridSpan w:val="2"/>
          </w:tcPr>
          <w:p>
            <w:pPr>
              <w:spacing w:after="0"/>
              <w:rPr>
                <w:sz w:val="20"/>
                <w:szCs w:val="20"/>
                <w:color w:val="auto"/>
              </w:rPr>
            </w:pPr>
            <w:r>
              <w:rPr>
                <w:rFonts w:ascii="Arial" w:cs="Arial" w:eastAsia="Arial" w:hAnsi="Arial"/>
                <w:sz w:val="14"/>
                <w:szCs w:val="14"/>
                <w:color w:val="auto"/>
              </w:rPr>
              <w:t>Grand Prairie, TX 75050</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HW Holdco, LLC</w:t>
            </w:r>
          </w:p>
        </w:tc>
        <w:tc>
          <w:tcPr>
            <w:tcW w:w="182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Media</w:t>
            </w:r>
          </w:p>
        </w:tc>
        <w:tc>
          <w:tcPr>
            <w:tcW w:w="29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shd w:val="clear" w:color="auto" w:fill="CCEEFF"/>
          </w:tcPr>
          <w:p>
            <w:pPr>
              <w:jc w:val="right"/>
              <w:ind w:right="50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7,701</w:t>
            </w:r>
          </w:p>
        </w:tc>
        <w:tc>
          <w:tcPr>
            <w:tcW w:w="0" w:type="dxa"/>
            <w:vAlign w:val="bottom"/>
          </w:tcPr>
          <w:p>
            <w:pPr>
              <w:spacing w:after="0"/>
              <w:rPr>
                <w:sz w:val="1"/>
                <w:szCs w:val="1"/>
                <w:color w:val="auto"/>
              </w:rPr>
            </w:pPr>
          </w:p>
        </w:tc>
      </w:tr>
      <w:tr>
        <w:trPr>
          <w:trHeight w:val="149"/>
        </w:trPr>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One Thomas Circle, NW Suite 600</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1M L+625, 12/10/2024</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Washington, DC 20005</w:t>
            </w: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60" w:type="dxa"/>
            <w:vAlign w:val="bottom"/>
            <w:gridSpan w:val="2"/>
          </w:tcPr>
          <w:p>
            <w:pPr>
              <w:spacing w:after="0"/>
              <w:rPr>
                <w:sz w:val="20"/>
                <w:szCs w:val="20"/>
                <w:color w:val="auto"/>
              </w:rPr>
            </w:pPr>
            <w:r>
              <w:rPr>
                <w:rFonts w:ascii="Arial" w:cs="Arial" w:eastAsia="Arial" w:hAnsi="Arial"/>
                <w:sz w:val="14"/>
                <w:szCs w:val="14"/>
                <w:color w:val="auto"/>
              </w:rPr>
              <w:t>IMIA Holdings, Inc.</w:t>
            </w:r>
          </w:p>
        </w:tc>
        <w:tc>
          <w:tcPr>
            <w:tcW w:w="1820" w:type="dxa"/>
            <w:vAlign w:val="bottom"/>
            <w:gridSpan w:val="2"/>
          </w:tcPr>
          <w:p>
            <w:pPr>
              <w:jc w:val="center"/>
              <w:ind w:right="260"/>
              <w:spacing w:after="0"/>
              <w:rPr>
                <w:sz w:val="20"/>
                <w:szCs w:val="20"/>
                <w:color w:val="auto"/>
              </w:rPr>
            </w:pPr>
            <w:r>
              <w:rPr>
                <w:rFonts w:ascii="Arial" w:cs="Arial" w:eastAsia="Arial" w:hAnsi="Arial"/>
                <w:sz w:val="14"/>
                <w:szCs w:val="14"/>
                <w:color w:val="auto"/>
                <w:w w:val="90"/>
              </w:rPr>
              <w:t>Aerospace and Defense</w:t>
            </w:r>
          </w:p>
        </w:tc>
        <w:tc>
          <w:tcPr>
            <w:tcW w:w="296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 —, 10/28/2024</w:t>
            </w:r>
          </w:p>
        </w:tc>
        <w:tc>
          <w:tcPr>
            <w:tcW w:w="126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6470 Spanish Fort Boulevard Suite 300</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gridSpan w:val="2"/>
          </w:tcPr>
          <w:p>
            <w:pPr>
              <w:spacing w:after="0"/>
              <w:rPr>
                <w:sz w:val="20"/>
                <w:szCs w:val="20"/>
                <w:color w:val="auto"/>
              </w:rPr>
            </w:pPr>
            <w:r>
              <w:rPr>
                <w:rFonts w:ascii="Arial" w:cs="Arial" w:eastAsia="Arial" w:hAnsi="Arial"/>
                <w:sz w:val="14"/>
                <w:szCs w:val="14"/>
                <w:color w:val="auto"/>
              </w:rPr>
              <w:t>Spanish Fort, AL 36527</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Impact Group, LLC</w:t>
            </w:r>
          </w:p>
        </w:tc>
        <w:tc>
          <w:tcPr>
            <w:tcW w:w="182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1"/>
              </w:rPr>
              <w:t>Wholesale</w:t>
            </w:r>
          </w:p>
        </w:tc>
        <w:tc>
          <w:tcPr>
            <w:tcW w:w="29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shd w:val="clear" w:color="auto" w:fill="CCEEFF"/>
          </w:tcPr>
          <w:p>
            <w:pPr>
              <w:jc w:val="right"/>
              <w:ind w:right="50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12,679</w:t>
            </w:r>
          </w:p>
        </w:tc>
        <w:tc>
          <w:tcPr>
            <w:tcW w:w="0" w:type="dxa"/>
            <w:vAlign w:val="bottom"/>
          </w:tcPr>
          <w:p>
            <w:pPr>
              <w:spacing w:after="0"/>
              <w:rPr>
                <w:sz w:val="1"/>
                <w:szCs w:val="1"/>
                <w:color w:val="auto"/>
              </w:rPr>
            </w:pPr>
          </w:p>
        </w:tc>
      </w:tr>
      <w:tr>
        <w:trPr>
          <w:trHeight w:val="148"/>
        </w:trPr>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915 W. Jefferson Street</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1M L+650, 06/27/2023</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Boise, ID 83702</w:t>
            </w: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60" w:type="dxa"/>
            <w:vAlign w:val="bottom"/>
            <w:gridSpan w:val="2"/>
          </w:tcPr>
          <w:p>
            <w:pPr>
              <w:spacing w:after="0"/>
              <w:rPr>
                <w:sz w:val="20"/>
                <w:szCs w:val="20"/>
                <w:color w:val="auto"/>
              </w:rPr>
            </w:pPr>
            <w:r>
              <w:rPr>
                <w:rFonts w:ascii="Arial" w:cs="Arial" w:eastAsia="Arial" w:hAnsi="Arial"/>
                <w:sz w:val="14"/>
                <w:szCs w:val="14"/>
                <w:color w:val="auto"/>
              </w:rPr>
              <w:t>Innova Medical Ophthalmics Inc.</w:t>
            </w:r>
            <w:r>
              <w:rPr>
                <w:rFonts w:ascii="Arial" w:cs="Arial" w:eastAsia="Arial" w:hAnsi="Arial"/>
                <w:sz w:val="12"/>
                <w:szCs w:val="12"/>
                <w:color w:val="auto"/>
              </w:rPr>
              <w:t>(3)</w:t>
            </w:r>
          </w:p>
        </w:tc>
        <w:tc>
          <w:tcPr>
            <w:tcW w:w="182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Capital Equipment</w:t>
            </w:r>
          </w:p>
        </w:tc>
        <w:tc>
          <w:tcPr>
            <w:tcW w:w="296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17,506</w:t>
            </w: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(Lombart Brothers, Inc.)</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3M L+625, 04/13/2022</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5358 Robin Hood Road</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gridSpan w:val="2"/>
          </w:tcPr>
          <w:p>
            <w:pPr>
              <w:spacing w:after="0"/>
              <w:rPr>
                <w:sz w:val="20"/>
                <w:szCs w:val="20"/>
                <w:color w:val="auto"/>
              </w:rPr>
            </w:pPr>
            <w:r>
              <w:rPr>
                <w:rFonts w:ascii="Arial" w:cs="Arial" w:eastAsia="Arial" w:hAnsi="Arial"/>
                <w:sz w:val="14"/>
                <w:szCs w:val="14"/>
                <w:color w:val="auto"/>
              </w:rPr>
              <w:t>Norfolk, VA 23513</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40"/>
          </w:cols>
          <w:pgMar w:left="32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4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Nature of</w:t>
            </w:r>
          </w:p>
        </w:tc>
        <w:tc>
          <w:tcPr>
            <w:tcW w:w="3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Type of Investment,</w:t>
            </w:r>
          </w:p>
        </w:tc>
        <w:tc>
          <w:tcPr>
            <w:tcW w:w="1260" w:type="dxa"/>
            <w:vAlign w:val="bottom"/>
            <w:gridSpan w:val="2"/>
          </w:tcPr>
          <w:p>
            <w:pPr>
              <w:jc w:val="right"/>
              <w:ind w:right="578"/>
              <w:spacing w:after="0"/>
              <w:rPr>
                <w:sz w:val="20"/>
                <w:szCs w:val="20"/>
                <w:color w:val="auto"/>
              </w:rPr>
            </w:pPr>
            <w:r>
              <w:rPr>
                <w:rFonts w:ascii="Arial" w:cs="Arial" w:eastAsia="Arial" w:hAnsi="Arial"/>
                <w:sz w:val="14"/>
                <w:szCs w:val="14"/>
                <w:b w:val="1"/>
                <w:bCs w:val="1"/>
                <w:color w:val="auto"/>
              </w:rPr>
              <w:t>Voting</w:t>
            </w:r>
          </w:p>
        </w:tc>
        <w:tc>
          <w:tcPr>
            <w:tcW w:w="80" w:type="dxa"/>
            <w:vAlign w:val="bottom"/>
          </w:tcPr>
          <w:p>
            <w:pPr>
              <w:spacing w:after="0"/>
              <w:rPr>
                <w:sz w:val="14"/>
                <w:szCs w:val="14"/>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4340" w:type="dxa"/>
            <w:vAlign w:val="bottom"/>
            <w:gridSpan w:val="2"/>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3060" w:type="dxa"/>
            <w:vAlign w:val="bottom"/>
            <w:gridSpan w:val="2"/>
            <w:vMerge w:val="continue"/>
          </w:tcPr>
          <w:p>
            <w:pPr>
              <w:spacing w:after="0"/>
              <w:rPr>
                <w:sz w:val="12"/>
                <w:szCs w:val="12"/>
                <w:color w:val="auto"/>
              </w:rPr>
            </w:pPr>
          </w:p>
        </w:tc>
        <w:tc>
          <w:tcPr>
            <w:tcW w:w="1260" w:type="dxa"/>
            <w:vAlign w:val="bottom"/>
            <w:gridSpan w:val="2"/>
          </w:tcPr>
          <w:p>
            <w:pPr>
              <w:jc w:val="right"/>
              <w:ind w:right="458"/>
              <w:spacing w:after="0" w:line="145" w:lineRule="exact"/>
              <w:rPr>
                <w:sz w:val="20"/>
                <w:szCs w:val="20"/>
                <w:color w:val="auto"/>
              </w:rPr>
            </w:pPr>
            <w:r>
              <w:rPr>
                <w:rFonts w:ascii="Arial" w:cs="Arial" w:eastAsia="Arial" w:hAnsi="Arial"/>
                <w:sz w:val="14"/>
                <w:szCs w:val="14"/>
                <w:b w:val="1"/>
                <w:bCs w:val="1"/>
                <w:color w:val="auto"/>
                <w:w w:val="95"/>
              </w:rPr>
              <w:t>Percentage</w:t>
            </w: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2460" w:type="dxa"/>
            <w:vAlign w:val="bottom"/>
          </w:tcPr>
          <w:p>
            <w:pPr>
              <w:spacing w:after="0"/>
              <w:rPr>
                <w:sz w:val="15"/>
                <w:szCs w:val="15"/>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Business</w:t>
            </w:r>
          </w:p>
        </w:tc>
        <w:tc>
          <w:tcPr>
            <w:tcW w:w="3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Interest</w:t>
            </w:r>
            <w:r>
              <w:rPr>
                <w:rFonts w:ascii="Arial" w:cs="Arial" w:eastAsia="Arial" w:hAnsi="Arial"/>
                <w:sz w:val="12"/>
                <w:szCs w:val="12"/>
                <w:b w:val="1"/>
                <w:bCs w:val="1"/>
                <w:color w:val="auto"/>
                <w:w w:val="98"/>
              </w:rPr>
              <w:t>(1)</w:t>
            </w:r>
            <w:r>
              <w:rPr>
                <w:rFonts w:ascii="Arial" w:cs="Arial" w:eastAsia="Arial" w:hAnsi="Arial"/>
                <w:sz w:val="14"/>
                <w:szCs w:val="14"/>
                <w:b w:val="1"/>
                <w:bCs w:val="1"/>
                <w:color w:val="auto"/>
                <w:w w:val="98"/>
              </w:rPr>
              <w:t>, Maturity</w:t>
            </w:r>
          </w:p>
        </w:tc>
        <w:tc>
          <w:tcPr>
            <w:tcW w:w="1260" w:type="dxa"/>
            <w:vAlign w:val="bottom"/>
            <w:gridSpan w:val="2"/>
          </w:tcPr>
          <w:p>
            <w:pPr>
              <w:jc w:val="right"/>
              <w:ind w:right="378"/>
              <w:spacing w:after="0"/>
              <w:rPr>
                <w:sz w:val="20"/>
                <w:szCs w:val="20"/>
                <w:color w:val="auto"/>
              </w:rPr>
            </w:pPr>
            <w:r>
              <w:rPr>
                <w:rFonts w:ascii="Arial" w:cs="Arial" w:eastAsia="Arial" w:hAnsi="Arial"/>
                <w:sz w:val="14"/>
                <w:szCs w:val="14"/>
                <w:b w:val="1"/>
                <w:bCs w:val="1"/>
                <w:color w:val="auto"/>
                <w:w w:val="91"/>
              </w:rPr>
              <w:t>Ownership</w:t>
            </w:r>
            <w:r>
              <w:rPr>
                <w:rFonts w:ascii="Arial" w:cs="Arial" w:eastAsia="Arial" w:hAnsi="Arial"/>
                <w:sz w:val="12"/>
                <w:szCs w:val="12"/>
                <w:b w:val="1"/>
                <w:bCs w:val="1"/>
                <w:color w:val="auto"/>
                <w:w w:val="91"/>
              </w:rPr>
              <w:t>(2)</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108"/>
        </w:trPr>
        <w:tc>
          <w:tcPr>
            <w:tcW w:w="4340" w:type="dxa"/>
            <w:vAlign w:val="bottom"/>
            <w:tcBorders>
              <w:top w:val="single" w:sz="8" w:color="CCEEFF"/>
            </w:tcBorders>
            <w:gridSpan w:val="2"/>
            <w:shd w:val="clear" w:color="auto" w:fill="CCEEFF"/>
          </w:tcPr>
          <w:p>
            <w:pPr>
              <w:spacing w:after="0" w:line="109" w:lineRule="exact"/>
              <w:rPr>
                <w:sz w:val="20"/>
                <w:szCs w:val="20"/>
                <w:color w:val="auto"/>
              </w:rPr>
            </w:pPr>
            <w:r>
              <w:rPr>
                <w:rFonts w:ascii="Arial" w:cs="Arial" w:eastAsia="Arial" w:hAnsi="Arial"/>
                <w:sz w:val="12"/>
                <w:szCs w:val="12"/>
                <w:color w:val="auto"/>
              </w:rPr>
              <w:t>Integrative Nutrition, LLC</w:t>
            </w:r>
          </w:p>
        </w:tc>
        <w:tc>
          <w:tcPr>
            <w:tcW w:w="116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Consumer Services</w:t>
            </w:r>
          </w:p>
        </w:tc>
        <w:tc>
          <w:tcPr>
            <w:tcW w:w="280" w:type="dxa"/>
            <w:vAlign w:val="bottom"/>
            <w:tcBorders>
              <w:top w:val="single" w:sz="8" w:color="CCEEFF"/>
            </w:tcBorders>
            <w:shd w:val="clear" w:color="auto" w:fill="CCEEFF"/>
          </w:tcPr>
          <w:p>
            <w:pPr>
              <w:spacing w:after="0"/>
              <w:rPr>
                <w:sz w:val="9"/>
                <w:szCs w:val="9"/>
                <w:color w:val="auto"/>
              </w:rPr>
            </w:pPr>
          </w:p>
        </w:tc>
        <w:tc>
          <w:tcPr>
            <w:tcW w:w="278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w:t>
            </w:r>
            <w:r>
              <w:rPr>
                <w:rFonts w:ascii="Arial" w:cs="Arial" w:eastAsia="Arial" w:hAnsi="Arial"/>
                <w:sz w:val="10"/>
                <w:szCs w:val="10"/>
                <w:color w:val="auto"/>
              </w:rPr>
              <w:t>(4)</w:t>
            </w:r>
            <w:r>
              <w:rPr>
                <w:rFonts w:ascii="Arial" w:cs="Arial" w:eastAsia="Arial" w:hAnsi="Arial"/>
                <w:sz w:val="12"/>
                <w:szCs w:val="12"/>
                <w:color w:val="auto"/>
              </w:rPr>
              <w:t>,</w:t>
            </w:r>
          </w:p>
        </w:tc>
        <w:tc>
          <w:tcPr>
            <w:tcW w:w="28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1.5</w:t>
            </w:r>
          </w:p>
        </w:tc>
        <w:tc>
          <w:tcPr>
            <w:tcW w:w="440" w:type="dxa"/>
            <w:vAlign w:val="bottom"/>
            <w:tcBorders>
              <w:top w:val="single" w:sz="8" w:color="CCEEFF"/>
            </w:tcBorders>
            <w:shd w:val="clear" w:color="auto" w:fill="CCEEFF"/>
          </w:tcPr>
          <w:p>
            <w:pPr>
              <w:jc w:val="right"/>
              <w:ind w:right="258"/>
              <w:spacing w:after="0" w:line="109" w:lineRule="exact"/>
              <w:rPr>
                <w:sz w:val="20"/>
                <w:szCs w:val="20"/>
                <w:color w:val="auto"/>
              </w:rPr>
            </w:pPr>
            <w:r>
              <w:rPr>
                <w:rFonts w:ascii="Arial" w:cs="Arial" w:eastAsia="Arial" w:hAnsi="Arial"/>
                <w:sz w:val="12"/>
                <w:szCs w:val="12"/>
                <w:color w:val="auto"/>
                <w:w w:val="93"/>
              </w:rPr>
              <w:t>%</w:t>
            </w:r>
          </w:p>
        </w:tc>
        <w:tc>
          <w:tcPr>
            <w:tcW w:w="80" w:type="dxa"/>
            <w:vAlign w:val="bottom"/>
            <w:tcBorders>
              <w:top w:val="single" w:sz="8" w:color="auto"/>
            </w:tcBorders>
            <w:shd w:val="clear" w:color="auto" w:fill="CCEEFF"/>
          </w:tcPr>
          <w:p>
            <w:pPr>
              <w:spacing w:after="0" w:line="109" w:lineRule="exact"/>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27,148</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(IIN Group Holdings, LLC)</w:t>
            </w:r>
          </w:p>
        </w:tc>
        <w:tc>
          <w:tcPr>
            <w:tcW w:w="1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5"/>
              </w:rPr>
              <w:t>3M L+475, 09/29/2023</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245 5</w:t>
            </w:r>
            <w:r>
              <w:rPr>
                <w:rFonts w:ascii="Arial" w:cs="Arial" w:eastAsia="Arial" w:hAnsi="Arial"/>
                <w:sz w:val="12"/>
                <w:szCs w:val="12"/>
                <w:color w:val="auto"/>
              </w:rPr>
              <w:t>th</w:t>
            </w:r>
            <w:r>
              <w:rPr>
                <w:rFonts w:ascii="Arial" w:cs="Arial" w:eastAsia="Arial" w:hAnsi="Arial"/>
                <w:sz w:val="14"/>
                <w:szCs w:val="14"/>
                <w:color w:val="auto"/>
              </w:rPr>
              <w:t xml:space="preserve"> Avenue</w:t>
            </w:r>
          </w:p>
        </w:tc>
        <w:tc>
          <w:tcPr>
            <w:tcW w:w="1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(5)</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10016</w:t>
            </w:r>
          </w:p>
        </w:tc>
        <w:tc>
          <w:tcPr>
            <w:tcW w:w="1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340" w:type="dxa"/>
            <w:vAlign w:val="bottom"/>
            <w:gridSpan w:val="2"/>
          </w:tcPr>
          <w:p>
            <w:pPr>
              <w:spacing w:after="0"/>
              <w:rPr>
                <w:sz w:val="20"/>
                <w:szCs w:val="20"/>
                <w:color w:val="auto"/>
              </w:rPr>
            </w:pPr>
            <w:r>
              <w:rPr>
                <w:rFonts w:ascii="Arial" w:cs="Arial" w:eastAsia="Arial" w:hAnsi="Arial"/>
                <w:sz w:val="14"/>
                <w:szCs w:val="14"/>
                <w:color w:val="auto"/>
              </w:rPr>
              <w:t>Inventus Power, Inc.</w:t>
            </w: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Consumer Goods:</w:t>
            </w:r>
          </w:p>
        </w:tc>
        <w:tc>
          <w:tcPr>
            <w:tcW w:w="306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tcPr>
          <w:p>
            <w:pPr>
              <w:jc w:val="right"/>
              <w:ind w:right="43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3,777</w:t>
            </w:r>
          </w:p>
        </w:tc>
        <w:tc>
          <w:tcPr>
            <w:tcW w:w="0" w:type="dxa"/>
            <w:vAlign w:val="bottom"/>
          </w:tcPr>
          <w:p>
            <w:pPr>
              <w:spacing w:after="0"/>
              <w:rPr>
                <w:sz w:val="1"/>
                <w:szCs w:val="1"/>
                <w:color w:val="auto"/>
              </w:rPr>
            </w:pPr>
          </w:p>
        </w:tc>
      </w:tr>
      <w:tr>
        <w:trPr>
          <w:trHeight w:val="148"/>
        </w:trPr>
        <w:tc>
          <w:tcPr>
            <w:tcW w:w="4340" w:type="dxa"/>
            <w:vAlign w:val="bottom"/>
            <w:gridSpan w:val="2"/>
          </w:tcPr>
          <w:p>
            <w:pPr>
              <w:spacing w:after="0" w:line="149" w:lineRule="exact"/>
              <w:rPr>
                <w:sz w:val="20"/>
                <w:szCs w:val="20"/>
                <w:color w:val="auto"/>
              </w:rPr>
            </w:pPr>
            <w:r>
              <w:rPr>
                <w:rFonts w:ascii="Arial" w:cs="Arial" w:eastAsia="Arial" w:hAnsi="Arial"/>
                <w:sz w:val="14"/>
                <w:szCs w:val="14"/>
                <w:color w:val="auto"/>
              </w:rPr>
              <w:t>1200 Internationale Parkway</w:t>
            </w:r>
          </w:p>
        </w:tc>
        <w:tc>
          <w:tcPr>
            <w:tcW w:w="14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3"/>
              </w:rPr>
              <w:t>Durable</w:t>
            </w:r>
          </w:p>
        </w:tc>
        <w:tc>
          <w:tcPr>
            <w:tcW w:w="30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1M L+650, 04/30/2020</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340" w:type="dxa"/>
            <w:vAlign w:val="bottom"/>
            <w:gridSpan w:val="2"/>
          </w:tcPr>
          <w:p>
            <w:pPr>
              <w:spacing w:after="0"/>
              <w:rPr>
                <w:sz w:val="20"/>
                <w:szCs w:val="20"/>
                <w:color w:val="auto"/>
              </w:rPr>
            </w:pPr>
            <w:r>
              <w:rPr>
                <w:rFonts w:ascii="Arial" w:cs="Arial" w:eastAsia="Arial" w:hAnsi="Arial"/>
                <w:sz w:val="14"/>
                <w:szCs w:val="14"/>
                <w:color w:val="auto"/>
              </w:rPr>
              <w:t>Woodridge, IL 60517</w:t>
            </w: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3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JWC/UMA Holdings, L.P.</w:t>
            </w:r>
          </w:p>
        </w:tc>
        <w:tc>
          <w:tcPr>
            <w:tcW w:w="144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0"/>
              </w:rPr>
              <w:t>Healthcare and</w:t>
            </w:r>
          </w:p>
        </w:tc>
        <w:tc>
          <w:tcPr>
            <w:tcW w:w="30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Common Equity</w:t>
            </w:r>
          </w:p>
        </w:tc>
        <w:tc>
          <w:tcPr>
            <w:tcW w:w="1260" w:type="dxa"/>
            <w:vAlign w:val="bottom"/>
            <w:gridSpan w:val="2"/>
            <w:shd w:val="clear" w:color="auto" w:fill="CCEEFF"/>
          </w:tcPr>
          <w:p>
            <w:pPr>
              <w:jc w:val="right"/>
              <w:ind w:right="258"/>
              <w:spacing w:after="0" w:line="130" w:lineRule="exact"/>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1,211</w:t>
            </w:r>
          </w:p>
        </w:tc>
        <w:tc>
          <w:tcPr>
            <w:tcW w:w="0" w:type="dxa"/>
            <w:vAlign w:val="bottom"/>
          </w:tcPr>
          <w:p>
            <w:pPr>
              <w:spacing w:after="0"/>
              <w:rPr>
                <w:sz w:val="1"/>
                <w:szCs w:val="1"/>
                <w:color w:val="auto"/>
              </w:rPr>
            </w:pPr>
          </w:p>
        </w:tc>
      </w:tr>
      <w:tr>
        <w:trPr>
          <w:trHeight w:val="149"/>
        </w:trPr>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1515 Broad Street, Suite 120</w:t>
            </w:r>
          </w:p>
        </w:tc>
        <w:tc>
          <w:tcPr>
            <w:tcW w:w="14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0"/>
              </w:rPr>
              <w:t>Pharmaceuticals</w:t>
            </w:r>
          </w:p>
        </w:tc>
        <w:tc>
          <w:tcPr>
            <w:tcW w:w="2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Bloomfield, NJ 07003</w:t>
            </w:r>
          </w:p>
        </w:tc>
        <w:tc>
          <w:tcPr>
            <w:tcW w:w="1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340" w:type="dxa"/>
            <w:vAlign w:val="bottom"/>
            <w:gridSpan w:val="2"/>
          </w:tcPr>
          <w:p>
            <w:pPr>
              <w:spacing w:after="0"/>
              <w:rPr>
                <w:sz w:val="20"/>
                <w:szCs w:val="20"/>
                <w:color w:val="auto"/>
              </w:rPr>
            </w:pPr>
            <w:r>
              <w:rPr>
                <w:rFonts w:ascii="Arial" w:cs="Arial" w:eastAsia="Arial" w:hAnsi="Arial"/>
                <w:sz w:val="14"/>
                <w:szCs w:val="14"/>
                <w:color w:val="auto"/>
              </w:rPr>
              <w:t>K2 Pure Solutions NoCal, L.P.</w:t>
            </w: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Chemicals, Plastics</w:t>
            </w:r>
          </w:p>
        </w:tc>
        <w:tc>
          <w:tcPr>
            <w:tcW w:w="306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60" w:type="dxa"/>
            <w:vAlign w:val="bottom"/>
            <w:gridSpan w:val="2"/>
          </w:tcPr>
          <w:p>
            <w:pPr>
              <w:jc w:val="right"/>
              <w:ind w:right="43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483</w:t>
            </w:r>
          </w:p>
        </w:tc>
        <w:tc>
          <w:tcPr>
            <w:tcW w:w="0" w:type="dxa"/>
            <w:vAlign w:val="bottom"/>
          </w:tcPr>
          <w:p>
            <w:pPr>
              <w:spacing w:after="0"/>
              <w:rPr>
                <w:sz w:val="1"/>
                <w:szCs w:val="1"/>
                <w:color w:val="auto"/>
              </w:rPr>
            </w:pPr>
          </w:p>
        </w:tc>
      </w:tr>
      <w:tr>
        <w:trPr>
          <w:trHeight w:val="148"/>
        </w:trPr>
        <w:tc>
          <w:tcPr>
            <w:tcW w:w="4340" w:type="dxa"/>
            <w:vAlign w:val="bottom"/>
            <w:gridSpan w:val="2"/>
          </w:tcPr>
          <w:p>
            <w:pPr>
              <w:spacing w:after="0" w:line="149" w:lineRule="exact"/>
              <w:rPr>
                <w:sz w:val="20"/>
                <w:szCs w:val="20"/>
                <w:color w:val="auto"/>
              </w:rPr>
            </w:pPr>
            <w:r>
              <w:rPr>
                <w:rFonts w:ascii="Arial" w:cs="Arial" w:eastAsia="Arial" w:hAnsi="Arial"/>
                <w:sz w:val="14"/>
                <w:szCs w:val="14"/>
                <w:color w:val="auto"/>
              </w:rPr>
              <w:t>3515 Massillion Road, Ste. 290</w:t>
            </w:r>
          </w:p>
        </w:tc>
        <w:tc>
          <w:tcPr>
            <w:tcW w:w="14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0"/>
              </w:rPr>
              <w:t>and Rubber</w:t>
            </w:r>
          </w:p>
        </w:tc>
        <w:tc>
          <w:tcPr>
            <w:tcW w:w="30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1M L+525, 12/20/2023</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340" w:type="dxa"/>
            <w:vAlign w:val="bottom"/>
            <w:gridSpan w:val="2"/>
          </w:tcPr>
          <w:p>
            <w:pPr>
              <w:spacing w:after="0"/>
              <w:rPr>
                <w:sz w:val="20"/>
                <w:szCs w:val="20"/>
                <w:color w:val="auto"/>
              </w:rPr>
            </w:pPr>
            <w:r>
              <w:rPr>
                <w:rFonts w:ascii="Arial" w:cs="Arial" w:eastAsia="Arial" w:hAnsi="Arial"/>
                <w:sz w:val="14"/>
                <w:szCs w:val="14"/>
                <w:color w:val="auto"/>
              </w:rPr>
              <w:t>Uniontown, OH 44685</w:t>
            </w: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3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Kentucky Downs, LLC</w:t>
            </w:r>
          </w:p>
        </w:tc>
        <w:tc>
          <w:tcPr>
            <w:tcW w:w="144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1"/>
              </w:rPr>
              <w:t>Hotels, Restaurants</w:t>
            </w:r>
          </w:p>
        </w:tc>
        <w:tc>
          <w:tcPr>
            <w:tcW w:w="30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60" w:type="dxa"/>
            <w:vAlign w:val="bottom"/>
            <w:gridSpan w:val="2"/>
            <w:shd w:val="clear" w:color="auto" w:fill="CCEEFF"/>
          </w:tcPr>
          <w:p>
            <w:pPr>
              <w:jc w:val="right"/>
              <w:ind w:right="438"/>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5,596</w:t>
            </w:r>
          </w:p>
        </w:tc>
        <w:tc>
          <w:tcPr>
            <w:tcW w:w="0" w:type="dxa"/>
            <w:vAlign w:val="bottom"/>
          </w:tcPr>
          <w:p>
            <w:pPr>
              <w:spacing w:after="0"/>
              <w:rPr>
                <w:sz w:val="1"/>
                <w:szCs w:val="1"/>
                <w:color w:val="auto"/>
              </w:rPr>
            </w:pPr>
          </w:p>
        </w:tc>
      </w:tr>
      <w:tr>
        <w:trPr>
          <w:trHeight w:val="148"/>
        </w:trPr>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(Kentucky Racing Holdco, LLC)</w:t>
            </w:r>
          </w:p>
        </w:tc>
        <w:tc>
          <w:tcPr>
            <w:tcW w:w="144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2"/>
              </w:rPr>
              <w:t>and Leisure</w:t>
            </w:r>
          </w:p>
        </w:tc>
        <w:tc>
          <w:tcPr>
            <w:tcW w:w="30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5"/>
              </w:rPr>
              <w:t>1M L+850, 03/07/2025</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5629 Nashville Road</w:t>
            </w:r>
          </w:p>
        </w:tc>
        <w:tc>
          <w:tcPr>
            <w:tcW w:w="1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2"/>
              </w:rPr>
              <w:t>Warrants</w:t>
            </w:r>
            <w:r>
              <w:rPr>
                <w:rFonts w:ascii="Arial" w:cs="Arial" w:eastAsia="Arial" w:hAnsi="Arial"/>
                <w:sz w:val="12"/>
                <w:szCs w:val="12"/>
                <w:color w:val="auto"/>
                <w:w w:val="92"/>
              </w:rPr>
              <w:t>(5)</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Franklin, KY 42134</w:t>
            </w:r>
          </w:p>
        </w:tc>
        <w:tc>
          <w:tcPr>
            <w:tcW w:w="1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340" w:type="dxa"/>
            <w:vAlign w:val="bottom"/>
            <w:gridSpan w:val="2"/>
          </w:tcPr>
          <w:p>
            <w:pPr>
              <w:spacing w:after="0"/>
              <w:rPr>
                <w:sz w:val="20"/>
                <w:szCs w:val="20"/>
                <w:color w:val="auto"/>
              </w:rPr>
            </w:pPr>
            <w:r>
              <w:rPr>
                <w:rFonts w:ascii="Arial" w:cs="Arial" w:eastAsia="Arial" w:hAnsi="Arial"/>
                <w:sz w:val="14"/>
                <w:szCs w:val="14"/>
                <w:color w:val="auto"/>
              </w:rPr>
              <w:t>KHC Holdings, Inc.</w:t>
            </w: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Wholesale</w:t>
            </w:r>
          </w:p>
        </w:tc>
        <w:tc>
          <w:tcPr>
            <w:tcW w:w="306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60" w:type="dxa"/>
            <w:vAlign w:val="bottom"/>
            <w:gridSpan w:val="2"/>
          </w:tcPr>
          <w:p>
            <w:pPr>
              <w:jc w:val="right"/>
              <w:ind w:right="43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12,511</w:t>
            </w:r>
          </w:p>
        </w:tc>
        <w:tc>
          <w:tcPr>
            <w:tcW w:w="0" w:type="dxa"/>
            <w:vAlign w:val="bottom"/>
          </w:tcPr>
          <w:p>
            <w:pPr>
              <w:spacing w:after="0"/>
              <w:rPr>
                <w:sz w:val="1"/>
                <w:szCs w:val="1"/>
                <w:color w:val="auto"/>
              </w:rPr>
            </w:pPr>
          </w:p>
        </w:tc>
      </w:tr>
      <w:tr>
        <w:trPr>
          <w:trHeight w:val="148"/>
        </w:trPr>
        <w:tc>
          <w:tcPr>
            <w:tcW w:w="4340" w:type="dxa"/>
            <w:vAlign w:val="bottom"/>
            <w:gridSpan w:val="2"/>
          </w:tcPr>
          <w:p>
            <w:pPr>
              <w:spacing w:after="0" w:line="149" w:lineRule="exact"/>
              <w:rPr>
                <w:sz w:val="20"/>
                <w:szCs w:val="20"/>
                <w:color w:val="auto"/>
              </w:rPr>
            </w:pPr>
            <w:r>
              <w:rPr>
                <w:rFonts w:ascii="Arial" w:cs="Arial" w:eastAsia="Arial" w:hAnsi="Arial"/>
                <w:sz w:val="14"/>
                <w:szCs w:val="14"/>
                <w:color w:val="auto"/>
              </w:rPr>
              <w:t>3300 Brother Boulevard</w:t>
            </w: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3M L+600, 10/31/2022</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340" w:type="dxa"/>
            <w:vAlign w:val="bottom"/>
            <w:gridSpan w:val="2"/>
          </w:tcPr>
          <w:p>
            <w:pPr>
              <w:spacing w:after="0"/>
              <w:rPr>
                <w:sz w:val="20"/>
                <w:szCs w:val="20"/>
                <w:color w:val="auto"/>
              </w:rPr>
            </w:pPr>
            <w:r>
              <w:rPr>
                <w:rFonts w:ascii="Arial" w:cs="Arial" w:eastAsia="Arial" w:hAnsi="Arial"/>
                <w:sz w:val="14"/>
                <w:szCs w:val="14"/>
                <w:color w:val="auto"/>
              </w:rPr>
              <w:t>Memphis, TN 38133</w:t>
            </w: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3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Lago Resort &amp; Casino, LLC</w:t>
            </w:r>
          </w:p>
        </w:tc>
        <w:tc>
          <w:tcPr>
            <w:tcW w:w="144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Hotel, Gaming and</w:t>
            </w:r>
          </w:p>
        </w:tc>
        <w:tc>
          <w:tcPr>
            <w:tcW w:w="30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shd w:val="clear" w:color="auto" w:fill="CCEEFF"/>
          </w:tcPr>
          <w:p>
            <w:pPr>
              <w:jc w:val="right"/>
              <w:ind w:right="438"/>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9,176</w:t>
            </w:r>
          </w:p>
        </w:tc>
        <w:tc>
          <w:tcPr>
            <w:tcW w:w="0" w:type="dxa"/>
            <w:vAlign w:val="bottom"/>
          </w:tcPr>
          <w:p>
            <w:pPr>
              <w:spacing w:after="0"/>
              <w:rPr>
                <w:sz w:val="1"/>
                <w:szCs w:val="1"/>
                <w:color w:val="auto"/>
              </w:rPr>
            </w:pPr>
          </w:p>
        </w:tc>
      </w:tr>
      <w:tr>
        <w:trPr>
          <w:trHeight w:val="148"/>
        </w:trPr>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1133 Ridge Road (Rt 414)</w:t>
            </w:r>
          </w:p>
        </w:tc>
        <w:tc>
          <w:tcPr>
            <w:tcW w:w="144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5"/>
              </w:rPr>
              <w:t>Leisure</w:t>
            </w:r>
          </w:p>
        </w:tc>
        <w:tc>
          <w:tcPr>
            <w:tcW w:w="30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5"/>
              </w:rPr>
              <w:t>3M L+950, 03/07/2022</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Waterloo, NY 13165</w:t>
            </w:r>
          </w:p>
        </w:tc>
        <w:tc>
          <w:tcPr>
            <w:tcW w:w="1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340" w:type="dxa"/>
            <w:vAlign w:val="bottom"/>
            <w:gridSpan w:val="2"/>
          </w:tcPr>
          <w:p>
            <w:pPr>
              <w:spacing w:after="0"/>
              <w:rPr>
                <w:sz w:val="20"/>
                <w:szCs w:val="20"/>
                <w:color w:val="auto"/>
              </w:rPr>
            </w:pPr>
            <w:r>
              <w:rPr>
                <w:rFonts w:ascii="Arial" w:cs="Arial" w:eastAsia="Arial" w:hAnsi="Arial"/>
                <w:sz w:val="14"/>
                <w:szCs w:val="14"/>
                <w:color w:val="auto"/>
              </w:rPr>
              <w:t>LAV Gear Holdings, Inc.</w:t>
            </w: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Capital Equipment</w:t>
            </w:r>
          </w:p>
        </w:tc>
        <w:tc>
          <w:tcPr>
            <w:tcW w:w="306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60" w:type="dxa"/>
            <w:vAlign w:val="bottom"/>
            <w:gridSpan w:val="2"/>
          </w:tcPr>
          <w:p>
            <w:pPr>
              <w:jc w:val="right"/>
              <w:ind w:right="43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8,475</w:t>
            </w:r>
          </w:p>
        </w:tc>
        <w:tc>
          <w:tcPr>
            <w:tcW w:w="0" w:type="dxa"/>
            <w:vAlign w:val="bottom"/>
          </w:tcPr>
          <w:p>
            <w:pPr>
              <w:spacing w:after="0"/>
              <w:rPr>
                <w:sz w:val="1"/>
                <w:szCs w:val="1"/>
                <w:color w:val="auto"/>
              </w:rPr>
            </w:pPr>
          </w:p>
        </w:tc>
      </w:tr>
      <w:tr>
        <w:trPr>
          <w:trHeight w:val="149"/>
        </w:trPr>
        <w:tc>
          <w:tcPr>
            <w:tcW w:w="4340" w:type="dxa"/>
            <w:vAlign w:val="bottom"/>
            <w:gridSpan w:val="2"/>
          </w:tcPr>
          <w:p>
            <w:pPr>
              <w:spacing w:after="0" w:line="149" w:lineRule="exact"/>
              <w:rPr>
                <w:sz w:val="20"/>
                <w:szCs w:val="20"/>
                <w:color w:val="auto"/>
              </w:rPr>
            </w:pPr>
            <w:r>
              <w:rPr>
                <w:rFonts w:ascii="Arial" w:cs="Arial" w:eastAsia="Arial" w:hAnsi="Arial"/>
                <w:sz w:val="14"/>
                <w:szCs w:val="14"/>
                <w:color w:val="auto"/>
              </w:rPr>
              <w:t>3165 W Sunset Rd</w:t>
            </w: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1M L+550, 10/31/2024</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340" w:type="dxa"/>
            <w:vAlign w:val="bottom"/>
            <w:gridSpan w:val="2"/>
          </w:tcPr>
          <w:p>
            <w:pPr>
              <w:spacing w:after="0"/>
              <w:rPr>
                <w:sz w:val="20"/>
                <w:szCs w:val="20"/>
                <w:color w:val="auto"/>
              </w:rPr>
            </w:pPr>
            <w:r>
              <w:rPr>
                <w:rFonts w:ascii="Arial" w:cs="Arial" w:eastAsia="Arial" w:hAnsi="Arial"/>
                <w:sz w:val="14"/>
                <w:szCs w:val="14"/>
                <w:color w:val="auto"/>
              </w:rPr>
              <w:t>Las Vegas, NV 89118</w:t>
            </w: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3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LifeCare Holdings LLC</w:t>
            </w:r>
          </w:p>
        </w:tc>
        <w:tc>
          <w:tcPr>
            <w:tcW w:w="144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0"/>
              </w:rPr>
              <w:t>Healthcare and</w:t>
            </w:r>
          </w:p>
        </w:tc>
        <w:tc>
          <w:tcPr>
            <w:tcW w:w="30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shd w:val="clear" w:color="auto" w:fill="CCEEFF"/>
          </w:tcPr>
          <w:p>
            <w:pPr>
              <w:jc w:val="right"/>
              <w:ind w:right="438"/>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48"/>
        </w:trPr>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5340 Legacy Drive</w:t>
            </w:r>
          </w:p>
        </w:tc>
        <w:tc>
          <w:tcPr>
            <w:tcW w:w="14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0"/>
              </w:rPr>
              <w:t>Pharmaceuticals</w:t>
            </w:r>
          </w:p>
        </w:tc>
        <w:tc>
          <w:tcPr>
            <w:tcW w:w="30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3"/>
              </w:rPr>
              <w:t>—, 11/30/2021</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Ste. 150, Building 4</w:t>
            </w:r>
          </w:p>
        </w:tc>
        <w:tc>
          <w:tcPr>
            <w:tcW w:w="1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Plano, TX 75024</w:t>
            </w:r>
          </w:p>
        </w:tc>
        <w:tc>
          <w:tcPr>
            <w:tcW w:w="1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340" w:type="dxa"/>
            <w:vAlign w:val="bottom"/>
            <w:gridSpan w:val="2"/>
          </w:tcPr>
          <w:p>
            <w:pPr>
              <w:spacing w:after="0"/>
              <w:rPr>
                <w:sz w:val="20"/>
                <w:szCs w:val="20"/>
                <w:color w:val="auto"/>
              </w:rPr>
            </w:pPr>
            <w:r>
              <w:rPr>
                <w:rFonts w:ascii="Arial" w:cs="Arial" w:eastAsia="Arial" w:hAnsi="Arial"/>
                <w:sz w:val="14"/>
                <w:szCs w:val="14"/>
                <w:color w:val="auto"/>
              </w:rPr>
              <w:t>Long Island Vision Management, LLC</w:t>
            </w: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color w:val="auto"/>
                <w:w w:val="90"/>
              </w:rPr>
              <w:t>Healthcare and</w:t>
            </w:r>
          </w:p>
        </w:tc>
        <w:tc>
          <w:tcPr>
            <w:tcW w:w="306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60" w:type="dxa"/>
            <w:vAlign w:val="bottom"/>
            <w:gridSpan w:val="2"/>
          </w:tcPr>
          <w:p>
            <w:pPr>
              <w:jc w:val="right"/>
              <w:ind w:right="43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8,116</w:t>
            </w:r>
          </w:p>
        </w:tc>
        <w:tc>
          <w:tcPr>
            <w:tcW w:w="0" w:type="dxa"/>
            <w:vAlign w:val="bottom"/>
          </w:tcPr>
          <w:p>
            <w:pPr>
              <w:spacing w:after="0"/>
              <w:rPr>
                <w:sz w:val="1"/>
                <w:szCs w:val="1"/>
                <w:color w:val="auto"/>
              </w:rPr>
            </w:pPr>
          </w:p>
        </w:tc>
      </w:tr>
      <w:tr>
        <w:trPr>
          <w:trHeight w:val="149"/>
        </w:trPr>
        <w:tc>
          <w:tcPr>
            <w:tcW w:w="4340" w:type="dxa"/>
            <w:vAlign w:val="bottom"/>
            <w:gridSpan w:val="2"/>
          </w:tcPr>
          <w:p>
            <w:pPr>
              <w:spacing w:after="0" w:line="149" w:lineRule="exact"/>
              <w:rPr>
                <w:sz w:val="20"/>
                <w:szCs w:val="20"/>
                <w:color w:val="auto"/>
              </w:rPr>
            </w:pPr>
            <w:r>
              <w:rPr>
                <w:rFonts w:ascii="Arial" w:cs="Arial" w:eastAsia="Arial" w:hAnsi="Arial"/>
                <w:sz w:val="14"/>
                <w:szCs w:val="14"/>
                <w:color w:val="auto"/>
              </w:rPr>
              <w:t>805 Broadway</w:t>
            </w:r>
          </w:p>
        </w:tc>
        <w:tc>
          <w:tcPr>
            <w:tcW w:w="14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0"/>
              </w:rPr>
              <w:t>Pharmaceuticals</w:t>
            </w:r>
          </w:p>
        </w:tc>
        <w:tc>
          <w:tcPr>
            <w:tcW w:w="30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3M L+475, 09/11/2023</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340" w:type="dxa"/>
            <w:vAlign w:val="bottom"/>
            <w:gridSpan w:val="2"/>
          </w:tcPr>
          <w:p>
            <w:pPr>
              <w:spacing w:after="0"/>
              <w:rPr>
                <w:sz w:val="20"/>
                <w:szCs w:val="20"/>
                <w:color w:val="auto"/>
              </w:rPr>
            </w:pPr>
            <w:r>
              <w:rPr>
                <w:rFonts w:ascii="Arial" w:cs="Arial" w:eastAsia="Arial" w:hAnsi="Arial"/>
                <w:sz w:val="14"/>
                <w:szCs w:val="14"/>
                <w:color w:val="auto"/>
              </w:rPr>
              <w:t>New York, NY 11701</w:t>
            </w: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3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Long’s Drugs Incorporated</w:t>
            </w:r>
          </w:p>
        </w:tc>
        <w:tc>
          <w:tcPr>
            <w:tcW w:w="144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0"/>
              </w:rPr>
              <w:t>Healthcare and</w:t>
            </w:r>
          </w:p>
        </w:tc>
        <w:tc>
          <w:tcPr>
            <w:tcW w:w="30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60" w:type="dxa"/>
            <w:vAlign w:val="bottom"/>
            <w:gridSpan w:val="2"/>
            <w:shd w:val="clear" w:color="auto" w:fill="CCEEFF"/>
          </w:tcPr>
          <w:p>
            <w:pPr>
              <w:jc w:val="right"/>
              <w:ind w:right="438"/>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9,741</w:t>
            </w:r>
          </w:p>
        </w:tc>
        <w:tc>
          <w:tcPr>
            <w:tcW w:w="0" w:type="dxa"/>
            <w:vAlign w:val="bottom"/>
          </w:tcPr>
          <w:p>
            <w:pPr>
              <w:spacing w:after="0"/>
              <w:rPr>
                <w:sz w:val="1"/>
                <w:szCs w:val="1"/>
                <w:color w:val="auto"/>
              </w:rPr>
            </w:pPr>
          </w:p>
        </w:tc>
      </w:tr>
      <w:tr>
        <w:trPr>
          <w:trHeight w:val="148"/>
        </w:trPr>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111 Executive Center Drive, Suite 228</w:t>
            </w:r>
          </w:p>
        </w:tc>
        <w:tc>
          <w:tcPr>
            <w:tcW w:w="14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0"/>
              </w:rPr>
              <w:t>Pharmaceuticals</w:t>
            </w:r>
          </w:p>
        </w:tc>
        <w:tc>
          <w:tcPr>
            <w:tcW w:w="30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5"/>
              </w:rPr>
              <w:t>1M L+500, 08/19/2022</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Columbia, SC 29210</w:t>
            </w:r>
          </w:p>
        </w:tc>
        <w:tc>
          <w:tcPr>
            <w:tcW w:w="1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340" w:type="dxa"/>
            <w:vAlign w:val="bottom"/>
            <w:gridSpan w:val="2"/>
          </w:tcPr>
          <w:p>
            <w:pPr>
              <w:spacing w:after="0"/>
              <w:rPr>
                <w:sz w:val="20"/>
                <w:szCs w:val="20"/>
                <w:color w:val="auto"/>
              </w:rPr>
            </w:pPr>
            <w:r>
              <w:rPr>
                <w:rFonts w:ascii="Arial" w:cs="Arial" w:eastAsia="Arial" w:hAnsi="Arial"/>
                <w:sz w:val="14"/>
                <w:szCs w:val="14"/>
                <w:color w:val="auto"/>
              </w:rPr>
              <w:t>LSF9 Atlantis Holdings, LLC</w:t>
            </w: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Retail</w:t>
            </w:r>
          </w:p>
        </w:tc>
        <w:tc>
          <w:tcPr>
            <w:tcW w:w="306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tcPr>
          <w:p>
            <w:pPr>
              <w:jc w:val="right"/>
              <w:ind w:right="43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12,712</w:t>
            </w:r>
          </w:p>
        </w:tc>
        <w:tc>
          <w:tcPr>
            <w:tcW w:w="0" w:type="dxa"/>
            <w:vAlign w:val="bottom"/>
          </w:tcPr>
          <w:p>
            <w:pPr>
              <w:spacing w:after="0"/>
              <w:rPr>
                <w:sz w:val="1"/>
                <w:szCs w:val="1"/>
                <w:color w:val="auto"/>
              </w:rPr>
            </w:pPr>
          </w:p>
        </w:tc>
      </w:tr>
      <w:tr>
        <w:trPr>
          <w:trHeight w:val="148"/>
        </w:trPr>
        <w:tc>
          <w:tcPr>
            <w:tcW w:w="4340" w:type="dxa"/>
            <w:vAlign w:val="bottom"/>
            <w:gridSpan w:val="2"/>
          </w:tcPr>
          <w:p>
            <w:pPr>
              <w:spacing w:after="0" w:line="149" w:lineRule="exact"/>
              <w:rPr>
                <w:sz w:val="20"/>
                <w:szCs w:val="20"/>
                <w:color w:val="auto"/>
              </w:rPr>
            </w:pPr>
            <w:r>
              <w:rPr>
                <w:rFonts w:ascii="Arial" w:cs="Arial" w:eastAsia="Arial" w:hAnsi="Arial"/>
                <w:sz w:val="14"/>
                <w:szCs w:val="14"/>
                <w:color w:val="auto"/>
              </w:rPr>
              <w:t>775 Prairie Center Drive, Suite 420</w:t>
            </w: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1M L+600, 05/01/2023</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340" w:type="dxa"/>
            <w:vAlign w:val="bottom"/>
            <w:gridSpan w:val="2"/>
          </w:tcPr>
          <w:p>
            <w:pPr>
              <w:spacing w:after="0"/>
              <w:rPr>
                <w:sz w:val="20"/>
                <w:szCs w:val="20"/>
                <w:color w:val="auto"/>
              </w:rPr>
            </w:pPr>
            <w:r>
              <w:rPr>
                <w:rFonts w:ascii="Arial" w:cs="Arial" w:eastAsia="Arial" w:hAnsi="Arial"/>
                <w:sz w:val="14"/>
                <w:szCs w:val="14"/>
                <w:color w:val="auto"/>
              </w:rPr>
              <w:t>Eden Prairie, MN 55344</w:t>
            </w: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3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MailSouth, Inc.</w:t>
            </w:r>
          </w:p>
        </w:tc>
        <w:tc>
          <w:tcPr>
            <w:tcW w:w="144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7"/>
              </w:rPr>
              <w:t>Media: Advertising,</w:t>
            </w:r>
          </w:p>
        </w:tc>
        <w:tc>
          <w:tcPr>
            <w:tcW w:w="30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2"/>
              </w:rPr>
              <w:t>Second Lien Secured Debt,</w:t>
            </w:r>
          </w:p>
        </w:tc>
        <w:tc>
          <w:tcPr>
            <w:tcW w:w="1260" w:type="dxa"/>
            <w:vAlign w:val="bottom"/>
            <w:gridSpan w:val="2"/>
            <w:shd w:val="clear" w:color="auto" w:fill="CCEEFF"/>
          </w:tcPr>
          <w:p>
            <w:pPr>
              <w:jc w:val="right"/>
              <w:ind w:right="438"/>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2,785</w:t>
            </w:r>
          </w:p>
        </w:tc>
        <w:tc>
          <w:tcPr>
            <w:tcW w:w="0" w:type="dxa"/>
            <w:vAlign w:val="bottom"/>
          </w:tcPr>
          <w:p>
            <w:pPr>
              <w:spacing w:after="0"/>
              <w:rPr>
                <w:sz w:val="1"/>
                <w:szCs w:val="1"/>
                <w:color w:val="auto"/>
              </w:rPr>
            </w:pPr>
          </w:p>
        </w:tc>
      </w:tr>
      <w:tr>
        <w:trPr>
          <w:trHeight w:val="148"/>
        </w:trPr>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5901 Highway 52 East</w:t>
            </w:r>
          </w:p>
        </w:tc>
        <w:tc>
          <w:tcPr>
            <w:tcW w:w="144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6"/>
              </w:rPr>
              <w:t>Printing and</w:t>
            </w:r>
          </w:p>
        </w:tc>
        <w:tc>
          <w:tcPr>
            <w:tcW w:w="30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5"/>
              </w:rPr>
              <w:t>12M L+925, 10/23/2024</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Helena, AL 35080</w:t>
            </w:r>
          </w:p>
        </w:tc>
        <w:tc>
          <w:tcPr>
            <w:tcW w:w="14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color w:val="auto"/>
                <w:w w:val="95"/>
              </w:rPr>
              <w:t>Publishing</w:t>
            </w:r>
          </w:p>
        </w:tc>
        <w:tc>
          <w:tcPr>
            <w:tcW w:w="2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340" w:type="dxa"/>
            <w:vAlign w:val="bottom"/>
            <w:gridSpan w:val="2"/>
          </w:tcPr>
          <w:p>
            <w:pPr>
              <w:spacing w:after="0"/>
              <w:rPr>
                <w:sz w:val="20"/>
                <w:szCs w:val="20"/>
                <w:color w:val="auto"/>
              </w:rPr>
            </w:pPr>
            <w:r>
              <w:rPr>
                <w:rFonts w:ascii="Arial" w:cs="Arial" w:eastAsia="Arial" w:hAnsi="Arial"/>
                <w:sz w:val="14"/>
                <w:szCs w:val="14"/>
                <w:color w:val="auto"/>
              </w:rPr>
              <w:t>Manna Pro Products, LLC</w:t>
            </w: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Consumer Goods:</w:t>
            </w:r>
          </w:p>
        </w:tc>
        <w:tc>
          <w:tcPr>
            <w:tcW w:w="306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tcPr>
          <w:p>
            <w:pPr>
              <w:jc w:val="right"/>
              <w:ind w:right="43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8,159</w:t>
            </w:r>
          </w:p>
        </w:tc>
        <w:tc>
          <w:tcPr>
            <w:tcW w:w="0" w:type="dxa"/>
            <w:vAlign w:val="bottom"/>
          </w:tcPr>
          <w:p>
            <w:pPr>
              <w:spacing w:after="0"/>
              <w:rPr>
                <w:sz w:val="1"/>
                <w:szCs w:val="1"/>
                <w:color w:val="auto"/>
              </w:rPr>
            </w:pPr>
          </w:p>
        </w:tc>
      </w:tr>
      <w:tr>
        <w:trPr>
          <w:trHeight w:val="149"/>
        </w:trPr>
        <w:tc>
          <w:tcPr>
            <w:tcW w:w="4340" w:type="dxa"/>
            <w:vAlign w:val="bottom"/>
            <w:gridSpan w:val="2"/>
          </w:tcPr>
          <w:p>
            <w:pPr>
              <w:spacing w:after="0" w:line="149" w:lineRule="exact"/>
              <w:rPr>
                <w:sz w:val="20"/>
                <w:szCs w:val="20"/>
                <w:color w:val="auto"/>
              </w:rPr>
            </w:pPr>
            <w:r>
              <w:rPr>
                <w:rFonts w:ascii="Arial" w:cs="Arial" w:eastAsia="Arial" w:hAnsi="Arial"/>
                <w:sz w:val="14"/>
                <w:szCs w:val="14"/>
                <w:color w:val="auto"/>
              </w:rPr>
              <w:t>707 Spirit 40 Park Drive, #150</w:t>
            </w:r>
          </w:p>
        </w:tc>
        <w:tc>
          <w:tcPr>
            <w:tcW w:w="14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Non-Durable</w:t>
            </w:r>
          </w:p>
        </w:tc>
        <w:tc>
          <w:tcPr>
            <w:tcW w:w="30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1M L+600, 12/08/2023</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340" w:type="dxa"/>
            <w:vAlign w:val="bottom"/>
            <w:gridSpan w:val="2"/>
          </w:tcPr>
          <w:p>
            <w:pPr>
              <w:spacing w:after="0"/>
              <w:rPr>
                <w:sz w:val="20"/>
                <w:szCs w:val="20"/>
                <w:color w:val="auto"/>
              </w:rPr>
            </w:pPr>
            <w:r>
              <w:rPr>
                <w:rFonts w:ascii="Arial" w:cs="Arial" w:eastAsia="Arial" w:hAnsi="Arial"/>
                <w:sz w:val="14"/>
                <w:szCs w:val="14"/>
                <w:color w:val="auto"/>
              </w:rPr>
              <w:t>Chesterfield, MO 63005</w:t>
            </w: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3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Marketplace Events LLC</w:t>
            </w:r>
          </w:p>
        </w:tc>
        <w:tc>
          <w:tcPr>
            <w:tcW w:w="144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7"/>
              </w:rPr>
              <w:t>Media: Diversified</w:t>
            </w:r>
          </w:p>
        </w:tc>
        <w:tc>
          <w:tcPr>
            <w:tcW w:w="30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5"/>
              </w:rPr>
              <w:t>First Lien Secured Debt</w:t>
            </w:r>
            <w:r>
              <w:rPr>
                <w:rFonts w:ascii="Arial" w:cs="Arial" w:eastAsia="Arial" w:hAnsi="Arial"/>
                <w:sz w:val="12"/>
                <w:szCs w:val="12"/>
                <w:color w:val="auto"/>
                <w:w w:val="95"/>
              </w:rPr>
              <w:t>(4)</w:t>
            </w:r>
            <w:r>
              <w:rPr>
                <w:rFonts w:ascii="Arial" w:cs="Arial" w:eastAsia="Arial" w:hAnsi="Arial"/>
                <w:sz w:val="14"/>
                <w:szCs w:val="14"/>
                <w:color w:val="auto"/>
                <w:w w:val="95"/>
              </w:rPr>
              <w:t>, USD (3M L+525,</w:t>
            </w:r>
          </w:p>
        </w:tc>
        <w:tc>
          <w:tcPr>
            <w:tcW w:w="1260" w:type="dxa"/>
            <w:vAlign w:val="bottom"/>
            <w:gridSpan w:val="2"/>
            <w:shd w:val="clear" w:color="auto" w:fill="CCEEFF"/>
          </w:tcPr>
          <w:p>
            <w:pPr>
              <w:jc w:val="right"/>
              <w:ind w:right="438"/>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18,034</w:t>
            </w:r>
          </w:p>
        </w:tc>
        <w:tc>
          <w:tcPr>
            <w:tcW w:w="0" w:type="dxa"/>
            <w:vAlign w:val="bottom"/>
          </w:tcPr>
          <w:p>
            <w:pPr>
              <w:spacing w:after="0"/>
              <w:rPr>
                <w:sz w:val="1"/>
                <w:szCs w:val="1"/>
                <w:color w:val="auto"/>
              </w:rPr>
            </w:pPr>
          </w:p>
        </w:tc>
      </w:tr>
      <w:tr>
        <w:trPr>
          <w:trHeight w:val="148"/>
        </w:trPr>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31105 Bainbridge Road, Suite 3</w:t>
            </w:r>
          </w:p>
        </w:tc>
        <w:tc>
          <w:tcPr>
            <w:tcW w:w="144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3"/>
              </w:rPr>
              <w:t>and Production</w:t>
            </w:r>
          </w:p>
        </w:tc>
        <w:tc>
          <w:tcPr>
            <w:tcW w:w="30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4"/>
              </w:rPr>
              <w:t>01/27/2023), CAD (P+275, 01/27/2023)</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Solon, OH 44139</w:t>
            </w:r>
          </w:p>
        </w:tc>
        <w:tc>
          <w:tcPr>
            <w:tcW w:w="1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340" w:type="dxa"/>
            <w:vAlign w:val="bottom"/>
            <w:gridSpan w:val="2"/>
          </w:tcPr>
          <w:p>
            <w:pPr>
              <w:spacing w:after="0"/>
              <w:rPr>
                <w:sz w:val="20"/>
                <w:szCs w:val="20"/>
                <w:color w:val="auto"/>
              </w:rPr>
            </w:pPr>
            <w:r>
              <w:rPr>
                <w:rFonts w:ascii="Arial" w:cs="Arial" w:eastAsia="Arial" w:hAnsi="Arial"/>
                <w:sz w:val="14"/>
                <w:szCs w:val="14"/>
                <w:color w:val="auto"/>
              </w:rPr>
              <w:t>McAfee, LLC</w:t>
            </w: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High Tech</w:t>
            </w:r>
          </w:p>
        </w:tc>
        <w:tc>
          <w:tcPr>
            <w:tcW w:w="306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Second Lien Secured Debt,</w:t>
            </w:r>
          </w:p>
        </w:tc>
        <w:tc>
          <w:tcPr>
            <w:tcW w:w="1260" w:type="dxa"/>
            <w:vAlign w:val="bottom"/>
            <w:gridSpan w:val="2"/>
          </w:tcPr>
          <w:p>
            <w:pPr>
              <w:jc w:val="right"/>
              <w:ind w:right="43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2,205</w:t>
            </w:r>
          </w:p>
        </w:tc>
        <w:tc>
          <w:tcPr>
            <w:tcW w:w="0" w:type="dxa"/>
            <w:vAlign w:val="bottom"/>
          </w:tcPr>
          <w:p>
            <w:pPr>
              <w:spacing w:after="0"/>
              <w:rPr>
                <w:sz w:val="1"/>
                <w:szCs w:val="1"/>
                <w:color w:val="auto"/>
              </w:rPr>
            </w:pPr>
          </w:p>
        </w:tc>
      </w:tr>
      <w:tr>
        <w:trPr>
          <w:trHeight w:val="148"/>
        </w:trPr>
        <w:tc>
          <w:tcPr>
            <w:tcW w:w="4340" w:type="dxa"/>
            <w:vAlign w:val="bottom"/>
            <w:gridSpan w:val="2"/>
          </w:tcPr>
          <w:p>
            <w:pPr>
              <w:spacing w:after="0" w:line="149" w:lineRule="exact"/>
              <w:rPr>
                <w:sz w:val="20"/>
                <w:szCs w:val="20"/>
                <w:color w:val="auto"/>
              </w:rPr>
            </w:pPr>
            <w:r>
              <w:rPr>
                <w:rFonts w:ascii="Arial" w:cs="Arial" w:eastAsia="Arial" w:hAnsi="Arial"/>
                <w:sz w:val="14"/>
                <w:szCs w:val="14"/>
                <w:color w:val="auto"/>
              </w:rPr>
              <w:t>2821 Mission College Boulevard</w:t>
            </w:r>
          </w:p>
        </w:tc>
        <w:tc>
          <w:tcPr>
            <w:tcW w:w="14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2"/>
              </w:rPr>
              <w:t>Industries</w:t>
            </w:r>
          </w:p>
        </w:tc>
        <w:tc>
          <w:tcPr>
            <w:tcW w:w="30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1M L+850, 09/29/2025</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340" w:type="dxa"/>
            <w:vAlign w:val="bottom"/>
            <w:gridSpan w:val="2"/>
          </w:tcPr>
          <w:p>
            <w:pPr>
              <w:spacing w:after="0"/>
              <w:rPr>
                <w:sz w:val="20"/>
                <w:szCs w:val="20"/>
                <w:color w:val="auto"/>
              </w:rPr>
            </w:pPr>
            <w:r>
              <w:rPr>
                <w:rFonts w:ascii="Arial" w:cs="Arial" w:eastAsia="Arial" w:hAnsi="Arial"/>
                <w:sz w:val="14"/>
                <w:szCs w:val="14"/>
                <w:color w:val="auto"/>
              </w:rPr>
              <w:t>Santa Clara, CA 95054</w:t>
            </w: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Type of Investment,</w:t>
            </w:r>
          </w:p>
        </w:tc>
        <w:tc>
          <w:tcPr>
            <w:tcW w:w="1420" w:type="dxa"/>
            <w:vAlign w:val="bottom"/>
            <w:gridSpan w:val="2"/>
          </w:tcPr>
          <w:p>
            <w:pPr>
              <w:jc w:val="center"/>
              <w:ind w:right="518"/>
              <w:spacing w:after="0"/>
              <w:rPr>
                <w:sz w:val="20"/>
                <w:szCs w:val="20"/>
                <w:color w:val="auto"/>
              </w:rPr>
            </w:pPr>
            <w:r>
              <w:rPr>
                <w:rFonts w:ascii="Arial" w:cs="Arial" w:eastAsia="Arial" w:hAnsi="Arial"/>
                <w:sz w:val="14"/>
                <w:szCs w:val="14"/>
                <w:b w:val="1"/>
                <w:bCs w:val="1"/>
                <w:color w:val="auto"/>
                <w:w w:val="91"/>
              </w:rPr>
              <w:t>Voting</w:t>
            </w:r>
          </w:p>
        </w:tc>
        <w:tc>
          <w:tcPr>
            <w:tcW w:w="80" w:type="dxa"/>
            <w:vAlign w:val="bottom"/>
          </w:tcPr>
          <w:p>
            <w:pPr>
              <w:spacing w:after="0"/>
              <w:rPr>
                <w:sz w:val="14"/>
                <w:szCs w:val="14"/>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4040" w:type="dxa"/>
            <w:vAlign w:val="bottom"/>
            <w:gridSpan w:val="2"/>
            <w:vMerge w:val="continue"/>
          </w:tcPr>
          <w:p>
            <w:pPr>
              <w:spacing w:after="0"/>
              <w:rPr>
                <w:sz w:val="12"/>
                <w:szCs w:val="12"/>
                <w:color w:val="auto"/>
              </w:rPr>
            </w:pPr>
          </w:p>
        </w:tc>
        <w:tc>
          <w:tcPr>
            <w:tcW w:w="17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Nature of Business</w:t>
            </w:r>
          </w:p>
        </w:tc>
        <w:tc>
          <w:tcPr>
            <w:tcW w:w="2940" w:type="dxa"/>
            <w:vAlign w:val="bottom"/>
            <w:gridSpan w:val="2"/>
            <w:vMerge w:val="continue"/>
          </w:tcPr>
          <w:p>
            <w:pPr>
              <w:spacing w:after="0"/>
              <w:rPr>
                <w:sz w:val="12"/>
                <w:szCs w:val="12"/>
                <w:color w:val="auto"/>
              </w:rPr>
            </w:pPr>
          </w:p>
        </w:tc>
        <w:tc>
          <w:tcPr>
            <w:tcW w:w="1420" w:type="dxa"/>
            <w:vAlign w:val="bottom"/>
            <w:gridSpan w:val="2"/>
          </w:tcPr>
          <w:p>
            <w:pPr>
              <w:jc w:val="right"/>
              <w:ind w:right="598"/>
              <w:spacing w:after="0" w:line="145" w:lineRule="exact"/>
              <w:rPr>
                <w:sz w:val="20"/>
                <w:szCs w:val="20"/>
                <w:color w:val="auto"/>
              </w:rPr>
            </w:pPr>
            <w:r>
              <w:rPr>
                <w:rFonts w:ascii="Arial" w:cs="Arial" w:eastAsia="Arial" w:hAnsi="Arial"/>
                <w:sz w:val="14"/>
                <w:szCs w:val="14"/>
                <w:b w:val="1"/>
                <w:bCs w:val="1"/>
                <w:color w:val="auto"/>
                <w:w w:val="97"/>
              </w:rPr>
              <w:t>Percentage</w:t>
            </w: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216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2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Interest</w:t>
            </w:r>
            <w:r>
              <w:rPr>
                <w:rFonts w:ascii="Arial" w:cs="Arial" w:eastAsia="Arial" w:hAnsi="Arial"/>
                <w:sz w:val="12"/>
                <w:szCs w:val="12"/>
                <w:b w:val="1"/>
                <w:bCs w:val="1"/>
                <w:color w:val="auto"/>
                <w:w w:val="97"/>
              </w:rPr>
              <w:t>(1)</w:t>
            </w:r>
            <w:r>
              <w:rPr>
                <w:rFonts w:ascii="Arial" w:cs="Arial" w:eastAsia="Arial" w:hAnsi="Arial"/>
                <w:sz w:val="14"/>
                <w:szCs w:val="14"/>
                <w:b w:val="1"/>
                <w:bCs w:val="1"/>
                <w:color w:val="auto"/>
                <w:w w:val="97"/>
              </w:rPr>
              <w:t>, Maturity</w:t>
            </w:r>
          </w:p>
        </w:tc>
        <w:tc>
          <w:tcPr>
            <w:tcW w:w="1420" w:type="dxa"/>
            <w:vAlign w:val="bottom"/>
            <w:gridSpan w:val="2"/>
          </w:tcPr>
          <w:p>
            <w:pPr>
              <w:jc w:val="center"/>
              <w:ind w:right="498"/>
              <w:spacing w:after="0"/>
              <w:rPr>
                <w:sz w:val="20"/>
                <w:szCs w:val="20"/>
                <w:color w:val="auto"/>
              </w:rPr>
            </w:pPr>
            <w:r>
              <w:rPr>
                <w:rFonts w:ascii="Arial" w:cs="Arial" w:eastAsia="Arial" w:hAnsi="Arial"/>
                <w:sz w:val="14"/>
                <w:szCs w:val="14"/>
                <w:b w:val="1"/>
                <w:bCs w:val="1"/>
                <w:color w:val="auto"/>
                <w:w w:val="94"/>
              </w:rPr>
              <w:t>Ownership</w:t>
            </w:r>
            <w:r>
              <w:rPr>
                <w:rFonts w:ascii="Arial" w:cs="Arial" w:eastAsia="Arial" w:hAnsi="Arial"/>
                <w:sz w:val="12"/>
                <w:szCs w:val="12"/>
                <w:b w:val="1"/>
                <w:bCs w:val="1"/>
                <w:color w:val="auto"/>
                <w:w w:val="94"/>
              </w:rPr>
              <w:t>(2)</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108"/>
        </w:trPr>
        <w:tc>
          <w:tcPr>
            <w:tcW w:w="4040" w:type="dxa"/>
            <w:vAlign w:val="bottom"/>
            <w:tcBorders>
              <w:top w:val="single" w:sz="8" w:color="CCEEFF"/>
            </w:tcBorders>
            <w:gridSpan w:val="2"/>
            <w:shd w:val="clear" w:color="auto" w:fill="CCEEFF"/>
          </w:tcPr>
          <w:p>
            <w:pPr>
              <w:spacing w:after="0" w:line="109" w:lineRule="exact"/>
              <w:rPr>
                <w:sz w:val="20"/>
                <w:szCs w:val="20"/>
                <w:color w:val="auto"/>
              </w:rPr>
            </w:pPr>
            <w:r>
              <w:rPr>
                <w:rFonts w:ascii="Arial" w:cs="Arial" w:eastAsia="Arial" w:hAnsi="Arial"/>
                <w:sz w:val="12"/>
                <w:szCs w:val="12"/>
                <w:color w:val="auto"/>
              </w:rPr>
              <w:t>MeritDirect, LLC</w:t>
            </w:r>
          </w:p>
        </w:tc>
        <w:tc>
          <w:tcPr>
            <w:tcW w:w="146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Media</w:t>
            </w:r>
          </w:p>
        </w:tc>
        <w:tc>
          <w:tcPr>
            <w:tcW w:w="240" w:type="dxa"/>
            <w:vAlign w:val="bottom"/>
            <w:tcBorders>
              <w:top w:val="single" w:sz="8" w:color="CCEEFF"/>
            </w:tcBorders>
            <w:shd w:val="clear" w:color="auto" w:fill="CCEEFF"/>
          </w:tcPr>
          <w:p>
            <w:pPr>
              <w:spacing w:after="0"/>
              <w:rPr>
                <w:sz w:val="9"/>
                <w:szCs w:val="9"/>
                <w:color w:val="auto"/>
              </w:rPr>
            </w:pPr>
          </w:p>
        </w:tc>
        <w:tc>
          <w:tcPr>
            <w:tcW w:w="268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w:t>
            </w:r>
            <w:r>
              <w:rPr>
                <w:rFonts w:ascii="Arial" w:cs="Arial" w:eastAsia="Arial" w:hAnsi="Arial"/>
                <w:sz w:val="10"/>
                <w:szCs w:val="10"/>
                <w:color w:val="auto"/>
              </w:rPr>
              <w:t>(4)</w:t>
            </w:r>
            <w:r>
              <w:rPr>
                <w:rFonts w:ascii="Arial" w:cs="Arial" w:eastAsia="Arial" w:hAnsi="Arial"/>
                <w:sz w:val="12"/>
                <w:szCs w:val="12"/>
                <w:color w:val="auto"/>
              </w:rPr>
              <w:t>,</w:t>
            </w:r>
          </w:p>
        </w:tc>
        <w:tc>
          <w:tcPr>
            <w:tcW w:w="26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ind w:left="660"/>
              <w:spacing w:after="0" w:line="109" w:lineRule="exact"/>
              <w:rPr>
                <w:sz w:val="20"/>
                <w:szCs w:val="20"/>
                <w:color w:val="auto"/>
              </w:rPr>
            </w:pPr>
            <w:r>
              <w:rPr>
                <w:rFonts w:ascii="Arial" w:cs="Arial" w:eastAsia="Arial" w:hAnsi="Arial"/>
                <w:sz w:val="12"/>
                <w:szCs w:val="12"/>
                <w:color w:val="auto"/>
                <w:w w:val="95"/>
              </w:rPr>
              <w:t>1.0</w:t>
            </w:r>
          </w:p>
        </w:tc>
        <w:tc>
          <w:tcPr>
            <w:tcW w:w="580" w:type="dxa"/>
            <w:vAlign w:val="bottom"/>
            <w:tcBorders>
              <w:top w:val="single" w:sz="8" w:color="CCEEFF"/>
            </w:tcBorders>
            <w:shd w:val="clear" w:color="auto" w:fill="CCEEFF"/>
          </w:tcPr>
          <w:p>
            <w:pPr>
              <w:jc w:val="right"/>
              <w:ind w:right="398"/>
              <w:spacing w:after="0" w:line="109" w:lineRule="exact"/>
              <w:rPr>
                <w:sz w:val="20"/>
                <w:szCs w:val="20"/>
                <w:color w:val="auto"/>
              </w:rPr>
            </w:pPr>
            <w:r>
              <w:rPr>
                <w:rFonts w:ascii="Arial" w:cs="Arial" w:eastAsia="Arial" w:hAnsi="Arial"/>
                <w:sz w:val="12"/>
                <w:szCs w:val="12"/>
                <w:color w:val="auto"/>
                <w:w w:val="93"/>
              </w:rPr>
              <w:t>%</w:t>
            </w:r>
          </w:p>
        </w:tc>
        <w:tc>
          <w:tcPr>
            <w:tcW w:w="80" w:type="dxa"/>
            <w:vAlign w:val="bottom"/>
            <w:tcBorders>
              <w:top w:val="single" w:sz="8" w:color="auto"/>
            </w:tcBorders>
            <w:shd w:val="clear" w:color="auto" w:fill="CCEEFF"/>
          </w:tcPr>
          <w:p>
            <w:pPr>
              <w:spacing w:after="0" w:line="109" w:lineRule="exact"/>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35,285</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(MeritDirect Holdings, LP)</w:t>
            </w:r>
          </w:p>
        </w:tc>
        <w:tc>
          <w:tcPr>
            <w:tcW w:w="1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9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6"/>
              </w:rPr>
              <w:t>3M L+550, 05/23/2024</w:t>
            </w:r>
          </w:p>
        </w:tc>
        <w:tc>
          <w:tcPr>
            <w:tcW w:w="8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 International Drive</w:t>
            </w:r>
          </w:p>
        </w:tc>
        <w:tc>
          <w:tcPr>
            <w:tcW w:w="1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94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94"/>
              </w:rPr>
              <w:t>Preferred Equity</w:t>
            </w:r>
            <w:r>
              <w:rPr>
                <w:rFonts w:ascii="Arial" w:cs="Arial" w:eastAsia="Arial" w:hAnsi="Arial"/>
                <w:sz w:val="12"/>
                <w:szCs w:val="12"/>
                <w:color w:val="auto"/>
                <w:w w:val="94"/>
              </w:rPr>
              <w:t>(5)</w:t>
            </w:r>
          </w:p>
        </w:tc>
        <w:tc>
          <w:tcPr>
            <w:tcW w:w="8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Rye Brook, NY 10573</w:t>
            </w:r>
          </w:p>
        </w:tc>
        <w:tc>
          <w:tcPr>
            <w:tcW w:w="1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94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(5)</w:t>
            </w:r>
          </w:p>
        </w:tc>
        <w:tc>
          <w:tcPr>
            <w:tcW w:w="8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040" w:type="dxa"/>
            <w:vAlign w:val="bottom"/>
            <w:gridSpan w:val="2"/>
          </w:tcPr>
          <w:p>
            <w:pPr>
              <w:spacing w:after="0"/>
              <w:rPr>
                <w:sz w:val="20"/>
                <w:szCs w:val="20"/>
                <w:color w:val="auto"/>
              </w:rPr>
            </w:pPr>
            <w:r>
              <w:rPr>
                <w:rFonts w:ascii="Arial" w:cs="Arial" w:eastAsia="Arial" w:hAnsi="Arial"/>
                <w:sz w:val="14"/>
                <w:szCs w:val="14"/>
                <w:color w:val="auto"/>
              </w:rPr>
              <w:t>Mission Critical Electronics, Inc.</w:t>
            </w: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Capital Equipment</w:t>
            </w:r>
          </w:p>
        </w:tc>
        <w:tc>
          <w:tcPr>
            <w:tcW w:w="294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420" w:type="dxa"/>
            <w:vAlign w:val="bottom"/>
            <w:gridSpan w:val="2"/>
          </w:tcPr>
          <w:p>
            <w:pPr>
              <w:jc w:val="right"/>
              <w:ind w:right="59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148"/>
        </w:trPr>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2911 W. Garry Ave.</w:t>
            </w: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9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6"/>
              </w:rPr>
              <w:t>1M L+500, 09/28/2021</w:t>
            </w: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40" w:type="dxa"/>
            <w:vAlign w:val="bottom"/>
            <w:gridSpan w:val="2"/>
          </w:tcPr>
          <w:p>
            <w:pPr>
              <w:spacing w:after="0"/>
              <w:rPr>
                <w:sz w:val="20"/>
                <w:szCs w:val="20"/>
                <w:color w:val="auto"/>
              </w:rPr>
            </w:pPr>
            <w:r>
              <w:rPr>
                <w:rFonts w:ascii="Arial" w:cs="Arial" w:eastAsia="Arial" w:hAnsi="Arial"/>
                <w:sz w:val="14"/>
                <w:szCs w:val="14"/>
                <w:color w:val="auto"/>
              </w:rPr>
              <w:t>Santa Ana, CA 92704</w:t>
            </w:r>
          </w:p>
        </w:tc>
        <w:tc>
          <w:tcPr>
            <w:tcW w:w="1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Montreign Operating Company, LLC</w:t>
            </w:r>
          </w:p>
        </w:tc>
        <w:tc>
          <w:tcPr>
            <w:tcW w:w="1700" w:type="dxa"/>
            <w:vAlign w:val="bottom"/>
            <w:gridSpan w:val="2"/>
            <w:shd w:val="clear" w:color="auto" w:fill="CCEEFF"/>
          </w:tcPr>
          <w:p>
            <w:pPr>
              <w:jc w:val="center"/>
              <w:ind w:right="240"/>
              <w:spacing w:after="0" w:line="130" w:lineRule="exact"/>
              <w:rPr>
                <w:sz w:val="20"/>
                <w:szCs w:val="20"/>
                <w:color w:val="auto"/>
              </w:rPr>
            </w:pPr>
            <w:r>
              <w:rPr>
                <w:rFonts w:ascii="Arial" w:cs="Arial" w:eastAsia="Arial" w:hAnsi="Arial"/>
                <w:sz w:val="14"/>
                <w:szCs w:val="14"/>
                <w:color w:val="auto"/>
                <w:w w:val="94"/>
              </w:rPr>
              <w:t>Hotel, Gaming and</w:t>
            </w:r>
          </w:p>
        </w:tc>
        <w:tc>
          <w:tcPr>
            <w:tcW w:w="2940" w:type="dxa"/>
            <w:vAlign w:val="bottom"/>
            <w:gridSpan w:val="2"/>
            <w:shd w:val="clear" w:color="auto" w:fill="CCEEFF"/>
          </w:tcPr>
          <w:p>
            <w:pPr>
              <w:jc w:val="center"/>
              <w:ind w:right="240"/>
              <w:spacing w:after="0" w:line="130" w:lineRule="exact"/>
              <w:rPr>
                <w:sz w:val="20"/>
                <w:szCs w:val="20"/>
                <w:color w:val="auto"/>
              </w:rPr>
            </w:pPr>
            <w:r>
              <w:rPr>
                <w:rFonts w:ascii="Arial" w:cs="Arial" w:eastAsia="Arial" w:hAnsi="Arial"/>
                <w:sz w:val="14"/>
                <w:szCs w:val="14"/>
                <w:color w:val="auto"/>
                <w:w w:val="94"/>
              </w:rPr>
              <w:t>First Lien Secured Debt,</w:t>
            </w:r>
          </w:p>
        </w:tc>
        <w:tc>
          <w:tcPr>
            <w:tcW w:w="1420" w:type="dxa"/>
            <w:vAlign w:val="bottom"/>
            <w:gridSpan w:val="2"/>
            <w:shd w:val="clear" w:color="auto" w:fill="CCEEFF"/>
          </w:tcPr>
          <w:p>
            <w:pPr>
              <w:jc w:val="right"/>
              <w:ind w:right="598"/>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24,345</w:t>
            </w:r>
          </w:p>
        </w:tc>
        <w:tc>
          <w:tcPr>
            <w:tcW w:w="0" w:type="dxa"/>
            <w:vAlign w:val="bottom"/>
          </w:tcPr>
          <w:p>
            <w:pPr>
              <w:spacing w:after="0"/>
              <w:rPr>
                <w:sz w:val="1"/>
                <w:szCs w:val="1"/>
                <w:color w:val="auto"/>
              </w:rPr>
            </w:pPr>
          </w:p>
        </w:tc>
      </w:tr>
      <w:tr>
        <w:trPr>
          <w:trHeight w:val="148"/>
        </w:trPr>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204 State Route 17B</w:t>
            </w:r>
          </w:p>
        </w:tc>
        <w:tc>
          <w:tcPr>
            <w:tcW w:w="170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Leisure</w:t>
            </w:r>
          </w:p>
        </w:tc>
        <w:tc>
          <w:tcPr>
            <w:tcW w:w="29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6"/>
              </w:rPr>
              <w:t>3M L+825, 01/24/2023</w:t>
            </w:r>
          </w:p>
        </w:tc>
        <w:tc>
          <w:tcPr>
            <w:tcW w:w="8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Monticello, NY 12701</w:t>
            </w:r>
          </w:p>
        </w:tc>
        <w:tc>
          <w:tcPr>
            <w:tcW w:w="1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40" w:type="dxa"/>
            <w:vAlign w:val="bottom"/>
            <w:gridSpan w:val="2"/>
          </w:tcPr>
          <w:p>
            <w:pPr>
              <w:spacing w:after="0"/>
              <w:rPr>
                <w:sz w:val="20"/>
                <w:szCs w:val="20"/>
                <w:color w:val="auto"/>
              </w:rPr>
            </w:pPr>
            <w:r>
              <w:rPr>
                <w:rFonts w:ascii="Arial" w:cs="Arial" w:eastAsia="Arial" w:hAnsi="Arial"/>
                <w:sz w:val="14"/>
                <w:szCs w:val="14"/>
                <w:color w:val="auto"/>
              </w:rPr>
              <w:t>Nuvei Technologies Corp.</w:t>
            </w:r>
            <w:r>
              <w:rPr>
                <w:rFonts w:ascii="Arial" w:cs="Arial" w:eastAsia="Arial" w:hAnsi="Arial"/>
                <w:sz w:val="12"/>
                <w:szCs w:val="12"/>
                <w:color w:val="auto"/>
              </w:rPr>
              <w:t>(3)</w:t>
            </w:r>
          </w:p>
        </w:tc>
        <w:tc>
          <w:tcPr>
            <w:tcW w:w="1700" w:type="dxa"/>
            <w:vAlign w:val="bottom"/>
            <w:gridSpan w:val="2"/>
          </w:tcPr>
          <w:p>
            <w:pPr>
              <w:jc w:val="center"/>
              <w:ind w:right="240"/>
              <w:spacing w:after="0"/>
              <w:rPr>
                <w:sz w:val="20"/>
                <w:szCs w:val="20"/>
                <w:color w:val="auto"/>
              </w:rPr>
            </w:pPr>
            <w:r>
              <w:rPr>
                <w:rFonts w:ascii="Arial" w:cs="Arial" w:eastAsia="Arial" w:hAnsi="Arial"/>
                <w:sz w:val="14"/>
                <w:szCs w:val="14"/>
                <w:color w:val="auto"/>
                <w:w w:val="97"/>
              </w:rPr>
              <w:t>Diversified Financial</w:t>
            </w:r>
          </w:p>
        </w:tc>
        <w:tc>
          <w:tcPr>
            <w:tcW w:w="294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First Lien Secured Debt, P+400, 09/28/2025</w:t>
            </w:r>
          </w:p>
        </w:tc>
        <w:tc>
          <w:tcPr>
            <w:tcW w:w="1420" w:type="dxa"/>
            <w:vAlign w:val="bottom"/>
            <w:gridSpan w:val="2"/>
          </w:tcPr>
          <w:p>
            <w:pPr>
              <w:jc w:val="right"/>
              <w:ind w:right="59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19,651</w:t>
            </w:r>
          </w:p>
        </w:tc>
        <w:tc>
          <w:tcPr>
            <w:tcW w:w="0" w:type="dxa"/>
            <w:vAlign w:val="bottom"/>
          </w:tcPr>
          <w:p>
            <w:pPr>
              <w:spacing w:after="0"/>
              <w:rPr>
                <w:sz w:val="1"/>
                <w:szCs w:val="1"/>
                <w:color w:val="auto"/>
              </w:rPr>
            </w:pPr>
          </w:p>
        </w:tc>
      </w:tr>
      <w:tr>
        <w:trPr>
          <w:trHeight w:val="148"/>
        </w:trPr>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1100 Rene Levsque West Suite 900</w:t>
            </w:r>
          </w:p>
        </w:tc>
        <w:tc>
          <w:tcPr>
            <w:tcW w:w="17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9"/>
              </w:rPr>
              <w:t>Services</w:t>
            </w:r>
          </w:p>
        </w:tc>
        <w:tc>
          <w:tcPr>
            <w:tcW w:w="2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40" w:type="dxa"/>
            <w:vAlign w:val="bottom"/>
            <w:gridSpan w:val="2"/>
          </w:tcPr>
          <w:p>
            <w:pPr>
              <w:spacing w:after="0"/>
              <w:rPr>
                <w:sz w:val="20"/>
                <w:szCs w:val="20"/>
                <w:color w:val="auto"/>
              </w:rPr>
            </w:pPr>
            <w:r>
              <w:rPr>
                <w:rFonts w:ascii="Arial" w:cs="Arial" w:eastAsia="Arial" w:hAnsi="Arial"/>
                <w:sz w:val="14"/>
                <w:szCs w:val="14"/>
                <w:color w:val="auto"/>
              </w:rPr>
              <w:t>Montreal, Quebec, H3B 4N4</w:t>
            </w:r>
          </w:p>
        </w:tc>
        <w:tc>
          <w:tcPr>
            <w:tcW w:w="1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Olde Thompson, LLC</w:t>
            </w:r>
          </w:p>
        </w:tc>
        <w:tc>
          <w:tcPr>
            <w:tcW w:w="170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1"/>
              </w:rPr>
              <w:t>Beverage, Food and</w:t>
            </w:r>
          </w:p>
        </w:tc>
        <w:tc>
          <w:tcPr>
            <w:tcW w:w="294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420" w:type="dxa"/>
            <w:vAlign w:val="bottom"/>
            <w:gridSpan w:val="2"/>
            <w:shd w:val="clear" w:color="auto" w:fill="CCEEFF"/>
          </w:tcPr>
          <w:p>
            <w:pPr>
              <w:jc w:val="right"/>
              <w:ind w:right="598"/>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1,575</w:t>
            </w:r>
          </w:p>
        </w:tc>
        <w:tc>
          <w:tcPr>
            <w:tcW w:w="0" w:type="dxa"/>
            <w:vAlign w:val="bottom"/>
          </w:tcPr>
          <w:p>
            <w:pPr>
              <w:spacing w:after="0"/>
              <w:rPr>
                <w:sz w:val="1"/>
                <w:szCs w:val="1"/>
                <w:color w:val="auto"/>
              </w:rPr>
            </w:pPr>
          </w:p>
        </w:tc>
      </w:tr>
      <w:tr>
        <w:trPr>
          <w:trHeight w:val="149"/>
        </w:trPr>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3250 Camino Del Sol</w:t>
            </w:r>
          </w:p>
        </w:tc>
        <w:tc>
          <w:tcPr>
            <w:tcW w:w="170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89"/>
              </w:rPr>
              <w:t>Tobacco</w:t>
            </w:r>
          </w:p>
        </w:tc>
        <w:tc>
          <w:tcPr>
            <w:tcW w:w="29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6"/>
              </w:rPr>
              <w:t>1M L+450, 05/14/2024</w:t>
            </w:r>
          </w:p>
        </w:tc>
        <w:tc>
          <w:tcPr>
            <w:tcW w:w="8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Oxnard, CA 93030</w:t>
            </w:r>
          </w:p>
        </w:tc>
        <w:tc>
          <w:tcPr>
            <w:tcW w:w="1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40" w:type="dxa"/>
            <w:vAlign w:val="bottom"/>
            <w:gridSpan w:val="2"/>
          </w:tcPr>
          <w:p>
            <w:pPr>
              <w:spacing w:after="0"/>
              <w:rPr>
                <w:sz w:val="20"/>
                <w:szCs w:val="20"/>
                <w:color w:val="auto"/>
              </w:rPr>
            </w:pPr>
            <w:r>
              <w:rPr>
                <w:rFonts w:ascii="Arial" w:cs="Arial" w:eastAsia="Arial" w:hAnsi="Arial"/>
                <w:sz w:val="14"/>
                <w:szCs w:val="14"/>
                <w:color w:val="auto"/>
              </w:rPr>
              <w:t>Output Services Group, Inc.</w:t>
            </w: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color w:val="auto"/>
                <w:w w:val="90"/>
              </w:rPr>
              <w:t>Business Services</w:t>
            </w:r>
          </w:p>
        </w:tc>
        <w:tc>
          <w:tcPr>
            <w:tcW w:w="294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First Lien Secured Debt,</w:t>
            </w:r>
          </w:p>
        </w:tc>
        <w:tc>
          <w:tcPr>
            <w:tcW w:w="1420" w:type="dxa"/>
            <w:vAlign w:val="bottom"/>
            <w:gridSpan w:val="2"/>
          </w:tcPr>
          <w:p>
            <w:pPr>
              <w:jc w:val="right"/>
              <w:ind w:right="59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2,548</w:t>
            </w:r>
          </w:p>
        </w:tc>
        <w:tc>
          <w:tcPr>
            <w:tcW w:w="0" w:type="dxa"/>
            <w:vAlign w:val="bottom"/>
          </w:tcPr>
          <w:p>
            <w:pPr>
              <w:spacing w:after="0"/>
              <w:rPr>
                <w:sz w:val="1"/>
                <w:szCs w:val="1"/>
                <w:color w:val="auto"/>
              </w:rPr>
            </w:pPr>
          </w:p>
        </w:tc>
      </w:tr>
      <w:tr>
        <w:trPr>
          <w:trHeight w:val="148"/>
        </w:trPr>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100 Challenger Road #303</w:t>
            </w: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9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6"/>
              </w:rPr>
              <w:t>1M L+450, 03/27/2024</w:t>
            </w: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40" w:type="dxa"/>
            <w:vAlign w:val="bottom"/>
            <w:gridSpan w:val="2"/>
          </w:tcPr>
          <w:p>
            <w:pPr>
              <w:spacing w:after="0"/>
              <w:rPr>
                <w:sz w:val="20"/>
                <w:szCs w:val="20"/>
                <w:color w:val="auto"/>
              </w:rPr>
            </w:pPr>
            <w:r>
              <w:rPr>
                <w:rFonts w:ascii="Arial" w:cs="Arial" w:eastAsia="Arial" w:hAnsi="Arial"/>
                <w:sz w:val="14"/>
                <w:szCs w:val="14"/>
                <w:color w:val="auto"/>
              </w:rPr>
              <w:t>Ridgefield Park, NJ 07660</w:t>
            </w:r>
          </w:p>
        </w:tc>
        <w:tc>
          <w:tcPr>
            <w:tcW w:w="1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Ox Two, LLC</w:t>
            </w:r>
          </w:p>
        </w:tc>
        <w:tc>
          <w:tcPr>
            <w:tcW w:w="170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Construction and</w:t>
            </w:r>
          </w:p>
        </w:tc>
        <w:tc>
          <w:tcPr>
            <w:tcW w:w="294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420" w:type="dxa"/>
            <w:vAlign w:val="bottom"/>
            <w:gridSpan w:val="2"/>
            <w:shd w:val="clear" w:color="auto" w:fill="CCEEFF"/>
          </w:tcPr>
          <w:p>
            <w:pPr>
              <w:jc w:val="right"/>
              <w:ind w:right="598"/>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13,289</w:t>
            </w:r>
          </w:p>
        </w:tc>
        <w:tc>
          <w:tcPr>
            <w:tcW w:w="0" w:type="dxa"/>
            <w:vAlign w:val="bottom"/>
          </w:tcPr>
          <w:p>
            <w:pPr>
              <w:spacing w:after="0"/>
              <w:rPr>
                <w:sz w:val="1"/>
                <w:szCs w:val="1"/>
                <w:color w:val="auto"/>
              </w:rPr>
            </w:pPr>
          </w:p>
        </w:tc>
      </w:tr>
      <w:tr>
        <w:trPr>
          <w:trHeight w:val="148"/>
        </w:trPr>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700 Centreville Rd.</w:t>
            </w:r>
          </w:p>
        </w:tc>
        <w:tc>
          <w:tcPr>
            <w:tcW w:w="170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rPr>
              <w:t>Building</w:t>
            </w:r>
          </w:p>
        </w:tc>
        <w:tc>
          <w:tcPr>
            <w:tcW w:w="29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6"/>
              </w:rPr>
              <w:t>1M L+625, 02/27/2023</w:t>
            </w:r>
          </w:p>
        </w:tc>
        <w:tc>
          <w:tcPr>
            <w:tcW w:w="8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Constantine, MI 49042</w:t>
            </w:r>
          </w:p>
        </w:tc>
        <w:tc>
          <w:tcPr>
            <w:tcW w:w="1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40" w:type="dxa"/>
            <w:vAlign w:val="bottom"/>
            <w:gridSpan w:val="2"/>
          </w:tcPr>
          <w:p>
            <w:pPr>
              <w:spacing w:after="0"/>
              <w:rPr>
                <w:sz w:val="20"/>
                <w:szCs w:val="20"/>
                <w:color w:val="auto"/>
              </w:rPr>
            </w:pPr>
            <w:r>
              <w:rPr>
                <w:rFonts w:ascii="Arial" w:cs="Arial" w:eastAsia="Arial" w:hAnsi="Arial"/>
                <w:sz w:val="14"/>
                <w:szCs w:val="14"/>
                <w:color w:val="auto"/>
              </w:rPr>
              <w:t>Peninsula Pacific Entertainment LLC</w:t>
            </w:r>
          </w:p>
        </w:tc>
        <w:tc>
          <w:tcPr>
            <w:tcW w:w="170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Hotel, Gaming and</w:t>
            </w:r>
          </w:p>
        </w:tc>
        <w:tc>
          <w:tcPr>
            <w:tcW w:w="294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First Lien Secured Debt,</w:t>
            </w:r>
          </w:p>
        </w:tc>
        <w:tc>
          <w:tcPr>
            <w:tcW w:w="1420" w:type="dxa"/>
            <w:vAlign w:val="bottom"/>
            <w:gridSpan w:val="2"/>
          </w:tcPr>
          <w:p>
            <w:pPr>
              <w:jc w:val="right"/>
              <w:ind w:right="59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13,276</w:t>
            </w:r>
          </w:p>
        </w:tc>
        <w:tc>
          <w:tcPr>
            <w:tcW w:w="0" w:type="dxa"/>
            <w:vAlign w:val="bottom"/>
          </w:tcPr>
          <w:p>
            <w:pPr>
              <w:spacing w:after="0"/>
              <w:rPr>
                <w:sz w:val="1"/>
                <w:szCs w:val="1"/>
                <w:color w:val="auto"/>
              </w:rPr>
            </w:pPr>
          </w:p>
        </w:tc>
      </w:tr>
      <w:tr>
        <w:trPr>
          <w:trHeight w:val="149"/>
        </w:trPr>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10515 Colonial Downs Parkway</w:t>
            </w:r>
          </w:p>
        </w:tc>
        <w:tc>
          <w:tcPr>
            <w:tcW w:w="17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Leisure</w:t>
            </w:r>
          </w:p>
        </w:tc>
        <w:tc>
          <w:tcPr>
            <w:tcW w:w="29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5"/>
              </w:rPr>
              <w:t>1M L+725, 11/13/2024</w:t>
            </w: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40" w:type="dxa"/>
            <w:vAlign w:val="bottom"/>
            <w:gridSpan w:val="2"/>
          </w:tcPr>
          <w:p>
            <w:pPr>
              <w:spacing w:after="0"/>
              <w:rPr>
                <w:sz w:val="20"/>
                <w:szCs w:val="20"/>
                <w:color w:val="auto"/>
              </w:rPr>
            </w:pPr>
            <w:r>
              <w:rPr>
                <w:rFonts w:ascii="Arial" w:cs="Arial" w:eastAsia="Arial" w:hAnsi="Arial"/>
                <w:sz w:val="14"/>
                <w:szCs w:val="14"/>
                <w:color w:val="auto"/>
              </w:rPr>
              <w:t>New Kent, VA 23124</w:t>
            </w:r>
          </w:p>
        </w:tc>
        <w:tc>
          <w:tcPr>
            <w:tcW w:w="1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Pestell Minerals and Ingredients Inc.</w:t>
            </w:r>
            <w:r>
              <w:rPr>
                <w:rFonts w:ascii="Arial" w:cs="Arial" w:eastAsia="Arial" w:hAnsi="Arial"/>
                <w:sz w:val="12"/>
                <w:szCs w:val="12"/>
                <w:color w:val="auto"/>
              </w:rPr>
              <w:t>(3)</w:t>
            </w:r>
          </w:p>
        </w:tc>
        <w:tc>
          <w:tcPr>
            <w:tcW w:w="170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1"/>
              </w:rPr>
              <w:t>Beverage, Food and</w:t>
            </w:r>
          </w:p>
        </w:tc>
        <w:tc>
          <w:tcPr>
            <w:tcW w:w="2940" w:type="dxa"/>
            <w:vAlign w:val="bottom"/>
            <w:gridSpan w:val="2"/>
            <w:shd w:val="clear" w:color="auto" w:fill="CCEEFF"/>
          </w:tcPr>
          <w:p>
            <w:pPr>
              <w:jc w:val="center"/>
              <w:ind w:right="240"/>
              <w:spacing w:after="0" w:line="130" w:lineRule="exact"/>
              <w:rPr>
                <w:sz w:val="20"/>
                <w:szCs w:val="20"/>
                <w:color w:val="auto"/>
              </w:rPr>
            </w:pPr>
            <w:r>
              <w:rPr>
                <w:rFonts w:ascii="Arial" w:cs="Arial" w:eastAsia="Arial" w:hAnsi="Arial"/>
                <w:sz w:val="14"/>
                <w:szCs w:val="14"/>
                <w:color w:val="auto"/>
                <w:w w:val="94"/>
              </w:rPr>
              <w:t>First Lien Secured Debt,</w:t>
            </w:r>
          </w:p>
        </w:tc>
        <w:tc>
          <w:tcPr>
            <w:tcW w:w="1420" w:type="dxa"/>
            <w:vAlign w:val="bottom"/>
            <w:gridSpan w:val="2"/>
            <w:shd w:val="clear" w:color="auto" w:fill="CCEEFF"/>
          </w:tcPr>
          <w:p>
            <w:pPr>
              <w:jc w:val="right"/>
              <w:ind w:right="598"/>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14,739</w:t>
            </w:r>
          </w:p>
        </w:tc>
        <w:tc>
          <w:tcPr>
            <w:tcW w:w="0" w:type="dxa"/>
            <w:vAlign w:val="bottom"/>
          </w:tcPr>
          <w:p>
            <w:pPr>
              <w:spacing w:after="0"/>
              <w:rPr>
                <w:sz w:val="1"/>
                <w:szCs w:val="1"/>
                <w:color w:val="auto"/>
              </w:rPr>
            </w:pPr>
          </w:p>
        </w:tc>
      </w:tr>
      <w:tr>
        <w:trPr>
          <w:trHeight w:val="148"/>
        </w:trPr>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141 Hamilton Road</w:t>
            </w:r>
          </w:p>
        </w:tc>
        <w:tc>
          <w:tcPr>
            <w:tcW w:w="170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89"/>
              </w:rPr>
              <w:t>Tobacco</w:t>
            </w:r>
          </w:p>
        </w:tc>
        <w:tc>
          <w:tcPr>
            <w:tcW w:w="29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6"/>
              </w:rPr>
              <w:t>3M L+525, 06/01/2023</w:t>
            </w:r>
          </w:p>
        </w:tc>
        <w:tc>
          <w:tcPr>
            <w:tcW w:w="8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Hamburg, Ontario, Canada N3A 2H1</w:t>
            </w:r>
          </w:p>
        </w:tc>
        <w:tc>
          <w:tcPr>
            <w:tcW w:w="1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40" w:type="dxa"/>
            <w:vAlign w:val="bottom"/>
            <w:gridSpan w:val="2"/>
          </w:tcPr>
          <w:p>
            <w:pPr>
              <w:spacing w:after="0"/>
              <w:rPr>
                <w:sz w:val="20"/>
                <w:szCs w:val="20"/>
                <w:color w:val="auto"/>
              </w:rPr>
            </w:pPr>
            <w:r>
              <w:rPr>
                <w:rFonts w:ascii="Arial" w:cs="Arial" w:eastAsia="Arial" w:hAnsi="Arial"/>
                <w:sz w:val="14"/>
                <w:szCs w:val="14"/>
                <w:color w:val="auto"/>
              </w:rPr>
              <w:t>PlayPower, Inc.</w:t>
            </w: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Leisure Products</w:t>
            </w:r>
          </w:p>
        </w:tc>
        <w:tc>
          <w:tcPr>
            <w:tcW w:w="294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First Lien Secured Debt,</w:t>
            </w:r>
          </w:p>
        </w:tc>
        <w:tc>
          <w:tcPr>
            <w:tcW w:w="1420" w:type="dxa"/>
            <w:vAlign w:val="bottom"/>
            <w:gridSpan w:val="2"/>
          </w:tcPr>
          <w:p>
            <w:pPr>
              <w:jc w:val="right"/>
              <w:ind w:right="59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5,579</w:t>
            </w:r>
          </w:p>
        </w:tc>
        <w:tc>
          <w:tcPr>
            <w:tcW w:w="0" w:type="dxa"/>
            <w:vAlign w:val="bottom"/>
          </w:tcPr>
          <w:p>
            <w:pPr>
              <w:spacing w:after="0"/>
              <w:rPr>
                <w:sz w:val="1"/>
                <w:szCs w:val="1"/>
                <w:color w:val="auto"/>
              </w:rPr>
            </w:pPr>
          </w:p>
        </w:tc>
      </w:tr>
      <w:tr>
        <w:trPr>
          <w:trHeight w:val="149"/>
        </w:trPr>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11515 Vanstory Drive, Suite 100</w:t>
            </w: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9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6"/>
              </w:rPr>
              <w:t>1M L+550, 05/08/2026</w:t>
            </w: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40" w:type="dxa"/>
            <w:vAlign w:val="bottom"/>
            <w:gridSpan w:val="2"/>
          </w:tcPr>
          <w:p>
            <w:pPr>
              <w:spacing w:after="0"/>
              <w:rPr>
                <w:sz w:val="20"/>
                <w:szCs w:val="20"/>
                <w:color w:val="auto"/>
              </w:rPr>
            </w:pPr>
            <w:r>
              <w:rPr>
                <w:rFonts w:ascii="Arial" w:cs="Arial" w:eastAsia="Arial" w:hAnsi="Arial"/>
                <w:sz w:val="14"/>
                <w:szCs w:val="14"/>
                <w:color w:val="auto"/>
              </w:rPr>
              <w:t>Huntersville, NC 28078</w:t>
            </w:r>
          </w:p>
        </w:tc>
        <w:tc>
          <w:tcPr>
            <w:tcW w:w="1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PRA Events, Inc.</w:t>
            </w:r>
          </w:p>
        </w:tc>
        <w:tc>
          <w:tcPr>
            <w:tcW w:w="170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0"/>
              </w:rPr>
              <w:t>Business Services</w:t>
            </w:r>
          </w:p>
        </w:tc>
        <w:tc>
          <w:tcPr>
            <w:tcW w:w="2940" w:type="dxa"/>
            <w:vAlign w:val="bottom"/>
            <w:gridSpan w:val="2"/>
            <w:shd w:val="clear" w:color="auto" w:fill="CCEEFF"/>
          </w:tcPr>
          <w:p>
            <w:pPr>
              <w:jc w:val="center"/>
              <w:ind w:right="240"/>
              <w:spacing w:after="0" w:line="130" w:lineRule="exact"/>
              <w:rPr>
                <w:sz w:val="20"/>
                <w:szCs w:val="20"/>
                <w:color w:val="auto"/>
              </w:rPr>
            </w:pPr>
            <w:r>
              <w:rPr>
                <w:rFonts w:ascii="Arial" w:cs="Arial" w:eastAsia="Arial" w:hAnsi="Arial"/>
                <w:sz w:val="14"/>
                <w:szCs w:val="14"/>
                <w:color w:val="auto"/>
                <w:w w:val="94"/>
              </w:rPr>
              <w:t>First Lien Secured Debt,</w:t>
            </w:r>
          </w:p>
        </w:tc>
        <w:tc>
          <w:tcPr>
            <w:tcW w:w="1420" w:type="dxa"/>
            <w:vAlign w:val="bottom"/>
            <w:gridSpan w:val="2"/>
            <w:shd w:val="clear" w:color="auto" w:fill="CCEEFF"/>
          </w:tcPr>
          <w:p>
            <w:pPr>
              <w:ind w:left="660"/>
              <w:spacing w:after="0" w:line="130" w:lineRule="exact"/>
              <w:rPr>
                <w:sz w:val="20"/>
                <w:szCs w:val="20"/>
                <w:color w:val="auto"/>
              </w:rPr>
            </w:pPr>
            <w:r>
              <w:rPr>
                <w:rFonts w:ascii="Arial" w:cs="Arial" w:eastAsia="Arial" w:hAnsi="Arial"/>
                <w:sz w:val="14"/>
                <w:szCs w:val="14"/>
                <w:color w:val="auto"/>
              </w:rPr>
              <w:t>2.0%</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3,846</w:t>
            </w:r>
          </w:p>
        </w:tc>
        <w:tc>
          <w:tcPr>
            <w:tcW w:w="0" w:type="dxa"/>
            <w:vAlign w:val="bottom"/>
          </w:tcPr>
          <w:p>
            <w:pPr>
              <w:spacing w:after="0"/>
              <w:rPr>
                <w:sz w:val="1"/>
                <w:szCs w:val="1"/>
                <w:color w:val="auto"/>
              </w:rPr>
            </w:pPr>
          </w:p>
        </w:tc>
      </w:tr>
      <w:tr>
        <w:trPr>
          <w:trHeight w:val="148"/>
        </w:trPr>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(CI (Allied) Investment Holdings, LLC)</w:t>
            </w:r>
          </w:p>
        </w:tc>
        <w:tc>
          <w:tcPr>
            <w:tcW w:w="1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9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6"/>
              </w:rPr>
              <w:t>1M L+700, 08/08/2022</w:t>
            </w:r>
          </w:p>
        </w:tc>
        <w:tc>
          <w:tcPr>
            <w:tcW w:w="8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One North LaSalle Street</w:t>
            </w:r>
          </w:p>
        </w:tc>
        <w:tc>
          <w:tcPr>
            <w:tcW w:w="1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94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(5)</w:t>
            </w:r>
          </w:p>
        </w:tc>
        <w:tc>
          <w:tcPr>
            <w:tcW w:w="8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Chicago, IL 60602</w:t>
            </w:r>
          </w:p>
        </w:tc>
        <w:tc>
          <w:tcPr>
            <w:tcW w:w="1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40" w:type="dxa"/>
            <w:vAlign w:val="bottom"/>
            <w:gridSpan w:val="2"/>
          </w:tcPr>
          <w:p>
            <w:pPr>
              <w:spacing w:after="0"/>
              <w:rPr>
                <w:sz w:val="20"/>
                <w:szCs w:val="20"/>
                <w:color w:val="auto"/>
              </w:rPr>
            </w:pPr>
            <w:r>
              <w:rPr>
                <w:rFonts w:ascii="Arial" w:cs="Arial" w:eastAsia="Arial" w:hAnsi="Arial"/>
                <w:sz w:val="14"/>
                <w:szCs w:val="14"/>
                <w:color w:val="auto"/>
              </w:rPr>
              <w:t>PT Network, LLC</w:t>
            </w: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Healthcare and</w:t>
            </w:r>
          </w:p>
        </w:tc>
        <w:tc>
          <w:tcPr>
            <w:tcW w:w="294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Second Lien Secured Debt, 3M L+1,000 PIK,</w:t>
            </w:r>
          </w:p>
        </w:tc>
        <w:tc>
          <w:tcPr>
            <w:tcW w:w="1420" w:type="dxa"/>
            <w:vAlign w:val="bottom"/>
            <w:gridSpan w:val="2"/>
          </w:tcPr>
          <w:p>
            <w:pPr>
              <w:ind w:left="660"/>
              <w:spacing w:after="0"/>
              <w:rPr>
                <w:sz w:val="20"/>
                <w:szCs w:val="20"/>
                <w:color w:val="auto"/>
              </w:rPr>
            </w:pPr>
            <w:r>
              <w:rPr>
                <w:rFonts w:ascii="Arial" w:cs="Arial" w:eastAsia="Arial" w:hAnsi="Arial"/>
                <w:sz w:val="14"/>
                <w:szCs w:val="14"/>
                <w:color w:val="auto"/>
              </w:rPr>
              <w:t>2.5%</w:t>
            </w:r>
            <w:r>
              <w:rPr>
                <w:rFonts w:ascii="Arial" w:cs="Arial" w:eastAsia="Arial" w:hAnsi="Arial"/>
                <w:sz w:val="12"/>
                <w:szCs w:val="12"/>
                <w:color w:val="auto"/>
              </w:rPr>
              <w:t>(6)</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2,897</w:t>
            </w:r>
          </w:p>
        </w:tc>
        <w:tc>
          <w:tcPr>
            <w:tcW w:w="0" w:type="dxa"/>
            <w:vAlign w:val="bottom"/>
          </w:tcPr>
          <w:p>
            <w:pPr>
              <w:spacing w:after="0"/>
              <w:rPr>
                <w:sz w:val="1"/>
                <w:szCs w:val="1"/>
                <w:color w:val="auto"/>
              </w:rPr>
            </w:pPr>
          </w:p>
        </w:tc>
      </w:tr>
      <w:tr>
        <w:trPr>
          <w:trHeight w:val="148"/>
        </w:trPr>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(PT Network Intermediate Holdings, LLC)</w:t>
            </w:r>
          </w:p>
        </w:tc>
        <w:tc>
          <w:tcPr>
            <w:tcW w:w="17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0"/>
              </w:rPr>
              <w:t>Pharmaceuticals</w:t>
            </w:r>
          </w:p>
        </w:tc>
        <w:tc>
          <w:tcPr>
            <w:tcW w:w="2680" w:type="dxa"/>
            <w:vAlign w:val="bottom"/>
          </w:tcPr>
          <w:p>
            <w:pPr>
              <w:jc w:val="center"/>
              <w:spacing w:after="0" w:line="149" w:lineRule="exact"/>
              <w:rPr>
                <w:sz w:val="20"/>
                <w:szCs w:val="20"/>
                <w:color w:val="auto"/>
              </w:rPr>
            </w:pPr>
            <w:r>
              <w:rPr>
                <w:rFonts w:ascii="Arial" w:cs="Arial" w:eastAsia="Arial" w:hAnsi="Arial"/>
                <w:sz w:val="14"/>
                <w:szCs w:val="14"/>
                <w:color w:val="auto"/>
                <w:w w:val="91"/>
              </w:rPr>
              <w:t>11/30/2024</w:t>
            </w: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(CI (PTN) Investment Holdings II, LLC)</w:t>
            </w: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9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Preferred Equity</w:t>
            </w:r>
            <w:r>
              <w:rPr>
                <w:rFonts w:ascii="Arial" w:cs="Arial" w:eastAsia="Arial" w:hAnsi="Arial"/>
                <w:sz w:val="12"/>
                <w:szCs w:val="12"/>
                <w:color w:val="auto"/>
                <w:w w:val="94"/>
              </w:rPr>
              <w:t>(5)</w:t>
            </w: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501 Fairmount Avenue</w:t>
            </w: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9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(5)</w:t>
            </w: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40" w:type="dxa"/>
            <w:vAlign w:val="bottom"/>
            <w:gridSpan w:val="2"/>
          </w:tcPr>
          <w:p>
            <w:pPr>
              <w:spacing w:after="0"/>
              <w:rPr>
                <w:sz w:val="20"/>
                <w:szCs w:val="20"/>
                <w:color w:val="auto"/>
              </w:rPr>
            </w:pPr>
            <w:r>
              <w:rPr>
                <w:rFonts w:ascii="Arial" w:cs="Arial" w:eastAsia="Arial" w:hAnsi="Arial"/>
                <w:sz w:val="14"/>
                <w:szCs w:val="14"/>
                <w:color w:val="auto"/>
              </w:rPr>
              <w:t>Towson, MD 21286</w:t>
            </w:r>
          </w:p>
        </w:tc>
        <w:tc>
          <w:tcPr>
            <w:tcW w:w="1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Quantum Spatial, Inc.</w:t>
            </w:r>
          </w:p>
        </w:tc>
        <w:tc>
          <w:tcPr>
            <w:tcW w:w="170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0"/>
              </w:rPr>
              <w:t>Aerospace and Defense</w:t>
            </w:r>
          </w:p>
        </w:tc>
        <w:tc>
          <w:tcPr>
            <w:tcW w:w="2940" w:type="dxa"/>
            <w:vAlign w:val="bottom"/>
            <w:gridSpan w:val="2"/>
            <w:shd w:val="clear" w:color="auto" w:fill="CCEEFF"/>
          </w:tcPr>
          <w:p>
            <w:pPr>
              <w:jc w:val="center"/>
              <w:ind w:right="240"/>
              <w:spacing w:after="0" w:line="130" w:lineRule="exact"/>
              <w:rPr>
                <w:sz w:val="20"/>
                <w:szCs w:val="20"/>
                <w:color w:val="auto"/>
              </w:rPr>
            </w:pPr>
            <w:r>
              <w:rPr>
                <w:rFonts w:ascii="Arial" w:cs="Arial" w:eastAsia="Arial" w:hAnsi="Arial"/>
                <w:sz w:val="14"/>
                <w:szCs w:val="14"/>
                <w:color w:val="auto"/>
                <w:w w:val="94"/>
              </w:rPr>
              <w:t>First Lien Secured Debt,</w:t>
            </w:r>
          </w:p>
        </w:tc>
        <w:tc>
          <w:tcPr>
            <w:tcW w:w="1420" w:type="dxa"/>
            <w:vAlign w:val="bottom"/>
            <w:gridSpan w:val="2"/>
            <w:shd w:val="clear" w:color="auto" w:fill="CCEEFF"/>
          </w:tcPr>
          <w:p>
            <w:pPr>
              <w:jc w:val="right"/>
              <w:ind w:right="598"/>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18,715</w:t>
            </w:r>
          </w:p>
        </w:tc>
        <w:tc>
          <w:tcPr>
            <w:tcW w:w="0" w:type="dxa"/>
            <w:vAlign w:val="bottom"/>
          </w:tcPr>
          <w:p>
            <w:pPr>
              <w:spacing w:after="0"/>
              <w:rPr>
                <w:sz w:val="1"/>
                <w:szCs w:val="1"/>
                <w:color w:val="auto"/>
              </w:rPr>
            </w:pPr>
          </w:p>
        </w:tc>
      </w:tr>
      <w:tr>
        <w:trPr>
          <w:trHeight w:val="149"/>
        </w:trPr>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421 SW 6th Ave #800</w:t>
            </w:r>
          </w:p>
        </w:tc>
        <w:tc>
          <w:tcPr>
            <w:tcW w:w="1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9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6"/>
              </w:rPr>
              <w:t>1M L+525, 09/04/2024</w:t>
            </w:r>
          </w:p>
        </w:tc>
        <w:tc>
          <w:tcPr>
            <w:tcW w:w="8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Portland, OR 97204</w:t>
            </w:r>
          </w:p>
        </w:tc>
        <w:tc>
          <w:tcPr>
            <w:tcW w:w="1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40" w:type="dxa"/>
            <w:vAlign w:val="bottom"/>
            <w:gridSpan w:val="2"/>
          </w:tcPr>
          <w:p>
            <w:pPr>
              <w:spacing w:after="0"/>
              <w:rPr>
                <w:sz w:val="20"/>
                <w:szCs w:val="20"/>
                <w:color w:val="auto"/>
              </w:rPr>
            </w:pPr>
            <w:r>
              <w:rPr>
                <w:rFonts w:ascii="Arial" w:cs="Arial" w:eastAsia="Arial" w:hAnsi="Arial"/>
                <w:sz w:val="14"/>
                <w:szCs w:val="14"/>
                <w:color w:val="auto"/>
              </w:rPr>
              <w:t>Questex, LLC</w:t>
            </w: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color w:val="auto"/>
                <w:w w:val="95"/>
              </w:rPr>
              <w:t>Media: Diversified and</w:t>
            </w:r>
          </w:p>
        </w:tc>
        <w:tc>
          <w:tcPr>
            <w:tcW w:w="294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420" w:type="dxa"/>
            <w:vAlign w:val="bottom"/>
            <w:gridSpan w:val="2"/>
          </w:tcPr>
          <w:p>
            <w:pPr>
              <w:jc w:val="right"/>
              <w:ind w:right="59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7,339</w:t>
            </w:r>
          </w:p>
        </w:tc>
        <w:tc>
          <w:tcPr>
            <w:tcW w:w="0" w:type="dxa"/>
            <w:vAlign w:val="bottom"/>
          </w:tcPr>
          <w:p>
            <w:pPr>
              <w:spacing w:after="0"/>
              <w:rPr>
                <w:sz w:val="1"/>
                <w:szCs w:val="1"/>
                <w:color w:val="auto"/>
              </w:rPr>
            </w:pPr>
          </w:p>
        </w:tc>
      </w:tr>
      <w:tr>
        <w:trPr>
          <w:trHeight w:val="148"/>
        </w:trPr>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275 Grove Street, Suite 2-130</w:t>
            </w:r>
          </w:p>
        </w:tc>
        <w:tc>
          <w:tcPr>
            <w:tcW w:w="17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Production</w:t>
            </w:r>
          </w:p>
        </w:tc>
        <w:tc>
          <w:tcPr>
            <w:tcW w:w="29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6"/>
              </w:rPr>
              <w:t>3M L+500, 09/09/2024</w:t>
            </w: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40" w:type="dxa"/>
            <w:vAlign w:val="bottom"/>
            <w:gridSpan w:val="2"/>
          </w:tcPr>
          <w:p>
            <w:pPr>
              <w:spacing w:after="0"/>
              <w:rPr>
                <w:sz w:val="20"/>
                <w:szCs w:val="20"/>
                <w:color w:val="auto"/>
              </w:rPr>
            </w:pPr>
            <w:r>
              <w:rPr>
                <w:rFonts w:ascii="Arial" w:cs="Arial" w:eastAsia="Arial" w:hAnsi="Arial"/>
                <w:sz w:val="14"/>
                <w:szCs w:val="14"/>
                <w:color w:val="auto"/>
              </w:rPr>
              <w:t>Newton, MA 02466</w:t>
            </w:r>
          </w:p>
        </w:tc>
        <w:tc>
          <w:tcPr>
            <w:tcW w:w="1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Research Horizons, LLC</w:t>
            </w:r>
          </w:p>
        </w:tc>
        <w:tc>
          <w:tcPr>
            <w:tcW w:w="170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7"/>
              </w:rPr>
              <w:t>Media: Advertising,</w:t>
            </w:r>
          </w:p>
        </w:tc>
        <w:tc>
          <w:tcPr>
            <w:tcW w:w="2940" w:type="dxa"/>
            <w:vAlign w:val="bottom"/>
            <w:gridSpan w:val="2"/>
            <w:shd w:val="clear" w:color="auto" w:fill="CCEEFF"/>
          </w:tcPr>
          <w:p>
            <w:pPr>
              <w:jc w:val="center"/>
              <w:ind w:right="240"/>
              <w:spacing w:after="0" w:line="130" w:lineRule="exact"/>
              <w:rPr>
                <w:sz w:val="20"/>
                <w:szCs w:val="20"/>
                <w:color w:val="auto"/>
              </w:rPr>
            </w:pPr>
            <w:r>
              <w:rPr>
                <w:rFonts w:ascii="Arial" w:cs="Arial" w:eastAsia="Arial" w:hAnsi="Arial"/>
                <w:sz w:val="14"/>
                <w:szCs w:val="14"/>
                <w:color w:val="auto"/>
                <w:w w:val="94"/>
              </w:rPr>
              <w:t>First Lien Secured Debt,</w:t>
            </w:r>
          </w:p>
        </w:tc>
        <w:tc>
          <w:tcPr>
            <w:tcW w:w="1420" w:type="dxa"/>
            <w:vAlign w:val="bottom"/>
            <w:gridSpan w:val="2"/>
            <w:shd w:val="clear" w:color="auto" w:fill="CCEEFF"/>
          </w:tcPr>
          <w:p>
            <w:pPr>
              <w:jc w:val="right"/>
              <w:ind w:right="598"/>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7,097</w:t>
            </w:r>
          </w:p>
        </w:tc>
        <w:tc>
          <w:tcPr>
            <w:tcW w:w="0" w:type="dxa"/>
            <w:vAlign w:val="bottom"/>
          </w:tcPr>
          <w:p>
            <w:pPr>
              <w:spacing w:after="0"/>
              <w:rPr>
                <w:sz w:val="1"/>
                <w:szCs w:val="1"/>
                <w:color w:val="auto"/>
              </w:rPr>
            </w:pPr>
          </w:p>
        </w:tc>
      </w:tr>
      <w:tr>
        <w:trPr>
          <w:trHeight w:val="148"/>
        </w:trPr>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1140 Broadway, Suite 1002</w:t>
            </w:r>
          </w:p>
        </w:tc>
        <w:tc>
          <w:tcPr>
            <w:tcW w:w="170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4"/>
              </w:rPr>
              <w:t>Printing and Publishing</w:t>
            </w:r>
          </w:p>
        </w:tc>
        <w:tc>
          <w:tcPr>
            <w:tcW w:w="29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6"/>
              </w:rPr>
              <w:t>1M L+625, 06/28/2022</w:t>
            </w:r>
          </w:p>
        </w:tc>
        <w:tc>
          <w:tcPr>
            <w:tcW w:w="8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10001</w:t>
            </w:r>
          </w:p>
        </w:tc>
        <w:tc>
          <w:tcPr>
            <w:tcW w:w="1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40"/>
          </w:cols>
          <w:pgMar w:left="32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4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2"/>
              </w:rPr>
              <w:t>Type of Investment,</w:t>
            </w:r>
          </w:p>
        </w:tc>
        <w:tc>
          <w:tcPr>
            <w:tcW w:w="12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Voting</w:t>
            </w:r>
          </w:p>
        </w:tc>
        <w:tc>
          <w:tcPr>
            <w:tcW w:w="80" w:type="dxa"/>
            <w:vAlign w:val="bottom"/>
          </w:tcPr>
          <w:p>
            <w:pPr>
              <w:spacing w:after="0"/>
              <w:rPr>
                <w:sz w:val="14"/>
                <w:szCs w:val="14"/>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3960" w:type="dxa"/>
            <w:vAlign w:val="bottom"/>
            <w:gridSpan w:val="2"/>
            <w:vMerge w:val="continue"/>
          </w:tcPr>
          <w:p>
            <w:pPr>
              <w:spacing w:after="0"/>
              <w:rPr>
                <w:sz w:val="12"/>
                <w:szCs w:val="12"/>
                <w:color w:val="auto"/>
              </w:rPr>
            </w:pPr>
          </w:p>
        </w:tc>
        <w:tc>
          <w:tcPr>
            <w:tcW w:w="18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Nature of Business</w:t>
            </w:r>
          </w:p>
        </w:tc>
        <w:tc>
          <w:tcPr>
            <w:tcW w:w="3040" w:type="dxa"/>
            <w:vAlign w:val="bottom"/>
            <w:gridSpan w:val="3"/>
            <w:vMerge w:val="continue"/>
          </w:tcPr>
          <w:p>
            <w:pPr>
              <w:spacing w:after="0"/>
              <w:rPr>
                <w:sz w:val="12"/>
                <w:szCs w:val="12"/>
                <w:color w:val="auto"/>
              </w:rPr>
            </w:pPr>
          </w:p>
        </w:tc>
        <w:tc>
          <w:tcPr>
            <w:tcW w:w="1260" w:type="dxa"/>
            <w:vAlign w:val="bottom"/>
            <w:gridSpan w:val="2"/>
          </w:tcPr>
          <w:p>
            <w:pPr>
              <w:jc w:val="right"/>
              <w:ind w:right="520"/>
              <w:spacing w:after="0" w:line="145" w:lineRule="exact"/>
              <w:rPr>
                <w:sz w:val="20"/>
                <w:szCs w:val="20"/>
                <w:color w:val="auto"/>
              </w:rPr>
            </w:pPr>
            <w:r>
              <w:rPr>
                <w:rFonts w:ascii="Arial" w:cs="Arial" w:eastAsia="Arial" w:hAnsi="Arial"/>
                <w:sz w:val="14"/>
                <w:szCs w:val="14"/>
                <w:b w:val="1"/>
                <w:bCs w:val="1"/>
                <w:color w:val="auto"/>
                <w:w w:val="95"/>
              </w:rPr>
              <w:t>Percentage</w:t>
            </w: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208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30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7"/>
              </w:rPr>
              <w:t>Interest</w:t>
            </w:r>
            <w:r>
              <w:rPr>
                <w:rFonts w:ascii="Arial" w:cs="Arial" w:eastAsia="Arial" w:hAnsi="Arial"/>
                <w:sz w:val="12"/>
                <w:szCs w:val="12"/>
                <w:b w:val="1"/>
                <w:bCs w:val="1"/>
                <w:color w:val="auto"/>
                <w:w w:val="97"/>
              </w:rPr>
              <w:t>(1)</w:t>
            </w:r>
            <w:r>
              <w:rPr>
                <w:rFonts w:ascii="Arial" w:cs="Arial" w:eastAsia="Arial" w:hAnsi="Arial"/>
                <w:sz w:val="14"/>
                <w:szCs w:val="14"/>
                <w:b w:val="1"/>
                <w:bCs w:val="1"/>
                <w:color w:val="auto"/>
                <w:w w:val="97"/>
              </w:rPr>
              <w:t>, Maturity</w:t>
            </w: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1"/>
              </w:rPr>
              <w:t>Ownership</w:t>
            </w:r>
            <w:r>
              <w:rPr>
                <w:rFonts w:ascii="Arial" w:cs="Arial" w:eastAsia="Arial" w:hAnsi="Arial"/>
                <w:sz w:val="12"/>
                <w:szCs w:val="12"/>
                <w:b w:val="1"/>
                <w:bCs w:val="1"/>
                <w:color w:val="auto"/>
                <w:w w:val="91"/>
              </w:rPr>
              <w:t>(2)</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109"/>
        </w:trPr>
        <w:tc>
          <w:tcPr>
            <w:tcW w:w="3960" w:type="dxa"/>
            <w:vAlign w:val="bottom"/>
            <w:tcBorders>
              <w:top w:val="single" w:sz="8" w:color="CCEEFF"/>
            </w:tcBorders>
            <w:gridSpan w:val="2"/>
            <w:shd w:val="clear" w:color="auto" w:fill="CCEEFF"/>
          </w:tcPr>
          <w:p>
            <w:pPr>
              <w:spacing w:after="0" w:line="109" w:lineRule="exact"/>
              <w:rPr>
                <w:sz w:val="20"/>
                <w:szCs w:val="20"/>
                <w:color w:val="auto"/>
              </w:rPr>
            </w:pPr>
            <w:r>
              <w:rPr>
                <w:rFonts w:ascii="Arial" w:cs="Arial" w:eastAsia="Arial" w:hAnsi="Arial"/>
                <w:sz w:val="12"/>
                <w:szCs w:val="12"/>
                <w:color w:val="auto"/>
              </w:rPr>
              <w:t>Research Now Group, Inc. and Survey Sampling International</w:t>
            </w:r>
          </w:p>
        </w:tc>
        <w:tc>
          <w:tcPr>
            <w:tcW w:w="158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Business Services</w:t>
            </w:r>
          </w:p>
        </w:tc>
        <w:tc>
          <w:tcPr>
            <w:tcW w:w="260" w:type="dxa"/>
            <w:vAlign w:val="bottom"/>
            <w:tcBorders>
              <w:top w:val="single" w:sz="8" w:color="CCEEFF"/>
            </w:tcBorders>
            <w:shd w:val="clear" w:color="auto" w:fill="CCEEFF"/>
          </w:tcPr>
          <w:p>
            <w:pPr>
              <w:spacing w:after="0"/>
              <w:rPr>
                <w:sz w:val="9"/>
                <w:szCs w:val="9"/>
                <w:color w:val="auto"/>
              </w:rPr>
            </w:pPr>
          </w:p>
        </w:tc>
        <w:tc>
          <w:tcPr>
            <w:tcW w:w="2760" w:type="dxa"/>
            <w:vAlign w:val="bottom"/>
            <w:tcBorders>
              <w:top w:val="single" w:sz="8" w:color="auto"/>
            </w:tcBorders>
            <w:gridSpan w:val="2"/>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w:t>
            </w:r>
          </w:p>
        </w:tc>
        <w:tc>
          <w:tcPr>
            <w:tcW w:w="28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w:t>
            </w:r>
          </w:p>
        </w:tc>
        <w:tc>
          <w:tcPr>
            <w:tcW w:w="4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line="109" w:lineRule="exact"/>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24,601</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9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LLC</w:t>
            </w:r>
          </w:p>
        </w:tc>
        <w:tc>
          <w:tcPr>
            <w:tcW w:w="1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40" w:type="dxa"/>
            <w:vAlign w:val="bottom"/>
            <w:gridSpan w:val="3"/>
            <w:shd w:val="clear" w:color="auto" w:fill="CCEEFF"/>
          </w:tcPr>
          <w:p>
            <w:pPr>
              <w:jc w:val="right"/>
              <w:ind w:right="980"/>
              <w:spacing w:after="0" w:line="149" w:lineRule="exact"/>
              <w:rPr>
                <w:sz w:val="20"/>
                <w:szCs w:val="20"/>
                <w:color w:val="auto"/>
              </w:rPr>
            </w:pPr>
            <w:r>
              <w:rPr>
                <w:rFonts w:ascii="Arial" w:cs="Arial" w:eastAsia="Arial" w:hAnsi="Arial"/>
                <w:sz w:val="14"/>
                <w:szCs w:val="14"/>
                <w:color w:val="auto"/>
              </w:rPr>
              <w:t>3M L+550, 12/20/2024</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96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5800 Tennyson Parkway, Suite 600</w:t>
            </w:r>
          </w:p>
        </w:tc>
        <w:tc>
          <w:tcPr>
            <w:tcW w:w="1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Plano, TX 75024</w:t>
            </w:r>
          </w:p>
        </w:tc>
        <w:tc>
          <w:tcPr>
            <w:tcW w:w="1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960" w:type="dxa"/>
            <w:vAlign w:val="bottom"/>
            <w:gridSpan w:val="2"/>
          </w:tcPr>
          <w:p>
            <w:pPr>
              <w:spacing w:after="0"/>
              <w:rPr>
                <w:sz w:val="20"/>
                <w:szCs w:val="20"/>
                <w:color w:val="auto"/>
              </w:rPr>
            </w:pPr>
            <w:r>
              <w:rPr>
                <w:rFonts w:ascii="Arial" w:cs="Arial" w:eastAsia="Arial" w:hAnsi="Arial"/>
                <w:sz w:val="14"/>
                <w:szCs w:val="14"/>
                <w:color w:val="auto"/>
              </w:rPr>
              <w:t>Riverpoint Medical, LLC</w:t>
            </w:r>
          </w:p>
        </w:tc>
        <w:tc>
          <w:tcPr>
            <w:tcW w:w="184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Healthcare Equipment and</w:t>
            </w:r>
          </w:p>
        </w:tc>
        <w:tc>
          <w:tcPr>
            <w:tcW w:w="3040" w:type="dxa"/>
            <w:vAlign w:val="bottom"/>
            <w:gridSpan w:val="3"/>
          </w:tcPr>
          <w:p>
            <w:pPr>
              <w:jc w:val="center"/>
              <w:ind w:right="2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4,957</w:t>
            </w:r>
          </w:p>
        </w:tc>
        <w:tc>
          <w:tcPr>
            <w:tcW w:w="0" w:type="dxa"/>
            <w:vAlign w:val="bottom"/>
          </w:tcPr>
          <w:p>
            <w:pPr>
              <w:spacing w:after="0"/>
              <w:rPr>
                <w:sz w:val="1"/>
                <w:szCs w:val="1"/>
                <w:color w:val="auto"/>
              </w:rPr>
            </w:pPr>
          </w:p>
        </w:tc>
      </w:tr>
      <w:tr>
        <w:trPr>
          <w:trHeight w:val="148"/>
        </w:trPr>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825 NE 25th Avenue</w:t>
            </w:r>
          </w:p>
        </w:tc>
        <w:tc>
          <w:tcPr>
            <w:tcW w:w="18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3"/>
              </w:rPr>
              <w:t>Supplies</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3M</w:t>
            </w:r>
          </w:p>
        </w:tc>
        <w:tc>
          <w:tcPr>
            <w:tcW w:w="2120" w:type="dxa"/>
            <w:vAlign w:val="bottom"/>
            <w:gridSpan w:val="2"/>
          </w:tcPr>
          <w:p>
            <w:pPr>
              <w:jc w:val="right"/>
              <w:ind w:right="980"/>
              <w:spacing w:after="0" w:line="149" w:lineRule="exact"/>
              <w:rPr>
                <w:sz w:val="20"/>
                <w:szCs w:val="20"/>
                <w:color w:val="auto"/>
              </w:rPr>
            </w:pPr>
            <w:r>
              <w:rPr>
                <w:rFonts w:ascii="Arial" w:cs="Arial" w:eastAsia="Arial" w:hAnsi="Arial"/>
                <w:sz w:val="14"/>
                <w:szCs w:val="14"/>
                <w:color w:val="auto"/>
                <w:w w:val="95"/>
              </w:rPr>
              <w:t>L+500, 06/20/2025</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960" w:type="dxa"/>
            <w:vAlign w:val="bottom"/>
            <w:gridSpan w:val="2"/>
          </w:tcPr>
          <w:p>
            <w:pPr>
              <w:spacing w:after="0"/>
              <w:rPr>
                <w:sz w:val="20"/>
                <w:szCs w:val="20"/>
                <w:color w:val="auto"/>
              </w:rPr>
            </w:pPr>
            <w:r>
              <w:rPr>
                <w:rFonts w:ascii="Arial" w:cs="Arial" w:eastAsia="Arial" w:hAnsi="Arial"/>
                <w:sz w:val="14"/>
                <w:szCs w:val="14"/>
                <w:color w:val="auto"/>
              </w:rPr>
              <w:t>Portland, OR 97232</w:t>
            </w: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6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Salient CRGT Inc.</w:t>
            </w:r>
          </w:p>
        </w:tc>
        <w:tc>
          <w:tcPr>
            <w:tcW w:w="184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3"/>
              </w:rPr>
              <w:t>High Tech Industries</w:t>
            </w:r>
          </w:p>
        </w:tc>
        <w:tc>
          <w:tcPr>
            <w:tcW w:w="3040" w:type="dxa"/>
            <w:vAlign w:val="bottom"/>
            <w:gridSpan w:val="3"/>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shd w:val="clear" w:color="auto" w:fill="CCEEFF"/>
          </w:tcPr>
          <w:p>
            <w:pPr>
              <w:jc w:val="right"/>
              <w:ind w:right="50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1,674</w:t>
            </w:r>
          </w:p>
        </w:tc>
        <w:tc>
          <w:tcPr>
            <w:tcW w:w="0" w:type="dxa"/>
            <w:vAlign w:val="bottom"/>
          </w:tcPr>
          <w:p>
            <w:pPr>
              <w:spacing w:after="0"/>
              <w:rPr>
                <w:sz w:val="1"/>
                <w:szCs w:val="1"/>
                <w:color w:val="auto"/>
              </w:rPr>
            </w:pPr>
          </w:p>
        </w:tc>
      </w:tr>
      <w:tr>
        <w:trPr>
          <w:trHeight w:val="149"/>
        </w:trPr>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4000 Legato Road, Suite 600</w:t>
            </w:r>
          </w:p>
        </w:tc>
        <w:tc>
          <w:tcPr>
            <w:tcW w:w="1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1M</w:t>
            </w:r>
          </w:p>
        </w:tc>
        <w:tc>
          <w:tcPr>
            <w:tcW w:w="2120" w:type="dxa"/>
            <w:vAlign w:val="bottom"/>
            <w:gridSpan w:val="2"/>
            <w:shd w:val="clear" w:color="auto" w:fill="CCEEFF"/>
          </w:tcPr>
          <w:p>
            <w:pPr>
              <w:jc w:val="right"/>
              <w:ind w:right="980"/>
              <w:spacing w:after="0" w:line="149" w:lineRule="exact"/>
              <w:rPr>
                <w:sz w:val="20"/>
                <w:szCs w:val="20"/>
                <w:color w:val="auto"/>
              </w:rPr>
            </w:pPr>
            <w:r>
              <w:rPr>
                <w:rFonts w:ascii="Arial" w:cs="Arial" w:eastAsia="Arial" w:hAnsi="Arial"/>
                <w:sz w:val="14"/>
                <w:szCs w:val="14"/>
                <w:color w:val="auto"/>
                <w:w w:val="95"/>
              </w:rPr>
              <w:t>L+600, 02/28/2022</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Fairfax, VA 22033</w:t>
            </w:r>
          </w:p>
        </w:tc>
        <w:tc>
          <w:tcPr>
            <w:tcW w:w="1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960" w:type="dxa"/>
            <w:vAlign w:val="bottom"/>
            <w:gridSpan w:val="2"/>
          </w:tcPr>
          <w:p>
            <w:pPr>
              <w:spacing w:after="0"/>
              <w:rPr>
                <w:sz w:val="20"/>
                <w:szCs w:val="20"/>
                <w:color w:val="auto"/>
              </w:rPr>
            </w:pPr>
            <w:r>
              <w:rPr>
                <w:rFonts w:ascii="Arial" w:cs="Arial" w:eastAsia="Arial" w:hAnsi="Arial"/>
                <w:sz w:val="14"/>
                <w:szCs w:val="14"/>
                <w:color w:val="auto"/>
              </w:rPr>
              <w:t>Schlesinger Global, Inc.</w:t>
            </w:r>
          </w:p>
        </w:tc>
        <w:tc>
          <w:tcPr>
            <w:tcW w:w="1840" w:type="dxa"/>
            <w:vAlign w:val="bottom"/>
            <w:gridSpan w:val="2"/>
          </w:tcPr>
          <w:p>
            <w:pPr>
              <w:jc w:val="center"/>
              <w:ind w:right="260"/>
              <w:spacing w:after="0"/>
              <w:rPr>
                <w:sz w:val="20"/>
                <w:szCs w:val="20"/>
                <w:color w:val="auto"/>
              </w:rPr>
            </w:pPr>
            <w:r>
              <w:rPr>
                <w:rFonts w:ascii="Arial" w:cs="Arial" w:eastAsia="Arial" w:hAnsi="Arial"/>
                <w:sz w:val="14"/>
                <w:szCs w:val="14"/>
                <w:color w:val="auto"/>
                <w:w w:val="90"/>
              </w:rPr>
              <w:t>Professional Services</w:t>
            </w:r>
          </w:p>
        </w:tc>
        <w:tc>
          <w:tcPr>
            <w:tcW w:w="3040" w:type="dxa"/>
            <w:vAlign w:val="bottom"/>
            <w:gridSpan w:val="3"/>
          </w:tcPr>
          <w:p>
            <w:pPr>
              <w:jc w:val="center"/>
              <w:ind w:right="2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tcPr>
          <w:p>
            <w:pPr>
              <w:jc w:val="right"/>
              <w:ind w:right="320"/>
              <w:spacing w:after="0"/>
              <w:rPr>
                <w:sz w:val="20"/>
                <w:szCs w:val="20"/>
                <w:color w:val="auto"/>
              </w:rPr>
            </w:pPr>
            <w:r>
              <w:rPr>
                <w:rFonts w:ascii="Arial" w:cs="Arial" w:eastAsia="Arial" w:hAnsi="Arial"/>
                <w:sz w:val="14"/>
                <w:szCs w:val="14"/>
                <w:color w:val="auto"/>
              </w:rPr>
              <w:t>0.8%</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19,327</w:t>
            </w:r>
          </w:p>
        </w:tc>
        <w:tc>
          <w:tcPr>
            <w:tcW w:w="0" w:type="dxa"/>
            <w:vAlign w:val="bottom"/>
          </w:tcPr>
          <w:p>
            <w:pPr>
              <w:spacing w:after="0"/>
              <w:rPr>
                <w:sz w:val="1"/>
                <w:szCs w:val="1"/>
                <w:color w:val="auto"/>
              </w:rPr>
            </w:pPr>
          </w:p>
        </w:tc>
      </w:tr>
      <w:tr>
        <w:trPr>
          <w:trHeight w:val="148"/>
        </w:trPr>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(Gauge Schlesinger Coinvest, LLC)</w:t>
            </w: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1M</w:t>
            </w:r>
          </w:p>
        </w:tc>
        <w:tc>
          <w:tcPr>
            <w:tcW w:w="2120" w:type="dxa"/>
            <w:vAlign w:val="bottom"/>
            <w:gridSpan w:val="2"/>
          </w:tcPr>
          <w:p>
            <w:pPr>
              <w:jc w:val="right"/>
              <w:ind w:right="980"/>
              <w:spacing w:after="0" w:line="149" w:lineRule="exact"/>
              <w:rPr>
                <w:sz w:val="20"/>
                <w:szCs w:val="20"/>
                <w:color w:val="auto"/>
              </w:rPr>
            </w:pPr>
            <w:r>
              <w:rPr>
                <w:rFonts w:ascii="Arial" w:cs="Arial" w:eastAsia="Arial" w:hAnsi="Arial"/>
                <w:sz w:val="14"/>
                <w:szCs w:val="14"/>
                <w:color w:val="auto"/>
                <w:w w:val="95"/>
              </w:rPr>
              <w:t>L+500, 07/14/2025</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101 Wood Avenue South, Suite 501</w:t>
            </w: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4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960" w:type="dxa"/>
            <w:vAlign w:val="bottom"/>
            <w:gridSpan w:val="2"/>
          </w:tcPr>
          <w:p>
            <w:pPr>
              <w:spacing w:after="0"/>
              <w:rPr>
                <w:sz w:val="20"/>
                <w:szCs w:val="20"/>
                <w:color w:val="auto"/>
              </w:rPr>
            </w:pPr>
            <w:r>
              <w:rPr>
                <w:rFonts w:ascii="Arial" w:cs="Arial" w:eastAsia="Arial" w:hAnsi="Arial"/>
                <w:sz w:val="14"/>
                <w:szCs w:val="14"/>
                <w:color w:val="auto"/>
              </w:rPr>
              <w:t>Iselin, NJ 08830</w:t>
            </w: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6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Signature Systems Holding Company</w:t>
            </w:r>
          </w:p>
        </w:tc>
        <w:tc>
          <w:tcPr>
            <w:tcW w:w="184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Commercial Services &amp;</w:t>
            </w:r>
          </w:p>
        </w:tc>
        <w:tc>
          <w:tcPr>
            <w:tcW w:w="3040" w:type="dxa"/>
            <w:vAlign w:val="bottom"/>
            <w:gridSpan w:val="3"/>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14,174</w:t>
            </w:r>
          </w:p>
        </w:tc>
        <w:tc>
          <w:tcPr>
            <w:tcW w:w="0" w:type="dxa"/>
            <w:vAlign w:val="bottom"/>
          </w:tcPr>
          <w:p>
            <w:pPr>
              <w:spacing w:after="0"/>
              <w:rPr>
                <w:sz w:val="1"/>
                <w:szCs w:val="1"/>
                <w:color w:val="auto"/>
              </w:rPr>
            </w:pPr>
          </w:p>
        </w:tc>
      </w:tr>
      <w:tr>
        <w:trPr>
          <w:trHeight w:val="149"/>
        </w:trPr>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(Signature CR Intermediate Holdco, Inc.)</w:t>
            </w:r>
          </w:p>
        </w:tc>
        <w:tc>
          <w:tcPr>
            <w:tcW w:w="18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3"/>
              </w:rPr>
              <w:t>Supplies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1M</w:t>
            </w:r>
          </w:p>
        </w:tc>
        <w:tc>
          <w:tcPr>
            <w:tcW w:w="2120" w:type="dxa"/>
            <w:vAlign w:val="bottom"/>
            <w:gridSpan w:val="2"/>
            <w:shd w:val="clear" w:color="auto" w:fill="CCEEFF"/>
          </w:tcPr>
          <w:p>
            <w:pPr>
              <w:jc w:val="right"/>
              <w:ind w:right="980"/>
              <w:spacing w:after="0" w:line="149" w:lineRule="exact"/>
              <w:rPr>
                <w:sz w:val="20"/>
                <w:szCs w:val="20"/>
                <w:color w:val="auto"/>
              </w:rPr>
            </w:pPr>
            <w:r>
              <w:rPr>
                <w:rFonts w:ascii="Arial" w:cs="Arial" w:eastAsia="Arial" w:hAnsi="Arial"/>
                <w:sz w:val="14"/>
                <w:szCs w:val="14"/>
                <w:color w:val="auto"/>
                <w:w w:val="95"/>
              </w:rPr>
              <w:t>L+650, 05/03/2024</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1201 Lakeside Parkway, Suite 150</w:t>
            </w:r>
          </w:p>
        </w:tc>
        <w:tc>
          <w:tcPr>
            <w:tcW w:w="1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40" w:type="dxa"/>
            <w:vAlign w:val="bottom"/>
            <w:gridSpan w:val="3"/>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4"/>
              </w:rPr>
              <w:t>Preferred Equity</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Flower Mound, TX 75028</w:t>
            </w:r>
          </w:p>
        </w:tc>
        <w:tc>
          <w:tcPr>
            <w:tcW w:w="1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40" w:type="dxa"/>
            <w:vAlign w:val="bottom"/>
            <w:gridSpan w:val="3"/>
            <w:shd w:val="clear" w:color="auto" w:fill="CCEEFF"/>
          </w:tcPr>
          <w:p>
            <w:pPr>
              <w:jc w:val="center"/>
              <w:ind w:right="280"/>
              <w:spacing w:after="0"/>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960" w:type="dxa"/>
            <w:vAlign w:val="bottom"/>
            <w:gridSpan w:val="2"/>
          </w:tcPr>
          <w:p>
            <w:pPr>
              <w:spacing w:after="0"/>
              <w:rPr>
                <w:sz w:val="20"/>
                <w:szCs w:val="20"/>
                <w:color w:val="auto"/>
              </w:rPr>
            </w:pPr>
            <w:r>
              <w:rPr>
                <w:rFonts w:ascii="Arial" w:cs="Arial" w:eastAsia="Arial" w:hAnsi="Arial"/>
                <w:sz w:val="14"/>
                <w:szCs w:val="14"/>
                <w:color w:val="auto"/>
              </w:rPr>
              <w:t>Smile Brands Inc.</w:t>
            </w:r>
          </w:p>
        </w:tc>
        <w:tc>
          <w:tcPr>
            <w:tcW w:w="1840" w:type="dxa"/>
            <w:vAlign w:val="bottom"/>
            <w:gridSpan w:val="2"/>
          </w:tcPr>
          <w:p>
            <w:pPr>
              <w:jc w:val="center"/>
              <w:ind w:right="260"/>
              <w:spacing w:after="0"/>
              <w:rPr>
                <w:sz w:val="20"/>
                <w:szCs w:val="20"/>
                <w:color w:val="auto"/>
              </w:rPr>
            </w:pPr>
            <w:r>
              <w:rPr>
                <w:rFonts w:ascii="Arial" w:cs="Arial" w:eastAsia="Arial" w:hAnsi="Arial"/>
                <w:sz w:val="14"/>
                <w:szCs w:val="14"/>
                <w:color w:val="auto"/>
                <w:w w:val="90"/>
              </w:rPr>
              <w:t>Healthcare and</w:t>
            </w:r>
          </w:p>
        </w:tc>
        <w:tc>
          <w:tcPr>
            <w:tcW w:w="3040" w:type="dxa"/>
            <w:vAlign w:val="bottom"/>
            <w:gridSpan w:val="3"/>
          </w:tcPr>
          <w:p>
            <w:pPr>
              <w:jc w:val="center"/>
              <w:ind w:right="2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2,305</w:t>
            </w:r>
          </w:p>
        </w:tc>
        <w:tc>
          <w:tcPr>
            <w:tcW w:w="0" w:type="dxa"/>
            <w:vAlign w:val="bottom"/>
          </w:tcPr>
          <w:p>
            <w:pPr>
              <w:spacing w:after="0"/>
              <w:rPr>
                <w:sz w:val="1"/>
                <w:szCs w:val="1"/>
                <w:color w:val="auto"/>
              </w:rPr>
            </w:pPr>
          </w:p>
        </w:tc>
      </w:tr>
      <w:tr>
        <w:trPr>
          <w:trHeight w:val="148"/>
        </w:trPr>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100 Spectrum Center Drive</w:t>
            </w:r>
          </w:p>
        </w:tc>
        <w:tc>
          <w:tcPr>
            <w:tcW w:w="18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0"/>
              </w:rPr>
              <w:t>Pharmaceuticals</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1M</w:t>
            </w:r>
          </w:p>
        </w:tc>
        <w:tc>
          <w:tcPr>
            <w:tcW w:w="2120" w:type="dxa"/>
            <w:vAlign w:val="bottom"/>
            <w:gridSpan w:val="2"/>
          </w:tcPr>
          <w:p>
            <w:pPr>
              <w:jc w:val="right"/>
              <w:ind w:right="980"/>
              <w:spacing w:after="0" w:line="149" w:lineRule="exact"/>
              <w:rPr>
                <w:sz w:val="20"/>
                <w:szCs w:val="20"/>
                <w:color w:val="auto"/>
              </w:rPr>
            </w:pPr>
            <w:r>
              <w:rPr>
                <w:rFonts w:ascii="Arial" w:cs="Arial" w:eastAsia="Arial" w:hAnsi="Arial"/>
                <w:sz w:val="14"/>
                <w:szCs w:val="14"/>
                <w:color w:val="auto"/>
                <w:w w:val="95"/>
              </w:rPr>
              <w:t>L+450, 10/14/2024</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960" w:type="dxa"/>
            <w:vAlign w:val="bottom"/>
            <w:gridSpan w:val="2"/>
          </w:tcPr>
          <w:p>
            <w:pPr>
              <w:spacing w:after="0"/>
              <w:rPr>
                <w:sz w:val="20"/>
                <w:szCs w:val="20"/>
                <w:color w:val="auto"/>
              </w:rPr>
            </w:pPr>
            <w:r>
              <w:rPr>
                <w:rFonts w:ascii="Arial" w:cs="Arial" w:eastAsia="Arial" w:hAnsi="Arial"/>
                <w:sz w:val="14"/>
                <w:szCs w:val="14"/>
                <w:color w:val="auto"/>
              </w:rPr>
              <w:t>Irvine, CA 92618</w:t>
            </w: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6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Snak Club, LLC</w:t>
            </w:r>
          </w:p>
        </w:tc>
        <w:tc>
          <w:tcPr>
            <w:tcW w:w="184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89"/>
              </w:rPr>
              <w:t>Beverage, Food and</w:t>
            </w:r>
          </w:p>
        </w:tc>
        <w:tc>
          <w:tcPr>
            <w:tcW w:w="3040" w:type="dxa"/>
            <w:vAlign w:val="bottom"/>
            <w:gridSpan w:val="3"/>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shd w:val="clear" w:color="auto" w:fill="CCEEFF"/>
          </w:tcPr>
          <w:p>
            <w:pPr>
              <w:jc w:val="right"/>
              <w:ind w:right="50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8"/>
        </w:trPr>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5560 E Slauson Ave</w:t>
            </w:r>
          </w:p>
        </w:tc>
        <w:tc>
          <w:tcPr>
            <w:tcW w:w="18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3"/>
              </w:rPr>
              <w:t>Tobacco</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3M</w:t>
            </w:r>
          </w:p>
        </w:tc>
        <w:tc>
          <w:tcPr>
            <w:tcW w:w="2120" w:type="dxa"/>
            <w:vAlign w:val="bottom"/>
            <w:gridSpan w:val="2"/>
            <w:shd w:val="clear" w:color="auto" w:fill="CCEEFF"/>
          </w:tcPr>
          <w:p>
            <w:pPr>
              <w:jc w:val="right"/>
              <w:ind w:right="980"/>
              <w:spacing w:after="0" w:line="149" w:lineRule="exact"/>
              <w:rPr>
                <w:sz w:val="20"/>
                <w:szCs w:val="20"/>
                <w:color w:val="auto"/>
              </w:rPr>
            </w:pPr>
            <w:r>
              <w:rPr>
                <w:rFonts w:ascii="Arial" w:cs="Arial" w:eastAsia="Arial" w:hAnsi="Arial"/>
                <w:sz w:val="14"/>
                <w:szCs w:val="14"/>
                <w:color w:val="auto"/>
                <w:w w:val="95"/>
              </w:rPr>
              <w:t>L+600, 07/19/2021</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Commerce, CA 90040</w:t>
            </w:r>
          </w:p>
        </w:tc>
        <w:tc>
          <w:tcPr>
            <w:tcW w:w="1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960" w:type="dxa"/>
            <w:vAlign w:val="bottom"/>
            <w:gridSpan w:val="2"/>
          </w:tcPr>
          <w:p>
            <w:pPr>
              <w:spacing w:after="0"/>
              <w:rPr>
                <w:sz w:val="20"/>
                <w:szCs w:val="20"/>
                <w:color w:val="auto"/>
              </w:rPr>
            </w:pPr>
            <w:r>
              <w:rPr>
                <w:rFonts w:ascii="Arial" w:cs="Arial" w:eastAsia="Arial" w:hAnsi="Arial"/>
                <w:sz w:val="14"/>
                <w:szCs w:val="14"/>
                <w:color w:val="auto"/>
              </w:rPr>
              <w:t>Solutionreach, Inc.</w:t>
            </w:r>
          </w:p>
        </w:tc>
        <w:tc>
          <w:tcPr>
            <w:tcW w:w="184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Healthcare Technology</w:t>
            </w:r>
          </w:p>
        </w:tc>
        <w:tc>
          <w:tcPr>
            <w:tcW w:w="3040" w:type="dxa"/>
            <w:vAlign w:val="bottom"/>
            <w:gridSpan w:val="3"/>
          </w:tcPr>
          <w:p>
            <w:pPr>
              <w:jc w:val="center"/>
              <w:ind w:right="260"/>
              <w:spacing w:after="0"/>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13,061</w:t>
            </w:r>
          </w:p>
        </w:tc>
        <w:tc>
          <w:tcPr>
            <w:tcW w:w="0" w:type="dxa"/>
            <w:vAlign w:val="bottom"/>
          </w:tcPr>
          <w:p>
            <w:pPr>
              <w:spacing w:after="0"/>
              <w:rPr>
                <w:sz w:val="1"/>
                <w:szCs w:val="1"/>
                <w:color w:val="auto"/>
              </w:rPr>
            </w:pPr>
          </w:p>
        </w:tc>
      </w:tr>
      <w:tr>
        <w:trPr>
          <w:trHeight w:val="148"/>
        </w:trPr>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2600 N. Ashton Blvd.</w:t>
            </w: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3M</w:t>
            </w:r>
          </w:p>
        </w:tc>
        <w:tc>
          <w:tcPr>
            <w:tcW w:w="2120" w:type="dxa"/>
            <w:vAlign w:val="bottom"/>
            <w:gridSpan w:val="2"/>
          </w:tcPr>
          <w:p>
            <w:pPr>
              <w:jc w:val="right"/>
              <w:ind w:right="980"/>
              <w:spacing w:after="0" w:line="149" w:lineRule="exact"/>
              <w:rPr>
                <w:sz w:val="20"/>
                <w:szCs w:val="20"/>
                <w:color w:val="auto"/>
              </w:rPr>
            </w:pPr>
            <w:r>
              <w:rPr>
                <w:rFonts w:ascii="Arial" w:cs="Arial" w:eastAsia="Arial" w:hAnsi="Arial"/>
                <w:sz w:val="14"/>
                <w:szCs w:val="14"/>
                <w:color w:val="auto"/>
                <w:w w:val="95"/>
              </w:rPr>
              <w:t>L+575, 01/17/2024</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960" w:type="dxa"/>
            <w:vAlign w:val="bottom"/>
            <w:gridSpan w:val="2"/>
          </w:tcPr>
          <w:p>
            <w:pPr>
              <w:spacing w:after="0"/>
              <w:rPr>
                <w:sz w:val="20"/>
                <w:szCs w:val="20"/>
                <w:color w:val="auto"/>
              </w:rPr>
            </w:pPr>
            <w:r>
              <w:rPr>
                <w:rFonts w:ascii="Arial" w:cs="Arial" w:eastAsia="Arial" w:hAnsi="Arial"/>
                <w:sz w:val="14"/>
                <w:szCs w:val="14"/>
                <w:color w:val="auto"/>
              </w:rPr>
              <w:t>Lehi, UT 84043</w:t>
            </w: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6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SSC Dominion Holdings, LLC</w:t>
            </w:r>
          </w:p>
        </w:tc>
        <w:tc>
          <w:tcPr>
            <w:tcW w:w="184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Capital Equipment</w:t>
            </w:r>
          </w:p>
        </w:tc>
        <w:tc>
          <w:tcPr>
            <w:tcW w:w="3040" w:type="dxa"/>
            <w:vAlign w:val="bottom"/>
            <w:gridSpan w:val="3"/>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6"/>
              </w:rPr>
              <w:t>Common Equity</w:t>
            </w:r>
          </w:p>
        </w:tc>
        <w:tc>
          <w:tcPr>
            <w:tcW w:w="12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1,269</w:t>
            </w:r>
          </w:p>
        </w:tc>
        <w:tc>
          <w:tcPr>
            <w:tcW w:w="0" w:type="dxa"/>
            <w:vAlign w:val="bottom"/>
          </w:tcPr>
          <w:p>
            <w:pPr>
              <w:spacing w:after="0"/>
              <w:rPr>
                <w:sz w:val="1"/>
                <w:szCs w:val="1"/>
                <w:color w:val="auto"/>
              </w:rPr>
            </w:pPr>
          </w:p>
        </w:tc>
      </w:tr>
      <w:tr>
        <w:trPr>
          <w:trHeight w:val="148"/>
        </w:trPr>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215 Spadina Ave, Suite 200</w:t>
            </w:r>
          </w:p>
        </w:tc>
        <w:tc>
          <w:tcPr>
            <w:tcW w:w="1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Toronto, ON MST 2C7</w:t>
            </w:r>
          </w:p>
        </w:tc>
        <w:tc>
          <w:tcPr>
            <w:tcW w:w="1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960" w:type="dxa"/>
            <w:vAlign w:val="bottom"/>
            <w:gridSpan w:val="2"/>
          </w:tcPr>
          <w:p>
            <w:pPr>
              <w:spacing w:after="0"/>
              <w:rPr>
                <w:sz w:val="20"/>
                <w:szCs w:val="20"/>
                <w:color w:val="auto"/>
              </w:rPr>
            </w:pPr>
            <w:r>
              <w:rPr>
                <w:rFonts w:ascii="Arial" w:cs="Arial" w:eastAsia="Arial" w:hAnsi="Arial"/>
                <w:sz w:val="14"/>
                <w:szCs w:val="14"/>
                <w:color w:val="auto"/>
              </w:rPr>
              <w:t>TeleGuam Holdings, LLC</w:t>
            </w:r>
          </w:p>
        </w:tc>
        <w:tc>
          <w:tcPr>
            <w:tcW w:w="184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Telecommunications</w:t>
            </w:r>
          </w:p>
        </w:tc>
        <w:tc>
          <w:tcPr>
            <w:tcW w:w="3040" w:type="dxa"/>
            <w:vAlign w:val="bottom"/>
            <w:gridSpan w:val="3"/>
          </w:tcPr>
          <w:p>
            <w:pPr>
              <w:jc w:val="center"/>
              <w:ind w:right="260"/>
              <w:spacing w:after="0"/>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7,399</w:t>
            </w:r>
          </w:p>
        </w:tc>
        <w:tc>
          <w:tcPr>
            <w:tcW w:w="0" w:type="dxa"/>
            <w:vAlign w:val="bottom"/>
          </w:tcPr>
          <w:p>
            <w:pPr>
              <w:spacing w:after="0"/>
              <w:rPr>
                <w:sz w:val="1"/>
                <w:szCs w:val="1"/>
                <w:color w:val="auto"/>
              </w:rPr>
            </w:pPr>
          </w:p>
        </w:tc>
      </w:tr>
      <w:tr>
        <w:trPr>
          <w:trHeight w:val="148"/>
        </w:trPr>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624 North Marine Corps Drive</w:t>
            </w: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1M</w:t>
            </w:r>
          </w:p>
        </w:tc>
        <w:tc>
          <w:tcPr>
            <w:tcW w:w="2120" w:type="dxa"/>
            <w:vAlign w:val="bottom"/>
            <w:gridSpan w:val="2"/>
          </w:tcPr>
          <w:p>
            <w:pPr>
              <w:jc w:val="right"/>
              <w:ind w:right="980"/>
              <w:spacing w:after="0" w:line="149" w:lineRule="exact"/>
              <w:rPr>
                <w:sz w:val="20"/>
                <w:szCs w:val="20"/>
                <w:color w:val="auto"/>
              </w:rPr>
            </w:pPr>
            <w:r>
              <w:rPr>
                <w:rFonts w:ascii="Arial" w:cs="Arial" w:eastAsia="Arial" w:hAnsi="Arial"/>
                <w:sz w:val="14"/>
                <w:szCs w:val="14"/>
                <w:color w:val="auto"/>
                <w:w w:val="95"/>
              </w:rPr>
              <w:t>L+500, 07/25/2023</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960" w:type="dxa"/>
            <w:vAlign w:val="bottom"/>
            <w:gridSpan w:val="2"/>
          </w:tcPr>
          <w:p>
            <w:pPr>
              <w:spacing w:after="0"/>
              <w:rPr>
                <w:sz w:val="20"/>
                <w:szCs w:val="20"/>
                <w:color w:val="auto"/>
              </w:rPr>
            </w:pPr>
            <w:r>
              <w:rPr>
                <w:rFonts w:ascii="Arial" w:cs="Arial" w:eastAsia="Arial" w:hAnsi="Arial"/>
                <w:sz w:val="14"/>
                <w:szCs w:val="14"/>
                <w:color w:val="auto"/>
              </w:rPr>
              <w:t>Tamuning, Guam 96913</w:t>
            </w: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6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Teneo Holdings LLC</w:t>
            </w:r>
          </w:p>
        </w:tc>
        <w:tc>
          <w:tcPr>
            <w:tcW w:w="184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7"/>
              </w:rPr>
              <w:t>Diversified Financial</w:t>
            </w:r>
          </w:p>
        </w:tc>
        <w:tc>
          <w:tcPr>
            <w:tcW w:w="3040" w:type="dxa"/>
            <w:vAlign w:val="bottom"/>
            <w:gridSpan w:val="3"/>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shd w:val="clear" w:color="auto" w:fill="CCEEFF"/>
          </w:tcPr>
          <w:p>
            <w:pPr>
              <w:jc w:val="right"/>
              <w:ind w:right="50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9,525</w:t>
            </w:r>
          </w:p>
        </w:tc>
        <w:tc>
          <w:tcPr>
            <w:tcW w:w="0" w:type="dxa"/>
            <w:vAlign w:val="bottom"/>
          </w:tcPr>
          <w:p>
            <w:pPr>
              <w:spacing w:after="0"/>
              <w:rPr>
                <w:sz w:val="1"/>
                <w:szCs w:val="1"/>
                <w:color w:val="auto"/>
              </w:rPr>
            </w:pPr>
          </w:p>
        </w:tc>
      </w:tr>
      <w:tr>
        <w:trPr>
          <w:trHeight w:val="149"/>
        </w:trPr>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280 Park Avenue, 4th Floor</w:t>
            </w:r>
          </w:p>
        </w:tc>
        <w:tc>
          <w:tcPr>
            <w:tcW w:w="18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3"/>
              </w:rPr>
              <w:t>Services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1M</w:t>
            </w:r>
          </w:p>
        </w:tc>
        <w:tc>
          <w:tcPr>
            <w:tcW w:w="2120" w:type="dxa"/>
            <w:vAlign w:val="bottom"/>
            <w:gridSpan w:val="2"/>
            <w:shd w:val="clear" w:color="auto" w:fill="CCEEFF"/>
          </w:tcPr>
          <w:p>
            <w:pPr>
              <w:jc w:val="right"/>
              <w:ind w:right="980"/>
              <w:spacing w:after="0" w:line="149" w:lineRule="exact"/>
              <w:rPr>
                <w:sz w:val="20"/>
                <w:szCs w:val="20"/>
                <w:color w:val="auto"/>
              </w:rPr>
            </w:pPr>
            <w:r>
              <w:rPr>
                <w:rFonts w:ascii="Arial" w:cs="Arial" w:eastAsia="Arial" w:hAnsi="Arial"/>
                <w:sz w:val="14"/>
                <w:szCs w:val="14"/>
                <w:color w:val="auto"/>
                <w:w w:val="95"/>
              </w:rPr>
              <w:t>L+525, 07/18/2025</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10017</w:t>
            </w:r>
          </w:p>
        </w:tc>
        <w:tc>
          <w:tcPr>
            <w:tcW w:w="1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960" w:type="dxa"/>
            <w:vAlign w:val="bottom"/>
            <w:gridSpan w:val="2"/>
          </w:tcPr>
          <w:p>
            <w:pPr>
              <w:spacing w:after="0"/>
              <w:rPr>
                <w:sz w:val="20"/>
                <w:szCs w:val="20"/>
                <w:color w:val="auto"/>
              </w:rPr>
            </w:pPr>
            <w:r>
              <w:rPr>
                <w:rFonts w:ascii="Arial" w:cs="Arial" w:eastAsia="Arial" w:hAnsi="Arial"/>
                <w:sz w:val="14"/>
                <w:szCs w:val="14"/>
                <w:color w:val="auto"/>
              </w:rPr>
              <w:t>Tensar Corporation</w:t>
            </w:r>
          </w:p>
        </w:tc>
        <w:tc>
          <w:tcPr>
            <w:tcW w:w="184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Construction and</w:t>
            </w:r>
          </w:p>
        </w:tc>
        <w:tc>
          <w:tcPr>
            <w:tcW w:w="3040" w:type="dxa"/>
            <w:vAlign w:val="bottom"/>
            <w:gridSpan w:val="3"/>
          </w:tcPr>
          <w:p>
            <w:pPr>
              <w:jc w:val="center"/>
              <w:ind w:right="260"/>
              <w:spacing w:after="0"/>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21,716</w:t>
            </w:r>
          </w:p>
        </w:tc>
        <w:tc>
          <w:tcPr>
            <w:tcW w:w="0" w:type="dxa"/>
            <w:vAlign w:val="bottom"/>
          </w:tcPr>
          <w:p>
            <w:pPr>
              <w:spacing w:after="0"/>
              <w:rPr>
                <w:sz w:val="1"/>
                <w:szCs w:val="1"/>
                <w:color w:val="auto"/>
              </w:rPr>
            </w:pPr>
          </w:p>
        </w:tc>
      </w:tr>
      <w:tr>
        <w:trPr>
          <w:trHeight w:val="148"/>
        </w:trPr>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2500 Northwinds Parkway, Ste. 500</w:t>
            </w:r>
          </w:p>
        </w:tc>
        <w:tc>
          <w:tcPr>
            <w:tcW w:w="18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8"/>
              </w:rPr>
              <w:t>Buildings</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3M</w:t>
            </w:r>
          </w:p>
        </w:tc>
        <w:tc>
          <w:tcPr>
            <w:tcW w:w="2120" w:type="dxa"/>
            <w:vAlign w:val="bottom"/>
            <w:gridSpan w:val="2"/>
          </w:tcPr>
          <w:p>
            <w:pPr>
              <w:jc w:val="right"/>
              <w:ind w:right="980"/>
              <w:spacing w:after="0" w:line="149" w:lineRule="exact"/>
              <w:rPr>
                <w:sz w:val="20"/>
                <w:szCs w:val="20"/>
                <w:color w:val="auto"/>
              </w:rPr>
            </w:pPr>
            <w:r>
              <w:rPr>
                <w:rFonts w:ascii="Arial" w:cs="Arial" w:eastAsia="Arial" w:hAnsi="Arial"/>
                <w:sz w:val="14"/>
                <w:szCs w:val="14"/>
                <w:color w:val="auto"/>
                <w:w w:val="95"/>
              </w:rPr>
              <w:t>L+475, 07/09/2021</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960" w:type="dxa"/>
            <w:vAlign w:val="bottom"/>
            <w:gridSpan w:val="2"/>
          </w:tcPr>
          <w:p>
            <w:pPr>
              <w:spacing w:after="0"/>
              <w:rPr>
                <w:sz w:val="20"/>
                <w:szCs w:val="20"/>
                <w:color w:val="auto"/>
              </w:rPr>
            </w:pPr>
            <w:r>
              <w:rPr>
                <w:rFonts w:ascii="Arial" w:cs="Arial" w:eastAsia="Arial" w:hAnsi="Arial"/>
                <w:sz w:val="14"/>
                <w:szCs w:val="14"/>
                <w:color w:val="auto"/>
              </w:rPr>
              <w:t>Alpharetta, GA 30009</w:t>
            </w: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6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The Infosoft Group, LLC</w:t>
            </w:r>
          </w:p>
        </w:tc>
        <w:tc>
          <w:tcPr>
            <w:tcW w:w="184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Media: Broadcasting and</w:t>
            </w:r>
          </w:p>
        </w:tc>
        <w:tc>
          <w:tcPr>
            <w:tcW w:w="3040" w:type="dxa"/>
            <w:vAlign w:val="bottom"/>
            <w:gridSpan w:val="3"/>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18,978</w:t>
            </w:r>
          </w:p>
        </w:tc>
        <w:tc>
          <w:tcPr>
            <w:tcW w:w="0" w:type="dxa"/>
            <w:vAlign w:val="bottom"/>
          </w:tcPr>
          <w:p>
            <w:pPr>
              <w:spacing w:after="0"/>
              <w:rPr>
                <w:sz w:val="1"/>
                <w:szCs w:val="1"/>
                <w:color w:val="auto"/>
              </w:rPr>
            </w:pPr>
          </w:p>
        </w:tc>
      </w:tr>
      <w:tr>
        <w:trPr>
          <w:trHeight w:val="148"/>
        </w:trPr>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(Gauge InfosoftCoInvest, LLC)</w:t>
            </w:r>
          </w:p>
        </w:tc>
        <w:tc>
          <w:tcPr>
            <w:tcW w:w="18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6"/>
              </w:rPr>
              <w:t>Subscription</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3M</w:t>
            </w:r>
          </w:p>
        </w:tc>
        <w:tc>
          <w:tcPr>
            <w:tcW w:w="2120" w:type="dxa"/>
            <w:vAlign w:val="bottom"/>
            <w:gridSpan w:val="2"/>
            <w:shd w:val="clear" w:color="auto" w:fill="CCEEFF"/>
          </w:tcPr>
          <w:p>
            <w:pPr>
              <w:jc w:val="right"/>
              <w:ind w:right="980"/>
              <w:spacing w:after="0" w:line="149" w:lineRule="exact"/>
              <w:rPr>
                <w:sz w:val="20"/>
                <w:szCs w:val="20"/>
                <w:color w:val="auto"/>
              </w:rPr>
            </w:pPr>
            <w:r>
              <w:rPr>
                <w:rFonts w:ascii="Arial" w:cs="Arial" w:eastAsia="Arial" w:hAnsi="Arial"/>
                <w:sz w:val="14"/>
                <w:szCs w:val="14"/>
                <w:color w:val="auto"/>
                <w:w w:val="95"/>
              </w:rPr>
              <w:t>L+525, 09/16/2024</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1000 North Water Street, Suite 1100</w:t>
            </w:r>
          </w:p>
        </w:tc>
        <w:tc>
          <w:tcPr>
            <w:tcW w:w="1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40" w:type="dxa"/>
            <w:vAlign w:val="bottom"/>
            <w:gridSpan w:val="3"/>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Milwaukee, WI 53202</w:t>
            </w:r>
          </w:p>
        </w:tc>
        <w:tc>
          <w:tcPr>
            <w:tcW w:w="1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960" w:type="dxa"/>
            <w:vAlign w:val="bottom"/>
            <w:gridSpan w:val="2"/>
          </w:tcPr>
          <w:p>
            <w:pPr>
              <w:spacing w:after="0"/>
              <w:rPr>
                <w:sz w:val="20"/>
                <w:szCs w:val="20"/>
                <w:color w:val="auto"/>
              </w:rPr>
            </w:pPr>
            <w:r>
              <w:rPr>
                <w:rFonts w:ascii="Arial" w:cs="Arial" w:eastAsia="Arial" w:hAnsi="Arial"/>
                <w:sz w:val="14"/>
                <w:szCs w:val="14"/>
                <w:color w:val="auto"/>
              </w:rPr>
              <w:t>The Original Cakerie, Co.</w:t>
            </w:r>
            <w:r>
              <w:rPr>
                <w:rFonts w:ascii="Arial" w:cs="Arial" w:eastAsia="Arial" w:hAnsi="Arial"/>
                <w:sz w:val="12"/>
                <w:szCs w:val="12"/>
                <w:color w:val="auto"/>
              </w:rPr>
              <w:t>(3)</w:t>
            </w:r>
          </w:p>
        </w:tc>
        <w:tc>
          <w:tcPr>
            <w:tcW w:w="184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Consumer Goods:</w:t>
            </w:r>
          </w:p>
        </w:tc>
        <w:tc>
          <w:tcPr>
            <w:tcW w:w="3040" w:type="dxa"/>
            <w:vAlign w:val="bottom"/>
            <w:gridSpan w:val="3"/>
          </w:tcPr>
          <w:p>
            <w:pPr>
              <w:jc w:val="center"/>
              <w:ind w:right="2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13,154</w:t>
            </w:r>
          </w:p>
        </w:tc>
        <w:tc>
          <w:tcPr>
            <w:tcW w:w="0" w:type="dxa"/>
            <w:vAlign w:val="bottom"/>
          </w:tcPr>
          <w:p>
            <w:pPr>
              <w:spacing w:after="0"/>
              <w:rPr>
                <w:sz w:val="1"/>
                <w:szCs w:val="1"/>
                <w:color w:val="auto"/>
              </w:rPr>
            </w:pPr>
          </w:p>
        </w:tc>
      </w:tr>
      <w:tr>
        <w:trPr>
          <w:trHeight w:val="148"/>
        </w:trPr>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The Original Cakerie Ltd.</w:t>
            </w:r>
            <w:r>
              <w:rPr>
                <w:rFonts w:ascii="Arial" w:cs="Arial" w:eastAsia="Arial" w:hAnsi="Arial"/>
                <w:sz w:val="12"/>
                <w:szCs w:val="12"/>
                <w:color w:val="auto"/>
              </w:rPr>
              <w:t>(3)</w:t>
            </w:r>
          </w:p>
        </w:tc>
        <w:tc>
          <w:tcPr>
            <w:tcW w:w="18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Non-Durable</w:t>
            </w:r>
          </w:p>
        </w:tc>
        <w:tc>
          <w:tcPr>
            <w:tcW w:w="304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w w:val="94"/>
              </w:rPr>
              <w:t>The Original Cakerie, Co.</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1345 Cliveden Ave</w:t>
            </w: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4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6"/>
              </w:rPr>
              <w:t>(2M L+500, 07/20/2022),</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Delta, BC V3M 6C7, Canada</w:t>
            </w: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4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5"/>
              </w:rPr>
              <w:t>The Original Cakerie, Ltd.</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(2M</w:t>
            </w:r>
          </w:p>
        </w:tc>
        <w:tc>
          <w:tcPr>
            <w:tcW w:w="2120" w:type="dxa"/>
            <w:vAlign w:val="bottom"/>
            <w:gridSpan w:val="2"/>
          </w:tcPr>
          <w:p>
            <w:pPr>
              <w:jc w:val="right"/>
              <w:ind w:right="940"/>
              <w:spacing w:after="0"/>
              <w:rPr>
                <w:sz w:val="20"/>
                <w:szCs w:val="20"/>
                <w:color w:val="auto"/>
              </w:rPr>
            </w:pPr>
            <w:r>
              <w:rPr>
                <w:rFonts w:ascii="Arial" w:cs="Arial" w:eastAsia="Arial" w:hAnsi="Arial"/>
                <w:sz w:val="14"/>
                <w:szCs w:val="14"/>
                <w:color w:val="auto"/>
                <w:w w:val="95"/>
              </w:rPr>
              <w:t>L+450, 07/20/2022)</w:t>
            </w: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6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TPC Broadband Investors, LP</w:t>
            </w:r>
            <w:r>
              <w:rPr>
                <w:rFonts w:ascii="Arial" w:cs="Arial" w:eastAsia="Arial" w:hAnsi="Arial"/>
                <w:sz w:val="12"/>
                <w:szCs w:val="12"/>
                <w:color w:val="auto"/>
              </w:rPr>
              <w:t>(5)</w:t>
            </w:r>
          </w:p>
        </w:tc>
        <w:tc>
          <w:tcPr>
            <w:tcW w:w="184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3"/>
              </w:rPr>
              <w:t>Telecommunications</w:t>
            </w:r>
          </w:p>
        </w:tc>
        <w:tc>
          <w:tcPr>
            <w:tcW w:w="3040" w:type="dxa"/>
            <w:vAlign w:val="bottom"/>
            <w:gridSpan w:val="3"/>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(4)</w:t>
            </w:r>
          </w:p>
        </w:tc>
        <w:tc>
          <w:tcPr>
            <w:tcW w:w="12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1,590</w:t>
            </w:r>
          </w:p>
        </w:tc>
        <w:tc>
          <w:tcPr>
            <w:tcW w:w="0" w:type="dxa"/>
            <w:vAlign w:val="bottom"/>
          </w:tcPr>
          <w:p>
            <w:pPr>
              <w:spacing w:after="0"/>
              <w:rPr>
                <w:sz w:val="1"/>
                <w:szCs w:val="1"/>
                <w:color w:val="auto"/>
              </w:rPr>
            </w:pPr>
          </w:p>
        </w:tc>
      </w:tr>
      <w:tr>
        <w:trPr>
          <w:trHeight w:val="149"/>
        </w:trPr>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12409 NW 35 Street</w:t>
            </w:r>
          </w:p>
        </w:tc>
        <w:tc>
          <w:tcPr>
            <w:tcW w:w="1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Coral Springs, FL 33065</w:t>
            </w:r>
          </w:p>
        </w:tc>
        <w:tc>
          <w:tcPr>
            <w:tcW w:w="1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40"/>
          </w:cols>
          <w:pgMar w:left="32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Type of Investment,</w:t>
            </w:r>
          </w:p>
        </w:tc>
        <w:tc>
          <w:tcPr>
            <w:tcW w:w="13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Voting</w:t>
            </w:r>
          </w:p>
        </w:tc>
        <w:tc>
          <w:tcPr>
            <w:tcW w:w="80" w:type="dxa"/>
            <w:vAlign w:val="bottom"/>
          </w:tcPr>
          <w:p>
            <w:pPr>
              <w:spacing w:after="0"/>
              <w:rPr>
                <w:sz w:val="14"/>
                <w:szCs w:val="14"/>
                <w:color w:val="auto"/>
              </w:rPr>
            </w:pPr>
          </w:p>
        </w:tc>
        <w:tc>
          <w:tcPr>
            <w:tcW w:w="8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4080" w:type="dxa"/>
            <w:vAlign w:val="bottom"/>
            <w:gridSpan w:val="2"/>
            <w:vMerge w:val="continue"/>
          </w:tcPr>
          <w:p>
            <w:pPr>
              <w:spacing w:after="0"/>
              <w:rPr>
                <w:sz w:val="12"/>
                <w:szCs w:val="12"/>
                <w:color w:val="auto"/>
              </w:rPr>
            </w:pPr>
          </w:p>
        </w:tc>
        <w:tc>
          <w:tcPr>
            <w:tcW w:w="17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Nature of Business</w:t>
            </w:r>
          </w:p>
        </w:tc>
        <w:tc>
          <w:tcPr>
            <w:tcW w:w="2960" w:type="dxa"/>
            <w:vAlign w:val="bottom"/>
            <w:gridSpan w:val="2"/>
            <w:vMerge w:val="continue"/>
          </w:tcPr>
          <w:p>
            <w:pPr>
              <w:spacing w:after="0"/>
              <w:rPr>
                <w:sz w:val="12"/>
                <w:szCs w:val="12"/>
                <w:color w:val="auto"/>
              </w:rPr>
            </w:pPr>
          </w:p>
        </w:tc>
        <w:tc>
          <w:tcPr>
            <w:tcW w:w="1320" w:type="dxa"/>
            <w:vAlign w:val="bottom"/>
            <w:gridSpan w:val="2"/>
          </w:tcPr>
          <w:p>
            <w:pPr>
              <w:jc w:val="right"/>
              <w:ind w:right="580"/>
              <w:spacing w:after="0" w:line="145" w:lineRule="exact"/>
              <w:rPr>
                <w:sz w:val="20"/>
                <w:szCs w:val="20"/>
                <w:color w:val="auto"/>
              </w:rPr>
            </w:pPr>
            <w:r>
              <w:rPr>
                <w:rFonts w:ascii="Arial" w:cs="Arial" w:eastAsia="Arial" w:hAnsi="Arial"/>
                <w:sz w:val="14"/>
                <w:szCs w:val="14"/>
                <w:b w:val="1"/>
                <w:bCs w:val="1"/>
                <w:color w:val="auto"/>
                <w:w w:val="95"/>
              </w:rPr>
              <w:t>Percentage</w:t>
            </w:r>
          </w:p>
        </w:tc>
        <w:tc>
          <w:tcPr>
            <w:tcW w:w="8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220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2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Interest</w:t>
            </w:r>
            <w:r>
              <w:rPr>
                <w:rFonts w:ascii="Arial" w:cs="Arial" w:eastAsia="Arial" w:hAnsi="Arial"/>
                <w:sz w:val="12"/>
                <w:szCs w:val="12"/>
                <w:b w:val="1"/>
                <w:bCs w:val="1"/>
                <w:color w:val="auto"/>
                <w:w w:val="97"/>
              </w:rPr>
              <w:t>(1)</w:t>
            </w:r>
            <w:r>
              <w:rPr>
                <w:rFonts w:ascii="Arial" w:cs="Arial" w:eastAsia="Arial" w:hAnsi="Arial"/>
                <w:sz w:val="14"/>
                <w:szCs w:val="14"/>
                <w:b w:val="1"/>
                <w:bCs w:val="1"/>
                <w:color w:val="auto"/>
                <w:w w:val="97"/>
              </w:rPr>
              <w:t>, Maturity</w:t>
            </w:r>
          </w:p>
        </w:tc>
        <w:tc>
          <w:tcPr>
            <w:tcW w:w="13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1"/>
              </w:rPr>
              <w:t>Ownership</w:t>
            </w:r>
            <w:r>
              <w:rPr>
                <w:rFonts w:ascii="Arial" w:cs="Arial" w:eastAsia="Arial" w:hAnsi="Arial"/>
                <w:sz w:val="12"/>
                <w:szCs w:val="12"/>
                <w:b w:val="1"/>
                <w:bCs w:val="1"/>
                <w:color w:val="auto"/>
                <w:w w:val="91"/>
              </w:rPr>
              <w:t>(2)</w:t>
            </w:r>
          </w:p>
        </w:tc>
        <w:tc>
          <w:tcPr>
            <w:tcW w:w="920" w:type="dxa"/>
            <w:vAlign w:val="bottom"/>
            <w:gridSpan w:val="4"/>
          </w:tcPr>
          <w:p>
            <w:pP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109"/>
        </w:trPr>
        <w:tc>
          <w:tcPr>
            <w:tcW w:w="4080" w:type="dxa"/>
            <w:vAlign w:val="bottom"/>
            <w:tcBorders>
              <w:top w:val="single" w:sz="8" w:color="CCEEFF"/>
            </w:tcBorders>
            <w:gridSpan w:val="2"/>
            <w:shd w:val="clear" w:color="auto" w:fill="CCEEFF"/>
          </w:tcPr>
          <w:p>
            <w:pPr>
              <w:spacing w:after="0" w:line="109" w:lineRule="exact"/>
              <w:rPr>
                <w:sz w:val="20"/>
                <w:szCs w:val="20"/>
                <w:color w:val="auto"/>
              </w:rPr>
            </w:pPr>
            <w:r>
              <w:rPr>
                <w:rFonts w:ascii="Arial" w:cs="Arial" w:eastAsia="Arial" w:hAnsi="Arial"/>
                <w:sz w:val="12"/>
                <w:szCs w:val="12"/>
                <w:color w:val="auto"/>
              </w:rPr>
              <w:t>Triad Manufacturing, Inc.</w:t>
            </w:r>
          </w:p>
        </w:tc>
        <w:tc>
          <w:tcPr>
            <w:tcW w:w="154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Capital Equipment</w:t>
            </w:r>
          </w:p>
        </w:tc>
        <w:tc>
          <w:tcPr>
            <w:tcW w:w="200" w:type="dxa"/>
            <w:vAlign w:val="bottom"/>
            <w:tcBorders>
              <w:top w:val="single" w:sz="8" w:color="CCEEFF"/>
            </w:tcBorders>
            <w:shd w:val="clear" w:color="auto" w:fill="CCEEFF"/>
          </w:tcPr>
          <w:p>
            <w:pPr>
              <w:spacing w:after="0"/>
              <w:rPr>
                <w:sz w:val="9"/>
                <w:szCs w:val="9"/>
                <w:color w:val="auto"/>
              </w:rPr>
            </w:pPr>
          </w:p>
        </w:tc>
        <w:tc>
          <w:tcPr>
            <w:tcW w:w="276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w:t>
            </w:r>
          </w:p>
        </w:tc>
        <w:tc>
          <w:tcPr>
            <w:tcW w:w="20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ind w:right="9"/>
              <w:spacing w:after="0" w:line="109" w:lineRule="exact"/>
              <w:rPr>
                <w:sz w:val="20"/>
                <w:szCs w:val="20"/>
                <w:color w:val="auto"/>
              </w:rPr>
            </w:pPr>
            <w:r>
              <w:rPr>
                <w:rFonts w:ascii="Arial" w:cs="Arial" w:eastAsia="Arial" w:hAnsi="Arial"/>
                <w:sz w:val="12"/>
                <w:szCs w:val="12"/>
                <w:color w:val="auto"/>
              </w:rPr>
              <w:t>—</w:t>
            </w:r>
          </w:p>
        </w:tc>
        <w:tc>
          <w:tcPr>
            <w:tcW w:w="5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line="109" w:lineRule="exact"/>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7,633</w:t>
            </w: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4321 Semple Avenue</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4"/>
              </w:rPr>
              <w:t>1M L+1,125, 12/28/2020</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 Louis, MO 63120</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80" w:type="dxa"/>
            <w:vAlign w:val="bottom"/>
            <w:gridSpan w:val="2"/>
          </w:tcPr>
          <w:p>
            <w:pPr>
              <w:spacing w:after="0"/>
              <w:rPr>
                <w:sz w:val="20"/>
                <w:szCs w:val="20"/>
                <w:color w:val="auto"/>
              </w:rPr>
            </w:pPr>
            <w:r>
              <w:rPr>
                <w:rFonts w:ascii="Arial" w:cs="Arial" w:eastAsia="Arial" w:hAnsi="Arial"/>
                <w:sz w:val="14"/>
                <w:szCs w:val="14"/>
                <w:color w:val="auto"/>
              </w:rPr>
              <w:t>TVC Enterprises, LLC</w:t>
            </w:r>
          </w:p>
        </w:tc>
        <w:tc>
          <w:tcPr>
            <w:tcW w:w="1740" w:type="dxa"/>
            <w:vAlign w:val="bottom"/>
            <w:gridSpan w:val="2"/>
          </w:tcPr>
          <w:p>
            <w:pPr>
              <w:jc w:val="center"/>
              <w:ind w:right="200"/>
              <w:spacing w:after="0"/>
              <w:rPr>
                <w:sz w:val="20"/>
                <w:szCs w:val="20"/>
                <w:color w:val="auto"/>
              </w:rPr>
            </w:pPr>
            <w:r>
              <w:rPr>
                <w:rFonts w:ascii="Arial" w:cs="Arial" w:eastAsia="Arial" w:hAnsi="Arial"/>
                <w:sz w:val="14"/>
                <w:szCs w:val="14"/>
                <w:color w:val="auto"/>
                <w:w w:val="90"/>
              </w:rPr>
              <w:t>Professional Services</w:t>
            </w:r>
          </w:p>
        </w:tc>
        <w:tc>
          <w:tcPr>
            <w:tcW w:w="296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320" w:type="dxa"/>
            <w:vAlign w:val="bottom"/>
            <w:gridSpan w:val="2"/>
          </w:tcPr>
          <w:p>
            <w:pPr>
              <w:jc w:val="right"/>
              <w:ind w:right="380"/>
              <w:spacing w:after="0"/>
              <w:rPr>
                <w:sz w:val="20"/>
                <w:szCs w:val="20"/>
                <w:color w:val="auto"/>
              </w:rPr>
            </w:pPr>
            <w:r>
              <w:rPr>
                <w:rFonts w:ascii="Arial" w:cs="Arial" w:eastAsia="Arial" w:hAnsi="Arial"/>
                <w:sz w:val="14"/>
                <w:szCs w:val="14"/>
                <w:color w:val="auto"/>
              </w:rPr>
              <w:t>0.7%</w:t>
            </w:r>
          </w:p>
        </w:tc>
        <w:tc>
          <w:tcPr>
            <w:tcW w:w="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6,796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(Gauge TVC Coinvest, LLC)</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1M L+550, 01/18/2024</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6100 Lake Forrest Drive</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80" w:type="dxa"/>
            <w:vAlign w:val="bottom"/>
            <w:gridSpan w:val="2"/>
          </w:tcPr>
          <w:p>
            <w:pPr>
              <w:spacing w:after="0"/>
              <w:rPr>
                <w:sz w:val="20"/>
                <w:szCs w:val="20"/>
                <w:color w:val="auto"/>
              </w:rPr>
            </w:pPr>
            <w:r>
              <w:rPr>
                <w:rFonts w:ascii="Arial" w:cs="Arial" w:eastAsia="Arial" w:hAnsi="Arial"/>
                <w:sz w:val="14"/>
                <w:szCs w:val="14"/>
                <w:color w:val="auto"/>
              </w:rPr>
              <w:t>Atlanta, GA 30328</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TWS Acquisition Corporation</w:t>
            </w:r>
          </w:p>
        </w:tc>
        <w:tc>
          <w:tcPr>
            <w:tcW w:w="17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Diversified Consumer</w:t>
            </w:r>
          </w:p>
        </w:tc>
        <w:tc>
          <w:tcPr>
            <w:tcW w:w="29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320" w:type="dxa"/>
            <w:vAlign w:val="bottom"/>
            <w:gridSpan w:val="2"/>
            <w:shd w:val="clear" w:color="auto" w:fill="CCEEFF"/>
          </w:tcPr>
          <w:p>
            <w:pPr>
              <w:jc w:val="right"/>
              <w:ind w:right="58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7,690</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120 N. 44th Street #230</w:t>
            </w:r>
          </w:p>
        </w:tc>
        <w:tc>
          <w:tcPr>
            <w:tcW w:w="17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3"/>
              </w:rPr>
              <w:t>Services</w:t>
            </w:r>
          </w:p>
        </w:tc>
        <w:tc>
          <w:tcPr>
            <w:tcW w:w="29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1M L+625, 06/16/2025</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Phoenix, AZ 85034</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80" w:type="dxa"/>
            <w:vAlign w:val="bottom"/>
            <w:gridSpan w:val="2"/>
          </w:tcPr>
          <w:p>
            <w:pPr>
              <w:spacing w:after="0"/>
              <w:rPr>
                <w:sz w:val="20"/>
                <w:szCs w:val="20"/>
                <w:color w:val="auto"/>
              </w:rPr>
            </w:pPr>
            <w:r>
              <w:rPr>
                <w:rFonts w:ascii="Arial" w:cs="Arial" w:eastAsia="Arial" w:hAnsi="Arial"/>
                <w:sz w:val="14"/>
                <w:szCs w:val="14"/>
                <w:color w:val="auto"/>
              </w:rPr>
              <w:t>Tyto Athene, LLC</w:t>
            </w:r>
          </w:p>
        </w:tc>
        <w:tc>
          <w:tcPr>
            <w:tcW w:w="174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Aerospace and Defense</w:t>
            </w:r>
          </w:p>
        </w:tc>
        <w:tc>
          <w:tcPr>
            <w:tcW w:w="296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320" w:type="dxa"/>
            <w:vAlign w:val="bottom"/>
            <w:gridSpan w:val="2"/>
          </w:tcPr>
          <w:p>
            <w:pPr>
              <w:jc w:val="right"/>
              <w:ind w:right="380"/>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22,089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(NXOF Holdings, Inc.)</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1M L+575, 08/27/2024</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510 Spring St., #200</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Preferred Equity</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80" w:type="dxa"/>
            <w:vAlign w:val="bottom"/>
            <w:gridSpan w:val="2"/>
          </w:tcPr>
          <w:p>
            <w:pPr>
              <w:spacing w:after="0"/>
              <w:rPr>
                <w:sz w:val="20"/>
                <w:szCs w:val="20"/>
                <w:color w:val="auto"/>
              </w:rPr>
            </w:pPr>
            <w:r>
              <w:rPr>
                <w:rFonts w:ascii="Arial" w:cs="Arial" w:eastAsia="Arial" w:hAnsi="Arial"/>
                <w:sz w:val="14"/>
                <w:szCs w:val="14"/>
                <w:color w:val="auto"/>
              </w:rPr>
              <w:t>Herndon, VA 20170</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6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UBEO, LLC</w:t>
            </w:r>
          </w:p>
        </w:tc>
        <w:tc>
          <w:tcPr>
            <w:tcW w:w="17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6"/>
              </w:rPr>
              <w:t>Capital Equipment</w:t>
            </w:r>
          </w:p>
        </w:tc>
        <w:tc>
          <w:tcPr>
            <w:tcW w:w="29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320" w:type="dxa"/>
            <w:vAlign w:val="bottom"/>
            <w:gridSpan w:val="2"/>
            <w:shd w:val="clear" w:color="auto" w:fill="CCEEFF"/>
          </w:tcPr>
          <w:p>
            <w:pPr>
              <w:jc w:val="right"/>
              <w:ind w:right="58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13,990</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401 East Sonterra Blvd., Suite 350</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3M L+450, 04/03/2024</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San Antonio, TX 78258</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80" w:type="dxa"/>
            <w:vAlign w:val="bottom"/>
            <w:gridSpan w:val="2"/>
          </w:tcPr>
          <w:p>
            <w:pPr>
              <w:spacing w:after="0"/>
              <w:rPr>
                <w:sz w:val="20"/>
                <w:szCs w:val="20"/>
                <w:color w:val="auto"/>
              </w:rPr>
            </w:pPr>
            <w:r>
              <w:rPr>
                <w:rFonts w:ascii="Arial" w:cs="Arial" w:eastAsia="Arial" w:hAnsi="Arial"/>
                <w:sz w:val="14"/>
                <w:szCs w:val="14"/>
                <w:color w:val="auto"/>
              </w:rPr>
              <w:t>UniTek Global Services, Inc.</w:t>
            </w:r>
          </w:p>
        </w:tc>
        <w:tc>
          <w:tcPr>
            <w:tcW w:w="174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Telecommunications</w:t>
            </w:r>
          </w:p>
        </w:tc>
        <w:tc>
          <w:tcPr>
            <w:tcW w:w="296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First Lien Secured Debt,</w:t>
            </w:r>
          </w:p>
        </w:tc>
        <w:tc>
          <w:tcPr>
            <w:tcW w:w="1320" w:type="dxa"/>
            <w:vAlign w:val="bottom"/>
            <w:gridSpan w:val="2"/>
          </w:tcPr>
          <w:p>
            <w:pPr>
              <w:jc w:val="right"/>
              <w:ind w:right="380"/>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9,802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1777 Sentry Parkway West</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3M L+550, 08/20/2024</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Gwynedd Hall, Ste. 202</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Preferred Equity</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Blue Bell, PA 19422</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6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Warrants</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US Med Acquisition, Inc.</w:t>
            </w:r>
          </w:p>
        </w:tc>
        <w:tc>
          <w:tcPr>
            <w:tcW w:w="17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0"/>
              </w:rPr>
              <w:t>Healthcare and</w:t>
            </w:r>
          </w:p>
        </w:tc>
        <w:tc>
          <w:tcPr>
            <w:tcW w:w="29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First Lien Secured Debt,</w:t>
            </w:r>
          </w:p>
        </w:tc>
        <w:tc>
          <w:tcPr>
            <w:tcW w:w="1320" w:type="dxa"/>
            <w:vAlign w:val="bottom"/>
            <w:gridSpan w:val="2"/>
            <w:shd w:val="clear" w:color="auto" w:fill="CCEEFF"/>
          </w:tcPr>
          <w:p>
            <w:pPr>
              <w:jc w:val="right"/>
              <w:ind w:right="58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2,996</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8260 NW 27</w:t>
            </w:r>
            <w:r>
              <w:rPr>
                <w:rFonts w:ascii="Arial" w:cs="Arial" w:eastAsia="Arial" w:hAnsi="Arial"/>
                <w:sz w:val="12"/>
                <w:szCs w:val="12"/>
                <w:color w:val="auto"/>
              </w:rPr>
              <w:t>th</w:t>
            </w:r>
            <w:r>
              <w:rPr>
                <w:rFonts w:ascii="Arial" w:cs="Arial" w:eastAsia="Arial" w:hAnsi="Arial"/>
                <w:sz w:val="14"/>
                <w:szCs w:val="14"/>
                <w:color w:val="auto"/>
              </w:rPr>
              <w:t xml:space="preserve"> Street, Suite 401</w:t>
            </w:r>
          </w:p>
        </w:tc>
        <w:tc>
          <w:tcPr>
            <w:tcW w:w="17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0"/>
              </w:rPr>
              <w:t>Pharmaceuticals</w:t>
            </w:r>
          </w:p>
        </w:tc>
        <w:tc>
          <w:tcPr>
            <w:tcW w:w="29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1M L+900, 08/13/2021</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Doral, FL 33122</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80" w:type="dxa"/>
            <w:vAlign w:val="bottom"/>
            <w:gridSpan w:val="2"/>
          </w:tcPr>
          <w:p>
            <w:pPr>
              <w:spacing w:after="0"/>
              <w:rPr>
                <w:sz w:val="20"/>
                <w:szCs w:val="20"/>
                <w:color w:val="auto"/>
              </w:rPr>
            </w:pPr>
            <w:r>
              <w:rPr>
                <w:rFonts w:ascii="Arial" w:cs="Arial" w:eastAsia="Arial" w:hAnsi="Arial"/>
                <w:sz w:val="14"/>
                <w:szCs w:val="14"/>
                <w:color w:val="auto"/>
              </w:rPr>
              <w:t>Vision Purchaser Corporation</w:t>
            </w:r>
          </w:p>
        </w:tc>
        <w:tc>
          <w:tcPr>
            <w:tcW w:w="174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Media</w:t>
            </w:r>
          </w:p>
        </w:tc>
        <w:tc>
          <w:tcPr>
            <w:tcW w:w="296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First Lien Secured Debt,</w:t>
            </w:r>
          </w:p>
        </w:tc>
        <w:tc>
          <w:tcPr>
            <w:tcW w:w="132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3,407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7650 185th Street</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1M L+625, 06/10/2025</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80" w:type="dxa"/>
            <w:vAlign w:val="bottom"/>
            <w:gridSpan w:val="2"/>
          </w:tcPr>
          <w:p>
            <w:pPr>
              <w:spacing w:after="0"/>
              <w:rPr>
                <w:sz w:val="20"/>
                <w:szCs w:val="20"/>
                <w:color w:val="auto"/>
              </w:rPr>
            </w:pPr>
            <w:r>
              <w:rPr>
                <w:rFonts w:ascii="Arial" w:cs="Arial" w:eastAsia="Arial" w:hAnsi="Arial"/>
                <w:sz w:val="14"/>
                <w:szCs w:val="14"/>
                <w:color w:val="auto"/>
              </w:rPr>
              <w:t>Tinley Park, IL 60477</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JWC-WE Holdings, L.P.</w:t>
            </w:r>
          </w:p>
        </w:tc>
        <w:tc>
          <w:tcPr>
            <w:tcW w:w="17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Wholesale</w:t>
            </w:r>
          </w:p>
        </w:tc>
        <w:tc>
          <w:tcPr>
            <w:tcW w:w="296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(5)</w:t>
            </w:r>
          </w:p>
        </w:tc>
        <w:tc>
          <w:tcPr>
            <w:tcW w:w="1320" w:type="dxa"/>
            <w:vAlign w:val="bottom"/>
            <w:gridSpan w:val="2"/>
            <w:shd w:val="clear" w:color="auto" w:fill="CCEEFF"/>
          </w:tcPr>
          <w:p>
            <w:pPr>
              <w:jc w:val="right"/>
              <w:ind w:right="380"/>
              <w:spacing w:after="0" w:line="130" w:lineRule="exact"/>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3,596</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4350 West 2100 South, Suite A</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Salt Lake City, UT 84120</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80" w:type="dxa"/>
            <w:vAlign w:val="bottom"/>
            <w:gridSpan w:val="2"/>
          </w:tcPr>
          <w:p>
            <w:pPr>
              <w:spacing w:after="0"/>
              <w:rPr>
                <w:sz w:val="20"/>
                <w:szCs w:val="20"/>
                <w:color w:val="auto"/>
              </w:rPr>
            </w:pPr>
            <w:r>
              <w:rPr>
                <w:rFonts w:ascii="Arial" w:cs="Arial" w:eastAsia="Arial" w:hAnsi="Arial"/>
                <w:sz w:val="14"/>
                <w:szCs w:val="14"/>
                <w:color w:val="auto"/>
              </w:rPr>
              <w:t>Whitney, Bradley &amp; Brown, Inc.</w:t>
            </w:r>
          </w:p>
        </w:tc>
        <w:tc>
          <w:tcPr>
            <w:tcW w:w="174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Aerospace and Defense</w:t>
            </w:r>
          </w:p>
        </w:tc>
        <w:tc>
          <w:tcPr>
            <w:tcW w:w="296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First Lien Secured Debt,</w:t>
            </w:r>
          </w:p>
        </w:tc>
        <w:tc>
          <w:tcPr>
            <w:tcW w:w="1320" w:type="dxa"/>
            <w:vAlign w:val="bottom"/>
            <w:gridSpan w:val="2"/>
          </w:tcPr>
          <w:p>
            <w:pPr>
              <w:jc w:val="right"/>
              <w:ind w:right="380"/>
              <w:spacing w:after="0"/>
              <w:rPr>
                <w:sz w:val="20"/>
                <w:szCs w:val="20"/>
                <w:color w:val="auto"/>
              </w:rPr>
            </w:pPr>
            <w:r>
              <w:rPr>
                <w:rFonts w:ascii="Arial" w:cs="Arial" w:eastAsia="Arial" w:hAnsi="Arial"/>
                <w:sz w:val="14"/>
                <w:szCs w:val="14"/>
                <w:color w:val="auto"/>
              </w:rPr>
              <w:t>0.6%</w:t>
            </w:r>
          </w:p>
        </w:tc>
        <w:tc>
          <w:tcPr>
            <w:tcW w:w="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5,686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(WBB Equity, LLC)</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1M L+750, 10/18/2022</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11790 Sunrise Valley Drive</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(5)</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80" w:type="dxa"/>
            <w:vAlign w:val="bottom"/>
            <w:gridSpan w:val="2"/>
          </w:tcPr>
          <w:p>
            <w:pPr>
              <w:spacing w:after="0"/>
              <w:rPr>
                <w:sz w:val="20"/>
                <w:szCs w:val="20"/>
                <w:color w:val="auto"/>
              </w:rPr>
            </w:pPr>
            <w:r>
              <w:rPr>
                <w:rFonts w:ascii="Arial" w:cs="Arial" w:eastAsia="Arial" w:hAnsi="Arial"/>
                <w:sz w:val="14"/>
                <w:szCs w:val="14"/>
                <w:color w:val="auto"/>
              </w:rPr>
              <w:t>Reston, VA 20191</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Companies 5% to 24% Owned</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080" w:type="dxa"/>
            <w:vAlign w:val="bottom"/>
            <w:gridSpan w:val="2"/>
          </w:tcPr>
          <w:p>
            <w:pPr>
              <w:spacing w:after="0" w:line="130" w:lineRule="exact"/>
              <w:rPr>
                <w:sz w:val="20"/>
                <w:szCs w:val="20"/>
                <w:color w:val="auto"/>
              </w:rPr>
            </w:pPr>
            <w:r>
              <w:rPr>
                <w:rFonts w:ascii="Arial" w:cs="Arial" w:eastAsia="Arial" w:hAnsi="Arial"/>
                <w:sz w:val="14"/>
                <w:szCs w:val="14"/>
                <w:color w:val="auto"/>
              </w:rPr>
              <w:t>Country Fresh Holdings, LLC</w:t>
            </w:r>
          </w:p>
        </w:tc>
        <w:tc>
          <w:tcPr>
            <w:tcW w:w="174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89"/>
              </w:rPr>
              <w:t>Beverage, Food and</w:t>
            </w:r>
          </w:p>
        </w:tc>
        <w:tc>
          <w:tcPr>
            <w:tcW w:w="296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320" w:type="dxa"/>
            <w:vAlign w:val="bottom"/>
            <w:gridSpan w:val="2"/>
          </w:tcPr>
          <w:p>
            <w:pPr>
              <w:jc w:val="right"/>
              <w:ind w:right="380"/>
              <w:spacing w:after="0" w:line="130" w:lineRule="exact"/>
              <w:rPr>
                <w:sz w:val="20"/>
                <w:szCs w:val="20"/>
                <w:color w:val="auto"/>
              </w:rPr>
            </w:pPr>
            <w:r>
              <w:rPr>
                <w:rFonts w:ascii="Arial" w:cs="Arial" w:eastAsia="Arial" w:hAnsi="Arial"/>
                <w:sz w:val="14"/>
                <w:szCs w:val="14"/>
                <w:color w:val="auto"/>
              </w:rPr>
              <w:t>8.0%</w:t>
            </w:r>
          </w:p>
        </w:tc>
        <w:tc>
          <w:tcPr>
            <w:tcW w:w="80" w:type="dxa"/>
            <w:vAlign w:val="bottom"/>
          </w:tcPr>
          <w:p>
            <w:pPr>
              <w:spacing w:after="0"/>
              <w:rPr>
                <w:sz w:val="11"/>
                <w:szCs w:val="11"/>
                <w:color w:val="auto"/>
              </w:rPr>
            </w:pPr>
          </w:p>
        </w:tc>
        <w:tc>
          <w:tcPr>
            <w:tcW w:w="820" w:type="dxa"/>
            <w:vAlign w:val="bottom"/>
            <w:gridSpan w:val="2"/>
          </w:tcPr>
          <w:p>
            <w:pPr>
              <w:jc w:val="right"/>
              <w:ind w:right="20"/>
              <w:spacing w:after="0" w:line="130" w:lineRule="exact"/>
              <w:rPr>
                <w:sz w:val="20"/>
                <w:szCs w:val="20"/>
                <w:color w:val="auto"/>
              </w:rPr>
            </w:pPr>
            <w:r>
              <w:rPr>
                <w:rFonts w:ascii="Arial" w:cs="Arial" w:eastAsia="Arial" w:hAnsi="Arial"/>
                <w:sz w:val="14"/>
                <w:szCs w:val="14"/>
                <w:color w:val="auto"/>
              </w:rPr>
              <w:t>14,492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(Country Fresh Holding Company Inc.)</w:t>
            </w:r>
          </w:p>
        </w:tc>
        <w:tc>
          <w:tcPr>
            <w:tcW w:w="17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Tobacco</w:t>
            </w:r>
          </w:p>
        </w:tc>
        <w:tc>
          <w:tcPr>
            <w:tcW w:w="29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3M L+500, 05/01/2023</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15479 Pin Oaks Drive</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Second Lien Secured Debt, 1M L+850 PIK,</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Conroe, TX 77384</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760" w:type="dxa"/>
            <w:vAlign w:val="bottom"/>
          </w:tcPr>
          <w:p>
            <w:pPr>
              <w:jc w:val="center"/>
              <w:spacing w:after="0" w:line="149" w:lineRule="exact"/>
              <w:rPr>
                <w:sz w:val="20"/>
                <w:szCs w:val="20"/>
                <w:color w:val="auto"/>
              </w:rPr>
            </w:pPr>
            <w:r>
              <w:rPr>
                <w:rFonts w:ascii="Arial" w:cs="Arial" w:eastAsia="Arial" w:hAnsi="Arial"/>
                <w:sz w:val="14"/>
                <w:szCs w:val="14"/>
                <w:color w:val="auto"/>
                <w:w w:val="91"/>
              </w:rPr>
              <w:t>04/29/2024</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6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Quick Weight Loss Centers, LLC</w:t>
            </w:r>
          </w:p>
        </w:tc>
        <w:tc>
          <w:tcPr>
            <w:tcW w:w="17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89"/>
              </w:rPr>
              <w:t>Beverage, Food and</w:t>
            </w:r>
          </w:p>
        </w:tc>
        <w:tc>
          <w:tcPr>
            <w:tcW w:w="29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First Lien Secured Debt,</w:t>
            </w:r>
          </w:p>
        </w:tc>
        <w:tc>
          <w:tcPr>
            <w:tcW w:w="132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24.0%</w:t>
            </w:r>
            <w:r>
              <w:rPr>
                <w:rFonts w:ascii="Arial" w:cs="Arial" w:eastAsia="Arial" w:hAnsi="Arial"/>
                <w:sz w:val="12"/>
                <w:szCs w:val="12"/>
                <w:color w:val="auto"/>
              </w:rPr>
              <w:t>(6)</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5,939</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(Quick Weight Loss Centers Holdings, LLC)</w:t>
            </w:r>
          </w:p>
        </w:tc>
        <w:tc>
          <w:tcPr>
            <w:tcW w:w="17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3"/>
              </w:rPr>
              <w:t>Tobacco</w:t>
            </w:r>
          </w:p>
        </w:tc>
        <w:tc>
          <w:tcPr>
            <w:tcW w:w="29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4.0% fixed PIK, 10/12/2023</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3161 Mcnab Road</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1"/>
              </w:rPr>
              <w:t>Second Lien Secured Debt,</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Pompano Beach, FL 33069</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4.0% fixed PIK, 10/12/2023</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4"/>
              </w:rPr>
              <w:t>Preferred Equity</w:t>
            </w:r>
            <w:r>
              <w:rPr>
                <w:rFonts w:ascii="Arial" w:cs="Arial" w:eastAsia="Arial" w:hAnsi="Arial"/>
                <w:sz w:val="12"/>
                <w:szCs w:val="12"/>
                <w:color w:val="auto"/>
                <w:w w:val="94"/>
              </w:rPr>
              <w:t>(5)</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88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96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(5)</w:t>
            </w: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0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Companies 25% or More Owned</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PennantPark Senior Secured Loan Fund I LLC</w:t>
            </w:r>
            <w:r>
              <w:rPr>
                <w:rFonts w:ascii="Arial" w:cs="Arial" w:eastAsia="Arial" w:hAnsi="Arial"/>
                <w:sz w:val="12"/>
                <w:szCs w:val="12"/>
                <w:color w:val="auto"/>
              </w:rPr>
              <w:t>(3)</w:t>
            </w:r>
          </w:p>
        </w:tc>
        <w:tc>
          <w:tcPr>
            <w:tcW w:w="17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3"/>
              </w:rPr>
              <w:t>Financial Services</w:t>
            </w:r>
          </w:p>
        </w:tc>
        <w:tc>
          <w:tcPr>
            <w:tcW w:w="29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32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50.0%</w:t>
            </w:r>
            <w:r>
              <w:rPr>
                <w:rFonts w:ascii="Arial" w:cs="Arial" w:eastAsia="Arial" w:hAnsi="Arial"/>
                <w:sz w:val="12"/>
                <w:szCs w:val="12"/>
                <w:color w:val="auto"/>
              </w:rPr>
              <w:t>(6)</w:t>
            </w:r>
          </w:p>
        </w:tc>
        <w:tc>
          <w:tcPr>
            <w:tcW w:w="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172,163</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590 Madison Avenue, 15</w:t>
            </w:r>
            <w:r>
              <w:rPr>
                <w:rFonts w:ascii="Arial" w:cs="Arial" w:eastAsia="Arial" w:hAnsi="Arial"/>
                <w:sz w:val="12"/>
                <w:szCs w:val="12"/>
                <w:color w:val="auto"/>
              </w:rPr>
              <w:t>th</w:t>
            </w:r>
            <w:r>
              <w:rPr>
                <w:rFonts w:ascii="Arial" w:cs="Arial" w:eastAsia="Arial" w:hAnsi="Arial"/>
                <w:sz w:val="14"/>
                <w:szCs w:val="14"/>
                <w:color w:val="auto"/>
              </w:rPr>
              <w:t xml:space="preserve"> Floor</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3M L+800, 05/06/2024</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10022</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96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5"/>
              </w:rPr>
              <w:t>Equity Interest</w:t>
            </w:r>
            <w:r>
              <w:rPr>
                <w:rFonts w:ascii="Arial" w:cs="Arial" w:eastAsia="Arial" w:hAnsi="Arial"/>
                <w:sz w:val="12"/>
                <w:szCs w:val="12"/>
                <w:color w:val="auto"/>
                <w:w w:val="95"/>
              </w:rPr>
              <w:t>(4)</w:t>
            </w: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080" w:type="dxa"/>
            <w:vAlign w:val="bottom"/>
            <w:gridSpan w:val="2"/>
          </w:tcPr>
          <w:p>
            <w:pPr>
              <w:spacing w:after="0" w:line="155" w:lineRule="exact"/>
              <w:rPr>
                <w:sz w:val="20"/>
                <w:szCs w:val="20"/>
                <w:color w:val="auto"/>
              </w:rPr>
            </w:pPr>
            <w:r>
              <w:rPr>
                <w:rFonts w:ascii="Arial" w:cs="Arial" w:eastAsia="Arial" w:hAnsi="Arial"/>
                <w:sz w:val="14"/>
                <w:szCs w:val="14"/>
                <w:color w:val="auto"/>
              </w:rPr>
              <w:t>Total Investments</w:t>
            </w:r>
          </w:p>
        </w:tc>
        <w:tc>
          <w:tcPr>
            <w:tcW w:w="1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1,081,707</w:t>
            </w: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40"/>
          </w:cols>
          <w:pgMar w:left="32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540" w:right="20" w:hanging="424"/>
        <w:spacing w:after="0" w:line="243" w:lineRule="auto"/>
        <w:tabs>
          <w:tab w:leader="none" w:pos="5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Represents basis point spread above index for floating rate instruments that accrue interest at a predetermined spread relative to an index, typically the applicable London Interbank Offered Rate, or LIBOR or “L,” or Prime rate, or “P.” The spread may change based on the type of rate used. The terms disclosed are the actual interest rate in effect as of 9/30/19. LIBOR loans are typically indexed to a 30-day, 60-day, 90-day or 180-day LIBOR rate (1M L, 2M L, 3M L, or 6M L, respectively), at the borrower’s option. All securities are subject to a LIBOR or Prime rate floor where a spread is provided, unless noted. The spread provided includes payment-in-kind, or PIK, interest and other fee rates, if any.</w:t>
      </w:r>
    </w:p>
    <w:p>
      <w:pPr>
        <w:ind w:left="540" w:hanging="424"/>
        <w:spacing w:after="0" w:line="221" w:lineRule="auto"/>
        <w:tabs>
          <w:tab w:leader="none" w:pos="5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Voting ownership percentage refers only to common equity, preferred equity and warrants held, if any, were we to have voting rights.</w:t>
      </w:r>
    </w:p>
    <w:p>
      <w:pPr>
        <w:ind w:left="540" w:hanging="424"/>
        <w:spacing w:after="0" w:line="221" w:lineRule="auto"/>
        <w:tabs>
          <w:tab w:leader="none" w:pos="5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2019, qualifying assets represent 79% of our total assets and non-qualifying assets represent 21% of our total assets.</w:t>
      </w:r>
    </w:p>
    <w:p>
      <w:pPr>
        <w:ind w:left="540" w:hanging="424"/>
        <w:spacing w:after="0" w:line="221" w:lineRule="auto"/>
        <w:tabs>
          <w:tab w:leader="none" w:pos="5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the purchase of a security with delayed settlement or a revolving line of credit that is currently an unfunded investment, that does not earn a basis point spread above an index while it is unfunded.</w:t>
      </w:r>
    </w:p>
    <w:p>
      <w:pPr>
        <w:ind w:left="540" w:hanging="424"/>
        <w:spacing w:after="0" w:line="221" w:lineRule="auto"/>
        <w:tabs>
          <w:tab w:leader="none" w:pos="5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Investment is held through our Taxable Subsidiary.</w:t>
      </w:r>
    </w:p>
    <w:p>
      <w:pPr>
        <w:ind w:left="540" w:hanging="424"/>
        <w:spacing w:after="0"/>
        <w:tabs>
          <w:tab w:leader="none" w:pos="5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We hold one or more voting seats on the portfolio company’s board of directors/managers.</w:t>
      </w:r>
    </w:p>
    <w:p>
      <w:pPr>
        <w:spacing w:after="0" w:line="196"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and cash equivalents) in such industries: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Industry Classification</w:t>
            </w:r>
          </w:p>
        </w:tc>
        <w:tc>
          <w:tcPr>
            <w:tcW w:w="2680" w:type="dxa"/>
            <w:vAlign w:val="bottom"/>
          </w:tcPr>
          <w:p>
            <w:pPr>
              <w:spacing w:after="0"/>
              <w:rPr>
                <w:sz w:val="14"/>
                <w:szCs w:val="14"/>
                <w:color w:val="auto"/>
              </w:rPr>
            </w:pPr>
          </w:p>
        </w:tc>
        <w:tc>
          <w:tcPr>
            <w:tcW w:w="300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September 30, 2019</w:t>
            </w:r>
            <w:r>
              <w:rPr>
                <w:rFonts w:ascii="Arial" w:cs="Arial" w:eastAsia="Arial" w:hAnsi="Arial"/>
                <w:sz w:val="12"/>
                <w:szCs w:val="12"/>
                <w:b w:val="1"/>
                <w:bCs w:val="1"/>
                <w:color w:val="auto"/>
              </w:rPr>
              <w:t>(1)</w:t>
            </w:r>
          </w:p>
        </w:tc>
        <w:tc>
          <w:tcPr>
            <w:tcW w:w="21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September 30, 2018</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10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90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80" w:type="dxa"/>
            <w:vAlign w:val="bottom"/>
          </w:tcPr>
          <w:p>
            <w:pPr>
              <w:spacing w:after="0"/>
              <w:rPr>
                <w:sz w:val="17"/>
                <w:szCs w:val="17"/>
                <w:color w:val="auto"/>
              </w:rPr>
            </w:pPr>
          </w:p>
        </w:tc>
        <w:tc>
          <w:tcPr>
            <w:tcW w:w="4100" w:type="dxa"/>
            <w:vAlign w:val="bottom"/>
            <w:gridSpan w:val="3"/>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2100" w:type="dxa"/>
            <w:vAlign w:val="bottom"/>
            <w:gridSpan w:val="2"/>
            <w:shd w:val="clear" w:color="auto" w:fill="CCEEFF"/>
          </w:tcPr>
          <w:p>
            <w:pPr>
              <w:jc w:val="right"/>
              <w:ind w:right="600"/>
              <w:spacing w:after="0" w:line="203" w:lineRule="exact"/>
              <w:rPr>
                <w:sz w:val="20"/>
                <w:szCs w:val="20"/>
                <w:color w:val="auto"/>
              </w:rPr>
            </w:pPr>
            <w:r>
              <w:rPr>
                <w:rFonts w:ascii="Arial" w:cs="Arial" w:eastAsia="Arial" w:hAnsi="Arial"/>
                <w:sz w:val="18"/>
                <w:szCs w:val="18"/>
                <w:color w:val="auto"/>
              </w:rPr>
              <w:t>7%</w:t>
            </w:r>
          </w:p>
        </w:tc>
        <w:tc>
          <w:tcPr>
            <w:tcW w:w="600" w:type="dxa"/>
            <w:vAlign w:val="bottom"/>
            <w:vMerge w:val="continue"/>
            <w:shd w:val="clear" w:color="auto" w:fill="CCEEFF"/>
          </w:tcPr>
          <w:p>
            <w:pPr>
              <w:spacing w:after="0"/>
              <w:rPr>
                <w:sz w:val="17"/>
                <w:szCs w:val="17"/>
                <w:color w:val="auto"/>
              </w:rPr>
            </w:pPr>
          </w:p>
        </w:tc>
        <w:tc>
          <w:tcPr>
            <w:tcW w:w="15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Hotel, Gaming and Leisure</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74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7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Healthcare and Pharmaceuticals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74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Capital Equipment</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74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High Tech Industries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Media</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Construction and Building</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Media: Diversified and Production</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74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Chemicals, Plastics and Rubber</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74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 Goods: Durable</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Consumer Goods: Non-Durable</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74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 Services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Diversified Financial Services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Wholesale</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74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Banking, Finance, Insurance &amp; Real Estate</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Building Products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Services &amp; Supplies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Hotels, Restaurants and Leisure</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Media: Advertising, Printing and Publishing</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Media: Broadcasting and Subscription</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74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Diversified Consumer Services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Healthcare Technology</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IT Services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Retail</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74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Other</w:t>
            </w:r>
          </w:p>
        </w:tc>
        <w:tc>
          <w:tcPr>
            <w:tcW w:w="9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80" w:type="dxa"/>
            <w:vAlign w:val="bottom"/>
            <w:gridSpan w:val="4"/>
          </w:tcPr>
          <w:p>
            <w:pPr>
              <w:ind w:left="880"/>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19"/>
                <w:szCs w:val="19"/>
                <w:color w:val="auto"/>
              </w:rPr>
            </w:pPr>
          </w:p>
        </w:tc>
        <w:tc>
          <w:tcPr>
            <w:tcW w:w="2100" w:type="dxa"/>
            <w:vAlign w:val="bottom"/>
            <w:gridSpan w:val="2"/>
          </w:tcPr>
          <w:p>
            <w:pPr>
              <w:jc w:val="right"/>
              <w:ind w:right="600"/>
              <w:spacing w:after="0"/>
              <w:rPr>
                <w:sz w:val="20"/>
                <w:szCs w:val="20"/>
                <w:color w:val="auto"/>
              </w:rPr>
            </w:pPr>
            <w:r>
              <w:rPr>
                <w:rFonts w:ascii="Arial" w:cs="Arial" w:eastAsia="Arial" w:hAnsi="Arial"/>
                <w:sz w:val="18"/>
                <w:szCs w:val="18"/>
                <w:color w:val="auto"/>
              </w:rPr>
              <w:t>100%</w:t>
            </w:r>
          </w:p>
        </w:tc>
        <w:tc>
          <w:tcPr>
            <w:tcW w:w="60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color w:val="auto"/>
        </w:rPr>
        <w:t>(1)</w:t>
        <w:tab/>
        <w:t>Excludes investments in PSSL.</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80"/>
          </w:cols>
          <w:pgMar w:left="320" w:top="459" w:right="4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PORTFOLIO MANAGEMENT</w:t>
      </w:r>
    </w:p>
    <w:p>
      <w:pPr>
        <w:spacing w:after="0" w:line="22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Our Investment Adviser, which manages our day-to-day investment activities under the supervision of our board of directors, has four experienced senior investment professionals. These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Our senior investment professionals receive no compensation from us. The compensation of these individuals is paid by our Investment Adviser and compensation includes a base salary and a bonus contingent upon past and future performance.</w:t>
      </w:r>
    </w:p>
    <w:p>
      <w:pPr>
        <w:spacing w:after="0" w:line="181"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Arthur H. Penn became the Chief Executive Officer and a Director of PennantPark Floating Rate Capital Ltd. at its inception in 2010. Mr. Penn is the Founder, Chairman and Chief Executive Officer of the Company and Managing Member of the Adviser and the Administrator.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In these capacities, Mr. Penn oversaw groups responsible for more than 200 high-yield and leveraged bank financings aggregating over $34 billion in capital raised. From 1992 to 1994, Mr. Penn served as Head of High-Yield Capital Markets at Lehman Brothers.</w:t>
      </w:r>
    </w:p>
    <w:p>
      <w:pPr>
        <w:spacing w:after="0" w:line="185" w:lineRule="exact"/>
        <w:rPr>
          <w:sz w:val="20"/>
          <w:szCs w:val="20"/>
          <w:color w:val="auto"/>
        </w:rPr>
      </w:pPr>
    </w:p>
    <w:p>
      <w:pPr>
        <w:ind w:left="120" w:right="340" w:firstLine="440"/>
        <w:spacing w:after="0" w:line="257" w:lineRule="auto"/>
        <w:rPr>
          <w:sz w:val="20"/>
          <w:szCs w:val="20"/>
          <w:color w:val="auto"/>
        </w:rPr>
      </w:pPr>
      <w:r>
        <w:rPr>
          <w:rFonts w:ascii="Arial" w:cs="Arial" w:eastAsia="Arial" w:hAnsi="Arial"/>
          <w:sz w:val="18"/>
          <w:szCs w:val="18"/>
          <w:color w:val="auto"/>
        </w:rPr>
        <w:t>Jose A. Briones joined PennantPark Investment Advisers in December 2009. Previously, Mr. Briones was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88"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Salvatore Giannetti III joined PennantPark Investment Advisers in February 2007. Previously, Mr. Giannetti was a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76"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P. Whitridge Williams, Jr. joined PennantPark Investment Advisers in March 2007. Previously, Mr. Williams was a Managing Director in the Financial Sponsors and Leveraged Finance Group at UBS Securities LLC. Mr. Williams worked at UBS and predecessor firms, including Dillon Read and Co. Inc. from 1996 to 2007. During Mr. Williams’ tenure at UBS, he spent four years as a senior member of the Telecom, Media and Technology Group.</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In addition to managing our investments, as of September 30, 2019 our portfolio managers also managed investments on behalf of the following entities: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500" w:type="dxa"/>
            <w:vAlign w:val="bottom"/>
            <w:vMerge w:val="restart"/>
          </w:tcPr>
          <w:p>
            <w:pPr>
              <w:spacing w:after="0"/>
              <w:rPr>
                <w:sz w:val="14"/>
                <w:szCs w:val="14"/>
                <w:color w:val="auto"/>
              </w:rPr>
            </w:pPr>
          </w:p>
        </w:tc>
        <w:tc>
          <w:tcPr>
            <w:tcW w:w="2160" w:type="dxa"/>
            <w:vAlign w:val="bottom"/>
            <w:gridSpan w:val="2"/>
            <w:vMerge w:val="restart"/>
          </w:tcPr>
          <w:p>
            <w:pPr>
              <w:ind w:left="780"/>
              <w:spacing w:after="0"/>
              <w:rPr>
                <w:sz w:val="20"/>
                <w:szCs w:val="20"/>
                <w:color w:val="auto"/>
              </w:rPr>
            </w:pPr>
            <w:r>
              <w:rPr>
                <w:rFonts w:ascii="Arial" w:cs="Arial" w:eastAsia="Arial" w:hAnsi="Arial"/>
                <w:sz w:val="14"/>
                <w:szCs w:val="14"/>
                <w:b w:val="1"/>
                <w:bCs w:val="1"/>
                <w:color w:val="auto"/>
              </w:rPr>
              <w:t>Entity</w:t>
            </w:r>
          </w:p>
        </w:tc>
        <w:tc>
          <w:tcPr>
            <w:tcW w:w="4100" w:type="dxa"/>
            <w:vAlign w:val="bottom"/>
            <w:gridSpan w:val="2"/>
            <w:vMerge w:val="restart"/>
          </w:tcPr>
          <w:p>
            <w:pPr>
              <w:ind w:left="1400"/>
              <w:spacing w:after="0"/>
              <w:rPr>
                <w:sz w:val="20"/>
                <w:szCs w:val="20"/>
                <w:color w:val="auto"/>
              </w:rPr>
            </w:pPr>
            <w:r>
              <w:rPr>
                <w:rFonts w:ascii="Arial" w:cs="Arial" w:eastAsia="Arial" w:hAnsi="Arial"/>
                <w:sz w:val="14"/>
                <w:szCs w:val="14"/>
                <w:b w:val="1"/>
                <w:bCs w:val="1"/>
                <w:color w:val="auto"/>
              </w:rPr>
              <w:t>Investment Focus</w:t>
            </w:r>
          </w:p>
        </w:tc>
        <w:tc>
          <w:tcPr>
            <w:tcW w:w="9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6"/>
              </w:rPr>
              <w:t>Gross Assets</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3500" w:type="dxa"/>
            <w:vAlign w:val="bottom"/>
            <w:vMerge w:val="continue"/>
          </w:tcPr>
          <w:p>
            <w:pPr>
              <w:spacing w:after="0"/>
              <w:rPr>
                <w:sz w:val="15"/>
                <w:szCs w:val="15"/>
                <w:color w:val="auto"/>
              </w:rPr>
            </w:pPr>
          </w:p>
        </w:tc>
        <w:tc>
          <w:tcPr>
            <w:tcW w:w="2160" w:type="dxa"/>
            <w:vAlign w:val="bottom"/>
            <w:gridSpan w:val="2"/>
            <w:vMerge w:val="continue"/>
          </w:tcPr>
          <w:p>
            <w:pPr>
              <w:spacing w:after="0"/>
              <w:rPr>
                <w:sz w:val="15"/>
                <w:szCs w:val="15"/>
                <w:color w:val="auto"/>
              </w:rPr>
            </w:pPr>
          </w:p>
        </w:tc>
        <w:tc>
          <w:tcPr>
            <w:tcW w:w="4100" w:type="dxa"/>
            <w:vAlign w:val="bottom"/>
            <w:gridSpan w:val="2"/>
            <w:vMerge w:val="continue"/>
          </w:tcPr>
          <w:p>
            <w:pPr>
              <w:spacing w:after="0"/>
              <w:rPr>
                <w:sz w:val="15"/>
                <w:szCs w:val="15"/>
                <w:color w:val="auto"/>
              </w:rPr>
            </w:pPr>
          </w:p>
        </w:tc>
        <w:tc>
          <w:tcPr>
            <w:tcW w:w="90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 in millions)</w:t>
            </w:r>
          </w:p>
        </w:tc>
        <w:tc>
          <w:tcPr>
            <w:tcW w:w="0" w:type="dxa"/>
            <w:vAlign w:val="bottom"/>
          </w:tcPr>
          <w:p>
            <w:pPr>
              <w:spacing w:after="0"/>
              <w:rPr>
                <w:sz w:val="1"/>
                <w:szCs w:val="1"/>
                <w:color w:val="auto"/>
              </w:rPr>
            </w:pPr>
          </w:p>
        </w:tc>
      </w:tr>
      <w:tr>
        <w:trPr>
          <w:trHeight w:val="180"/>
        </w:trPr>
        <w:tc>
          <w:tcPr>
            <w:tcW w:w="3860" w:type="dxa"/>
            <w:vAlign w:val="bottom"/>
            <w:tcBorders>
              <w:top w:val="single" w:sz="8" w:color="CCEEFF"/>
            </w:tcBorders>
            <w:gridSpan w:val="2"/>
            <w:shd w:val="clear" w:color="auto" w:fill="CCEEFF"/>
          </w:tcPr>
          <w:p>
            <w:pPr>
              <w:spacing w:after="0" w:line="180" w:lineRule="exact"/>
              <w:rPr>
                <w:sz w:val="20"/>
                <w:szCs w:val="20"/>
                <w:color w:val="auto"/>
              </w:rPr>
            </w:pPr>
            <w:r>
              <w:rPr>
                <w:rFonts w:ascii="Arial" w:cs="Arial" w:eastAsia="Arial" w:hAnsi="Arial"/>
                <w:sz w:val="16"/>
                <w:szCs w:val="16"/>
                <w:color w:val="auto"/>
              </w:rPr>
              <w:t>PennantPark Investment Corporation</w:t>
            </w:r>
          </w:p>
        </w:tc>
        <w:tc>
          <w:tcPr>
            <w:tcW w:w="194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6"/>
                <w:szCs w:val="16"/>
                <w:color w:val="auto"/>
              </w:rPr>
              <w:t>Business development</w:t>
            </w:r>
          </w:p>
        </w:tc>
        <w:tc>
          <w:tcPr>
            <w:tcW w:w="220" w:type="dxa"/>
            <w:vAlign w:val="bottom"/>
            <w:tcBorders>
              <w:top w:val="single" w:sz="8" w:color="CCEEFF"/>
            </w:tcBorders>
            <w:shd w:val="clear" w:color="auto" w:fill="CCEEFF"/>
          </w:tcPr>
          <w:p>
            <w:pPr>
              <w:spacing w:after="0"/>
              <w:rPr>
                <w:sz w:val="15"/>
                <w:szCs w:val="15"/>
                <w:color w:val="auto"/>
              </w:rPr>
            </w:pPr>
          </w:p>
        </w:tc>
        <w:tc>
          <w:tcPr>
            <w:tcW w:w="388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6"/>
                <w:szCs w:val="16"/>
                <w:color w:val="auto"/>
                <w:w w:val="96"/>
              </w:rPr>
              <w:t>Primarily in U.S. middle-market companies in the form of</w:t>
            </w:r>
          </w:p>
        </w:tc>
        <w:tc>
          <w:tcPr>
            <w:tcW w:w="2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$1,286</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350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company</w:t>
            </w:r>
          </w:p>
        </w:tc>
        <w:tc>
          <w:tcPr>
            <w:tcW w:w="4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 lien secured loans, second lien secured debt,</w:t>
            </w: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6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subordinated debt and equity investments</w:t>
            </w: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1"/>
        </w:trPr>
        <w:tc>
          <w:tcPr>
            <w:tcW w:w="3860" w:type="dxa"/>
            <w:vAlign w:val="bottom"/>
            <w:gridSpan w:val="2"/>
          </w:tcPr>
          <w:p>
            <w:pPr>
              <w:spacing w:after="0"/>
              <w:rPr>
                <w:sz w:val="20"/>
                <w:szCs w:val="20"/>
                <w:color w:val="auto"/>
              </w:rPr>
            </w:pPr>
            <w:r>
              <w:rPr>
                <w:rFonts w:ascii="Arial" w:cs="Arial" w:eastAsia="Arial" w:hAnsi="Arial"/>
                <w:sz w:val="16"/>
                <w:szCs w:val="16"/>
                <w:color w:val="auto"/>
              </w:rPr>
              <w:t>PennantPark Senior Secured Loan Fund I LLC</w:t>
            </w:r>
          </w:p>
        </w:tc>
        <w:tc>
          <w:tcPr>
            <w:tcW w:w="2160" w:type="dxa"/>
            <w:vAlign w:val="bottom"/>
            <w:gridSpan w:val="2"/>
          </w:tcPr>
          <w:p>
            <w:pPr>
              <w:spacing w:after="0"/>
              <w:rPr>
                <w:sz w:val="20"/>
                <w:szCs w:val="20"/>
                <w:color w:val="auto"/>
              </w:rPr>
            </w:pPr>
            <w:r>
              <w:rPr>
                <w:rFonts w:ascii="Arial" w:cs="Arial" w:eastAsia="Arial" w:hAnsi="Arial"/>
                <w:sz w:val="16"/>
                <w:szCs w:val="16"/>
                <w:color w:val="auto"/>
              </w:rPr>
              <w:t>Joint Venture</w:t>
            </w:r>
          </w:p>
        </w:tc>
        <w:tc>
          <w:tcPr>
            <w:tcW w:w="4100" w:type="dxa"/>
            <w:vAlign w:val="bottom"/>
            <w:gridSpan w:val="2"/>
          </w:tcPr>
          <w:p>
            <w:pPr>
              <w:spacing w:after="0"/>
              <w:rPr>
                <w:sz w:val="20"/>
                <w:szCs w:val="20"/>
                <w:color w:val="auto"/>
              </w:rPr>
            </w:pPr>
            <w:r>
              <w:rPr>
                <w:rFonts w:ascii="Arial" w:cs="Arial" w:eastAsia="Arial" w:hAnsi="Arial"/>
                <w:sz w:val="16"/>
                <w:szCs w:val="16"/>
                <w:color w:val="auto"/>
              </w:rPr>
              <w:t>Primarily floating rate loans, with an emphasis on senior</w:t>
            </w:r>
          </w:p>
        </w:tc>
        <w:tc>
          <w:tcPr>
            <w:tcW w:w="860" w:type="dxa"/>
            <w:vAlign w:val="bottom"/>
          </w:tcPr>
          <w:p>
            <w:pPr>
              <w:jc w:val="right"/>
              <w:spacing w:after="0"/>
              <w:rPr>
                <w:sz w:val="20"/>
                <w:szCs w:val="20"/>
                <w:color w:val="auto"/>
              </w:rPr>
            </w:pPr>
            <w:r>
              <w:rPr>
                <w:rFonts w:ascii="Arial" w:cs="Arial" w:eastAsia="Arial" w:hAnsi="Arial"/>
                <w:sz w:val="16"/>
                <w:szCs w:val="16"/>
                <w:color w:val="auto"/>
              </w:rPr>
              <w:t>$507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6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100" w:type="dxa"/>
            <w:vAlign w:val="bottom"/>
            <w:gridSpan w:val="2"/>
          </w:tcPr>
          <w:p>
            <w:pPr>
              <w:spacing w:after="0"/>
              <w:rPr>
                <w:sz w:val="20"/>
                <w:szCs w:val="20"/>
                <w:color w:val="auto"/>
              </w:rPr>
            </w:pPr>
            <w:r>
              <w:rPr>
                <w:rFonts w:ascii="Arial" w:cs="Arial" w:eastAsia="Arial" w:hAnsi="Arial"/>
                <w:sz w:val="16"/>
                <w:szCs w:val="16"/>
                <w:color w:val="auto"/>
              </w:rPr>
              <w:t>secured loans, in middle-market leveraged companies.</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360" w:type="dxa"/>
            <w:vAlign w:val="bottom"/>
          </w:tcPr>
          <w:p>
            <w:pPr>
              <w:spacing w:after="0"/>
              <w:rPr>
                <w:sz w:val="9"/>
                <w:szCs w:val="9"/>
                <w:color w:val="auto"/>
              </w:rPr>
            </w:pPr>
          </w:p>
        </w:tc>
        <w:tc>
          <w:tcPr>
            <w:tcW w:w="35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Managed Funds</w:t>
            </w:r>
          </w:p>
        </w:tc>
        <w:tc>
          <w:tcPr>
            <w:tcW w:w="2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Direct Lending Funds</w:t>
            </w:r>
          </w:p>
        </w:tc>
        <w:tc>
          <w:tcPr>
            <w:tcW w:w="4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credit opportunities</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following table sets forth the dollar range of our common stock beneficially owned by each of our senior investment professionals as of January 27, 2020. Information as to the beneficial ownerships is based on information furnished to us by such persons. We are not part of a “family of investment companies,” as that term is defined in the 1940 Act.</w:t>
      </w:r>
    </w:p>
    <w:p>
      <w:pPr>
        <w:spacing w:after="0" w:line="19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4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Dollar Range of the</w:t>
            </w:r>
          </w:p>
        </w:tc>
      </w:tr>
      <w:tr>
        <w:trPr>
          <w:trHeight w:val="148"/>
        </w:trPr>
        <w:tc>
          <w:tcPr>
            <w:tcW w:w="6060" w:type="dxa"/>
            <w:vAlign w:val="bottom"/>
          </w:tcPr>
          <w:p>
            <w:pPr>
              <w:spacing w:after="0"/>
              <w:rPr>
                <w:sz w:val="12"/>
                <w:szCs w:val="12"/>
                <w:color w:val="auto"/>
              </w:rPr>
            </w:pPr>
          </w:p>
        </w:tc>
        <w:tc>
          <w:tcPr>
            <w:tcW w:w="14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Common Stock of</w:t>
            </w:r>
          </w:p>
        </w:tc>
      </w:tr>
      <w:tr>
        <w:trPr>
          <w:trHeight w:val="149"/>
        </w:trPr>
        <w:tc>
          <w:tcPr>
            <w:tcW w:w="606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PennantPark Floating</w:t>
            </w:r>
          </w:p>
        </w:tc>
      </w:tr>
      <w:tr>
        <w:trPr>
          <w:trHeight w:val="171"/>
        </w:trPr>
        <w:tc>
          <w:tcPr>
            <w:tcW w:w="6060" w:type="dxa"/>
            <w:vAlign w:val="bottom"/>
          </w:tcPr>
          <w:p>
            <w:pPr>
              <w:spacing w:after="0"/>
              <w:rPr>
                <w:sz w:val="14"/>
                <w:szCs w:val="14"/>
                <w:color w:val="auto"/>
              </w:rPr>
            </w:pPr>
          </w:p>
        </w:tc>
        <w:tc>
          <w:tcPr>
            <w:tcW w:w="14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7"/>
              </w:rPr>
              <w:t>Rate Capital Ltd.</w:t>
            </w:r>
            <w:r>
              <w:rPr>
                <w:rFonts w:ascii="Arial" w:cs="Arial" w:eastAsia="Arial" w:hAnsi="Arial"/>
                <w:sz w:val="12"/>
                <w:szCs w:val="12"/>
                <w:b w:val="1"/>
                <w:bCs w:val="1"/>
                <w:color w:val="auto"/>
                <w:w w:val="97"/>
              </w:rPr>
              <w:t>(1)</w:t>
            </w:r>
          </w:p>
        </w:tc>
      </w:tr>
      <w:tr>
        <w:trPr>
          <w:trHeight w:val="209"/>
        </w:trPr>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Arthur H. Penn</w:t>
            </w:r>
            <w:r>
              <w:rPr>
                <w:rFonts w:ascii="Arial" w:cs="Arial" w:eastAsia="Arial" w:hAnsi="Arial"/>
                <w:sz w:val="15"/>
                <w:szCs w:val="15"/>
                <w:color w:val="auto"/>
              </w:rPr>
              <w:t>(2)</w:t>
            </w: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Over $</w:t>
            </w:r>
          </w:p>
        </w:tc>
        <w:tc>
          <w:tcPr>
            <w:tcW w:w="7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1,000,000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Jose A. Briones</w:t>
            </w:r>
          </w:p>
        </w:tc>
        <w:tc>
          <w:tcPr>
            <w:tcW w:w="580" w:type="dxa"/>
            <w:vAlign w:val="bottom"/>
          </w:tcPr>
          <w:p>
            <w:pPr>
              <w:spacing w:after="0"/>
              <w:rPr>
                <w:sz w:val="20"/>
                <w:szCs w:val="20"/>
                <w:color w:val="auto"/>
              </w:rPr>
            </w:pPr>
            <w:r>
              <w:rPr>
                <w:rFonts w:ascii="Arial" w:cs="Arial" w:eastAsia="Arial" w:hAnsi="Arial"/>
                <w:sz w:val="18"/>
                <w:szCs w:val="18"/>
                <w:color w:val="auto"/>
              </w:rPr>
              <w:t>Over $</w:t>
            </w:r>
          </w:p>
        </w:tc>
        <w:tc>
          <w:tcPr>
            <w:tcW w:w="840" w:type="dxa"/>
            <w:vAlign w:val="bottom"/>
            <w:gridSpan w:val="2"/>
          </w:tcPr>
          <w:p>
            <w:pPr>
              <w:ind w:left="60"/>
              <w:spacing w:after="0"/>
              <w:rPr>
                <w:sz w:val="20"/>
                <w:szCs w:val="20"/>
                <w:color w:val="auto"/>
              </w:rPr>
            </w:pPr>
            <w:r>
              <w:rPr>
                <w:rFonts w:ascii="Arial" w:cs="Arial" w:eastAsia="Arial" w:hAnsi="Arial"/>
                <w:sz w:val="18"/>
                <w:szCs w:val="18"/>
                <w:color w:val="auto"/>
                <w:w w:val="94"/>
              </w:rPr>
              <w:t>1,000,000</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Salvatore Giannetti III</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Over $</w:t>
            </w: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1,000,000</w:t>
            </w: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P. Whitridge Williams, Jr.</w:t>
            </w:r>
          </w:p>
        </w:tc>
        <w:tc>
          <w:tcPr>
            <w:tcW w:w="580" w:type="dxa"/>
            <w:vAlign w:val="bottom"/>
          </w:tcPr>
          <w:p>
            <w:pPr>
              <w:spacing w:after="0"/>
              <w:rPr>
                <w:sz w:val="20"/>
                <w:szCs w:val="20"/>
                <w:color w:val="auto"/>
              </w:rPr>
            </w:pPr>
            <w:r>
              <w:rPr>
                <w:rFonts w:ascii="Arial" w:cs="Arial" w:eastAsia="Arial" w:hAnsi="Arial"/>
                <w:sz w:val="18"/>
                <w:szCs w:val="18"/>
                <w:color w:val="auto"/>
              </w:rPr>
              <w:t>Over $</w:t>
            </w:r>
          </w:p>
        </w:tc>
        <w:tc>
          <w:tcPr>
            <w:tcW w:w="840" w:type="dxa"/>
            <w:vAlign w:val="bottom"/>
            <w:gridSpan w:val="2"/>
          </w:tcPr>
          <w:p>
            <w:pPr>
              <w:ind w:left="60"/>
              <w:spacing w:after="0"/>
              <w:rPr>
                <w:sz w:val="20"/>
                <w:szCs w:val="20"/>
                <w:color w:val="auto"/>
              </w:rPr>
            </w:pPr>
            <w:r>
              <w:rPr>
                <w:rFonts w:ascii="Arial" w:cs="Arial" w:eastAsia="Arial" w:hAnsi="Arial"/>
                <w:sz w:val="18"/>
                <w:szCs w:val="18"/>
                <w:color w:val="auto"/>
                <w:w w:val="94"/>
              </w:rPr>
              <w:t>1,000,000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right="680" w:hanging="424"/>
        <w:spacing w:after="0" w:line="291" w:lineRule="auto"/>
        <w:tabs>
          <w:tab w:leader="none" w:pos="5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Dollar ranges are as follows: None; $1-$10,000; $10,001-$50,000; $50,001-$100,000; $100,001-$500,000; $500,001-$1,000,000; or over $1,000,000. Beneficial ownership has been determined in accordance with Rule 16a-1(a)(2) promulgated under the Exchange Act.</w:t>
      </w:r>
    </w:p>
    <w:p>
      <w:pPr>
        <w:ind w:left="540" w:hanging="424"/>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Also reflects holdings of PennantPark Investment Advisers, LLC.</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40"/>
          </w:cols>
          <w:pgMar w:left="32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DETERMINATION OF NET ASSET VALUE</w:t>
      </w:r>
    </w:p>
    <w:p>
      <w:pPr>
        <w:spacing w:after="0" w:line="229"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NAV per share of our outstanding shares of common stock is determined quarterly by dividing the value of total assets minus liabilities by the total number of shares outstanding.</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 BDC, we generally invest in illiquid securities including debt and equity investments of middle-market companies.</w:t>
      </w:r>
    </w:p>
    <w:p>
      <w:pPr>
        <w:spacing w:after="0" w:line="225"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herein.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differences may be material. Our investments are generally structured as Floating Rate Loans, mainly first lien secured debt, but also may include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 as described below.</w:t>
      </w:r>
    </w:p>
    <w:p>
      <w:pPr>
        <w:spacing w:after="0" w:line="17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76" w:lineRule="exact"/>
        <w:rPr>
          <w:sz w:val="20"/>
          <w:szCs w:val="20"/>
          <w:color w:val="auto"/>
        </w:rPr>
      </w:pPr>
    </w:p>
    <w:p>
      <w:pPr>
        <w:ind w:left="1080" w:hanging="532"/>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30" w:lineRule="exact"/>
        <w:rPr>
          <w:rFonts w:ascii="Arial" w:cs="Arial" w:eastAsia="Arial" w:hAnsi="Arial"/>
          <w:sz w:val="18"/>
          <w:szCs w:val="18"/>
          <w:color w:val="auto"/>
        </w:rPr>
      </w:pPr>
    </w:p>
    <w:p>
      <w:pPr>
        <w:ind w:left="1080" w:right="140" w:hanging="532"/>
        <w:spacing w:after="0" w:line="279" w:lineRule="auto"/>
        <w:tabs>
          <w:tab w:leader="none" w:pos="10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76" w:lineRule="exact"/>
        <w:rPr>
          <w:rFonts w:ascii="Arial" w:cs="Arial" w:eastAsia="Arial" w:hAnsi="Arial"/>
          <w:sz w:val="17"/>
          <w:szCs w:val="17"/>
          <w:color w:val="auto"/>
        </w:rPr>
      </w:pPr>
    </w:p>
    <w:p>
      <w:pPr>
        <w:ind w:left="1080" w:right="80" w:hanging="532"/>
        <w:spacing w:after="0" w:line="311" w:lineRule="auto"/>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54" w:lineRule="exact"/>
        <w:rPr>
          <w:rFonts w:ascii="Arial" w:cs="Arial" w:eastAsia="Arial" w:hAnsi="Arial"/>
          <w:sz w:val="16"/>
          <w:szCs w:val="16"/>
          <w:color w:val="auto"/>
        </w:rPr>
      </w:pPr>
    </w:p>
    <w:p>
      <w:pPr>
        <w:ind w:left="1080" w:right="140" w:hanging="532"/>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70"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Our board of directors generally uses market quotations to assess the value of our investments for which market quotations are readily available. We obtain these market values from independent pricing services or at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To the extent we invest in derivative instruments in the future, such instruments would be valued in accordance with our valuation policy.</w:t>
      </w:r>
    </w:p>
    <w:p>
      <w:pPr>
        <w:spacing w:after="0" w:line="23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Fair value, as defined under the Financial Accounting Standards Board’s Accounting Standards Codification, Topic 820, Fair Value Measurements and Disclosures, or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31" w:lineRule="exact"/>
        <w:rPr>
          <w:sz w:val="20"/>
          <w:szCs w:val="20"/>
          <w:color w:val="auto"/>
        </w:rPr>
      </w:pPr>
    </w:p>
    <w:p>
      <w:pPr>
        <w:ind w:left="1680" w:right="1180" w:hanging="1120"/>
        <w:spacing w:after="0" w:line="277" w:lineRule="auto"/>
        <w:tabs>
          <w:tab w:leader="none" w:pos="16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that are quoted prices (unadjusted) in active markets for identical assets or liabilities, accessible by us at the measurement date.</w:t>
      </w:r>
    </w:p>
    <w:p>
      <w:pPr>
        <w:spacing w:after="0" w:line="62" w:lineRule="exact"/>
        <w:rPr>
          <w:sz w:val="20"/>
          <w:szCs w:val="20"/>
          <w:color w:val="auto"/>
        </w:rPr>
      </w:pPr>
    </w:p>
    <w:p>
      <w:pPr>
        <w:ind w:left="1680" w:right="440" w:hanging="1120"/>
        <w:spacing w:after="0" w:line="263" w:lineRule="auto"/>
        <w:tabs>
          <w:tab w:leader="none" w:pos="16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6" w:lineRule="exact"/>
        <w:rPr>
          <w:sz w:val="20"/>
          <w:szCs w:val="20"/>
          <w:color w:val="auto"/>
        </w:rPr>
      </w:pPr>
    </w:p>
    <w:p>
      <w:pPr>
        <w:ind w:left="1680" w:right="880" w:hanging="1120"/>
        <w:spacing w:after="0" w:line="277" w:lineRule="auto"/>
        <w:tabs>
          <w:tab w:leader="none" w:pos="16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that are unobservable for an asset or liability because they are based on our own assumptions about how market participants would price the asset or liability.</w:t>
      </w:r>
    </w:p>
    <w:p>
      <w:pPr>
        <w:spacing w:after="0" w:line="170"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our 2031 Asset-Backed Debt and our Credit Facility are classified as Level 3. Our 2023 Notes are classified as Level 1, as they are valued using the closing price from the primary exchange.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connection with each offering of shares of our common stock, our board of directors or a committee thereof is required to make the determination that we are not selling shares of our common stock at a price below the then current NAV of our common stock at the time at which the sale is made or otherwise in violation of the 1940 Act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93" w:lineRule="exact"/>
        <w:rPr>
          <w:sz w:val="20"/>
          <w:szCs w:val="20"/>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NAV of our common stock disclosed in the most recent periodic report that we filed with the SEC;</w:t>
      </w:r>
    </w:p>
    <w:p>
      <w:pPr>
        <w:spacing w:after="0" w:line="130" w:lineRule="exact"/>
        <w:rPr>
          <w:rFonts w:ascii="Arial" w:cs="Arial" w:eastAsia="Arial" w:hAnsi="Arial"/>
          <w:sz w:val="18"/>
          <w:szCs w:val="18"/>
          <w:color w:val="auto"/>
        </w:rPr>
      </w:pPr>
    </w:p>
    <w:p>
      <w:pPr>
        <w:ind w:left="1080" w:right="120" w:hanging="424"/>
        <w:spacing w:after="0" w:line="311"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our management’s assessment of whether any change in the NAV of our common stock has occurred (including through the realization of gains on the sale of our portfolio securities) during the period beginning on the date of the most recent public filing with the SEC that discloses the NAV of our common stock and ending two days prior to the date of the sale of our common stock; and</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00"/>
          </w:cols>
          <w:pgMar w:left="320" w:top="459" w:right="4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4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magnitude of the difference between the offering price of the shares of our common stock in the proposed offering and management’s assessment of any change in the NAV of our common stock during the period discussed above.</w:t>
      </w:r>
    </w:p>
    <w:p>
      <w:pPr>
        <w:spacing w:after="0" w:line="170" w:lineRule="exact"/>
        <w:rPr>
          <w:sz w:val="20"/>
          <w:szCs w:val="20"/>
          <w:color w:val="auto"/>
        </w:rPr>
      </w:pPr>
    </w:p>
    <w:p>
      <w:pPr>
        <w:jc w:val="both"/>
        <w:ind w:left="120" w:right="80" w:firstLine="440"/>
        <w:spacing w:after="0" w:line="279" w:lineRule="auto"/>
        <w:rPr>
          <w:sz w:val="20"/>
          <w:szCs w:val="20"/>
          <w:color w:val="auto"/>
        </w:rPr>
      </w:pPr>
      <w:r>
        <w:rPr>
          <w:rFonts w:ascii="Arial" w:cs="Arial" w:eastAsia="Arial" w:hAnsi="Arial"/>
          <w:sz w:val="17"/>
          <w:szCs w:val="17"/>
          <w:color w:val="auto"/>
        </w:rPr>
        <w:t>Whenever we do not have current stockholder approval to issue shares of our common stock at a price per share below our then current NAV per share, the offering price per share (exclusive of any distributing commission or discount) will equal or exceed our then current NAV per share, based on the value of our portfolio securities and other assets determined in good faith by our board of directors as of a time within 48 hours (excluding Sundays and holidays) of the sale. See “Sales Of Common Stock Below Net Asset Value” for more information.</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we will only sell shares of our common stock at a price below NAV per share if the following conditions are met:</w:t>
      </w:r>
    </w:p>
    <w:p>
      <w:pPr>
        <w:spacing w:after="0" w:line="131" w:lineRule="exact"/>
        <w:rPr>
          <w:sz w:val="20"/>
          <w:szCs w:val="20"/>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majority of our independent directors who have no financial interest in the sale must have approved the sale; and</w:t>
      </w:r>
    </w:p>
    <w:p>
      <w:pPr>
        <w:spacing w:after="0" w:line="130" w:lineRule="exact"/>
        <w:rPr>
          <w:rFonts w:ascii="Arial" w:cs="Arial" w:eastAsia="Arial" w:hAnsi="Arial"/>
          <w:sz w:val="18"/>
          <w:szCs w:val="18"/>
          <w:color w:val="auto"/>
        </w:rPr>
      </w:pPr>
    </w:p>
    <w:p>
      <w:pPr>
        <w:ind w:left="1080" w:right="80" w:hanging="424"/>
        <w:spacing w:after="0" w:line="279" w:lineRule="auto"/>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 majority of such directors, in consultation with the underwriters of the offering if it is to be underwritten, must have determined in good faith, and as of a time immediately prior to the first solicitation by us or on our behalf of firm commitments to purchase such shares or immediately prior to the issuance of such shares, that the price at which such shares are to be sold is not less than a price which closely approximates the market value of those shares, less any underwriting commission or discount.</w:t>
      </w:r>
    </w:p>
    <w:p>
      <w:pPr>
        <w:spacing w:after="0" w:line="17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We may, however, subject to the requirements of the 1940 Act, issue subscription rights to acquire our common stock at a price below the current NAV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this registration statement on Form N-2, we must then be qualified to register our securities on Form N-2.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68"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OUR CAPITAL STOCK</w:t>
      </w:r>
    </w:p>
    <w:p>
      <w:pPr>
        <w:spacing w:after="0" w:line="229"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Capital Stock</w:t>
      </w:r>
    </w:p>
    <w:p>
      <w:pPr>
        <w:spacing w:after="0" w:line="121"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As of December 31, 2019, our authorized capital stock consisted of 100,000,000 shares of stock, par value $0.001 per share, all of which is classified as common stock. Our common stock is quoted on The Nasdaq Global Select Market and the TASE under the ticker symbol “PFLT.”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71"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last reported closing market price of our common stock on January 27, 2020 was $12.01 per share. As of December 31, 2019, we had 43 stockholders of record.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are our outstanding classes of securities as of December 31, 2019:</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2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4"/>
              </w:rPr>
              <w:t>Amount Held by</w:t>
            </w:r>
          </w:p>
        </w:tc>
        <w:tc>
          <w:tcPr>
            <w:tcW w:w="9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w w:val="91"/>
              </w:rPr>
              <w:t>Title of Class</w:t>
            </w:r>
          </w:p>
        </w:tc>
        <w:tc>
          <w:tcPr>
            <w:tcW w:w="4380" w:type="dxa"/>
            <w:vAlign w:val="bottom"/>
            <w:vMerge w:val="restart"/>
          </w:tcPr>
          <w:p>
            <w:pPr>
              <w:spacing w:after="0"/>
              <w:rPr>
                <w:sz w:val="12"/>
                <w:szCs w:val="12"/>
                <w:color w:val="auto"/>
              </w:rPr>
            </w:pPr>
          </w:p>
        </w:tc>
        <w:tc>
          <w:tcPr>
            <w:tcW w:w="94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6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6"/>
              </w:rPr>
              <w:t>Us or for Our</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820" w:type="dxa"/>
            <w:vAlign w:val="bottom"/>
            <w:tcBorders>
              <w:bottom w:val="single" w:sz="8" w:color="auto"/>
            </w:tcBorders>
            <w:vMerge w:val="continue"/>
          </w:tcPr>
          <w:p>
            <w:pPr>
              <w:spacing w:after="0"/>
              <w:rPr>
                <w:sz w:val="15"/>
                <w:szCs w:val="15"/>
                <w:color w:val="auto"/>
              </w:rPr>
            </w:pPr>
          </w:p>
        </w:tc>
        <w:tc>
          <w:tcPr>
            <w:tcW w:w="4380" w:type="dxa"/>
            <w:vAlign w:val="bottom"/>
            <w:vMerge w:val="continue"/>
          </w:tcPr>
          <w:p>
            <w:pPr>
              <w:spacing w:after="0"/>
              <w:rPr>
                <w:sz w:val="15"/>
                <w:szCs w:val="15"/>
                <w:color w:val="auto"/>
              </w:rPr>
            </w:pPr>
          </w:p>
        </w:tc>
        <w:tc>
          <w:tcPr>
            <w:tcW w:w="9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Authorized</w:t>
            </w:r>
          </w:p>
        </w:tc>
        <w:tc>
          <w:tcPr>
            <w:tcW w:w="580" w:type="dxa"/>
            <w:vAlign w:val="bottom"/>
          </w:tcPr>
          <w:p>
            <w:pPr>
              <w:spacing w:after="0"/>
              <w:rPr>
                <w:sz w:val="15"/>
                <w:szCs w:val="15"/>
                <w:color w:val="auto"/>
              </w:rPr>
            </w:pPr>
          </w:p>
        </w:tc>
        <w:tc>
          <w:tcPr>
            <w:tcW w:w="1620" w:type="dxa"/>
            <w:vAlign w:val="bottom"/>
            <w:gridSpan w:val="2"/>
          </w:tcPr>
          <w:p>
            <w:pPr>
              <w:jc w:val="center"/>
              <w:ind w:right="580"/>
              <w:spacing w:after="0" w:line="158" w:lineRule="exact"/>
              <w:rPr>
                <w:sz w:val="20"/>
                <w:szCs w:val="20"/>
                <w:color w:val="auto"/>
              </w:rPr>
            </w:pPr>
            <w:r>
              <w:rPr>
                <w:rFonts w:ascii="Arial" w:cs="Arial" w:eastAsia="Arial" w:hAnsi="Arial"/>
                <w:sz w:val="14"/>
                <w:szCs w:val="14"/>
                <w:b w:val="1"/>
                <w:bCs w:val="1"/>
                <w:color w:val="auto"/>
                <w:w w:val="92"/>
              </w:rPr>
              <w:t>Account</w:t>
            </w:r>
          </w:p>
        </w:tc>
        <w:tc>
          <w:tcPr>
            <w:tcW w:w="92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203"/>
        </w:trPr>
        <w:tc>
          <w:tcPr>
            <w:tcW w:w="52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Common Stock, par value $0.001 per share</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100,000,000</w:t>
            </w:r>
          </w:p>
        </w:tc>
        <w:tc>
          <w:tcPr>
            <w:tcW w:w="5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ind w:left="760"/>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40"/>
              <w:spacing w:after="0" w:line="203" w:lineRule="exact"/>
              <w:rPr>
                <w:sz w:val="20"/>
                <w:szCs w:val="20"/>
                <w:color w:val="auto"/>
              </w:rPr>
            </w:pPr>
            <w:r>
              <w:rPr>
                <w:rFonts w:ascii="Arial" w:cs="Arial" w:eastAsia="Arial" w:hAnsi="Arial"/>
                <w:sz w:val="18"/>
                <w:szCs w:val="18"/>
                <w:color w:val="auto"/>
                <w:w w:val="88"/>
              </w:rPr>
              <w:t>38,772,074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assets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us,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121" w:lineRule="exact"/>
        <w:rPr>
          <w:sz w:val="20"/>
          <w:szCs w:val="20"/>
          <w:color w:val="auto"/>
        </w:rPr>
      </w:pPr>
    </w:p>
    <w:p>
      <w:pPr>
        <w:jc w:val="both"/>
        <w:ind w:left="120" w:right="460" w:firstLine="440"/>
        <w:spacing w:after="0" w:line="263" w:lineRule="auto"/>
        <w:rPr>
          <w:sz w:val="20"/>
          <w:szCs w:val="20"/>
          <w:color w:val="auto"/>
        </w:rPr>
      </w:pPr>
      <w:r>
        <w:rPr>
          <w:rFonts w:ascii="Arial" w:cs="Arial" w:eastAsia="Arial" w:hAnsi="Arial"/>
          <w:sz w:val="18"/>
          <w:szCs w:val="18"/>
          <w:color w:val="auto"/>
        </w:rPr>
        <w:t>Maryland law permits a Maryland corporation to include in its charter a provision eliminating the liability of its directors and officers to the corporation and its stockholders for money damages except for liability resulting from (a) actual receipt of an improper benefit or profit in money, property or services or (b) active and deliberate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00"/>
          </w:cols>
          <w:pgMar w:left="320" w:top="459" w:right="4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170"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Our charter authorizes us, to the maximum extent permitted by Maryland law and subject to the requirements of the 1940 Act, to obligate us to indemnify, and to pay or reimburse reasonable expenses in advance of final disposition of a proceeding to, any present or former director or officer or any individual who, while a director or officer and at our request, serves or has served another corporation, real estate investment trust, partnership, joint venture, trust, employee benefit plan, or any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19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any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without requiring a preliminary determination of the ultimate entitlement to indemnification,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85" w:lineRule="exact"/>
        <w:rPr>
          <w:sz w:val="20"/>
          <w:szCs w:val="20"/>
          <w:color w:val="auto"/>
        </w:rPr>
      </w:pPr>
    </w:p>
    <w:p>
      <w:pPr>
        <w:ind w:left="120" w:right="480" w:firstLine="440"/>
        <w:spacing w:after="0" w:line="342" w:lineRule="auto"/>
        <w:rPr>
          <w:sz w:val="20"/>
          <w:szCs w:val="20"/>
          <w:color w:val="auto"/>
        </w:rPr>
      </w:pPr>
      <w:r>
        <w:rPr>
          <w:rFonts w:ascii="Arial" w:cs="Arial" w:eastAsia="Arial" w:hAnsi="Arial"/>
          <w:sz w:val="16"/>
          <w:szCs w:val="16"/>
          <w:color w:val="auto"/>
        </w:rPr>
        <w:t>In addition to the indemnification provided for in our charter and bylaws, we have entered into indemnification agreements with each of our current directors and certain of our officers that provide for the maximum indemnification permitted under Maryland law and the 1940 Act.</w:t>
      </w:r>
    </w:p>
    <w:p>
      <w:pPr>
        <w:spacing w:after="0" w:line="124"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17"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Our board of directors is divided into three classes of directors serving staggered three-year terms. The terms of the first, second and third classes will expire at the annual meeting of stockholders held in 2021, 2022 and 2020, respectively, and in each case, those directors will serve until their successors are duly elected and qualify. Upon expiration of their current terms, directors of each class will be elected to serve for a term expiring at the annual meeting of stockholders held in the third year following the year of their election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Our charter and bylaws provide that the affirmative vote of a majority of the total votes cast for and affirmatively withheld as to a nominee in the election of directors is required to elect a director. Pursuant to the charter, our board of directors may amend the bylaws to alter the vote required to elect directors.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78"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Our charter provides that a director may be removed only for cause, as defined in our charter, and then only by the affirmative vote of at least two-thirds of the votes entitled to be cast generally in the election of directors.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117" w:lineRule="exact"/>
        <w:rPr>
          <w:sz w:val="20"/>
          <w:szCs w:val="20"/>
          <w:color w:val="auto"/>
        </w:rPr>
      </w:pPr>
    </w:p>
    <w:p>
      <w:pPr>
        <w:ind w:left="120" w:right="280" w:firstLine="440"/>
        <w:spacing w:after="0" w:line="286" w:lineRule="auto"/>
        <w:rPr>
          <w:sz w:val="20"/>
          <w:szCs w:val="20"/>
          <w:color w:val="auto"/>
        </w:rPr>
      </w:pPr>
      <w:r>
        <w:rPr>
          <w:rFonts w:ascii="Arial" w:cs="Arial" w:eastAsia="Arial" w:hAnsi="Arial"/>
          <w:sz w:val="17"/>
          <w:szCs w:val="17"/>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may have the effect of delaying consideration of a stockholder proposal until the next annual meeting.</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Advance notice provisions for stockholder nominations and stockholder proposals</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Our bylaws provide that with respect to an annual meeting of stockholders, nominations of persons for election to the board of directors and the proposal of business to be considered by stockholders may be made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only (1) pursuant to our notice of the meeting, (2) by or at the direction of the board of directors or (3) by a stockholder who was a stockholder of record at the time of provision of notice and at the time of the meeting,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by or at the direction of the board of directors or (2) provided that the special meeting has been called in accordance with our bylaws for the purposes of electing directors by a stockholder who was a stockholder of record at the time of provision of notice and at the time of the meeting, who is entitled to vote at the meeting and who has complied with the advance notice provisions of the bylaws.</w:t>
      </w:r>
    </w:p>
    <w:p>
      <w:pPr>
        <w:spacing w:after="0" w:line="17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Calling of special meetings of stockholders</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Approval of extraordinary corporate action; amendment of charter and bylaws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Under Maryland law, a Maryland corporation generally cannot dissolve, amend its charter, merge, convert,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79"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Our charter and bylaws provide that the board of directors will have the exclusive power to adopt, alter or repeal any provision of our bylaws and to make new bylaws.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00"/>
          </w:cols>
          <w:pgMar w:left="320" w:top="459" w:right="4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117" w:lineRule="exact"/>
        <w:rPr>
          <w:sz w:val="20"/>
          <w:szCs w:val="20"/>
          <w:color w:val="auto"/>
        </w:rPr>
      </w:pPr>
    </w:p>
    <w:p>
      <w:pPr>
        <w:ind w:left="120" w:right="220" w:firstLine="440"/>
        <w:spacing w:after="0" w:line="308" w:lineRule="auto"/>
        <w:rPr>
          <w:sz w:val="20"/>
          <w:szCs w:val="20"/>
          <w:color w:val="auto"/>
        </w:rPr>
      </w:pPr>
      <w:r>
        <w:rPr>
          <w:rFonts w:ascii="Arial" w:cs="Arial" w:eastAsia="Arial" w:hAnsi="Arial"/>
          <w:sz w:val="17"/>
          <w:szCs w:val="17"/>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117"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Our bylaws contain a provision exempting from the Maryland Control Share Acquisition Act any and all acquisitions by any person of shares of our stock. There can be no assurance that such provision will not be amended or eliminated at any time in the future to the extent permitted by the 1940 Act.</w:t>
      </w:r>
    </w:p>
    <w:p>
      <w:pPr>
        <w:spacing w:after="0" w:line="184"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The Maryland Control Share Acquisition Act provides that control shares of a Maryland corporation acquired in a control share acquisition have no voting rights except to the extent approved by the affirmative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98" w:lineRule="exact"/>
        <w:rPr>
          <w:sz w:val="20"/>
          <w:szCs w:val="20"/>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225"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or shares acquired directly from the corporation. A control share acquisition means the acquisition of issued and outstanding control shares, subject to certain exceptions.</w:t>
      </w:r>
    </w:p>
    <w:p>
      <w:pPr>
        <w:spacing w:after="0" w:line="187"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8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Fair value is determined, without regard to the absence of voting rights for the control shares, as of the date of any meeting of stockholders at which the voting rights of the shares are considered and not approved or, if no such meeting is held, as of the date of the last control share acquisition by the acquirer.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178"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Maryland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00"/>
          </w:cols>
          <w:pgMar w:left="320" w:top="459" w:right="4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left="120" w:right="440" w:firstLine="440"/>
        <w:spacing w:after="0" w:line="259" w:lineRule="auto"/>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92" w:lineRule="exact"/>
        <w:rPr>
          <w:sz w:val="20"/>
          <w:szCs w:val="20"/>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person who beneficially owns, directly or indirectly, 10% or more of the voting power of the corporation’s shares; or</w:t>
      </w:r>
    </w:p>
    <w:p>
      <w:pPr>
        <w:spacing w:after="0" w:line="90" w:lineRule="exact"/>
        <w:rPr>
          <w:rFonts w:ascii="Arial" w:cs="Arial" w:eastAsia="Arial" w:hAnsi="Arial"/>
          <w:sz w:val="18"/>
          <w:szCs w:val="18"/>
          <w:color w:val="auto"/>
        </w:rPr>
      </w:pPr>
    </w:p>
    <w:p>
      <w:pPr>
        <w:ind w:left="1080" w:right="420" w:hanging="424"/>
        <w:spacing w:after="0" w:line="342" w:lineRule="auto"/>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an affiliate or associate of the corporation who, at any time within the two-year period prior to the date in question, was the beneficial owner, directly or indirectly, of 10% or more of the voting power of the then outstanding voting stock of the corporation.</w:t>
      </w:r>
    </w:p>
    <w:p>
      <w:pPr>
        <w:spacing w:after="0" w:line="124" w:lineRule="exact"/>
        <w:rPr>
          <w:sz w:val="20"/>
          <w:szCs w:val="20"/>
          <w:color w:val="auto"/>
        </w:rPr>
      </w:pPr>
    </w:p>
    <w:p>
      <w:pPr>
        <w:jc w:val="both"/>
        <w:ind w:left="120" w:right="300" w:firstLine="440"/>
        <w:spacing w:after="0" w:line="286" w:lineRule="auto"/>
        <w:rPr>
          <w:sz w:val="20"/>
          <w:szCs w:val="20"/>
          <w:color w:val="auto"/>
        </w:rPr>
      </w:pPr>
      <w:r>
        <w:rPr>
          <w:rFonts w:ascii="Arial" w:cs="Arial" w:eastAsia="Arial" w:hAnsi="Arial"/>
          <w:sz w:val="17"/>
          <w:szCs w:val="17"/>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6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76" w:lineRule="exact"/>
        <w:rPr>
          <w:sz w:val="20"/>
          <w:szCs w:val="20"/>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130"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184"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124"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Maryland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Conflict with 1940 Act</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If and to the extent that any provision of the Maryland General Corporation Law, including the Maryland Control Share Acquisition Act (if we amend our bylaws to be subject to such Act) and the Maryland Business Combination Act, or any provision of our charter or bylaws conflicts with any provision of the 1940 Act, the applicable provision of the 1940 Act will control.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Exclusive Forum</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Our bylaws provide that, unless we consent in writing to the selection of an alternative forum, the Circuit Court for Baltimore City, Maryland, or, if that court does not have jurisdiction, the United States District Court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the District of Maryland, Baltimore Division, will be the sole and absolute forum for (a) any derivative action or proceeding brought on our behalf,</w:t>
      </w:r>
    </w:p>
    <w:p>
      <w:pPr>
        <w:spacing w:after="0" w:line="46" w:lineRule="exact"/>
        <w:rPr>
          <w:sz w:val="20"/>
          <w:szCs w:val="20"/>
          <w:color w:val="auto"/>
        </w:rPr>
      </w:pPr>
    </w:p>
    <w:p>
      <w:pPr>
        <w:ind w:left="120" w:hanging="4"/>
        <w:spacing w:after="0" w:line="253" w:lineRule="auto"/>
        <w:tabs>
          <w:tab w:leader="none" w:pos="37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action asserting a claim of breach of any duty owed by any of our directors, officers or other agents to us or to our stockholders, (c) any action asserting a claim against us or any of our directors, officers or other agents arising pursuant to any provision of the Maryland General Corporation Law or our charter or bylaws or (d) any action asserting a claim against us or any of our directors, officers or other agents that is governed by the internal affairs doctrine.</w:t>
      </w:r>
    </w:p>
    <w:p>
      <w:pPr>
        <w:spacing w:after="0" w:line="1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320" w:top="459" w:right="5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OUR PREFERRED STOCK</w:t>
      </w:r>
    </w:p>
    <w:p>
      <w:pPr>
        <w:spacing w:after="0" w:line="229"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95" w:lineRule="exact"/>
        <w:rPr>
          <w:sz w:val="20"/>
          <w:szCs w:val="20"/>
          <w:color w:val="auto"/>
        </w:rPr>
      </w:pPr>
    </w:p>
    <w:p>
      <w:pPr>
        <w:ind w:left="120" w:firstLine="440"/>
        <w:spacing w:after="0" w:line="264" w:lineRule="auto"/>
        <w:rPr>
          <w:sz w:val="20"/>
          <w:szCs w:val="20"/>
          <w:color w:val="auto"/>
        </w:rPr>
      </w:pPr>
      <w:r>
        <w:rPr>
          <w:rFonts w:ascii="Arial" w:cs="Arial" w:eastAsia="Arial" w:hAnsi="Arial"/>
          <w:sz w:val="16"/>
          <w:szCs w:val="16"/>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w:t>
      </w:r>
    </w:p>
    <w:p>
      <w:pPr>
        <w:spacing w:after="0" w:line="18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For any series of preferred stock that we may issue, our board of directors will determine and the prospectus supplement relating to such series will describe:</w:t>
      </w:r>
    </w:p>
    <w:p>
      <w:pPr>
        <w:spacing w:after="0" w:line="76" w:lineRule="exact"/>
        <w:rPr>
          <w:sz w:val="20"/>
          <w:szCs w:val="20"/>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9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35"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rights and preferences, if any, of holders of shares of such series upon our liquidation, dissolution or winding up of our affairs;</w:t>
      </w:r>
    </w:p>
    <w:p>
      <w:pPr>
        <w:spacing w:after="0" w:line="101" w:lineRule="exact"/>
        <w:rPr>
          <w:rFonts w:ascii="Arial" w:cs="Arial" w:eastAsia="Arial" w:hAnsi="Arial"/>
          <w:sz w:val="17"/>
          <w:szCs w:val="17"/>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9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35"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9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other relative power, preferences and participating, optional or special rights of shares of such series, and the qualifications, limitations or restrictions thereof.</w:t>
      </w:r>
    </w:p>
    <w:p>
      <w:pPr>
        <w:spacing w:after="0" w:line="170"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quarterly to weekly and are subject to extension. We expect the dividend rate to be variable and determined for each dividend period.</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00"/>
          </w:cols>
          <w:pgMar w:left="320" w:top="459" w:right="4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OUR WARRANTS</w:t>
      </w:r>
    </w:p>
    <w:p>
      <w:pPr>
        <w:spacing w:after="0" w:line="22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70"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131" w:lineRule="exact"/>
        <w:rPr>
          <w:sz w:val="20"/>
          <w:szCs w:val="20"/>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9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3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48" w:lineRule="exact"/>
        <w:rPr>
          <w:rFonts w:ascii="Arial" w:cs="Arial" w:eastAsia="Arial" w:hAnsi="Arial"/>
          <w:sz w:val="18"/>
          <w:szCs w:val="18"/>
          <w:color w:val="auto"/>
        </w:rPr>
      </w:pPr>
    </w:p>
    <w:p>
      <w:pPr>
        <w:jc w:val="both"/>
        <w:ind w:left="1080" w:hanging="424"/>
        <w:spacing w:after="0" w:line="263"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48"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will commence and the date on which such right will expire;</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any other terms of such warrants, including terms, procedures and limitations relating to the exchange and exercise of such warrants.</w:t>
      </w:r>
    </w:p>
    <w:p>
      <w:pPr>
        <w:spacing w:after="0" w:line="23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40" w:firstLine="440"/>
        <w:spacing w:after="0" w:line="301"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5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Under the 1940 Act, we may generally only offer warrants provided that (1) the warrants expire by their terms within ten years, (2) the exercise price is not less than the market value of our common stock at the date of issuance, (3) if no such market value exists for our common stock, the exercise price is not less than the then current NAV per share of our common stock (unless the requirements of Section 63 of the 1940 Act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229"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85"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The applicable prospectus supplement would describe the following terms of subscription rights in respect of which this prospectus is being delivered:</w:t>
      </w:r>
    </w:p>
    <w:p>
      <w:pPr>
        <w:spacing w:after="0" w:line="76" w:lineRule="exact"/>
        <w:rPr>
          <w:sz w:val="20"/>
          <w:szCs w:val="20"/>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exercise price or a formula for the determination of the exercise price for such subscription rights;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such subscription rights issued to each stockholder;</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w:t>
      </w:r>
    </w:p>
    <w:p>
      <w:pPr>
        <w:spacing w:after="0" w:line="9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applicable, a discussion of the material U.S. federal income tax considerations applicable to the issuance or exercise of such subscription rights;</w:t>
      </w:r>
    </w:p>
    <w:p>
      <w:pPr>
        <w:spacing w:after="0" w:line="3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would commence, and the date on which such rights will expire (subject to any extension);</w:t>
      </w:r>
    </w:p>
    <w:p>
      <w:pPr>
        <w:spacing w:after="0" w:line="35"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w:t>
      </w:r>
    </w:p>
    <w:p>
      <w:pPr>
        <w:spacing w:after="0" w:line="9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other purchase arrangement that we may enter into in connection with the subscription rights offering; and</w:t>
      </w:r>
    </w:p>
    <w:p>
      <w:pPr>
        <w:spacing w:after="0" w:line="35"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terms, procedures and limitations relating to the exchange and exercise of such subscription rights.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Exercise of Subscription Rights</w:t>
      </w:r>
    </w:p>
    <w:p>
      <w:pPr>
        <w:spacing w:after="0" w:line="11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Each subscription right would entitle the holder of the subscription right to purchase for cash such amount of shares of common stock or other securities at such exercise price as will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8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80"/>
          </w:cols>
          <w:pgMar w:left="320" w:top="459" w:right="4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OUR DEBT SECURITIES</w:t>
      </w:r>
    </w:p>
    <w:p>
      <w:pPr>
        <w:spacing w:after="0" w:line="229"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In November 2017, we issued $138.6 million in aggregate principal amount of our 2023 Notes. The 2023 Notes were issued pursuant to a deed of trust between the Company and Mishmeret Trust Company, Ltd. as trustee.</w:t>
      </w:r>
    </w:p>
    <w:p>
      <w:pPr>
        <w:spacing w:after="0" w:line="170"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2023 Notes pay interest at a rate of 3.83% per year. Interest on the 2023 Notes is payable semi-annually in arrears on June 15 and December 15 of each year, commencing June 15, 2018. The principal on the 2023 Notes will be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p>
    <w:p>
      <w:pPr>
        <w:spacing w:after="0" w:line="187"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The 2023 Notes are general, unsecured obligations, rank equal in right of payment with all of PennantPark Floating Rate Capital Ltd.’s existing and future senior unsecured indebtedness and are generally redeemable at our option. The deed of trust governing the 2023 Notes includes certain customary covenants, including minimum equity requirements, and events of default. The 2023 Notes are rated ilA+ by S&amp;P Global Ratings Maalot Ltd. and are listed for trading on the TASE.</w:t>
      </w:r>
    </w:p>
    <w:p>
      <w:pPr>
        <w:spacing w:after="0" w:line="187"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 2023 Notes have not been and will not be registered under the Securities Act and may not be offered or sold in the United States absent registration under the Securities Act or in transactions exempt from, or not subject to, such registration requirements.</w:t>
      </w:r>
    </w:p>
    <w:p>
      <w:pPr>
        <w:spacing w:after="0" w:line="170"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We may issue additional debt securities in one or more series. The specific terms of each additional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8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As required by federal law for all bonds and notes of companies that are publicly offered in the United States,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see “Description of our Debt Securities—Events of Default.” Second, the trustee performs certain administrative duties for us, such as sending interest and principal payments to holders.</w:t>
      </w:r>
    </w:p>
    <w:p>
      <w:pPr>
        <w:spacing w:after="0" w:line="16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Because this section is a summary, it does not describe every aspect of the debt securities and the indenture. We urge you to read the indenture because it, and not this description, defines your rights as a holder of debt securities issued pursuant to this prospectus and any accompanying prospectus supplement. For example, in this section, we use capitalized words to signify terms that are specifically defined in the indenture. Some of the definitions are repeated in this prospectus, but for the rest, you will need to read the indenture. See “Available Information” for information on how to obtain a copy of the indenture.</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prospectus supplement, which will accompany this prospectus, will describe the particular series of debt securities being offered by including:</w:t>
      </w:r>
    </w:p>
    <w:p>
      <w:pPr>
        <w:spacing w:after="0" w:line="154" w:lineRule="exact"/>
        <w:rPr>
          <w:sz w:val="20"/>
          <w:szCs w:val="20"/>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 and whether or not the offering may be reopened for additional securities of that series and on what terms;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89"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place or places, if any, other than or in addition to The City of New York, of payment, transfer, conversion and/or exchange of the debt securities;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special federal income tax implications, including, if applicable, federal income tax considerations relating to OID;</w:t>
      </w:r>
    </w:p>
    <w:p>
      <w:pPr>
        <w:spacing w:after="0" w:line="130" w:lineRule="exact"/>
        <w:rPr>
          <w:rFonts w:ascii="Arial" w:cs="Arial" w:eastAsia="Arial" w:hAnsi="Arial"/>
          <w:sz w:val="18"/>
          <w:szCs w:val="18"/>
          <w:color w:val="auto"/>
        </w:rPr>
      </w:pPr>
    </w:p>
    <w:p>
      <w:pPr>
        <w:ind w:left="1080" w:right="20" w:hanging="424"/>
        <w:spacing w:after="0" w:line="342" w:lineRule="auto"/>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225"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 debt securities may be secured or unsecured obligations. Under the provisions of the 1940 Act, we are permitted, as a BDC, to issue debt only in amounts such that we are in compliance with our asset coverage, as defined in the 1940 Act, after each issuance of debt. Unless the prospectus supplement states otherwise, principal (and premium, if any) and interest, if any, will be paid by us in immediately available funds.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indenture provides that any debt securities proposed to be sold under this prospectus and any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84"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00"/>
          </w:cols>
          <w:pgMar w:left="320" w:top="459" w:right="4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78"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indenture does not contain any provisions that give you protection in the event we issue a large amount of debt or we are acquired by another entity.</w:t>
      </w:r>
    </w:p>
    <w:p>
      <w:pPr>
        <w:spacing w:after="0" w:line="170"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A prospectus supplement will contain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46"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84"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If any debt securities are convertible into shares of our common stock, the exercise price for such conversion will not be less than the NAV per share at the time of issuance of such debt securities (unless the majority of our board of directors determines that a lower exercise price is in the best interests of us and our stockholders, a majority of our stockholders (including stockholders who are not affiliated persons of us) have approved an issuance of common stock below the then current NAV per share in the 12 months preceding the issuance and the exercise price closely approximates the market value of our common stock at the time the debt securities are issued).</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Conversion and Exchange</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Issuance of Securities in Registered Form</w:t>
      </w:r>
    </w:p>
    <w:p>
      <w:pPr>
        <w:spacing w:after="0" w:line="12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84"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We also will have the option of issuing debt securities in non-registered form as bearer securities if we issue the securities outside the United States to non-U.S. persons. In that case, the prospectus supplement will set forth</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00"/>
          </w:cols>
          <w:pgMar w:left="320" w:top="459" w:right="4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59" w:lineRule="auto"/>
        <w:rPr>
          <w:sz w:val="20"/>
          <w:szCs w:val="20"/>
          <w:color w:val="auto"/>
        </w:rPr>
      </w:pPr>
      <w:r>
        <w:rPr>
          <w:rFonts w:ascii="Arial" w:cs="Arial" w:eastAsia="Arial" w:hAnsi="Arial"/>
          <w:sz w:val="18"/>
          <w:szCs w:val="18"/>
          <w:color w:val="auto"/>
        </w:rPr>
        <w:t>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Book-Entry Holders</w:t>
      </w:r>
    </w:p>
    <w:p>
      <w:pPr>
        <w:spacing w:after="0" w:line="11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7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76" w:lineRule="exact"/>
        <w:rPr>
          <w:sz w:val="20"/>
          <w:szCs w:val="20"/>
          <w:color w:val="auto"/>
        </w:rPr>
      </w:pPr>
    </w:p>
    <w:p>
      <w:pPr>
        <w:jc w:val="both"/>
        <w:ind w:left="120" w:right="40" w:firstLine="440"/>
        <w:spacing w:after="0" w:line="286" w:lineRule="auto"/>
        <w:rPr>
          <w:sz w:val="20"/>
          <w:szCs w:val="20"/>
          <w:color w:val="auto"/>
        </w:rPr>
      </w:pPr>
      <w:r>
        <w:rPr>
          <w:rFonts w:ascii="Arial" w:cs="Arial" w:eastAsia="Arial" w:hAnsi="Arial"/>
          <w:sz w:val="17"/>
          <w:szCs w:val="17"/>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Street Name Holders</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18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Legal Holders</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8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For example, once we make a payment or give a notice to the holder, we have no further responsibility for the payment or notice even if that holder is required, under agreements with depositary participants or customers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40"/>
          </w:cols>
          <w:pgMar w:left="32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87"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Special Considerations for Indirect Holders</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If you hold debt securities through a bank, broker or other financial institution, either in book-entry form or in street name, we urge you to check with that institution to find out:</w:t>
      </w:r>
    </w:p>
    <w:p>
      <w:pPr>
        <w:spacing w:after="0" w:line="76" w:lineRule="exact"/>
        <w:rPr>
          <w:sz w:val="20"/>
          <w:szCs w:val="20"/>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whether and how you can instruct it to send you debt securities registered in your own name so you can be a holder, if that is permitted in the future for a particular series of debt securities;</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how it would exercise rights under the debt securities if there were a default or other event triggering the need for holders to act to protect their interests;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the debt securities are in book-entry form, how the depositary’s rules and procedures will affect these matters.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124"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8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A global security may not be transferred to or registered in the name of anyone other than the depositary or its nominee, unless special termination situations arise. We describe those situations below under “Description of our Debt Securities—Global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Special Considerations for Global Securities</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00"/>
          </w:cols>
          <w:pgMar w:left="320" w:top="459" w:right="4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depositary that holds the global security will be considered the holder of the debt securities represented by the global security.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debt securities are issued only in the form of a global security, an investor should be aware of the following:</w:t>
      </w:r>
    </w:p>
    <w:p>
      <w:pPr>
        <w:spacing w:after="0" w:line="131" w:lineRule="exact"/>
        <w:rPr>
          <w:sz w:val="20"/>
          <w:szCs w:val="20"/>
          <w:color w:val="auto"/>
        </w:rPr>
      </w:pPr>
    </w:p>
    <w:p>
      <w:pPr>
        <w:ind w:left="1080" w:right="240" w:hanging="424"/>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35"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48"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debt securities to some insurance companies and other institutions that are required by law to own their securities in non-book-entry form;</w:t>
      </w:r>
    </w:p>
    <w:p>
      <w:pPr>
        <w:spacing w:after="0" w:line="35" w:lineRule="exact"/>
        <w:rPr>
          <w:rFonts w:ascii="Arial" w:cs="Arial" w:eastAsia="Arial" w:hAnsi="Arial"/>
          <w:sz w:val="18"/>
          <w:szCs w:val="18"/>
          <w:color w:val="auto"/>
        </w:rPr>
      </w:pPr>
    </w:p>
    <w:p>
      <w:pPr>
        <w:ind w:left="1080" w:right="480" w:hanging="424"/>
        <w:spacing w:after="0" w:line="308" w:lineRule="auto"/>
        <w:tabs>
          <w:tab w:leader="none" w:pos="10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11" w:lineRule="exact"/>
        <w:rPr>
          <w:rFonts w:ascii="Arial" w:cs="Arial" w:eastAsia="Arial" w:hAnsi="Arial"/>
          <w:sz w:val="17"/>
          <w:szCs w:val="17"/>
          <w:color w:val="auto"/>
        </w:rPr>
      </w:pPr>
    </w:p>
    <w:p>
      <w:pPr>
        <w:jc w:val="both"/>
        <w:ind w:left="1080" w:right="40" w:hanging="424"/>
        <w:spacing w:after="0" w:line="286" w:lineRule="auto"/>
        <w:tabs>
          <w:tab w:leader="none" w:pos="10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30" w:lineRule="exact"/>
        <w:rPr>
          <w:rFonts w:ascii="Arial" w:cs="Arial" w:eastAsia="Arial" w:hAnsi="Arial"/>
          <w:sz w:val="17"/>
          <w:szCs w:val="17"/>
          <w:color w:val="auto"/>
        </w:rPr>
      </w:pPr>
    </w:p>
    <w:p>
      <w:pPr>
        <w:ind w:left="1080" w:right="120" w:hanging="424"/>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35" w:lineRule="exact"/>
        <w:rPr>
          <w:rFonts w:ascii="Arial" w:cs="Arial" w:eastAsia="Arial" w:hAnsi="Arial"/>
          <w:sz w:val="18"/>
          <w:szCs w:val="18"/>
          <w:color w:val="auto"/>
        </w:rPr>
      </w:pPr>
    </w:p>
    <w:p>
      <w:pPr>
        <w:jc w:val="both"/>
        <w:ind w:left="1080" w:right="460" w:hanging="424"/>
        <w:spacing w:after="0" w:line="263"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48"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48" w:lineRule="exact"/>
        <w:rPr>
          <w:rFonts w:ascii="Arial" w:cs="Arial" w:eastAsia="Arial" w:hAnsi="Arial"/>
          <w:sz w:val="18"/>
          <w:szCs w:val="18"/>
          <w:color w:val="auto"/>
        </w:rPr>
      </w:pPr>
    </w:p>
    <w:p>
      <w:pPr>
        <w:ind w:left="1080" w:right="80" w:hanging="424"/>
        <w:spacing w:after="0" w:line="259"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Special Situations when a Global Security Will Be Terminated</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Securities—Issuance of Securities in Registered Form” above.</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special situations for termination of a global security are as follows:</w:t>
      </w:r>
    </w:p>
    <w:p>
      <w:pPr>
        <w:spacing w:after="0" w:line="131" w:lineRule="exact"/>
        <w:rPr>
          <w:sz w:val="20"/>
          <w:szCs w:val="20"/>
          <w:color w:val="auto"/>
        </w:rPr>
      </w:pPr>
    </w:p>
    <w:p>
      <w:pPr>
        <w:ind w:left="1080" w:right="140" w:hanging="424"/>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35"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we notify the trustee that we wish to terminate that global security; or</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459" w:right="4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90" w:lineRule="exact"/>
        <w:rPr>
          <w:sz w:val="20"/>
          <w:szCs w:val="20"/>
          <w:color w:val="auto"/>
        </w:rPr>
      </w:pPr>
    </w:p>
    <w:p>
      <w:pPr>
        <w:ind w:left="1080" w:right="60" w:hanging="424"/>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Payments on Global Securities</w:t>
      </w:r>
    </w:p>
    <w:p>
      <w:pPr>
        <w:spacing w:after="0" w:line="117" w:lineRule="exact"/>
        <w:rPr>
          <w:sz w:val="20"/>
          <w:szCs w:val="20"/>
          <w:color w:val="auto"/>
        </w:rPr>
      </w:pPr>
    </w:p>
    <w:p>
      <w:pPr>
        <w:ind w:left="120" w:right="360" w:firstLine="440"/>
        <w:spacing w:after="0" w:line="259" w:lineRule="auto"/>
        <w:rPr>
          <w:sz w:val="20"/>
          <w:szCs w:val="20"/>
          <w:color w:val="auto"/>
        </w:rPr>
      </w:pPr>
      <w:r>
        <w:rPr>
          <w:rFonts w:ascii="Arial" w:cs="Arial" w:eastAsia="Arial" w:hAnsi="Arial"/>
          <w:sz w:val="18"/>
          <w:szCs w:val="18"/>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Payments on Certificated Securities</w:t>
      </w:r>
    </w:p>
    <w:p>
      <w:pPr>
        <w:spacing w:after="0" w:line="117" w:lineRule="exact"/>
        <w:rPr>
          <w:sz w:val="20"/>
          <w:szCs w:val="20"/>
          <w:color w:val="auto"/>
        </w:rPr>
      </w:pPr>
    </w:p>
    <w:p>
      <w:pPr>
        <w:jc w:val="both"/>
        <w:ind w:left="120" w:right="60" w:firstLine="440"/>
        <w:spacing w:after="0" w:line="279" w:lineRule="auto"/>
        <w:rPr>
          <w:sz w:val="20"/>
          <w:szCs w:val="20"/>
          <w:color w:val="auto"/>
        </w:rPr>
      </w:pPr>
      <w:r>
        <w:rPr>
          <w:rFonts w:ascii="Arial" w:cs="Arial" w:eastAsia="Arial" w:hAnsi="Arial"/>
          <w:sz w:val="17"/>
          <w:szCs w:val="17"/>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7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Payment When Offices Are Closed</w:t>
      </w:r>
    </w:p>
    <w:p>
      <w:pPr>
        <w:spacing w:after="0" w:line="117" w:lineRule="exact"/>
        <w:rPr>
          <w:sz w:val="20"/>
          <w:szCs w:val="20"/>
          <w:color w:val="auto"/>
        </w:rPr>
      </w:pPr>
    </w:p>
    <w:p>
      <w:pPr>
        <w:ind w:left="120" w:right="300" w:firstLine="440"/>
        <w:spacing w:after="0" w:line="301" w:lineRule="auto"/>
        <w:rPr>
          <w:sz w:val="20"/>
          <w:szCs w:val="20"/>
          <w:color w:val="auto"/>
        </w:rPr>
      </w:pPr>
      <w:r>
        <w:rPr>
          <w:rFonts w:ascii="Arial" w:cs="Arial" w:eastAsia="Arial" w:hAnsi="Arial"/>
          <w:sz w:val="16"/>
          <w:szCs w:val="16"/>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00"/>
          </w:cols>
          <w:pgMar w:left="320" w:top="459" w:right="4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Book-entry and other indirect holders should consult their banks or brokers for information on how they will receive payments on their debt securities.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You will have rights if an Event of Default occurs in respect of the debt securities of your series and is not cured, as described later in this subsection.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term “Event of Default” in respect of the debt securities of your series means any of the following:</w:t>
      </w:r>
    </w:p>
    <w:p>
      <w:pPr>
        <w:spacing w:after="0" w:line="131" w:lineRule="exact"/>
        <w:rPr>
          <w:sz w:val="20"/>
          <w:szCs w:val="20"/>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on its due date;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do not deposit any sinking fund payment in respect of debt securities of the series on its due date;</w:t>
      </w:r>
    </w:p>
    <w:p>
      <w:pPr>
        <w:spacing w:after="0" w:line="130"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prospectus supplement occurs.</w:t>
      </w:r>
    </w:p>
    <w:p>
      <w:pPr>
        <w:spacing w:after="0" w:line="225"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Remedies if an Event of Default Occurs</w:t>
      </w:r>
    </w:p>
    <w:p>
      <w:pPr>
        <w:spacing w:after="0" w:line="117"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5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92"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76" w:lineRule="exact"/>
        <w:rPr>
          <w:sz w:val="20"/>
          <w:szCs w:val="20"/>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40"/>
          </w:cols>
          <w:pgMar w:left="320" w:top="459" w:right="5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 and</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60-day period.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However, you are entitled at any time to bring a lawsuit for the payment of money due on your debt securities on or after the due date.</w:t>
      </w:r>
    </w:p>
    <w:p>
      <w:pPr>
        <w:spacing w:after="0" w:line="233" w:lineRule="exact"/>
        <w:rPr>
          <w:sz w:val="20"/>
          <w:szCs w:val="20"/>
          <w:color w:val="auto"/>
        </w:rPr>
      </w:pPr>
    </w:p>
    <w:p>
      <w:pPr>
        <w:ind w:left="120" w:right="260" w:firstLine="551"/>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66"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Waiver of Default</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Merger or Consolidation</w:t>
      </w:r>
    </w:p>
    <w:p>
      <w:pPr>
        <w:spacing w:after="0" w:line="121" w:lineRule="exact"/>
        <w:rPr>
          <w:sz w:val="20"/>
          <w:szCs w:val="20"/>
          <w:color w:val="auto"/>
        </w:rPr>
      </w:pPr>
    </w:p>
    <w:p>
      <w:pPr>
        <w:ind w:left="120" w:right="420" w:firstLine="440"/>
        <w:spacing w:after="0" w:line="342" w:lineRule="auto"/>
        <w:rPr>
          <w:sz w:val="20"/>
          <w:szCs w:val="20"/>
          <w:color w:val="auto"/>
        </w:rPr>
      </w:pPr>
      <w:r>
        <w:rPr>
          <w:rFonts w:ascii="Arial" w:cs="Arial" w:eastAsia="Arial" w:hAnsi="Arial"/>
          <w:sz w:val="16"/>
          <w:szCs w:val="16"/>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29" w:lineRule="exact"/>
        <w:rPr>
          <w:sz w:val="20"/>
          <w:szCs w:val="20"/>
          <w:color w:val="auto"/>
        </w:rPr>
      </w:pPr>
    </w:p>
    <w:p>
      <w:pPr>
        <w:ind w:left="1080" w:right="160" w:hanging="424"/>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where we merge out of existence or sell our assets, the resulting entity must agree to be legally responsible for our obligations under the debt securities;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alternatively, we must be the surviving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we must satisfy any other requirements specified in the prospectus supplement relating to a particular series of debt securities.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or Waiver</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Changes Requiring Your Approval</w:t>
      </w:r>
    </w:p>
    <w:p>
      <w:pPr>
        <w:spacing w:after="0" w:line="11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First, there are changes that we cannot make to your debt securities without your specific approval. The following is a list of those types of changes:</w:t>
      </w:r>
    </w:p>
    <w:p>
      <w:pPr>
        <w:spacing w:after="0" w:line="76" w:lineRule="exact"/>
        <w:rPr>
          <w:sz w:val="20"/>
          <w:szCs w:val="20"/>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a debt security;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20"/>
          </w:cols>
          <w:pgMar w:left="320" w:top="459" w:right="5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change the place or currency of payment on a debt security (except as otherwise described in the prospectus or prospectus supplement);</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Changes Not Requiring Approval</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Changes Requiring Majority Approval</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131" w:lineRule="exact"/>
        <w:rPr>
          <w:sz w:val="20"/>
          <w:szCs w:val="20"/>
          <w:color w:val="auto"/>
        </w:rPr>
      </w:pPr>
    </w:p>
    <w:p>
      <w:pPr>
        <w:ind w:left="1080" w:right="160" w:hanging="424"/>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the change affects only one series of debt securities, it must be approved by the holders of a majority in principal amount of that series; and</w:t>
      </w:r>
    </w:p>
    <w:p>
      <w:pPr>
        <w:spacing w:after="0" w:line="75" w:lineRule="exact"/>
        <w:rPr>
          <w:rFonts w:ascii="Arial" w:cs="Arial" w:eastAsia="Arial" w:hAnsi="Arial"/>
          <w:sz w:val="18"/>
          <w:szCs w:val="18"/>
          <w:color w:val="auto"/>
        </w:rPr>
      </w:pPr>
    </w:p>
    <w:p>
      <w:pPr>
        <w:ind w:left="1080" w:hanging="424"/>
        <w:spacing w:after="0" w:line="342" w:lineRule="auto"/>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Securities—Modification or Waiver—Changes Requiring Your Approval.”</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Further Details Concerning Voting</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131" w:lineRule="exact"/>
        <w:rPr>
          <w:sz w:val="20"/>
          <w:szCs w:val="20"/>
          <w:color w:val="auto"/>
        </w:rPr>
      </w:pPr>
    </w:p>
    <w:p>
      <w:pPr>
        <w:ind w:left="1080" w:right="680" w:hanging="424"/>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for OID securities, we will use the principal amount that would be due and payable on the voting date if the maturity of these debt securities were accelerated to that date because of a default;</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22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Securities—Defeasance—Full Defeasance.” 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74" w:lineRule="exact"/>
        <w:rPr>
          <w:sz w:val="20"/>
          <w:szCs w:val="20"/>
          <w:color w:val="auto"/>
        </w:rPr>
      </w:pPr>
    </w:p>
    <w:p>
      <w:pPr>
        <w:ind w:left="120" w:firstLine="551"/>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Covenant Defeasance</w:t>
      </w:r>
    </w:p>
    <w:p>
      <w:pPr>
        <w:spacing w:after="0" w:line="117"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 Subordination” below. In order to achieve covenant defeasance, we must do the following:</w:t>
      </w:r>
    </w:p>
    <w:p>
      <w:pPr>
        <w:spacing w:after="0" w:line="82" w:lineRule="exact"/>
        <w:rPr>
          <w:sz w:val="20"/>
          <w:szCs w:val="20"/>
          <w:color w:val="auto"/>
        </w:rPr>
      </w:pPr>
    </w:p>
    <w:p>
      <w:pPr>
        <w:ind w:left="1080" w:right="80" w:hanging="424"/>
        <w:spacing w:after="0" w:line="286" w:lineRule="auto"/>
        <w:tabs>
          <w:tab w:leader="none" w:pos="10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w:t>
      </w:r>
    </w:p>
    <w:p>
      <w:pPr>
        <w:spacing w:after="0" w:line="70" w:lineRule="exact"/>
        <w:rPr>
          <w:rFonts w:ascii="Arial" w:cs="Arial" w:eastAsia="Arial" w:hAnsi="Arial"/>
          <w:sz w:val="17"/>
          <w:szCs w:val="17"/>
          <w:color w:val="auto"/>
        </w:rPr>
      </w:pPr>
    </w:p>
    <w:p>
      <w:pPr>
        <w:ind w:left="1080" w:right="60" w:hanging="424"/>
        <w:spacing w:after="0" w:line="263"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84"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124"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00"/>
          </w:cols>
          <w:pgMar w:left="320" w:top="459" w:right="4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Full Defeasance</w:t>
      </w:r>
    </w:p>
    <w:p>
      <w:pPr>
        <w:spacing w:after="0" w:line="117"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52" w:lineRule="exact"/>
        <w:rPr>
          <w:sz w:val="20"/>
          <w:szCs w:val="20"/>
          <w:color w:val="auto"/>
        </w:rPr>
      </w:pPr>
    </w:p>
    <w:p>
      <w:pPr>
        <w:ind w:left="1080" w:right="100" w:hanging="424"/>
        <w:spacing w:after="0" w:line="286" w:lineRule="auto"/>
        <w:tabs>
          <w:tab w:leader="none" w:pos="10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70" w:lineRule="exact"/>
        <w:rPr>
          <w:rFonts w:ascii="Arial" w:cs="Arial" w:eastAsia="Arial" w:hAnsi="Arial"/>
          <w:sz w:val="17"/>
          <w:szCs w:val="17"/>
          <w:color w:val="auto"/>
        </w:rPr>
      </w:pPr>
    </w:p>
    <w:p>
      <w:pPr>
        <w:ind w:left="1080" w:right="60" w:hanging="424"/>
        <w:spacing w:after="0" w:line="273" w:lineRule="auto"/>
        <w:tabs>
          <w:tab w:leader="none" w:pos="10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we may be required to deliver to the trustee a legal opinion confirming that there has been a change in current U.S. federal tax law or an Internal Revenue Service, or IRS,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w:t>
      </w:r>
    </w:p>
    <w:p>
      <w:pPr>
        <w:spacing w:after="0" w:line="83" w:lineRule="exact"/>
        <w:rPr>
          <w:rFonts w:ascii="Arial" w:cs="Arial" w:eastAsia="Arial" w:hAnsi="Arial"/>
          <w:sz w:val="17"/>
          <w:szCs w:val="17"/>
          <w:color w:val="auto"/>
        </w:rPr>
      </w:pPr>
    </w:p>
    <w:p>
      <w:pPr>
        <w:ind w:left="1080" w:right="360" w:hanging="424"/>
        <w:spacing w:after="0" w:line="308" w:lineRule="auto"/>
        <w:tabs>
          <w:tab w:leader="none" w:pos="10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we must deliver to the trustee a legal opinion of our counsel stating that the above deposit does not require registration by us under the 1940 Act and a legal opinion and officers’ certificate certifying compliance with all conditions precedent to defeasance.</w:t>
      </w:r>
    </w:p>
    <w:p>
      <w:pPr>
        <w:spacing w:after="0" w:line="146"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 for more information.</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registered debt securities cease to be issued in book-entry form, they will be issued:</w:t>
      </w:r>
    </w:p>
    <w:p>
      <w:pPr>
        <w:spacing w:after="0" w:line="131" w:lineRule="exact"/>
        <w:rPr>
          <w:sz w:val="20"/>
          <w:szCs w:val="20"/>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only in fully registered certificated form;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unless we indicate otherwise in the prospectus supplement, in denominations of $1,000 and amounts that are multiples of $1,000.</w:t>
      </w:r>
    </w:p>
    <w:p>
      <w:pPr>
        <w:spacing w:after="0" w:line="23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Holders may exchange their certificated securities for debt securities of smaller denominations or combined into fewer debt securities of larger denominations, as long as the total principal amount is not changed.</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84"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84"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88"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Resignation of Trustee</w:t>
      </w:r>
    </w:p>
    <w:p>
      <w:pPr>
        <w:spacing w:after="0" w:line="121"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Indenture Provisions—Subordination</w:t>
      </w:r>
    </w:p>
    <w:p>
      <w:pPr>
        <w:spacing w:after="0" w:line="12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9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9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131" w:lineRule="exact"/>
        <w:rPr>
          <w:sz w:val="20"/>
          <w:szCs w:val="20"/>
          <w:color w:val="auto"/>
        </w:rPr>
      </w:pPr>
    </w:p>
    <w:p>
      <w:pPr>
        <w:ind w:left="1080" w:right="360" w:hanging="424"/>
        <w:spacing w:after="0" w:line="279" w:lineRule="auto"/>
        <w:tabs>
          <w:tab w:leader="none" w:pos="10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76" w:lineRule="exact"/>
        <w:rPr>
          <w:rFonts w:ascii="Arial" w:cs="Arial" w:eastAsia="Arial" w:hAnsi="Arial"/>
          <w:sz w:val="17"/>
          <w:szCs w:val="17"/>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If this prospectus is being delivered in connection with the offering of a series of indenture securities denominated as subordinated debt securities, an accompanying prospectus supplement will set forth the approximate amount of our Senior Indebtedness outstanding as of a recent date.</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Trustee under the Indenture</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American Stock Transfer &amp; Trust Company, LLC is the trustee under the indenture. Mishmeret Trust Company, Ltd. serves as trustee for our 2023 Notes.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121" w:lineRule="exact"/>
        <w:rPr>
          <w:sz w:val="20"/>
          <w:szCs w:val="20"/>
          <w:color w:val="auto"/>
        </w:rPr>
      </w:pPr>
    </w:p>
    <w:p>
      <w:pPr>
        <w:ind w:left="120" w:right="480" w:firstLine="440"/>
        <w:spacing w:after="0" w:line="259" w:lineRule="auto"/>
        <w:rPr>
          <w:sz w:val="20"/>
          <w:szCs w:val="20"/>
          <w:color w:val="auto"/>
        </w:rPr>
      </w:pPr>
      <w:r>
        <w:rPr>
          <w:rFonts w:ascii="Arial" w:cs="Arial" w:eastAsia="Arial" w:hAnsi="Arial"/>
          <w:sz w:val="18"/>
          <w:szCs w:val="18"/>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00"/>
          </w:cols>
          <w:pgMar w:left="320" w:top="459" w:right="4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BROKERAGE ALLOCATIONS AND OTHER PRACTICES</w:t>
      </w:r>
    </w:p>
    <w:p>
      <w:pPr>
        <w:spacing w:after="0" w:line="22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us,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we will not necessarily pay the lowest spread or commission available. Subject to applicable legal requirements, the Investment Adviser may select a broker based partly upon brokerage or research services provided to the Investment Adviser and us and any other clients. In return for such services, we may pay a higher commission than other brokers would charge if the Investment Adviser determines in good faith that such commission is reasonable in relation to the services provided.</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20"/>
          </w:cols>
          <w:pgMar w:left="320" w:top="459" w:right="5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9"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persons that have a functional currency (as such term is defined in the Code) other than the U.S. dollar, tax-exempt organizations, insurance companies, dealers in securities, pension plans and trusts, and financial institutions. This summary assumes that investors hold our common stock as capital assets (as such term is defined in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IRS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131" w:lineRule="exact"/>
        <w:rPr>
          <w:sz w:val="20"/>
          <w:szCs w:val="20"/>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75"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trust, if a court in the United States has primary supervision over its administration and one or more U.S. persons have the authority to control all substantial decisions of the trust, or the trust has a valid election in effect under applicable U.S. Treasury regulations to be treated as a U.S. person; or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w:t>
      </w:r>
    </w:p>
    <w:p>
      <w:pPr>
        <w:spacing w:after="0" w:line="22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A “Non-U.S. stockholder” is a beneficial owner of shares of our common stock that is neither a U.S. stockholder nor a partnership for U.S. federal income tax purposes.</w:t>
      </w:r>
    </w:p>
    <w:p>
      <w:pPr>
        <w:spacing w:after="0" w:line="170"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87" w:lineRule="exact"/>
        <w:rPr>
          <w:sz w:val="20"/>
          <w:szCs w:val="20"/>
          <w:color w:val="auto"/>
        </w:rPr>
      </w:pPr>
    </w:p>
    <w:p>
      <w:pPr>
        <w:jc w:val="both"/>
        <w:ind w:left="120" w:right="120" w:firstLine="440"/>
        <w:spacing w:after="0" w:line="259"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U.S. federal, state, local and foreign tax laws, eligibility for the benefits of any applicable tax treaty and the effect of any possible changes in the tax laws.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in Connection with Holding Securities other than our Common Stock</w:t>
      </w:r>
    </w:p>
    <w:p>
      <w:pPr>
        <w:spacing w:after="0" w:line="121"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OID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Election to be Treated as a RIC</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(as described below). We also must annually distribute dividends for U.S. federal income tax purposes to our stockholders of an amount generally at least equal to 90% of the sum of our ordinary income and realized net short-term capital gains in excess of realized net long-term capital losses, or investment company taxable income, and determined without regard to any deduction for dividends paid, out of the assets legally available for distribution, or the Annual Distribution Requirement.</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order to qualify as a RIC for federal income tax purposes, we must:</w:t>
      </w:r>
    </w:p>
    <w:p>
      <w:pPr>
        <w:spacing w:after="0" w:line="131" w:lineRule="exact"/>
        <w:rPr>
          <w:sz w:val="20"/>
          <w:szCs w:val="20"/>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maintain an election to be treated as a BDC under the 1940 Act at all times during each taxable year;</w:t>
      </w:r>
    </w:p>
    <w:p>
      <w:pPr>
        <w:spacing w:after="0" w:line="130"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diversify our holdings, or the Diversification Tests, so that at the end of each quarter of the taxable year:</w:t>
      </w:r>
    </w:p>
    <w:p>
      <w:pPr>
        <w:spacing w:after="0" w:line="130" w:lineRule="exact"/>
        <w:rPr>
          <w:rFonts w:ascii="Arial" w:cs="Arial" w:eastAsia="Arial" w:hAnsi="Arial"/>
          <w:sz w:val="18"/>
          <w:szCs w:val="18"/>
          <w:color w:val="auto"/>
        </w:rPr>
      </w:pPr>
    </w:p>
    <w:p>
      <w:pPr>
        <w:jc w:val="both"/>
        <w:ind w:left="1540" w:right="240" w:hanging="439"/>
        <w:spacing w:after="0" w:line="263" w:lineRule="auto"/>
        <w:tabs>
          <w:tab w:leader="none" w:pos="15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89" w:lineRule="exact"/>
        <w:rPr>
          <w:rFonts w:ascii="Arial" w:cs="Arial" w:eastAsia="Arial" w:hAnsi="Arial"/>
          <w:sz w:val="18"/>
          <w:szCs w:val="18"/>
          <w:color w:val="auto"/>
        </w:rPr>
      </w:pPr>
    </w:p>
    <w:p>
      <w:pPr>
        <w:ind w:left="1540" w:hanging="439"/>
        <w:spacing w:after="0" w:line="286" w:lineRule="auto"/>
        <w:tabs>
          <w:tab w:leader="none" w:pos="1540" w:val="left"/>
        </w:tabs>
        <w:numPr>
          <w:ilvl w:val="1"/>
          <w:numId w:val="69"/>
        </w:numPr>
        <w:rPr>
          <w:rFonts w:ascii="Arial" w:cs="Arial" w:eastAsia="Arial" w:hAnsi="Arial"/>
          <w:sz w:val="17"/>
          <w:szCs w:val="17"/>
          <w:color w:val="auto"/>
        </w:rPr>
      </w:pPr>
      <w:r>
        <w:rPr>
          <w:rFonts w:ascii="Arial" w:cs="Arial" w:eastAsia="Arial" w:hAnsi="Arial"/>
          <w:sz w:val="17"/>
          <w:szCs w:val="17"/>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165"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taxed as a RIC, in order to provide us with additional liquidity.</w:t>
      </w:r>
    </w:p>
    <w:p>
      <w:pPr>
        <w:spacing w:after="0" w:line="192"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While we intend to make sufficient distributions each taxable year to avoid incurring any material U.S. federal excise tax on our earnings, we may not be able to, or may choose not to, distribute amounts sufficient to avoid the imposition of the tax entirely. In that event, we generally will be liable for the excise tax only on the amount by which we do not meet the Excise Tax Avoidance Requirement. Under certain circumstances, however, we may, in our sole discretion, determine that it is in our best interests to retain a portion of our income or capital gains rather than distribute such amount as dividends and accordingly cause us to bear the excise tax burden associated therewith.</w:t>
      </w:r>
    </w:p>
    <w:p>
      <w:pPr>
        <w:spacing w:after="0" w:line="176"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We may invest in partnerships which may result in our being subject to additional state, local or foreign income, franchise or other tax liabilities. In addition, some of the income and fees that we may recognize will not satisfy the 90% Income Test. In order to mitigate the risk that such income and fees would disqualify us as a RIC as a result of a failure to satisfy the 90% Income Test, we may be required to recognize such income and fees indirectly through the Taxable Subsidiary, which is classified as a corporation for U.S. federal income tax</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purposes. The Taxable Subsidiary generally will be subject to corporate income taxes on its earnings, which ultimately will reduce our return on such income and fees.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as a RIC</w:t>
      </w:r>
    </w:p>
    <w:p>
      <w:pPr>
        <w:spacing w:after="0" w:line="121"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If we qualify as a RIC, and satisfy the Annual Distribution Requirement, then we will not be subject to federal income tax on the portion of our investment company taxable income and net capital gains, determined without regard to any deduction for dividends paid, we distribute (or are deemed to distribute) as dividends for U.S. federal income tax purposes to stockholders. Additionally, upon satisfying these requirements, we will be subject to U.S. federal income tax at the regular corporate rates on any investment company taxable income or net capital gains, determined without regard to any deduction for dividends paid, that is not distributed (or not deemed to have been distributed) as dividends for U.S. federal income tax purposes to our stockholders.</w:t>
      </w:r>
    </w:p>
    <w:p>
      <w:pPr>
        <w:spacing w:after="0" w:line="192"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may be required to recognize taxable income in circumstances in which we do not receive cash. For example, if we hold a debt instrument that is treated under applicable tax rules as having OID (such as debt instruments with PIK interest or, in certain cases, increasing interest rates or issued with warrants), we must include in income each taxable year a portion of the OID that accrues over the life of the debt instrument, regardless of whether cash representing such income is received by us in the same taxable year. Because any OID accrued will be included in our investment company taxable income in the taxable year of accrual, we may be required to make a distribution to our stockholders in order to satisfy the Annual Distribution Requirement, even though we will not have received any corresponding cash amount.</w:t>
      </w:r>
    </w:p>
    <w:p>
      <w:pPr>
        <w:spacing w:after="0" w:line="178"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We invest in below investment grade instruments. Investments in these types of instruments may present special tax issues for us. U.S. federal income tax rules are not entirely clear about issues such as when we may cease to accrue interest, OID or market discount, when and to what extent deductions may be taken for bad debts or worthless debt instruments, how payments received on obligations in default should be allocated between principal and income and whether exchanges of debt instruments in a bankruptcy or workout context are taxable. We will address these and other issues to the extent necessary in order to continue to maintain our qualification to be subject to tax as a RIC.</w:t>
      </w:r>
    </w:p>
    <w:p>
      <w:pPr>
        <w:spacing w:after="0" w:line="176"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Gain or loss realized by us from equity securities and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184"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We are authorized to borrow funds and to sell assets in order to satisfy our Annual Distribution Requirement or the Excise Tax Avoidance Requirement. However, under the 1940 Act, we are not permitted to make distributions to our stockholders while our debt instruments and other senior securities are outstanding unless certain asset coverage requirements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78" w:lineRule="exact"/>
        <w:rPr>
          <w:sz w:val="20"/>
          <w:szCs w:val="20"/>
          <w:color w:val="auto"/>
        </w:rPr>
      </w:pPr>
    </w:p>
    <w:p>
      <w:pPr>
        <w:ind w:left="120" w:right="180" w:firstLine="440"/>
        <w:spacing w:after="0" w:line="296" w:lineRule="auto"/>
        <w:rPr>
          <w:sz w:val="20"/>
          <w:szCs w:val="20"/>
          <w:color w:val="auto"/>
        </w:rPr>
      </w:pPr>
      <w:r>
        <w:rPr>
          <w:rFonts w:ascii="Arial" w:cs="Arial" w:eastAsia="Arial" w:hAnsi="Arial"/>
          <w:sz w:val="16"/>
          <w:szCs w:val="16"/>
          <w:color w:val="auto"/>
        </w:rPr>
        <w:t>We may distribute our common stock as a dividend from our taxable income and a stockholder could receive a portion of such distributions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and distributed by us would be taxable income to a stockholder even though only a small portion of the dividend was paid in cash to pay any taxes due on the total dividend. We have not yet elected to distribute stock as a dividend but reserve the right to do so.</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Failure to Qualify as a RIC</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If we fail to satisfy the Annual Distribution Requirement or fail to qualify as a RIC in any taxable year, unless certain cure provisions of the Code apply, we will be subject to tax in that taxable year on all of our taxable income at regular corporate tax rates, regardless of whether we make any dividend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Treated as a RIC” above for more information.</w:t>
      </w:r>
    </w:p>
    <w:p>
      <w:pPr>
        <w:spacing w:after="0" w:line="188"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If we are unable to maintain our status as a RIC, we also would not be able to deduct distributions to stockholders, nor would distributions be required to be made. Distributions would generally be taxable as dividends to our stockholders as ordinary dividend income to the extent of our current and accumulated earnings and profits. Subject to certain limitations under the Code, U.S. non-corporate stockholders generally would be eligible to treat such dividends as “qualified dividend income,” which generally would be subject to reduced rates of U.S. federal income tax, and dividends paid by us to certain U.S.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 Moreover, if we fail to qualify as a RIC in any taxable year, to qualify again to be treated as a RIC for federal income tax purposes in a subsequent taxable year, we would be required to distribute our earnings and profits attributable to any of our non-RIC taxable years as dividends to our stockholders. In addition, if we fail to qualify as a RIC for a period greater than two consecutive taxable years, to qualify as a RIC in a subsequent taxable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taxable years.</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remainder of this discussion assumes that we qualify as a RIC and have satisfied the Annual Distribution Requirement.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U.S. Stockholders</w:t>
      </w:r>
    </w:p>
    <w:p>
      <w:pPr>
        <w:spacing w:after="0" w:line="121"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Distributions by us, including distributions where stockholders can elect to receive cash or stock, generally are taxable to U.S. stockholders as ordinary income or capital gains.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properly designated by us as “qualified dividend income,” such distributions generally will be eligible for a reduced U.S. federal income tax rate, if certain holding period and other requirements are satisfied. In this regard, it is anticipated that distributions paid by us will generally not be attributable to dividends and, therefore, generally will not qualify for the reduced U.S. federal income tax rate. Distributions of our net capital gains (which is generally our realized net long-term capital gains in excess of realized net short-term capital losses) properly reported by us as “capital gain dividends” will be taxable to a U.S. stockholder as long-term capital gains at a reduced rate in the case of individuals, trusts or estates, regardless of the U.S. stockholder’s holding period in such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7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Although we currently intend to distribute any long-term capital gains as capital gain dividends at least annually, we may in the future decide to retain some or all of our long-term capital gains, but designate the retained amount as a “deemed distribution.” In that case, among other consequences, we will be subject to tax on</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80"/>
          </w:cols>
          <w:pgMar w:left="320" w:top="459" w:right="49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retained amount, each U.S. stockholder will be required to include his, her or its share of the deemed distribution of net capital gains in income as if it had been actually distributed to the U.S. stockholder, and the U.S. stockholder will be entitled to claim a credit equal to his, her or its allocable share of the tax paid thereon by us. The amount of the deemed distribution of net capital gains net of such tax will be added to the U.S. stockholder’s tax basis for his, her or its common stock. Since we expect to be subject to tax on any retained capital gains at our regular corporate tax rate, and since that rate is currently in excess of the maximum rate generally payable by individuals on long-term capital gains, the amount of tax that individual stockholders will be treated as having paid and for which they will receive a credit generally will exceed the tax they owe on the retained net capital gain. Such excess generally may be claimed as a credit against the U.S. stockholder’s other U.S. federal income tax obligations or may be refunded to the extent it exceeds a stockholder’s liability for U.S. federal income tax. A stockholder that is not subject to U.S. federal income tax or otherwise required to file a U.S. federal income tax return would be required to file a U.S. federal income tax return on the appropriate form in order to claim a refund for the taxes we paid. In order to use the deemed distribution approach, we must provide written notice to our stockholders. We cannot treat any of our investment company taxable income as a “deemed distribution.”</w:t>
      </w:r>
    </w:p>
    <w:p>
      <w:pPr>
        <w:spacing w:after="0" w:line="182"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calendar year, will be treated as if it had been received by our U.S. stockholders on December 31 of the calendar year in which the distribution was declared.</w:t>
      </w:r>
    </w:p>
    <w:p>
      <w:pPr>
        <w:spacing w:after="0" w:line="164"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124"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A stockholder generally will recognize taxable gain or loss if the stockholder sells or otherwise disposes of his, her or its shares of our common stock. Any gain or loss arising from such sale or disposition generally will be treated as long-term capital gain or loss if the stockholder has held his, her or its shares for more than one year. Otherwise, such gain or loss will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66"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In general, individual U.S. stockholders currently are subject to a maximum federal income tax rate of 20% (depending on whether the stockholder’s income exceeds certain threshold amounts)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rate of 21%, also applied to ordinary income. Non-corporate stockholders with net capital losses for a taxable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taxable year, but may carryback such losses for three taxable years or carry forward such losses for five taxable years.</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80"/>
          </w:cols>
          <w:pgMar w:left="320" w:top="459" w:right="49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 3.8% Medicare tax is imposed on certain net investment income (including ordinary dividends and capital gain distributions received from us and net gains from redemptions or other taxable dispositions of our shares) of U.S. individuals and on the undistributed net investment income of certain estates and trusts to the extent that such person’s “modified adjusted gross income” (in the case of an individual) or “adjusted gross income” (in the case of an estate or trust) exceeds certain threshold amounts.</w:t>
      </w:r>
    </w:p>
    <w:p>
      <w:pPr>
        <w:spacing w:after="0" w:line="18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We (or if a U.S. stockholder holds our shares through an intermediary, such intermediary) will provide information to our U.S. stockholders, as promptly as possible after the end of each calendar year, detailing, on a per share and per distribution basis, the amounts includible in such U.S. stockholder’s taxable income for such year as ordinary income and as long-term capital gain. In addition, the federal tax status of each year’s distributions generally will be reported to the IRS (including the amount of distributions, if any, eligible for the preferential rate). Distributions may also be subject to additional state, local and foreign taxes depending on a U.S. stockholder’s particular situation.</w:t>
      </w:r>
    </w:p>
    <w:p>
      <w:pPr>
        <w:spacing w:after="0" w:line="176" w:lineRule="exact"/>
        <w:rPr>
          <w:sz w:val="20"/>
          <w:szCs w:val="20"/>
          <w:color w:val="auto"/>
        </w:rPr>
      </w:pPr>
    </w:p>
    <w:p>
      <w:pPr>
        <w:jc w:val="both"/>
        <w:ind w:left="120" w:right="420" w:firstLine="440"/>
        <w:spacing w:after="0" w:line="263" w:lineRule="auto"/>
        <w:rPr>
          <w:sz w:val="20"/>
          <w:szCs w:val="20"/>
          <w:color w:val="auto"/>
        </w:rPr>
      </w:pPr>
      <w:r>
        <w:rPr>
          <w:rFonts w:ascii="Arial" w:cs="Arial" w:eastAsia="Arial" w:hAnsi="Arial"/>
          <w:sz w:val="18"/>
          <w:szCs w:val="18"/>
          <w:color w:val="auto"/>
        </w:rPr>
        <w:t>The Code requires reporting of adjusted cost basis information for covered securities, which generally include shares of a RIC acquired after January 1, 2012, to the IRS and to taxpayers. Stockholders should contact their financial intermediaries with respect to reporting of cost basis and available elections for their accounts.</w:t>
      </w:r>
    </w:p>
    <w:p>
      <w:pPr>
        <w:spacing w:after="0" w:line="184"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A U.S. stockholder (other than an “exempt recipient,” including a “C” corporation and certain other persons who, when required, demonstrate their exempt status) may be subject to federal income tax withholding (“backup withholding”) at the applicable rate from all taxable distributions to any U.S. stockholder (1) who fails to furnish a correct taxpayer identification number or a certificate that such stockholder is exempt from backup withholding, or (2) 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Backup withholding is not an additional tax. Any amount withheld under backup withholding is allowed as a credit against the U.S. stockholder’s federal income tax liability and may entitle such stockholder to a refund, provided that proper information is timely provided to the IRS.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Non-U.S. Stockholders</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84" w:lineRule="exact"/>
        <w:rPr>
          <w:sz w:val="20"/>
          <w:szCs w:val="20"/>
          <w:color w:val="auto"/>
        </w:rPr>
      </w:pPr>
    </w:p>
    <w:p>
      <w:pPr>
        <w:ind w:left="120" w:right="160" w:firstLine="440"/>
        <w:spacing w:after="0" w:line="254" w:lineRule="auto"/>
        <w:rPr>
          <w:sz w:val="20"/>
          <w:szCs w:val="20"/>
          <w:color w:val="auto"/>
        </w:rPr>
      </w:pPr>
      <w:r>
        <w:rPr>
          <w:rFonts w:ascii="Arial" w:cs="Arial" w:eastAsia="Arial" w:hAnsi="Arial"/>
          <w:sz w:val="18"/>
          <w:szCs w:val="18"/>
          <w:color w:val="auto"/>
        </w:rPr>
        <w:t>Subject to the discussion below, distributions of our “investment company taxable income” to Non-U.S. stockholders (including interest income and net short-term capital gain) are generally expected to be subject to withholding of U.S. federal taxes at a 30% rate (or lower rate provided by an applicable treaty) to the extent of our current and accumulated earnings and profits. If the distributions are effectively connected with a U.S. trade or business of the Non-U.S. stockholder, we will not be required to withhold U.S. federal tax if the Non-U.S. stockholder complies with applicable certification and disclosure requirements, although the distributions will be subject to U.S. federal income tax at the rates applicable to U.S. persons. Special certification requirements apply to a Non-U.S. stockholder that is a foreign partnership or a foreign trust, and such entities are urged to consult their own tax advisors. Backup withholding will not be applied to payments that have been subject to the 30% (or lower applicable treaty rate) withholding tax described in this paragraph.</w:t>
      </w:r>
    </w:p>
    <w:p>
      <w:pPr>
        <w:spacing w:after="0" w:line="192" w:lineRule="exact"/>
        <w:rPr>
          <w:sz w:val="20"/>
          <w:szCs w:val="20"/>
          <w:color w:val="auto"/>
        </w:rPr>
      </w:pPr>
    </w:p>
    <w:p>
      <w:pPr>
        <w:ind w:left="120" w:right="520" w:firstLine="440"/>
        <w:spacing w:after="0" w:line="301" w:lineRule="auto"/>
        <w:rPr>
          <w:sz w:val="20"/>
          <w:szCs w:val="20"/>
          <w:color w:val="auto"/>
        </w:rPr>
      </w:pPr>
      <w:r>
        <w:rPr>
          <w:rFonts w:ascii="Arial" w:cs="Arial" w:eastAsia="Arial" w:hAnsi="Arial"/>
          <w:sz w:val="16"/>
          <w:szCs w:val="16"/>
          <w:color w:val="auto"/>
        </w:rPr>
        <w:t>In addition, with respect to certain distributions made by RICs to Non-U.S. Stockholders, no withholding is required and the distributions generally are not subject to U.S. federal income tax if (i) the distributions are properly reported in a notice timely delivered to our stockholders as “interest-related dividends” or “short-term capital gain dividends,” (ii) the distributions are derived from sources specified in the Code for such dividends and (iii) certain other requirements are satisfied. Nevertheless, it should be noted that in the case of shares of our</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00"/>
          </w:cols>
          <w:pgMar w:left="320" w:top="459" w:right="4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stock held through an intermediary, the intermediary may have withheld U.S. federal income tax even if we designated the payment as an interest-related dividend or as a short-term capital gain dividend. Moreover, depending on the circumstances, we may designate all, some or none of our potentially eligible dividends as ineligible for this exemption from withholding.</w:t>
      </w:r>
    </w:p>
    <w:p>
      <w:pPr>
        <w:spacing w:after="0" w:line="184"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(i) the distributions or gains, as the case may be, are effectively connected with a U.S. trade or business of the Non-U.S. stockholder and, if an income tax treaty applies, are attributable to a permanent establishment maintained by the Non-U.S. stockholder in the United States or (ii) in the case of an individual stockholder, the stockholder is present in the United States for a period or periods aggregating 183 days or more during the year of the sale or the receipt of the distributions or gains and certain other conditions are met.</w:t>
      </w:r>
    </w:p>
    <w:p>
      <w:pPr>
        <w:spacing w:after="0" w:line="178"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We are required to withhold U.S. tax (at a 30% rate) on payments of taxable dividends made to certain non-U.S. entities that fail to comply (or be deemed compliant) with extensive reporting and withholding requirements designed to inform the U.S. Department of the Treasury of U.S.-owned foreign investment accounts. Stockholders may be requested to provide additional information to the withholding agents to enable the withholding agents to determine whether withholding is required. A non-U.S. stockholder may be exempt from the withholding described in this paragraph under an applicable intergovernmental agreement between the U.S. and a foreign government, provided that the non-U.S. stockholder and the applicable foreign government comply with the terms of such agreement.</w:t>
      </w:r>
    </w:p>
    <w:p>
      <w:pPr>
        <w:spacing w:after="0" w:line="192" w:lineRule="exact"/>
        <w:rPr>
          <w:sz w:val="20"/>
          <w:szCs w:val="20"/>
          <w:color w:val="auto"/>
        </w:rPr>
      </w:pPr>
    </w:p>
    <w:p>
      <w:pPr>
        <w:ind w:left="120" w:right="180" w:firstLine="440"/>
        <w:spacing w:after="0" w:line="271" w:lineRule="auto"/>
        <w:rPr>
          <w:sz w:val="20"/>
          <w:szCs w:val="20"/>
          <w:color w:val="auto"/>
        </w:rPr>
      </w:pPr>
      <w:r>
        <w:rPr>
          <w:rFonts w:ascii="Arial" w:cs="Arial" w:eastAsia="Arial" w:hAnsi="Arial"/>
          <w:sz w:val="17"/>
          <w:szCs w:val="17"/>
          <w:color w:val="auto"/>
        </w:rPr>
        <w:t>If we distribute our net capital gains in the form of deemed rather than actual distributions (which we may do in the future), a Non-U.S. stockholder will be entitled to claim a U.S. federal income tax credit or tax refund equal to the stockholder’s allocable share of the tax we pay on the capital gains deemed to have been distributed. In order to obtain the refund, the Non-U.S. stockholder would be required to obtain a U.S. taxpayer identification number and file a U.S. federal income tax return even if the Non-U.S. stockholder would not otherwise be required to obtain a U.S. taxpayer identification number or file a U.S.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of our common stock may not be appropriate for a Non-U.S. stockholder.</w:t>
      </w:r>
    </w:p>
    <w:p>
      <w:pPr>
        <w:spacing w:after="0" w:line="178"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A Non-U.S. stockholder who is a non-resident alien individual, and who is otherwise subject to withholding of federal income tax, may be subject to information reporting and backup withholding of federal income tax on distributions unless the Non-U.S. stockholder provides us or the distribution paying agent with an IRS Form W-8BEN, IRS Form W-8BEN-E, or an acceptable substitute form, or otherwise meets documentary evidence requirements for establishing that it is a Non-U.S. stockholder or otherwise establishes an exemption from backup withholding.</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Non-U.S. stockholders may also be subject to U.S. estate tax with respect to their investment in our common shares.</w:t>
      </w:r>
    </w:p>
    <w:p>
      <w:pPr>
        <w:spacing w:after="0" w:line="225"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40"/>
          </w:cols>
          <w:pgMar w:left="320" w:top="459" w:right="4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We may sell the securities in any of three ways (or in any combination): (a) through underwriters or dealers; (b) directly to a limited number of purchasers or to a single purchaser; or (c) through agents. The securities may be sold “at-the-market” to or through a market maker or into an existing trading market for the securities, on an exchange or otherwise. The prospectus supplement will set forth the terms of the offering of such securities, including:</w:t>
      </w:r>
    </w:p>
    <w:p>
      <w:pPr>
        <w:spacing w:after="0" w:line="92" w:lineRule="exact"/>
        <w:rPr>
          <w:sz w:val="20"/>
          <w:szCs w:val="20"/>
          <w:color w:val="auto"/>
        </w:rPr>
      </w:pPr>
    </w:p>
    <w:p>
      <w:pPr>
        <w:ind w:left="1080" w:hanging="424"/>
        <w:spacing w:after="0"/>
        <w:tabs>
          <w:tab w:leader="none" w:pos="10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name or names of any underwriters, dealers or agents and the amounts of securities underwritten or purchased by each of them;</w:t>
      </w:r>
    </w:p>
    <w:p>
      <w:pPr>
        <w:spacing w:after="0" w:line="142" w:lineRule="exact"/>
        <w:rPr>
          <w:rFonts w:ascii="Arial" w:cs="Arial" w:eastAsia="Arial" w:hAnsi="Arial"/>
          <w:sz w:val="17"/>
          <w:szCs w:val="17"/>
          <w:color w:val="auto"/>
        </w:rPr>
      </w:pPr>
    </w:p>
    <w:p>
      <w:pPr>
        <w:ind w:left="1080" w:right="180" w:hanging="424"/>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offering price of the securities and the proceeds to us and any discounts, commissions or concessions allowed or reallowed or paid to dealers;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Any offering price and any discounts or concessions allowed or reallowed or paid to dealers may be changed from time to time.</w:t>
      </w:r>
    </w:p>
    <w:p>
      <w:pPr>
        <w:spacing w:after="0" w:line="22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may offer our shares of common stock in a public offering at-the-market to a select group of investors, in which case a stockholder may not be able to participate in such offering and a stockholder will experience dilution unless the stockholder purchases additional shares of our common stock in the secondary market at the same or lower price.</w:t>
      </w:r>
    </w:p>
    <w:p>
      <w:pPr>
        <w:spacing w:after="0" w:line="184"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76"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10% of the aggregate offering price of the securities as set forth on the cover page of the supplement to this prospectus.</w:t>
      </w:r>
    </w:p>
    <w:p>
      <w:pPr>
        <w:spacing w:after="0" w:line="184"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124"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 Agents and underwriters may be entitled to indemnification by us against certain civil liabilities, including liabilities under the Securities Act, or to contribution with respect to payments which the agents or underwriters may be required to make in respect thereof. Agents and underwriters may be customers of, engage in transactions with, or perform services for us in the ordinary course of business. 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00"/>
          </w:cols>
          <w:pgMar w:left="320" w:top="459" w:right="4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80"/>
          </w:cols>
          <w:pgMar w:left="320" w:top="459" w:right="49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SUB-ADMINISTRATOR, CUSTODIAN, TRANSFER AGENT AND TRUSTEE</w:t>
      </w:r>
    </w:p>
    <w:p>
      <w:pPr>
        <w:spacing w:after="0" w:line="229"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BNY Mellon Investment Servicing (US) Inc., a subsidiary of The Bank of New York Mellon, provides administrative and accounting services to us under a sub-administration and accounting services agreement. The Bank of New York Mellon provides custodian services to us pursuant to a custodian services agreement. The principal business address of The Bank of New York Mellon is 240 Greenwich Street, New York, NY 10286. American Stock Transfer &amp; Trust Company, LLC acts as our transfer agent, distribution paying agent and registrar. The principal business address of American Stock Transfer &amp; Trust Company, LLC is 6201 15</w:t>
      </w:r>
      <w:r>
        <w:rPr>
          <w:rFonts w:ascii="Arial" w:cs="Arial" w:eastAsia="Arial" w:hAnsi="Arial"/>
          <w:sz w:val="13"/>
          <w:szCs w:val="13"/>
          <w:color w:val="auto"/>
        </w:rPr>
        <w:t>th</w:t>
      </w:r>
      <w:r>
        <w:rPr>
          <w:rFonts w:ascii="Arial" w:cs="Arial" w:eastAsia="Arial" w:hAnsi="Arial"/>
          <w:sz w:val="16"/>
          <w:szCs w:val="16"/>
          <w:color w:val="auto"/>
        </w:rPr>
        <w:t xml:space="preserve"> Avenue, 3</w:t>
      </w:r>
      <w:r>
        <w:rPr>
          <w:rFonts w:ascii="Arial" w:cs="Arial" w:eastAsia="Arial" w:hAnsi="Arial"/>
          <w:sz w:val="13"/>
          <w:szCs w:val="13"/>
          <w:color w:val="auto"/>
        </w:rPr>
        <w:t>rd</w:t>
      </w:r>
      <w:r>
        <w:rPr>
          <w:rFonts w:ascii="Arial" w:cs="Arial" w:eastAsia="Arial" w:hAnsi="Arial"/>
          <w:sz w:val="16"/>
          <w:szCs w:val="16"/>
          <w:color w:val="auto"/>
        </w:rPr>
        <w:t xml:space="preserve"> floor, Brooklyn, NY 11219, telephone number: (800) 937-5449. American Stock Transfer &amp; Trust Company, LLC may also serve as trustee for offerings of our debt securities. Mishmeret Trust Company, Ltd. serves as trustee for our 2023 Notes. The principal business address of Mishmeret Trust Company, Ltd. is 46-48 Menachem Begin Road, Tel Aviv, Israel 66184.</w:t>
      </w:r>
    </w:p>
    <w:p>
      <w:pPr>
        <w:spacing w:after="0" w:line="27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Certain legal matters regarding the securities offered by this prospectus will be passed upon for us by Dechert LLP, Washington, D.C., and by Venable LLP, as Maryland counsel. Certain legal matters will be passed upon for underwriters, if any, by the counsel named in the prospectus supplement, if any.</w:t>
      </w:r>
    </w:p>
    <w:p>
      <w:pPr>
        <w:spacing w:after="0" w:line="28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2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Our current independent registered public accounting firm, RSM US LLP, located at 151 West 42nd Street, New York, NY 10036, has audited the consolidated financial statements of the Company as of September 30, 2019 and 2018 and for each of the years in the three-year period ended September 30, 2019 and the effectiveness of internal control over financial reporting as of September 30, 2019 incorporated in this Prospectus by reference from the Company’s Annual Report on Form 10-K for the year ended September 30, 2019, as stated in their reports thereon incorporated herein by reference, and have been incorporated and included in this Prospectus and Registration Statement in reliance upon such reports and upon the authority of such firm as experts in accounting and auditing. The senior securities table of the Company included in this Prospectus and elsewhere in the Registration Statement has been included in reliance upon the report of RSM US LLP, an independent registered public accounting firm, as stated in their report filed as an exhibit to the Registration Statement of which this Prospectus is part.</w:t>
      </w:r>
    </w:p>
    <w:p>
      <w:pPr>
        <w:spacing w:after="0" w:line="28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This prospectus is part of a registration statement that we have filed with the SEC. Pursuant to the Small Business Credit Availability Act, or SBCAA, we are allowed to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document.</w:t>
      </w:r>
    </w:p>
    <w:p>
      <w:pPr>
        <w:spacing w:after="0" w:line="187" w:lineRule="exact"/>
        <w:rPr>
          <w:sz w:val="20"/>
          <w:szCs w:val="20"/>
          <w:color w:val="auto"/>
        </w:rPr>
      </w:pPr>
    </w:p>
    <w:p>
      <w:pPr>
        <w:ind w:left="120" w:right="160" w:firstLine="440"/>
        <w:spacing w:after="0" w:line="272" w:lineRule="auto"/>
        <w:rPr>
          <w:sz w:val="20"/>
          <w:szCs w:val="20"/>
          <w:color w:val="auto"/>
        </w:rPr>
      </w:pPr>
      <w:r>
        <w:rPr>
          <w:rFonts w:ascii="Arial" w:cs="Arial" w:eastAsia="Arial" w:hAnsi="Arial"/>
          <w:sz w:val="17"/>
          <w:szCs w:val="17"/>
          <w:color w:val="auto"/>
        </w:rPr>
        <w:t>We incorporate by reference into this prospectus additional documents that we may file with the SEC under Section 13(a), 13(c), 14 or 15(d) of the Exchange Act until all of the securities offered by this prospectus and any accompanying prospectus supplement have been sold or we otherwise terminate the offering of these securities, including all such documents we may file with the SEC after the date of the initial registration statement and prior to the effectiveness of the registration statement; provided, however, that information “furnished” under Item 2.02 or Item 7.01 of Form 8-K or other information “furnished” to the SEC which is not deemed filed is not incorporated by reference in this prospectus and any accompanying prospectus supplement. Information that we file with the SEC will automatically update and may supersede information in this prospectus, any accompanying prospectus supplement, and information previously filed with the SEC.</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80"/>
          </w:cols>
          <w:pgMar w:left="320" w:top="459" w:right="49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This prospectus and any prospectus supplement incorporates by reference the documents set forth below that have previously been filed with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w:t>
      </w:r>
    </w:p>
    <w:p>
      <w:pPr>
        <w:spacing w:after="0" w:line="116" w:lineRule="exact"/>
        <w:rPr>
          <w:sz w:val="20"/>
          <w:szCs w:val="20"/>
          <w:color w:val="auto"/>
        </w:rPr>
      </w:pPr>
    </w:p>
    <w:p>
      <w:pPr>
        <w:jc w:val="both"/>
        <w:ind w:left="1080" w:right="120" w:hanging="424"/>
        <w:spacing w:after="0" w:line="263"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166">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fiscal year ended September 30, 2019, filed with the SEC on November 20, 2019, including the information specifically incorporated by reference to the Form 10-K from our Definitive Proxy Statement on </w:t>
      </w:r>
      <w:hyperlink r:id="rId167">
        <w:r>
          <w:rPr>
            <w:rFonts w:ascii="Arial" w:cs="Arial" w:eastAsia="Arial" w:hAnsi="Arial"/>
            <w:sz w:val="18"/>
            <w:szCs w:val="18"/>
            <w:u w:val="single" w:color="auto"/>
            <w:color w:val="0000EE"/>
          </w:rPr>
          <w:t>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December 17, 2019; and</w:t>
      </w:r>
    </w:p>
    <w:p>
      <w:pPr>
        <w:spacing w:after="0" w:line="89"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referenced in our Registration Statement on </w:t>
      </w:r>
      <w:hyperlink r:id="rId168">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(No. 001-35127), as filed with the SEC on April 7, 2011, including any amendment or report filed for the purpose of updating such description prior to the termination of the offering of the common stock registered hereby.</w:t>
      </w:r>
    </w:p>
    <w:p>
      <w:pPr>
        <w:spacing w:after="0" w:line="184" w:lineRule="exact"/>
        <w:rPr>
          <w:rFonts w:ascii="Arial" w:cs="Arial" w:eastAsia="Arial" w:hAnsi="Arial"/>
          <w:sz w:val="18"/>
          <w:szCs w:val="18"/>
          <w:color w:val="auto"/>
        </w:rPr>
      </w:pPr>
    </w:p>
    <w:p>
      <w:pPr>
        <w:ind w:left="560"/>
        <w:spacing w:after="0"/>
        <w:rPr>
          <w:sz w:val="20"/>
          <w:szCs w:val="20"/>
          <w:color w:val="auto"/>
        </w:rPr>
      </w:pPr>
      <w:r>
        <w:rPr>
          <w:rFonts w:ascii="Arial" w:cs="Arial" w:eastAsia="Arial" w:hAnsi="Arial"/>
          <w:sz w:val="18"/>
          <w:szCs w:val="18"/>
          <w:color w:val="auto"/>
        </w:rPr>
        <w:t>To obtain copies of these filings, see “Available Information.”</w:t>
      </w:r>
    </w:p>
    <w:p>
      <w:pPr>
        <w:spacing w:after="0" w:line="32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rFonts w:ascii="Arial" w:cs="Arial" w:eastAsia="Arial" w:hAnsi="Arial"/>
          <w:sz w:val="18"/>
          <w:szCs w:val="18"/>
          <w:color w:val="auto"/>
        </w:rPr>
      </w:pPr>
    </w:p>
    <w:p>
      <w:pPr>
        <w:ind w:left="120" w:firstLine="440"/>
        <w:spacing w:after="0" w:line="272" w:lineRule="auto"/>
        <w:rPr>
          <w:sz w:val="20"/>
          <w:szCs w:val="20"/>
          <w:color w:val="auto"/>
        </w:rPr>
      </w:pPr>
      <w:r>
        <w:rPr>
          <w:rFonts w:ascii="Arial" w:cs="Arial" w:eastAsia="Arial" w:hAnsi="Arial"/>
          <w:sz w:val="17"/>
          <w:szCs w:val="17"/>
          <w:color w:val="auto"/>
        </w:rPr>
        <w:t xml:space="preserve">We file with or submit to the SEC annual, quarterly and current periodic reports, proxy statements and other information meeting the informational requirements of the Exchange Act. This information is available free of charge by calling us collect at (212) 905-1000 or on our website at </w:t>
      </w:r>
      <w:r>
        <w:rPr>
          <w:rFonts w:ascii="Arial" w:cs="Arial" w:eastAsia="Arial" w:hAnsi="Arial"/>
          <w:sz w:val="17"/>
          <w:szCs w:val="17"/>
          <w:i w:val="1"/>
          <w:iCs w:val="1"/>
          <w:u w:val="single" w:color="auto"/>
          <w:color w:val="auto"/>
        </w:rPr>
        <w:t>www.pennantpark.com</w:t>
      </w:r>
      <w:r>
        <w:rPr>
          <w:rFonts w:ascii="Arial" w:cs="Arial" w:eastAsia="Arial" w:hAnsi="Arial"/>
          <w:sz w:val="17"/>
          <w:szCs w:val="17"/>
          <w:color w:val="auto"/>
        </w:rPr>
        <w:t>. Except for the documents incorporated by reference into this prospectus and any accompanying prospectus supplement,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information on our website is not part of this prospectus or any accompanying prospectus supplement. The SEC maintains an Internet website that contains reports, proxy and information statements and other information filed electronically by us with the SEC which are available free of charge on the SEC’s Internet website at </w:t>
      </w:r>
      <w:r>
        <w:rPr>
          <w:rFonts w:ascii="Arial" w:cs="Arial" w:eastAsia="Arial" w:hAnsi="Arial"/>
          <w:sz w:val="17"/>
          <w:szCs w:val="17"/>
          <w:i w:val="1"/>
          <w:iCs w:val="1"/>
          <w:u w:val="single" w:color="auto"/>
          <w:color w:val="auto"/>
        </w:rPr>
        <w:t>www.sec.gov</w:t>
      </w:r>
      <w:r>
        <w:rPr>
          <w:rFonts w:ascii="Arial" w:cs="Arial" w:eastAsia="Arial" w:hAnsi="Arial"/>
          <w:sz w:val="17"/>
          <w:szCs w:val="17"/>
          <w:color w:val="auto"/>
        </w:rPr>
        <w:t>. Copies of these reports, proxy and information statements and other information may be obtained, after paying a duplicating fee, by sending a request by email to: publicinfo@sec.gov.</w:t>
      </w:r>
    </w:p>
    <w:p>
      <w:pPr>
        <w:spacing w:after="0" w:line="110"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00"/>
          </w:cols>
          <w:pgMar w:left="320" w:top="459" w:right="4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0">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282575</wp:posOffset>
            </wp:positionV>
            <wp:extent cx="699516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634365</wp:posOffset>
            </wp:positionV>
            <wp:extent cx="2219960" cy="514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2">
                      <a:extLst>
                        <a:ext uri="{28A0092B-C50C-407E-A947-70E740481C1C}"/>
                      </a:extLst>
                    </a:blip>
                    <a:srcRect/>
                    <a:stretch>
                      <a:fillRect/>
                    </a:stretch>
                  </pic:blipFill>
                  <pic:spPr bwMode="auto">
                    <a:xfrm>
                      <a:off x="0" y="0"/>
                      <a:ext cx="221996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99"/>
        <w:spacing w:after="0"/>
        <w:rPr>
          <w:sz w:val="20"/>
          <w:szCs w:val="20"/>
          <w:color w:val="auto"/>
        </w:rPr>
      </w:pPr>
      <w:r>
        <w:rPr>
          <w:rFonts w:ascii="Arial" w:cs="Arial" w:eastAsia="Arial" w:hAnsi="Arial"/>
          <w:sz w:val="29"/>
          <w:szCs w:val="29"/>
          <w:b w:val="1"/>
          <w:bCs w:val="1"/>
          <w:color w:val="auto"/>
        </w:rPr>
        <w:t>$85,000,000</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4.25% Notes due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1349375</wp:posOffset>
            </wp:positionV>
            <wp:extent cx="14744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99"/>
        <w:spacing w:after="0"/>
        <w:rPr>
          <w:sz w:val="20"/>
          <w:szCs w:val="20"/>
          <w:color w:val="auto"/>
        </w:rPr>
      </w:pPr>
      <w:r>
        <w:rPr>
          <w:rFonts w:ascii="Arial" w:cs="Arial" w:eastAsia="Arial" w:hAnsi="Arial"/>
          <w:sz w:val="21"/>
          <w:szCs w:val="21"/>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241300</wp:posOffset>
            </wp:positionV>
            <wp:extent cx="147447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Joint Book-Running Managers</w:t>
      </w:r>
    </w:p>
    <w:p>
      <w:pPr>
        <w:sectPr>
          <w:pgSz w:w="11900" w:h="16838" w:orient="portrait"/>
          <w:cols w:equalWidth="0" w:num="1">
            <w:col w:w="11140"/>
          </w:cols>
          <w:pgMar w:left="320" w:top="459" w:right="439" w:bottom="1440" w:gutter="0" w:footer="0" w:header="0"/>
        </w:sectPr>
      </w:pPr>
    </w:p>
    <w:p>
      <w:pPr>
        <w:spacing w:after="0" w:line="243"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Goldman Sachs &amp; Co. LLC</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jc w:val="center"/>
        <w:ind w:right="760"/>
        <w:spacing w:after="0"/>
        <w:rPr>
          <w:sz w:val="20"/>
          <w:szCs w:val="20"/>
          <w:color w:val="auto"/>
        </w:rPr>
      </w:pPr>
      <w:r>
        <w:rPr>
          <w:rFonts w:ascii="Arial" w:cs="Arial" w:eastAsia="Arial" w:hAnsi="Arial"/>
          <w:sz w:val="22"/>
          <w:szCs w:val="22"/>
          <w:b w:val="1"/>
          <w:bCs w:val="1"/>
          <w:color w:val="auto"/>
        </w:rPr>
        <w:t>Keefe, Bruyette &amp; Woods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Truist Securities</w:t>
      </w:r>
    </w:p>
    <w:p>
      <w:pPr>
        <w:spacing w:after="0" w:line="75" w:lineRule="exact"/>
        <w:rPr>
          <w:sz w:val="20"/>
          <w:szCs w:val="20"/>
          <w:color w:val="auto"/>
        </w:rPr>
      </w:pPr>
    </w:p>
    <w:p>
      <w:pPr>
        <w:sectPr>
          <w:pgSz w:w="11900" w:h="16838" w:orient="portrait"/>
          <w:cols w:equalWidth="0" w:num="3">
            <w:col w:w="4420" w:space="720"/>
            <w:col w:w="3500" w:space="720"/>
            <w:col w:w="1780"/>
          </w:cols>
          <w:pgMar w:left="320" w:top="459" w:right="439" w:bottom="1440" w:gutter="0" w:footer="0" w:header="0"/>
          <w:type w:val="continuous"/>
        </w:sectPr>
      </w:pPr>
    </w:p>
    <w:p>
      <w:pPr>
        <w:ind w:left="6640"/>
        <w:spacing w:after="0"/>
        <w:rPr>
          <w:sz w:val="20"/>
          <w:szCs w:val="20"/>
          <w:color w:val="auto"/>
        </w:rPr>
      </w:pPr>
      <w:r>
        <w:rPr>
          <w:rFonts w:ascii="Arial" w:cs="Arial" w:eastAsia="Arial" w:hAnsi="Arial"/>
          <w:sz w:val="16"/>
          <w:szCs w:val="16"/>
          <w:i w:val="1"/>
          <w:iCs w:val="1"/>
          <w:color w:val="auto"/>
        </w:rPr>
        <w:t>A Stifel Company</w:t>
      </w:r>
    </w:p>
    <w:p>
      <w:pPr>
        <w:spacing w:after="0" w:line="131" w:lineRule="exact"/>
        <w:rPr>
          <w:sz w:val="20"/>
          <w:szCs w:val="20"/>
          <w:color w:val="auto"/>
        </w:rPr>
      </w:pPr>
    </w:p>
    <w:p>
      <w:pPr>
        <w:ind w:left="5640"/>
        <w:spacing w:after="0"/>
        <w:rPr>
          <w:sz w:val="20"/>
          <w:szCs w:val="20"/>
          <w:color w:val="auto"/>
        </w:rPr>
      </w:pPr>
      <w:r>
        <w:rPr>
          <w:rFonts w:ascii="Arial" w:cs="Arial" w:eastAsia="Arial" w:hAnsi="Arial"/>
          <w:sz w:val="18"/>
          <w:szCs w:val="18"/>
          <w:b w:val="1"/>
          <w:bCs w:val="1"/>
          <w:i w:val="1"/>
          <w:iCs w:val="1"/>
          <w:color w:val="auto"/>
        </w:rPr>
        <w:t>Co-Managers</w:t>
      </w:r>
    </w:p>
    <w:p>
      <w:pPr>
        <w:sectPr>
          <w:pgSz w:w="11900" w:h="16838" w:orient="portrait"/>
          <w:cols w:equalWidth="0" w:num="1">
            <w:col w:w="11140"/>
          </w:cols>
          <w:pgMar w:left="320" w:top="459" w:right="439" w:bottom="1440" w:gutter="0" w:footer="0" w:header="0"/>
          <w:type w:val="continuous"/>
        </w:sectPr>
      </w:pPr>
    </w:p>
    <w:p>
      <w:pPr>
        <w:spacing w:after="0" w:line="104"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JMP Securities</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Ladenburg Thalmann</w:t>
      </w:r>
    </w:p>
    <w:p>
      <w:pPr>
        <w:spacing w:after="0" w:line="200" w:lineRule="exact"/>
        <w:rPr>
          <w:sz w:val="20"/>
          <w:szCs w:val="20"/>
          <w:color w:val="auto"/>
        </w:rPr>
      </w:pPr>
    </w:p>
    <w:p>
      <w:pPr>
        <w:sectPr>
          <w:pgSz w:w="11900" w:h="16838" w:orient="portrait"/>
          <w:cols w:equalWidth="0" w:num="2">
            <w:col w:w="6700" w:space="720"/>
            <w:col w:w="3720"/>
          </w:cols>
          <w:pgMar w:left="32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color w:val="auto"/>
        </w:rPr>
        <w:t>The date of this prospectus supplement is October 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450850</wp:posOffset>
            </wp:positionV>
            <wp:extent cx="699516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510540</wp:posOffset>
            </wp:positionV>
            <wp:extent cx="6995160"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6">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sectPr>
      <w:pgSz w:w="11900" w:h="16838" w:orient="portrait"/>
      <w:cols w:equalWidth="0" w:num="1">
        <w:col w:w="11140"/>
      </w:cols>
      <w:pgMar w:left="320" w:top="45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2367"/>
    <w:multiLevelType w:val="hybridMultilevel"/>
    <w:lvl w:ilvl="0">
      <w:lvlJc w:val="left"/>
      <w:lvlText w:val="(%1)"/>
      <w:numFmt w:val="decimal"/>
      <w:start w:val="1"/>
    </w:lvl>
  </w:abstractNum>
  <w:abstractNum w:abstractNumId="1">
    <w:nsid w:val="3804823E"/>
    <w:multiLevelType w:val="hybridMultilevel"/>
    <w:lvl w:ilvl="0">
      <w:lvlJc w:val="left"/>
      <w:lvlText w:val="•"/>
      <w:numFmt w:val="bullet"/>
      <w:start w:val="1"/>
    </w:lvl>
    <w:lvl w:ilvl="1">
      <w:lvlJc w:val="left"/>
      <w:lvlText w:val="•"/>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1)"/>
      <w:numFmt w:val="decimal"/>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1)"/>
      <w:numFmt w:val="decimal"/>
      <w:start w:val="1"/>
    </w:lvl>
  </w:abstractNum>
  <w:abstractNum w:abstractNumId="9">
    <w:nsid w:val="580BD78F"/>
    <w:multiLevelType w:val="hybridMultilevel"/>
    <w:lvl w:ilvl="0">
      <w:lvlJc w:val="left"/>
      <w:lvlText w:val="(%1)"/>
      <w:numFmt w:val="decimal"/>
      <w:start w:val="1"/>
    </w:lvl>
  </w:abstractNum>
  <w:abstractNum w:abstractNumId="10">
    <w:nsid w:val="153EA438"/>
    <w:multiLevelType w:val="hybridMultilevel"/>
    <w:lvl w:ilvl="0">
      <w:lvlJc w:val="left"/>
      <w:lvlText w:val="(%1)"/>
      <w:numFmt w:val="decimal"/>
      <w:start w:val="1"/>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1)"/>
      <w:numFmt w:val="decimal"/>
      <w:start w:val="1"/>
    </w:lvl>
  </w:abstractNum>
  <w:abstractNum w:abstractNumId="17">
    <w:nsid w:val="2CD89A32"/>
    <w:multiLevelType w:val="hybridMultilevel"/>
    <w:lvl w:ilvl="0">
      <w:lvlJc w:val="left"/>
      <w:lvlText w:val="(%1)"/>
      <w:numFmt w:val="lowerRoman"/>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
      <w:numFmt w:val="bullet"/>
      <w:start w:val="1"/>
    </w:lvl>
  </w:abstractNum>
  <w:abstractNum w:abstractNumId="25">
    <w:nsid w:val="32FFF902"/>
    <w:multiLevelType w:val="hybridMultilevel"/>
    <w:lvl w:ilvl="0">
      <w:lvlJc w:val="left"/>
      <w:lvlText w:val="(%1)"/>
      <w:numFmt w:val="lowerRoman"/>
      <w:start w:val="2"/>
    </w:lvl>
  </w:abstractNum>
  <w:abstractNum w:abstractNumId="26">
    <w:nsid w:val="684A481A"/>
    <w:multiLevelType w:val="hybridMultilevel"/>
    <w:lvl w:ilvl="0">
      <w:lvlJc w:val="left"/>
      <w:lvlText w:val="(%1)"/>
      <w:numFmt w:val="decimal"/>
      <w:start w:val="1"/>
    </w:lvl>
  </w:abstractNum>
  <w:abstractNum w:abstractNumId="27">
    <w:nsid w:val="579478FE"/>
    <w:multiLevelType w:val="hybridMultilevel"/>
    <w:lvl w:ilvl="0">
      <w:lvlJc w:val="left"/>
      <w:lvlText w:val="(%1)"/>
      <w:numFmt w:val="decimal"/>
      <w:start w:val="7"/>
    </w:lvl>
  </w:abstractNum>
  <w:abstractNum w:abstractNumId="28">
    <w:nsid w:val="749ABB43"/>
    <w:multiLevelType w:val="hybridMultilevel"/>
    <w:lvl w:ilvl="0">
      <w:lvlJc w:val="left"/>
      <w:lvlText w:val="(%1)"/>
      <w:numFmt w:val="decimal"/>
      <w:start w:val="2"/>
    </w:lvl>
  </w:abstractNum>
  <w:abstractNum w:abstractNumId="29">
    <w:nsid w:val="3DC240FB"/>
    <w:multiLevelType w:val="hybridMultilevel"/>
    <w:lvl w:ilvl="0">
      <w:lvlJc w:val="left"/>
      <w:lvlText w:val="•"/>
      <w:numFmt w:val="bullet"/>
      <w:start w:val="1"/>
    </w:lvl>
  </w:abstractNum>
  <w:abstractNum w:abstractNumId="30">
    <w:nsid w:val="1BA026FA"/>
    <w:multiLevelType w:val="hybridMultilevel"/>
    <w:lvl w:ilvl="0">
      <w:lvlJc w:val="left"/>
      <w:lvlText w:val="(%1)"/>
      <w:numFmt w:val="decimal"/>
      <w:start w:val="1"/>
    </w:lvl>
  </w:abstractNum>
  <w:abstractNum w:abstractNumId="31">
    <w:nsid w:val="79A1DEAA"/>
    <w:multiLevelType w:val="hybridMultilevel"/>
    <w:lvl w:ilvl="0">
      <w:lvlJc w:val="left"/>
      <w:lvlText w:val="(%1)"/>
      <w:numFmt w:val="decimal"/>
      <w:start w:val="1"/>
    </w:lvl>
  </w:abstractNum>
  <w:abstractNum w:abstractNumId="32">
    <w:nsid w:val="75C6C33A"/>
    <w:multiLevelType w:val="hybridMultilevel"/>
    <w:lvl w:ilvl="0">
      <w:lvlJc w:val="left"/>
      <w:lvlText w:val="•"/>
      <w:numFmt w:val="bullet"/>
      <w:start w:val="1"/>
    </w:lvl>
  </w:abstractNum>
  <w:abstractNum w:abstractNumId="33">
    <w:nsid w:val="12E685FB"/>
    <w:multiLevelType w:val="hybridMultilevel"/>
    <w:lvl w:ilvl="0">
      <w:lvlJc w:val="left"/>
      <w:lvlText w:val="•"/>
      <w:numFmt w:val="bullet"/>
      <w:start w:val="1"/>
    </w:lvl>
  </w:abstractNum>
  <w:abstractNum w:abstractNumId="34">
    <w:nsid w:val="70C6A529"/>
    <w:multiLevelType w:val="hybridMultilevel"/>
    <w:lvl w:ilvl="0">
      <w:lvlJc w:val="left"/>
      <w:lvlText w:val="•"/>
      <w:numFmt w:val="bullet"/>
      <w:start w:val="1"/>
    </w:lvl>
  </w:abstractNum>
  <w:abstractNum w:abstractNumId="35">
    <w:nsid w:val="520EEDD1"/>
    <w:multiLevelType w:val="hybridMultilevel"/>
    <w:lvl w:ilvl="0">
      <w:lvlJc w:val="left"/>
      <w:lvlText w:val="(%1)"/>
      <w:numFmt w:val="decimal"/>
      <w:start w:val="1"/>
    </w:lvl>
  </w:abstractNum>
  <w:abstractNum w:abstractNumId="36">
    <w:nsid w:val="374A3FE6"/>
    <w:multiLevelType w:val="hybridMultilevel"/>
    <w:lvl w:ilvl="0">
      <w:lvlJc w:val="left"/>
      <w:lvlText w:val="(%1)"/>
      <w:numFmt w:val="decimal"/>
      <w:start w:val="1"/>
    </w:lvl>
  </w:abstractNum>
  <w:abstractNum w:abstractNumId="37">
    <w:nsid w:val="4F4EF005"/>
    <w:multiLevelType w:val="hybridMultilevel"/>
    <w:lvl w:ilvl="0">
      <w:lvlJc w:val="left"/>
      <w:lvlText w:val="(%1)"/>
      <w:numFmt w:val="decimal"/>
      <w:start w:val="1"/>
    </w:lvl>
  </w:abstractNum>
  <w:abstractNum w:abstractNumId="38">
    <w:nsid w:val="23F9C13C"/>
    <w:multiLevelType w:val="hybridMultilevel"/>
    <w:lvl w:ilvl="0">
      <w:lvlJc w:val="left"/>
      <w:lvlText w:val="•"/>
      <w:numFmt w:val="bullet"/>
      <w:start w:val="1"/>
    </w:lvl>
  </w:abstractNum>
  <w:abstractNum w:abstractNumId="39">
    <w:nsid w:val="649BB77C"/>
    <w:multiLevelType w:val="hybridMultilevel"/>
    <w:lvl w:ilvl="0">
      <w:lvlJc w:val="left"/>
      <w:lvlText w:val="•"/>
      <w:numFmt w:val="bullet"/>
      <w:start w:val="1"/>
    </w:lvl>
  </w:abstractNum>
  <w:abstractNum w:abstractNumId="40">
    <w:nsid w:val="275AC794"/>
    <w:multiLevelType w:val="hybridMultilevel"/>
    <w:lvl w:ilvl="0">
      <w:lvlJc w:val="left"/>
      <w:lvlText w:val="•"/>
      <w:numFmt w:val="bullet"/>
      <w:start w:val="1"/>
    </w:lvl>
  </w:abstractNum>
  <w:abstractNum w:abstractNumId="41">
    <w:nsid w:val="39386575"/>
    <w:multiLevelType w:val="hybridMultilevel"/>
    <w:lvl w:ilvl="0">
      <w:lvlJc w:val="left"/>
      <w:lvlText w:val="•"/>
      <w:numFmt w:val="bullet"/>
      <w:start w:val="1"/>
    </w:lvl>
  </w:abstractNum>
  <w:abstractNum w:abstractNumId="42">
    <w:nsid w:val="1CF10FD8"/>
    <w:multiLevelType w:val="hybridMultilevel"/>
    <w:lvl w:ilvl="0">
      <w:lvlJc w:val="left"/>
      <w:lvlText w:val="•"/>
      <w:numFmt w:val="bullet"/>
      <w:start w:val="1"/>
    </w:lvl>
  </w:abstractNum>
  <w:abstractNum w:abstractNumId="43">
    <w:nsid w:val="180115BE"/>
    <w:multiLevelType w:val="hybridMultilevel"/>
    <w:lvl w:ilvl="0">
      <w:lvlJc w:val="left"/>
      <w:lvlText w:val="•"/>
      <w:numFmt w:val="bullet"/>
      <w:start w:val="1"/>
    </w:lvl>
  </w:abstractNum>
  <w:abstractNum w:abstractNumId="44">
    <w:nsid w:val="235BA861"/>
    <w:multiLevelType w:val="hybridMultilevel"/>
    <w:lvl w:ilvl="0">
      <w:lvlJc w:val="left"/>
      <w:lvlText w:val="(%1)"/>
      <w:numFmt w:val="lowerLetter"/>
      <w:start w:val="2"/>
    </w:lvl>
  </w:abstractNum>
  <w:abstractNum w:abstractNumId="45">
    <w:nsid w:val="47398C89"/>
    <w:multiLevelType w:val="hybridMultilevel"/>
    <w:lvl w:ilvl="0">
      <w:lvlJc w:val="left"/>
      <w:lvlText w:val="•"/>
      <w:numFmt w:val="bullet"/>
      <w:start w:val="1"/>
    </w:lvl>
  </w:abstractNum>
  <w:abstractNum w:abstractNumId="46">
    <w:nsid w:val="354FE9F9"/>
    <w:multiLevelType w:val="hybridMultilevel"/>
    <w:lvl w:ilvl="0">
      <w:lvlJc w:val="left"/>
      <w:lvlText w:val="•"/>
      <w:numFmt w:val="bullet"/>
      <w:start w:val="1"/>
    </w:lvl>
  </w:abstractNum>
  <w:abstractNum w:abstractNumId="47">
    <w:nsid w:val="15B5AF5C"/>
    <w:multiLevelType w:val="hybridMultilevel"/>
    <w:lvl w:ilvl="0">
      <w:lvlJc w:val="left"/>
      <w:lvlText w:val="•"/>
      <w:numFmt w:val="bullet"/>
      <w:start w:val="1"/>
    </w:lvl>
  </w:abstractNum>
  <w:abstractNum w:abstractNumId="48">
    <w:nsid w:val="741226BB"/>
    <w:multiLevelType w:val="hybridMultilevel"/>
    <w:lvl w:ilvl="0">
      <w:lvlJc w:val="left"/>
      <w:lvlText w:val="•"/>
      <w:numFmt w:val="bullet"/>
      <w:start w:val="1"/>
    </w:lvl>
  </w:abstractNum>
  <w:abstractNum w:abstractNumId="49">
    <w:nsid w:val="D34B6A8"/>
    <w:multiLevelType w:val="hybridMultilevel"/>
    <w:lvl w:ilvl="0">
      <w:lvlJc w:val="left"/>
      <w:lvlText w:val="•"/>
      <w:numFmt w:val="bullet"/>
      <w:start w:val="1"/>
    </w:lvl>
  </w:abstractNum>
  <w:abstractNum w:abstractNumId="50">
    <w:nsid w:val="10233C99"/>
    <w:multiLevelType w:val="hybridMultilevel"/>
    <w:lvl w:ilvl="0">
      <w:lvlJc w:val="left"/>
      <w:lvlText w:val="•"/>
      <w:numFmt w:val="bullet"/>
      <w:start w:val="1"/>
    </w:lvl>
  </w:abstractNum>
  <w:abstractNum w:abstractNumId="51">
    <w:nsid w:val="3F6AB60F"/>
    <w:multiLevelType w:val="hybridMultilevel"/>
    <w:lvl w:ilvl="0">
      <w:lvlJc w:val="left"/>
      <w:lvlText w:val="•"/>
      <w:numFmt w:val="bullet"/>
      <w:start w:val="1"/>
    </w:lvl>
  </w:abstractNum>
  <w:abstractNum w:abstractNumId="52">
    <w:nsid w:val="61574095"/>
    <w:multiLevelType w:val="hybridMultilevel"/>
    <w:lvl w:ilvl="0">
      <w:lvlJc w:val="left"/>
      <w:lvlText w:val="•"/>
      <w:numFmt w:val="bullet"/>
      <w:start w:val="1"/>
    </w:lvl>
  </w:abstractNum>
  <w:abstractNum w:abstractNumId="53">
    <w:nsid w:val="7E0C57B1"/>
    <w:multiLevelType w:val="hybridMultilevel"/>
    <w:lvl w:ilvl="0">
      <w:lvlJc w:val="left"/>
      <w:lvlText w:val="•"/>
      <w:numFmt w:val="bullet"/>
      <w:start w:val="1"/>
    </w:lvl>
  </w:abstractNum>
  <w:abstractNum w:abstractNumId="54">
    <w:nsid w:val="77AE35EB"/>
    <w:multiLevelType w:val="hybridMultilevel"/>
    <w:lvl w:ilvl="0">
      <w:lvlJc w:val="left"/>
      <w:lvlText w:val="•"/>
      <w:numFmt w:val="bullet"/>
      <w:start w:val="1"/>
    </w:lvl>
  </w:abstractNum>
  <w:abstractNum w:abstractNumId="55">
    <w:nsid w:val="579BE4F1"/>
    <w:multiLevelType w:val="hybridMultilevel"/>
    <w:lvl w:ilvl="0">
      <w:lvlJc w:val="left"/>
      <w:lvlText w:val="•"/>
      <w:numFmt w:val="bullet"/>
      <w:start w:val="1"/>
    </w:lvl>
  </w:abstractNum>
  <w:abstractNum w:abstractNumId="56">
    <w:nsid w:val="310C50B3"/>
    <w:multiLevelType w:val="hybridMultilevel"/>
    <w:lvl w:ilvl="0">
      <w:lvlJc w:val="left"/>
      <w:lvlText w:val="•"/>
      <w:numFmt w:val="bullet"/>
      <w:start w:val="1"/>
    </w:lvl>
  </w:abstractNum>
  <w:abstractNum w:abstractNumId="57">
    <w:nsid w:val="5FF87E05"/>
    <w:multiLevelType w:val="hybridMultilevel"/>
    <w:lvl w:ilvl="0">
      <w:lvlJc w:val="left"/>
      <w:lvlText w:val="•"/>
      <w:numFmt w:val="bullet"/>
      <w:start w:val="1"/>
    </w:lvl>
  </w:abstractNum>
  <w:abstractNum w:abstractNumId="58">
    <w:nsid w:val="2F305DEF"/>
    <w:multiLevelType w:val="hybridMultilevel"/>
    <w:lvl w:ilvl="0">
      <w:lvlJc w:val="left"/>
      <w:lvlText w:val="•"/>
      <w:numFmt w:val="bullet"/>
      <w:start w:val="1"/>
    </w:lvl>
  </w:abstractNum>
  <w:abstractNum w:abstractNumId="59">
    <w:nsid w:val="25A70BF7"/>
    <w:multiLevelType w:val="hybridMultilevel"/>
    <w:lvl w:ilvl="0">
      <w:lvlJc w:val="left"/>
      <w:lvlText w:val="•"/>
      <w:numFmt w:val="bullet"/>
      <w:start w:val="1"/>
    </w:lvl>
  </w:abstractNum>
  <w:abstractNum w:abstractNumId="60">
    <w:nsid w:val="1DBABF00"/>
    <w:multiLevelType w:val="hybridMultilevel"/>
    <w:lvl w:ilvl="0">
      <w:lvlJc w:val="left"/>
      <w:lvlText w:val="•"/>
      <w:numFmt w:val="bullet"/>
      <w:start w:val="1"/>
    </w:lvl>
  </w:abstractNum>
  <w:abstractNum w:abstractNumId="61">
    <w:nsid w:val="4AD084E9"/>
    <w:multiLevelType w:val="hybridMultilevel"/>
    <w:lvl w:ilvl="0">
      <w:lvlJc w:val="left"/>
      <w:lvlText w:val="•"/>
      <w:numFmt w:val="bullet"/>
      <w:start w:val="1"/>
    </w:lvl>
  </w:abstractNum>
  <w:abstractNum w:abstractNumId="62">
    <w:nsid w:val="1F48EAA1"/>
    <w:multiLevelType w:val="hybridMultilevel"/>
    <w:lvl w:ilvl="0">
      <w:lvlJc w:val="left"/>
      <w:lvlText w:val="•"/>
      <w:numFmt w:val="bullet"/>
      <w:start w:val="1"/>
    </w:lvl>
  </w:abstractNum>
  <w:abstractNum w:abstractNumId="63">
    <w:nsid w:val="1381823A"/>
    <w:multiLevelType w:val="hybridMultilevel"/>
    <w:lvl w:ilvl="0">
      <w:lvlJc w:val="left"/>
      <w:lvlText w:val="•"/>
      <w:numFmt w:val="bullet"/>
      <w:start w:val="1"/>
    </w:lvl>
  </w:abstractNum>
  <w:abstractNum w:abstractNumId="64">
    <w:nsid w:val="5DB70AE5"/>
    <w:multiLevelType w:val="hybridMultilevel"/>
    <w:lvl w:ilvl="0">
      <w:lvlJc w:val="left"/>
      <w:lvlText w:val="•"/>
      <w:numFmt w:val="bullet"/>
      <w:start w:val="1"/>
    </w:lvl>
  </w:abstractNum>
  <w:abstractNum w:abstractNumId="65">
    <w:nsid w:val="100F8FCA"/>
    <w:multiLevelType w:val="hybridMultilevel"/>
    <w:lvl w:ilvl="0">
      <w:lvlJc w:val="left"/>
      <w:lvlText w:val="•"/>
      <w:numFmt w:val="bullet"/>
      <w:start w:val="1"/>
    </w:lvl>
  </w:abstractNum>
  <w:abstractNum w:abstractNumId="66">
    <w:nsid w:val="6590700B"/>
    <w:multiLevelType w:val="hybridMultilevel"/>
    <w:lvl w:ilvl="0">
      <w:lvlJc w:val="left"/>
      <w:lvlText w:val="•"/>
      <w:numFmt w:val="bullet"/>
      <w:start w:val="1"/>
    </w:lvl>
  </w:abstractNum>
  <w:abstractNum w:abstractNumId="67">
    <w:nsid w:val="15014ACB"/>
    <w:multiLevelType w:val="hybridMultilevel"/>
    <w:lvl w:ilvl="0">
      <w:lvlJc w:val="left"/>
      <w:lvlText w:val="•"/>
      <w:numFmt w:val="bullet"/>
      <w:start w:val="1"/>
    </w:lvl>
  </w:abstractNum>
  <w:abstractNum w:abstractNumId="68">
    <w:nsid w:val="5F5E7FD0"/>
    <w:multiLevelType w:val="hybridMultilevel"/>
    <w:lvl w:ilvl="0">
      <w:lvlJc w:val="left"/>
      <w:lvlText w:val="•"/>
      <w:numFmt w:val="bullet"/>
      <w:start w:val="1"/>
    </w:lvl>
    <w:lvl w:ilvl="1">
      <w:lvlJc w:val="left"/>
      <w:lvlText w:val="%2)"/>
      <w:numFmt w:val="decimal"/>
      <w:start w:val="1"/>
    </w:lvl>
  </w:abstractNum>
  <w:abstractNum w:abstractNumId="69">
    <w:nsid w:val="98A3148"/>
    <w:multiLevelType w:val="hybridMultilevel"/>
    <w:lvl w:ilvl="0">
      <w:lvlJc w:val="left"/>
      <w:lvlText w:val="•"/>
      <w:numFmt w:val="bullet"/>
      <w:start w:val="1"/>
    </w:lvl>
  </w:abstractNum>
  <w:abstractNum w:abstractNumId="70">
    <w:nsid w:val="799D024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79" Type="http://schemas.openxmlformats.org/officeDocument/2006/relationships/image" Target="media/image60.png"/><Relationship Id="rId80" Type="http://schemas.openxmlformats.org/officeDocument/2006/relationships/image" Target="media/image61.png"/><Relationship Id="rId81" Type="http://schemas.openxmlformats.org/officeDocument/2006/relationships/image" Target="media/image62.png"/><Relationship Id="rId82" Type="http://schemas.openxmlformats.org/officeDocument/2006/relationships/image" Target="media/image63.jpeg"/><Relationship Id="rId83" Type="http://schemas.openxmlformats.org/officeDocument/2006/relationships/image" Target="media/image64.png"/><Relationship Id="rId84" Type="http://schemas.openxmlformats.org/officeDocument/2006/relationships/image" Target="media/image65.png"/><Relationship Id="rId85" Type="http://schemas.openxmlformats.org/officeDocument/2006/relationships/image" Target="media/image66.png"/><Relationship Id="rId86" Type="http://schemas.openxmlformats.org/officeDocument/2006/relationships/image" Target="media/image67.png"/><Relationship Id="rId87" Type="http://schemas.openxmlformats.org/officeDocument/2006/relationships/image" Target="media/image68.png"/><Relationship Id="rId88" Type="http://schemas.openxmlformats.org/officeDocument/2006/relationships/image" Target="media/image69.png"/><Relationship Id="rId89" Type="http://schemas.openxmlformats.org/officeDocument/2006/relationships/image" Target="media/image70.png"/><Relationship Id="rId90" Type="http://schemas.openxmlformats.org/officeDocument/2006/relationships/image" Target="media/image71.png"/><Relationship Id="rId91" Type="http://schemas.openxmlformats.org/officeDocument/2006/relationships/image" Target="media/image72.png"/><Relationship Id="rId92" Type="http://schemas.openxmlformats.org/officeDocument/2006/relationships/image" Target="media/image73.png"/><Relationship Id="rId93" Type="http://schemas.openxmlformats.org/officeDocument/2006/relationships/image" Target="media/image74.png"/><Relationship Id="rId94" Type="http://schemas.openxmlformats.org/officeDocument/2006/relationships/image" Target="media/image75.png"/><Relationship Id="rId95" Type="http://schemas.openxmlformats.org/officeDocument/2006/relationships/image" Target="media/image76.png"/><Relationship Id="rId96" Type="http://schemas.openxmlformats.org/officeDocument/2006/relationships/image" Target="media/image77.png"/><Relationship Id="rId97" Type="http://schemas.openxmlformats.org/officeDocument/2006/relationships/image" Target="media/image78.png"/><Relationship Id="rId98" Type="http://schemas.openxmlformats.org/officeDocument/2006/relationships/image" Target="media/image79.png"/><Relationship Id="rId99" Type="http://schemas.openxmlformats.org/officeDocument/2006/relationships/image" Target="media/image80.png"/><Relationship Id="rId100" Type="http://schemas.openxmlformats.org/officeDocument/2006/relationships/image" Target="media/image81.png"/><Relationship Id="rId101" Type="http://schemas.openxmlformats.org/officeDocument/2006/relationships/image" Target="media/image82.png"/><Relationship Id="rId102" Type="http://schemas.openxmlformats.org/officeDocument/2006/relationships/image" Target="media/image83.png"/><Relationship Id="rId103" Type="http://schemas.openxmlformats.org/officeDocument/2006/relationships/image" Target="media/image84.png"/><Relationship Id="rId104" Type="http://schemas.openxmlformats.org/officeDocument/2006/relationships/image" Target="media/image85.png"/><Relationship Id="rId105" Type="http://schemas.openxmlformats.org/officeDocument/2006/relationships/image" Target="media/image86.png"/><Relationship Id="rId106" Type="http://schemas.openxmlformats.org/officeDocument/2006/relationships/image" Target="media/image87.png"/><Relationship Id="rId107" Type="http://schemas.openxmlformats.org/officeDocument/2006/relationships/image" Target="media/image88.png"/><Relationship Id="rId108" Type="http://schemas.openxmlformats.org/officeDocument/2006/relationships/image" Target="media/image89.png"/><Relationship Id="rId109" Type="http://schemas.openxmlformats.org/officeDocument/2006/relationships/image" Target="media/image90.png"/><Relationship Id="rId110" Type="http://schemas.openxmlformats.org/officeDocument/2006/relationships/image" Target="media/image91.png"/><Relationship Id="rId111" Type="http://schemas.openxmlformats.org/officeDocument/2006/relationships/image" Target="media/image92.png"/><Relationship Id="rId112" Type="http://schemas.openxmlformats.org/officeDocument/2006/relationships/image" Target="media/image93.png"/><Relationship Id="rId113" Type="http://schemas.openxmlformats.org/officeDocument/2006/relationships/image" Target="media/image94.png"/><Relationship Id="rId114" Type="http://schemas.openxmlformats.org/officeDocument/2006/relationships/image" Target="media/image95.png"/><Relationship Id="rId115" Type="http://schemas.openxmlformats.org/officeDocument/2006/relationships/image" Target="media/image96.png"/><Relationship Id="rId116" Type="http://schemas.openxmlformats.org/officeDocument/2006/relationships/image" Target="media/image97.png"/><Relationship Id="rId117" Type="http://schemas.openxmlformats.org/officeDocument/2006/relationships/image" Target="media/image98.png"/><Relationship Id="rId118" Type="http://schemas.openxmlformats.org/officeDocument/2006/relationships/image" Target="media/image99.png"/><Relationship Id="rId119" Type="http://schemas.openxmlformats.org/officeDocument/2006/relationships/image" Target="media/image100.png"/><Relationship Id="rId120" Type="http://schemas.openxmlformats.org/officeDocument/2006/relationships/image" Target="media/image101.png"/><Relationship Id="rId121" Type="http://schemas.openxmlformats.org/officeDocument/2006/relationships/image" Target="media/image102.png"/><Relationship Id="rId122" Type="http://schemas.openxmlformats.org/officeDocument/2006/relationships/image" Target="media/image103.png"/><Relationship Id="rId123" Type="http://schemas.openxmlformats.org/officeDocument/2006/relationships/image" Target="media/image104.png"/><Relationship Id="rId124" Type="http://schemas.openxmlformats.org/officeDocument/2006/relationships/image" Target="media/image105.png"/><Relationship Id="rId125" Type="http://schemas.openxmlformats.org/officeDocument/2006/relationships/image" Target="media/image106.png"/><Relationship Id="rId126" Type="http://schemas.openxmlformats.org/officeDocument/2006/relationships/image" Target="media/image107.png"/><Relationship Id="rId127" Type="http://schemas.openxmlformats.org/officeDocument/2006/relationships/image" Target="media/image108.png"/><Relationship Id="rId128" Type="http://schemas.openxmlformats.org/officeDocument/2006/relationships/image" Target="media/image109.png"/><Relationship Id="rId129" Type="http://schemas.openxmlformats.org/officeDocument/2006/relationships/image" Target="media/image110.png"/><Relationship Id="rId130" Type="http://schemas.openxmlformats.org/officeDocument/2006/relationships/image" Target="media/image111.png"/><Relationship Id="rId131" Type="http://schemas.openxmlformats.org/officeDocument/2006/relationships/image" Target="media/image112.png"/><Relationship Id="rId132" Type="http://schemas.openxmlformats.org/officeDocument/2006/relationships/image" Target="media/image113.png"/><Relationship Id="rId133" Type="http://schemas.openxmlformats.org/officeDocument/2006/relationships/image" Target="media/image114.png"/><Relationship Id="rId134" Type="http://schemas.openxmlformats.org/officeDocument/2006/relationships/image" Target="media/image115.png"/><Relationship Id="rId135" Type="http://schemas.openxmlformats.org/officeDocument/2006/relationships/image" Target="media/image116.png"/><Relationship Id="rId136" Type="http://schemas.openxmlformats.org/officeDocument/2006/relationships/image" Target="media/image117.png"/><Relationship Id="rId137" Type="http://schemas.openxmlformats.org/officeDocument/2006/relationships/image" Target="media/image118.png"/><Relationship Id="rId138" Type="http://schemas.openxmlformats.org/officeDocument/2006/relationships/image" Target="media/image119.png"/><Relationship Id="rId139" Type="http://schemas.openxmlformats.org/officeDocument/2006/relationships/image" Target="media/image120.png"/><Relationship Id="rId140" Type="http://schemas.openxmlformats.org/officeDocument/2006/relationships/image" Target="media/image121.png"/><Relationship Id="rId141" Type="http://schemas.openxmlformats.org/officeDocument/2006/relationships/image" Target="media/image122.png"/><Relationship Id="rId142" Type="http://schemas.openxmlformats.org/officeDocument/2006/relationships/image" Target="media/image123.png"/><Relationship Id="rId143" Type="http://schemas.openxmlformats.org/officeDocument/2006/relationships/image" Target="media/image124.png"/><Relationship Id="rId144" Type="http://schemas.openxmlformats.org/officeDocument/2006/relationships/image" Target="media/image125.png"/><Relationship Id="rId145" Type="http://schemas.openxmlformats.org/officeDocument/2006/relationships/image" Target="media/image126.png"/><Relationship Id="rId146" Type="http://schemas.openxmlformats.org/officeDocument/2006/relationships/image" Target="media/image127.png"/><Relationship Id="rId147" Type="http://schemas.openxmlformats.org/officeDocument/2006/relationships/image" Target="media/image128.png"/><Relationship Id="rId148" Type="http://schemas.openxmlformats.org/officeDocument/2006/relationships/image" Target="media/image129.png"/><Relationship Id="rId149" Type="http://schemas.openxmlformats.org/officeDocument/2006/relationships/image" Target="media/image130.png"/><Relationship Id="rId150" Type="http://schemas.openxmlformats.org/officeDocument/2006/relationships/image" Target="media/image131.png"/><Relationship Id="rId151" Type="http://schemas.openxmlformats.org/officeDocument/2006/relationships/image" Target="media/image132.png"/><Relationship Id="rId152" Type="http://schemas.openxmlformats.org/officeDocument/2006/relationships/image" Target="media/image133.png"/><Relationship Id="rId153" Type="http://schemas.openxmlformats.org/officeDocument/2006/relationships/image" Target="media/image134.png"/><Relationship Id="rId154" Type="http://schemas.openxmlformats.org/officeDocument/2006/relationships/image" Target="media/image135.png"/><Relationship Id="rId155" Type="http://schemas.openxmlformats.org/officeDocument/2006/relationships/image" Target="media/image136.png"/><Relationship Id="rId156" Type="http://schemas.openxmlformats.org/officeDocument/2006/relationships/image" Target="media/image137.png"/><Relationship Id="rId157" Type="http://schemas.openxmlformats.org/officeDocument/2006/relationships/image" Target="media/image138.png"/><Relationship Id="rId158" Type="http://schemas.openxmlformats.org/officeDocument/2006/relationships/image" Target="media/image139.png"/><Relationship Id="rId159" Type="http://schemas.openxmlformats.org/officeDocument/2006/relationships/image" Target="media/image140.png"/><Relationship Id="rId160" Type="http://schemas.openxmlformats.org/officeDocument/2006/relationships/image" Target="media/image141.png"/><Relationship Id="rId161" Type="http://schemas.openxmlformats.org/officeDocument/2006/relationships/image" Target="media/image142.png"/><Relationship Id="rId162" Type="http://schemas.openxmlformats.org/officeDocument/2006/relationships/image" Target="media/image143.png"/><Relationship Id="rId163" Type="http://schemas.openxmlformats.org/officeDocument/2006/relationships/image" Target="media/image144.png"/><Relationship Id="rId164" Type="http://schemas.openxmlformats.org/officeDocument/2006/relationships/image" Target="media/image145.png"/><Relationship Id="rId165" Type="http://schemas.openxmlformats.org/officeDocument/2006/relationships/image" Target="media/image146.png"/><Relationship Id="rId169" Type="http://schemas.openxmlformats.org/officeDocument/2006/relationships/image" Target="media/image147.png"/><Relationship Id="rId170" Type="http://schemas.openxmlformats.org/officeDocument/2006/relationships/image" Target="media/image148.png"/><Relationship Id="rId171" Type="http://schemas.openxmlformats.org/officeDocument/2006/relationships/image" Target="media/image149.png"/><Relationship Id="rId172" Type="http://schemas.openxmlformats.org/officeDocument/2006/relationships/image" Target="media/image150.jpeg"/><Relationship Id="rId173" Type="http://schemas.openxmlformats.org/officeDocument/2006/relationships/image" Target="media/image151.png"/><Relationship Id="rId174" Type="http://schemas.openxmlformats.org/officeDocument/2006/relationships/image" Target="media/image152.png"/><Relationship Id="rId175" Type="http://schemas.openxmlformats.org/officeDocument/2006/relationships/image" Target="media/image153.png"/><Relationship Id="rId176" Type="http://schemas.openxmlformats.org/officeDocument/2006/relationships/image" Target="media/image154.png"/><Relationship Id="rId67" Type="http://schemas.openxmlformats.org/officeDocument/2006/relationships/hyperlink" Target="http://www.sec.gov/Archives/edgar/data/1504619/000156459020054484/pflt-10k_20200930.htm" TargetMode="External"/><Relationship Id="rId68" Type="http://schemas.openxmlformats.org/officeDocument/2006/relationships/hyperlink" Target="http://www.sec.gov/Archives/edgar/data/1504619/000156459021004982/pflt-10q_20201231.htm" TargetMode="External"/><Relationship Id="rId69" Type="http://schemas.openxmlformats.org/officeDocument/2006/relationships/hyperlink" Target="http://www.sec.gov/Archives/edgar/data/0001504619/000156459021024031/pflt-10q_20210331.htm" TargetMode="External"/><Relationship Id="rId70" Type="http://schemas.openxmlformats.org/officeDocument/2006/relationships/hyperlink" Target="http://www.sec.gov/Archives/edgar/data/0001504619/000156459021040930/pflt-10q_20210630.htm" TargetMode="External"/><Relationship Id="rId71" Type="http://schemas.openxmlformats.org/officeDocument/2006/relationships/hyperlink" Target="http://www.sec.gov/Archives/edgar/data/1504619/000156459021005779/pflt-8k_20210209.htm" TargetMode="External"/><Relationship Id="rId72" Type="http://schemas.openxmlformats.org/officeDocument/2006/relationships/hyperlink" Target="http://www.sec.gov/Archives/edgar/data/0001504619/000117184321001931/f8k_031921.htm" TargetMode="External"/><Relationship Id="rId73" Type="http://schemas.openxmlformats.org/officeDocument/2006/relationships/hyperlink" Target="http://www.sec.gov/Archives/edgar/data/0001504619/000119312521091350/d156339d8k.htm" TargetMode="External"/><Relationship Id="rId74" Type="http://schemas.openxmlformats.org/officeDocument/2006/relationships/hyperlink" Target="http://www.sec.gov/Archives/edgar/data/0001504619/000119312521195209/d160401d8k.htm" TargetMode="External"/><Relationship Id="rId75" Type="http://schemas.openxmlformats.org/officeDocument/2006/relationships/hyperlink" Target="http://www.sec.gov/Archives/edgar/data/0001504619/000119312521250566/d198449d8k.htm" TargetMode="External"/><Relationship Id="rId76" Type="http://schemas.openxmlformats.org/officeDocument/2006/relationships/hyperlink" Target="http://www.sec.gov/Archives/edgar/data/0001504619/000119312521252880/d197563d8k.htm" TargetMode="External"/><Relationship Id="rId77" Type="http://schemas.openxmlformats.org/officeDocument/2006/relationships/hyperlink" Target="http://www.sec.gov/Archives/edgar/data/1504619/000119312521293364/d404088d8k.htm" TargetMode="External"/><Relationship Id="rId78" Type="http://schemas.openxmlformats.org/officeDocument/2006/relationships/hyperlink" Target="http://www.sec.gov/Archives/edgar/data/1504619/000095012320012520/pflt-def14a_RD4.htm" TargetMode="External"/><Relationship Id="rId166" Type="http://schemas.openxmlformats.org/officeDocument/2006/relationships/hyperlink" Target="http://www.sec.gov/Archives/edgar/data/1504619/000156459019043972/pflt-10k_20190930.htm" TargetMode="External"/><Relationship Id="rId167" Type="http://schemas.openxmlformats.org/officeDocument/2006/relationships/hyperlink" Target="http://www.sec.gov/Archives/edgar/data/1504619/000095012319011902/DEF14A.htm" TargetMode="External"/><Relationship Id="rId168" Type="http://schemas.openxmlformats.org/officeDocument/2006/relationships/hyperlink" Target="http://www.sec.gov/Archives/edgar/data/1504619/000119312511090965/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2021-10-07T16:11:12Z</dcterms:created>
  <dcterms:modified xsi:type="dcterms:W3CDTF">2021-10-07T16:11:12Z</dcterms:modified>
</cp:coreProperties>
</file>