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8, 2022</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ind w:left="1580"/>
              <w:spacing w:after="0"/>
              <w:rPr>
                <w:sz w:val="20"/>
                <w:szCs w:val="20"/>
                <w:color w:val="auto"/>
              </w:rPr>
            </w:pPr>
            <w:r>
              <w:rPr>
                <w:rFonts w:ascii="Arial" w:cs="Arial" w:eastAsia="Arial" w:hAnsi="Arial"/>
                <w:sz w:val="14"/>
                <w:szCs w:val="14"/>
                <w:b w:val="1"/>
                <w:bCs w:val="1"/>
                <w:color w:val="auto"/>
              </w:rPr>
              <w:t>Maryland</w:t>
            </w:r>
          </w:p>
        </w:tc>
        <w:tc>
          <w:tcPr>
            <w:tcW w:w="3500" w:type="dxa"/>
            <w:vAlign w:val="bottom"/>
          </w:tcPr>
          <w:p>
            <w:pPr>
              <w:jc w:val="center"/>
              <w:ind w:left="204"/>
              <w:spacing w:after="0"/>
              <w:rPr>
                <w:sz w:val="20"/>
                <w:szCs w:val="20"/>
                <w:color w:val="auto"/>
              </w:rPr>
            </w:pPr>
            <w:r>
              <w:rPr>
                <w:rFonts w:ascii="Arial" w:cs="Arial" w:eastAsia="Arial" w:hAnsi="Arial"/>
                <w:sz w:val="14"/>
                <w:szCs w:val="14"/>
                <w:b w:val="1"/>
                <w:bCs w:val="1"/>
                <w:color w:val="auto"/>
                <w:w w:val="92"/>
              </w:rPr>
              <w:t>814-00891</w:t>
            </w:r>
          </w:p>
        </w:tc>
        <w:tc>
          <w:tcPr>
            <w:tcW w:w="4000" w:type="dxa"/>
            <w:vAlign w:val="bottom"/>
          </w:tcPr>
          <w:p>
            <w:pPr>
              <w:jc w:val="right"/>
              <w:ind w:right="1442"/>
              <w:spacing w:after="0"/>
              <w:rPr>
                <w:sz w:val="20"/>
                <w:szCs w:val="20"/>
                <w:color w:val="auto"/>
              </w:rPr>
            </w:pPr>
            <w:r>
              <w:rPr>
                <w:rFonts w:ascii="Arial" w:cs="Arial" w:eastAsia="Arial" w:hAnsi="Arial"/>
                <w:sz w:val="14"/>
                <w:szCs w:val="14"/>
                <w:b w:val="1"/>
                <w:bCs w:val="1"/>
                <w:color w:val="auto"/>
              </w:rPr>
              <w:t>27-3794690</w:t>
            </w:r>
          </w:p>
        </w:tc>
      </w:tr>
      <w:tr>
        <w:trPr>
          <w:trHeight w:val="186"/>
        </w:trPr>
        <w:tc>
          <w:tcPr>
            <w:tcW w:w="3740" w:type="dxa"/>
            <w:vAlign w:val="bottom"/>
          </w:tcPr>
          <w:p>
            <w:pPr>
              <w:ind w:left="520"/>
              <w:spacing w:after="0"/>
              <w:rPr>
                <w:sz w:val="20"/>
                <w:szCs w:val="20"/>
                <w:color w:val="auto"/>
              </w:rPr>
            </w:pPr>
            <w:r>
              <w:rPr>
                <w:rFonts w:ascii="Arial" w:cs="Arial" w:eastAsia="Arial" w:hAnsi="Arial"/>
                <w:sz w:val="14"/>
                <w:szCs w:val="14"/>
                <w:b w:val="1"/>
                <w:bCs w:val="1"/>
                <w:color w:val="auto"/>
              </w:rPr>
              <w:t>(State or other jurisdiction of incorporation)</w:t>
            </w:r>
          </w:p>
        </w:tc>
        <w:tc>
          <w:tcPr>
            <w:tcW w:w="3500" w:type="dxa"/>
            <w:vAlign w:val="bottom"/>
          </w:tcPr>
          <w:p>
            <w:pPr>
              <w:jc w:val="center"/>
              <w:ind w:left="204"/>
              <w:spacing w:after="0"/>
              <w:rPr>
                <w:sz w:val="20"/>
                <w:szCs w:val="20"/>
                <w:color w:val="auto"/>
              </w:rPr>
            </w:pPr>
            <w:r>
              <w:rPr>
                <w:rFonts w:ascii="Arial" w:cs="Arial" w:eastAsia="Arial" w:hAnsi="Arial"/>
                <w:sz w:val="14"/>
                <w:szCs w:val="14"/>
                <w:b w:val="1"/>
                <w:bCs w:val="1"/>
                <w:color w:val="auto"/>
                <w:w w:val="93"/>
              </w:rPr>
              <w:t>(Commission File Number)</w:t>
            </w:r>
          </w:p>
        </w:tc>
        <w:tc>
          <w:tcPr>
            <w:tcW w:w="4000" w:type="dxa"/>
            <w:vAlign w:val="bottom"/>
          </w:tcPr>
          <w:p>
            <w:pPr>
              <w:jc w:val="center"/>
              <w:ind w:left="182"/>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475"/>
        </w:trPr>
        <w:tc>
          <w:tcPr>
            <w:tcW w:w="3740" w:type="dxa"/>
            <w:vAlign w:val="bottom"/>
          </w:tcPr>
          <w:p>
            <w:pPr>
              <w:jc w:val="center"/>
              <w:ind w:left="1024"/>
              <w:spacing w:after="0"/>
              <w:rPr>
                <w:sz w:val="20"/>
                <w:szCs w:val="20"/>
                <w:color w:val="auto"/>
              </w:rPr>
            </w:pPr>
            <w:r>
              <w:rPr>
                <w:rFonts w:ascii="Arial" w:cs="Arial" w:eastAsia="Arial" w:hAnsi="Arial"/>
                <w:sz w:val="14"/>
                <w:szCs w:val="14"/>
                <w:b w:val="1"/>
                <w:bCs w:val="1"/>
                <w:color w:val="auto"/>
                <w:w w:val="93"/>
              </w:rPr>
              <w:t>1691 Michigan Avenue</w:t>
            </w:r>
          </w:p>
        </w:tc>
        <w:tc>
          <w:tcPr>
            <w:tcW w:w="3500" w:type="dxa"/>
            <w:vAlign w:val="bottom"/>
          </w:tcPr>
          <w:p>
            <w:pPr>
              <w:spacing w:after="0"/>
              <w:rPr>
                <w:sz w:val="24"/>
                <w:szCs w:val="24"/>
                <w:color w:val="auto"/>
              </w:rPr>
            </w:pPr>
          </w:p>
        </w:tc>
        <w:tc>
          <w:tcPr>
            <w:tcW w:w="4000" w:type="dxa"/>
            <w:vAlign w:val="bottom"/>
          </w:tcPr>
          <w:p>
            <w:pPr>
              <w:jc w:val="right"/>
              <w:ind w:right="2102"/>
              <w:spacing w:after="0"/>
              <w:rPr>
                <w:sz w:val="20"/>
                <w:szCs w:val="20"/>
                <w:color w:val="auto"/>
              </w:rPr>
            </w:pPr>
            <w:r>
              <w:rPr>
                <w:rFonts w:ascii="Arial" w:cs="Arial" w:eastAsia="Arial" w:hAnsi="Arial"/>
                <w:sz w:val="14"/>
                <w:szCs w:val="14"/>
                <w:b w:val="1"/>
                <w:bCs w:val="1"/>
                <w:color w:val="auto"/>
              </w:rPr>
              <w:t>33139</w:t>
            </w:r>
          </w:p>
        </w:tc>
      </w:tr>
      <w:tr>
        <w:trPr>
          <w:trHeight w:val="166"/>
        </w:trPr>
        <w:tc>
          <w:tcPr>
            <w:tcW w:w="3740" w:type="dxa"/>
            <w:vAlign w:val="bottom"/>
          </w:tcPr>
          <w:p>
            <w:pPr>
              <w:jc w:val="center"/>
              <w:ind w:left="984"/>
              <w:spacing w:after="0"/>
              <w:rPr>
                <w:sz w:val="20"/>
                <w:szCs w:val="20"/>
                <w:color w:val="auto"/>
              </w:rPr>
            </w:pPr>
            <w:r>
              <w:rPr>
                <w:rFonts w:ascii="Arial" w:cs="Arial" w:eastAsia="Arial" w:hAnsi="Arial"/>
                <w:sz w:val="14"/>
                <w:szCs w:val="14"/>
                <w:b w:val="1"/>
                <w:bCs w:val="1"/>
                <w:color w:val="auto"/>
                <w:w w:val="97"/>
              </w:rPr>
              <w:t>Miami Beach, Florida</w:t>
            </w:r>
          </w:p>
        </w:tc>
        <w:tc>
          <w:tcPr>
            <w:tcW w:w="3500" w:type="dxa"/>
            <w:vAlign w:val="bottom"/>
          </w:tcPr>
          <w:p>
            <w:pPr>
              <w:spacing w:after="0"/>
              <w:rPr>
                <w:sz w:val="14"/>
                <w:szCs w:val="14"/>
                <w:color w:val="auto"/>
              </w:rPr>
            </w:pPr>
          </w:p>
        </w:tc>
        <w:tc>
          <w:tcPr>
            <w:tcW w:w="4000" w:type="dxa"/>
            <w:vAlign w:val="bottom"/>
          </w:tcPr>
          <w:p>
            <w:pPr>
              <w:jc w:val="center"/>
              <w:ind w:right="642"/>
              <w:spacing w:after="0"/>
              <w:rPr>
                <w:sz w:val="20"/>
                <w:szCs w:val="20"/>
                <w:color w:val="auto"/>
              </w:rPr>
            </w:pPr>
            <w:r>
              <w:rPr>
                <w:rFonts w:ascii="Arial" w:cs="Arial" w:eastAsia="Arial" w:hAnsi="Arial"/>
                <w:sz w:val="14"/>
                <w:szCs w:val="14"/>
                <w:color w:val="auto"/>
                <w:w w:val="96"/>
              </w:rPr>
              <w:t>(Zip Code)</w:t>
            </w:r>
          </w:p>
        </w:tc>
      </w:tr>
      <w:tr>
        <w:trPr>
          <w:trHeight w:val="182"/>
        </w:trPr>
        <w:tc>
          <w:tcPr>
            <w:tcW w:w="3740" w:type="dxa"/>
            <w:vAlign w:val="bottom"/>
          </w:tcPr>
          <w:p>
            <w:pPr>
              <w:jc w:val="center"/>
              <w:ind w:left="1024"/>
              <w:spacing w:after="0"/>
              <w:rPr>
                <w:sz w:val="20"/>
                <w:szCs w:val="20"/>
                <w:color w:val="auto"/>
              </w:rPr>
            </w:pPr>
            <w:r>
              <w:rPr>
                <w:rFonts w:ascii="Arial" w:cs="Arial" w:eastAsia="Arial" w:hAnsi="Arial"/>
                <w:sz w:val="14"/>
                <w:szCs w:val="14"/>
                <w:color w:val="auto"/>
                <w:w w:val="95"/>
              </w:rPr>
              <w:t>(Address of Principal Executive Offices)</w:t>
            </w:r>
          </w:p>
        </w:tc>
        <w:tc>
          <w:tcPr>
            <w:tcW w:w="3500" w:type="dxa"/>
            <w:vAlign w:val="bottom"/>
          </w:tcPr>
          <w:p>
            <w:pPr>
              <w:spacing w:after="0"/>
              <w:rPr>
                <w:sz w:val="15"/>
                <w:szCs w:val="15"/>
                <w:color w:val="auto"/>
              </w:rPr>
            </w:pPr>
          </w:p>
        </w:tc>
        <w:tc>
          <w:tcPr>
            <w:tcW w:w="4000" w:type="dxa"/>
            <w:vAlign w:val="bottom"/>
          </w:tcPr>
          <w:p>
            <w:pPr>
              <w:spacing w:after="0"/>
              <w:rPr>
                <w:sz w:val="15"/>
                <w:szCs w:val="15"/>
                <w:color w:val="auto"/>
              </w:rPr>
            </w:pPr>
          </w:p>
        </w:tc>
      </w:tr>
      <w:tr>
        <w:trPr>
          <w:trHeight w:val="398"/>
        </w:trPr>
        <w:tc>
          <w:tcPr>
            <w:tcW w:w="3740" w:type="dxa"/>
            <w:vAlign w:val="bottom"/>
          </w:tcPr>
          <w:p>
            <w:pPr>
              <w:spacing w:after="0"/>
              <w:rPr>
                <w:sz w:val="24"/>
                <w:szCs w:val="24"/>
                <w:color w:val="auto"/>
              </w:rPr>
            </w:pPr>
          </w:p>
        </w:tc>
        <w:tc>
          <w:tcPr>
            <w:tcW w:w="3500" w:type="dxa"/>
            <w:vAlign w:val="bottom"/>
          </w:tcPr>
          <w:p>
            <w:pPr>
              <w:jc w:val="center"/>
              <w:ind w:left="204"/>
              <w:spacing w:after="0"/>
              <w:rPr>
                <w:sz w:val="20"/>
                <w:szCs w:val="20"/>
                <w:color w:val="auto"/>
              </w:rPr>
            </w:pPr>
            <w:r>
              <w:rPr>
                <w:rFonts w:ascii="Arial" w:cs="Arial" w:eastAsia="Arial" w:hAnsi="Arial"/>
                <w:sz w:val="14"/>
                <w:szCs w:val="14"/>
                <w:b w:val="1"/>
                <w:bCs w:val="1"/>
                <w:color w:val="auto"/>
                <w:w w:val="93"/>
              </w:rPr>
              <w:t>(212) 905-1000</w:t>
            </w:r>
          </w:p>
        </w:tc>
        <w:tc>
          <w:tcPr>
            <w:tcW w:w="4000" w:type="dxa"/>
            <w:vAlign w:val="bottom"/>
          </w:tcPr>
          <w:p>
            <w:pPr>
              <w:spacing w:after="0"/>
              <w:rPr>
                <w:sz w:val="24"/>
                <w:szCs w:val="24"/>
                <w:color w:val="auto"/>
              </w:rPr>
            </w:pPr>
          </w:p>
        </w:tc>
      </w:tr>
      <w:tr>
        <w:trPr>
          <w:trHeight w:val="182"/>
        </w:trPr>
        <w:tc>
          <w:tcPr>
            <w:tcW w:w="3740" w:type="dxa"/>
            <w:vAlign w:val="bottom"/>
          </w:tcPr>
          <w:p>
            <w:pPr>
              <w:spacing w:after="0"/>
              <w:rPr>
                <w:sz w:val="15"/>
                <w:szCs w:val="15"/>
                <w:color w:val="auto"/>
              </w:rPr>
            </w:pPr>
          </w:p>
        </w:tc>
        <w:tc>
          <w:tcPr>
            <w:tcW w:w="3500" w:type="dxa"/>
            <w:vAlign w:val="bottom"/>
          </w:tcPr>
          <w:p>
            <w:pPr>
              <w:jc w:val="center"/>
              <w:ind w:left="184"/>
              <w:spacing w:after="0"/>
              <w:rPr>
                <w:sz w:val="20"/>
                <w:szCs w:val="20"/>
                <w:color w:val="auto"/>
              </w:rPr>
            </w:pPr>
            <w:r>
              <w:rPr>
                <w:rFonts w:ascii="Arial" w:cs="Arial" w:eastAsia="Arial" w:hAnsi="Arial"/>
                <w:sz w:val="14"/>
                <w:szCs w:val="14"/>
                <w:color w:val="auto"/>
                <w:w w:val="92"/>
              </w:rPr>
              <w:t>(Registrant's telephone number, including area code)</w:t>
            </w:r>
          </w:p>
        </w:tc>
        <w:tc>
          <w:tcPr>
            <w:tcW w:w="4000" w:type="dxa"/>
            <w:vAlign w:val="bottom"/>
          </w:tcPr>
          <w:p>
            <w:pPr>
              <w:spacing w:after="0"/>
              <w:rPr>
                <w:sz w:val="15"/>
                <w:szCs w:val="15"/>
                <w:color w:val="auto"/>
              </w:rPr>
            </w:pPr>
          </w:p>
        </w:tc>
      </w:tr>
      <w:tr>
        <w:trPr>
          <w:trHeight w:val="340"/>
        </w:trPr>
        <w:tc>
          <w:tcPr>
            <w:tcW w:w="3740" w:type="dxa"/>
            <w:vAlign w:val="bottom"/>
          </w:tcPr>
          <w:p>
            <w:pPr>
              <w:spacing w:after="0"/>
              <w:rPr>
                <w:sz w:val="24"/>
                <w:szCs w:val="24"/>
                <w:color w:val="auto"/>
              </w:rPr>
            </w:pPr>
          </w:p>
        </w:tc>
        <w:tc>
          <w:tcPr>
            <w:tcW w:w="3500" w:type="dxa"/>
            <w:vAlign w:val="bottom"/>
          </w:tcPr>
          <w:p>
            <w:pPr>
              <w:jc w:val="center"/>
              <w:ind w:left="184"/>
              <w:spacing w:after="0"/>
              <w:rPr>
                <w:sz w:val="20"/>
                <w:szCs w:val="20"/>
                <w:color w:val="auto"/>
              </w:rPr>
            </w:pPr>
            <w:r>
              <w:rPr>
                <w:rFonts w:ascii="Arial" w:cs="Arial" w:eastAsia="Arial" w:hAnsi="Arial"/>
                <w:sz w:val="14"/>
                <w:szCs w:val="14"/>
                <w:b w:val="1"/>
                <w:bCs w:val="1"/>
                <w:color w:val="auto"/>
                <w:w w:val="93"/>
              </w:rPr>
              <w:t>590 Madison Avenue, 15th Floor</w:t>
            </w:r>
          </w:p>
        </w:tc>
        <w:tc>
          <w:tcPr>
            <w:tcW w:w="4000" w:type="dxa"/>
            <w:vAlign w:val="bottom"/>
          </w:tcPr>
          <w:p>
            <w:pPr>
              <w:spacing w:after="0"/>
              <w:rPr>
                <w:sz w:val="24"/>
                <w:szCs w:val="24"/>
                <w:color w:val="auto"/>
              </w:rPr>
            </w:pPr>
          </w:p>
        </w:tc>
      </w:tr>
      <w:tr>
        <w:trPr>
          <w:trHeight w:val="166"/>
        </w:trPr>
        <w:tc>
          <w:tcPr>
            <w:tcW w:w="3740" w:type="dxa"/>
            <w:vAlign w:val="bottom"/>
          </w:tcPr>
          <w:p>
            <w:pPr>
              <w:spacing w:after="0"/>
              <w:rPr>
                <w:sz w:val="14"/>
                <w:szCs w:val="14"/>
                <w:color w:val="auto"/>
              </w:rPr>
            </w:pPr>
          </w:p>
        </w:tc>
        <w:tc>
          <w:tcPr>
            <w:tcW w:w="3500" w:type="dxa"/>
            <w:vAlign w:val="bottom"/>
          </w:tcPr>
          <w:p>
            <w:pPr>
              <w:jc w:val="center"/>
              <w:ind w:left="184"/>
              <w:spacing w:after="0"/>
              <w:rPr>
                <w:sz w:val="20"/>
                <w:szCs w:val="20"/>
                <w:color w:val="auto"/>
              </w:rPr>
            </w:pPr>
            <w:r>
              <w:rPr>
                <w:rFonts w:ascii="Arial" w:cs="Arial" w:eastAsia="Arial" w:hAnsi="Arial"/>
                <w:sz w:val="14"/>
                <w:szCs w:val="14"/>
                <w:b w:val="1"/>
                <w:bCs w:val="1"/>
                <w:color w:val="auto"/>
                <w:w w:val="94"/>
              </w:rPr>
              <w:t>New York, New York 10022</w:t>
            </w:r>
          </w:p>
        </w:tc>
        <w:tc>
          <w:tcPr>
            <w:tcW w:w="4000" w:type="dxa"/>
            <w:vAlign w:val="bottom"/>
          </w:tcPr>
          <w:p>
            <w:pPr>
              <w:spacing w:after="0"/>
              <w:rPr>
                <w:sz w:val="14"/>
                <w:szCs w:val="14"/>
                <w:color w:val="auto"/>
              </w:rPr>
            </w:pPr>
          </w:p>
        </w:tc>
      </w:tr>
      <w:tr>
        <w:trPr>
          <w:trHeight w:val="181"/>
        </w:trPr>
        <w:tc>
          <w:tcPr>
            <w:tcW w:w="3740" w:type="dxa"/>
            <w:vAlign w:val="bottom"/>
            <w:tcBorders>
              <w:bottom w:val="single" w:sz="8" w:color="auto"/>
            </w:tcBorders>
          </w:tcPr>
          <w:p>
            <w:pPr>
              <w:spacing w:after="0"/>
              <w:rPr>
                <w:sz w:val="15"/>
                <w:szCs w:val="15"/>
                <w:color w:val="auto"/>
              </w:rPr>
            </w:pPr>
          </w:p>
        </w:tc>
        <w:tc>
          <w:tcPr>
            <w:tcW w:w="7500" w:type="dxa"/>
            <w:vAlign w:val="bottom"/>
            <w:tcBorders>
              <w:bottom w:val="single" w:sz="8" w:color="auto"/>
            </w:tcBorders>
            <w:gridSpan w:val="2"/>
          </w:tcPr>
          <w:p>
            <w:pPr>
              <w:jc w:val="center"/>
              <w:ind w:right="3642"/>
              <w:spacing w:after="0"/>
              <w:rPr>
                <w:sz w:val="20"/>
                <w:szCs w:val="20"/>
                <w:color w:val="auto"/>
              </w:rPr>
            </w:pPr>
            <w:r>
              <w:rPr>
                <w:rFonts w:ascii="Arial" w:cs="Arial" w:eastAsia="Arial" w:hAnsi="Arial"/>
                <w:sz w:val="14"/>
                <w:szCs w:val="14"/>
                <w:color w:val="auto"/>
                <w:w w:val="92"/>
              </w:rPr>
              <w:t>(Former name or former address, if changed since last report)</w:t>
            </w:r>
          </w:p>
        </w:tc>
      </w:tr>
      <w:tr>
        <w:trPr>
          <w:trHeight w:val="360"/>
        </w:trPr>
        <w:tc>
          <w:tcPr>
            <w:tcW w:w="37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49"/>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Title of Each Class</w:t>
            </w:r>
          </w:p>
        </w:tc>
        <w:tc>
          <w:tcPr>
            <w:tcW w:w="3500" w:type="dxa"/>
            <w:vAlign w:val="bottom"/>
          </w:tcPr>
          <w:p>
            <w:pPr>
              <w:jc w:val="center"/>
              <w:ind w:left="4"/>
              <w:spacing w:after="0"/>
              <w:rPr>
                <w:sz w:val="20"/>
                <w:szCs w:val="20"/>
                <w:color w:val="auto"/>
              </w:rPr>
            </w:pPr>
            <w:r>
              <w:rPr>
                <w:rFonts w:ascii="Arial" w:cs="Arial" w:eastAsia="Arial" w:hAnsi="Arial"/>
                <w:sz w:val="18"/>
                <w:szCs w:val="18"/>
                <w:b w:val="1"/>
                <w:bCs w:val="1"/>
                <w:color w:val="auto"/>
                <w:w w:val="89"/>
              </w:rPr>
              <w:t>Trading Symbol(s)</w:t>
            </w:r>
          </w:p>
        </w:tc>
        <w:tc>
          <w:tcPr>
            <w:tcW w:w="4000" w:type="dxa"/>
            <w:vAlign w:val="bottom"/>
          </w:tcPr>
          <w:p>
            <w:pPr>
              <w:jc w:val="center"/>
              <w:ind w:right="242"/>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0"/>
        </w:trPr>
        <w:tc>
          <w:tcPr>
            <w:tcW w:w="3740" w:type="dxa"/>
            <w:vAlign w:val="bottom"/>
          </w:tcPr>
          <w:p>
            <w:pPr>
              <w:ind w:left="500"/>
              <w:spacing w:after="0"/>
              <w:rPr>
                <w:sz w:val="20"/>
                <w:szCs w:val="20"/>
                <w:color w:val="auto"/>
              </w:rPr>
            </w:pPr>
            <w:r>
              <w:rPr>
                <w:rFonts w:ascii="Arial" w:cs="Arial" w:eastAsia="Arial" w:hAnsi="Arial"/>
                <w:sz w:val="18"/>
                <w:szCs w:val="18"/>
                <w:color w:val="auto"/>
                <w:w w:val="92"/>
              </w:rPr>
              <w:t>Common Stock, par value $0.001 per share</w:t>
            </w:r>
          </w:p>
        </w:tc>
        <w:tc>
          <w:tcPr>
            <w:tcW w:w="3500" w:type="dxa"/>
            <w:vAlign w:val="bottom"/>
          </w:tcPr>
          <w:p>
            <w:pPr>
              <w:jc w:val="center"/>
              <w:ind w:left="4"/>
              <w:spacing w:after="0"/>
              <w:rPr>
                <w:sz w:val="20"/>
                <w:szCs w:val="20"/>
                <w:color w:val="auto"/>
              </w:rPr>
            </w:pPr>
            <w:r>
              <w:rPr>
                <w:rFonts w:ascii="Arial" w:cs="Arial" w:eastAsia="Arial" w:hAnsi="Arial"/>
                <w:sz w:val="18"/>
                <w:szCs w:val="18"/>
                <w:color w:val="auto"/>
                <w:w w:val="95"/>
              </w:rPr>
              <w:t>PFLT</w:t>
            </w:r>
          </w:p>
        </w:tc>
        <w:tc>
          <w:tcPr>
            <w:tcW w:w="4000" w:type="dxa"/>
            <w:vAlign w:val="bottom"/>
          </w:tcPr>
          <w:p>
            <w:pPr>
              <w:jc w:val="center"/>
              <w:ind w:right="222"/>
              <w:spacing w:after="0"/>
              <w:rPr>
                <w:sz w:val="20"/>
                <w:szCs w:val="20"/>
                <w:color w:val="auto"/>
              </w:rPr>
            </w:pPr>
            <w:r>
              <w:rPr>
                <w:rFonts w:ascii="Arial" w:cs="Arial" w:eastAsia="Arial" w:hAnsi="Arial"/>
                <w:sz w:val="18"/>
                <w:szCs w:val="18"/>
                <w:color w:val="auto"/>
                <w:w w:val="91"/>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1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Written communications pursuant to Rule 425 under the Securities Act (17 CFR 230.425)</w:t>
      </w:r>
    </w:p>
    <w:p>
      <w:pPr>
        <w:spacing w:after="0" w:line="21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Soliciting material pursuant to Rule 14a-12 under the Exchange Act (17 CFR 240.14a-12)</w:t>
      </w:r>
    </w:p>
    <w:p>
      <w:pPr>
        <w:spacing w:after="0" w:line="21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Pre-commencement communications pursuant to Rule 14d-2(b) under the Exchange Act (17 CFR 240.14d-2(b))</w:t>
      </w:r>
    </w:p>
    <w:p>
      <w:pPr>
        <w:spacing w:after="0" w:line="217" w:lineRule="exact"/>
        <w:rPr>
          <w:sz w:val="24"/>
          <w:szCs w:val="24"/>
          <w:color w:val="auto"/>
        </w:rPr>
      </w:pPr>
    </w:p>
    <w:p>
      <w:pPr>
        <w:ind w:left="480"/>
        <w:spacing w:after="0"/>
        <w:rPr>
          <w:sz w:val="20"/>
          <w:szCs w:val="20"/>
          <w:color w:val="auto"/>
        </w:rPr>
      </w:pPr>
      <w:r>
        <w:rPr>
          <w:rFonts w:ascii="Arial" w:cs="Arial" w:eastAsia="Arial" w:hAnsi="Arial"/>
          <w:sz w:val="14"/>
          <w:szCs w:val="14"/>
          <w:color w:val="auto"/>
        </w:rPr>
        <w:t>Pre-commencement communications pursuant to Rule 13e-4(c) under the Exchange Act (17 CFR 240.13e-4(c))</w:t>
      </w:r>
    </w:p>
    <w:p>
      <w:pPr>
        <w:spacing w:after="0" w:line="204" w:lineRule="exact"/>
        <w:rPr>
          <w:sz w:val="24"/>
          <w:szCs w:val="24"/>
          <w:color w:val="auto"/>
        </w:rPr>
      </w:pPr>
    </w:p>
    <w:p>
      <w:pPr>
        <w:ind w:right="280" w:firstLine="36"/>
        <w:spacing w:after="0" w:line="27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highlight w:val="black"/>
        </w:rPr>
        <w:t>☐</w:t>
      </w:r>
    </w:p>
    <w:p>
      <w:pPr>
        <w:spacing w:after="0" w:line="190"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 w:name="page2"/>
    <w:bookmarkEnd w:id="1"/>
    <w:p>
      <w:pPr>
        <w:ind w:left="20"/>
        <w:spacing w:after="0"/>
        <w:tabs>
          <w:tab w:leader="none" w:pos="11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w:t>
      </w:r>
      <w:r>
        <w:rPr>
          <w:sz w:val="20"/>
          <w:szCs w:val="20"/>
          <w:color w:val="auto"/>
        </w:rPr>
        <w:tab/>
      </w:r>
      <w:r>
        <w:rPr>
          <w:rFonts w:ascii="Arial" w:cs="Arial" w:eastAsia="Arial" w:hAnsi="Arial"/>
          <w:sz w:val="12"/>
          <w:szCs w:val="12"/>
          <w:b w:val="1"/>
          <w:bCs w:val="1"/>
          <w:color w:val="auto"/>
        </w:rPr>
        <w:t>Submission of Matters to a Vote of Security Holders</w:t>
      </w:r>
    </w:p>
    <w:p>
      <w:pPr>
        <w:spacing w:after="0" w:line="59" w:lineRule="exact"/>
        <w:rPr>
          <w:sz w:val="20"/>
          <w:szCs w:val="20"/>
          <w:color w:val="auto"/>
        </w:rPr>
      </w:pPr>
    </w:p>
    <w:p>
      <w:pPr>
        <w:jc w:val="both"/>
        <w:ind w:right="100" w:firstLine="509"/>
        <w:spacing w:after="0" w:line="286" w:lineRule="auto"/>
        <w:rPr>
          <w:sz w:val="20"/>
          <w:szCs w:val="20"/>
          <w:color w:val="auto"/>
        </w:rPr>
      </w:pPr>
      <w:r>
        <w:rPr>
          <w:rFonts w:ascii="Arial" w:cs="Arial" w:eastAsia="Arial" w:hAnsi="Arial"/>
          <w:sz w:val="13"/>
          <w:szCs w:val="13"/>
          <w:color w:val="auto"/>
        </w:rPr>
        <w:t>On February 8, 2022, PennantPark Floating Rate Capital Ltd. (the “Company”) held its annual meeting of stockholders (the “Annual Meeting”) and submitted two matters to the vote of its stockholders. The proposals are described in detail in the Company’s definitive proxy statement filed with the Securities and Exchange Commission on December 9, 2021. As of December 1, 2021, the record date, 38,939,434 shares of common stock were eligible to vote. A summary of the matters voted upon by the stockholders is set forth below.</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Proposal 1. </w:t>
      </w:r>
      <w:r>
        <w:rPr>
          <w:rFonts w:ascii="Arial" w:cs="Arial" w:eastAsia="Arial" w:hAnsi="Arial"/>
          <w:sz w:val="13"/>
          <w:szCs w:val="13"/>
          <w:color w:val="auto"/>
        </w:rPr>
        <w:t>The Company’s stockholders elected two Class II directors of the Company, who will each serve until the 2025 Annual Meeting and until his successor is duly elected and qualifies.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8, 2022, as certified by the inspector of election, are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80" w:type="dxa"/>
            <w:vAlign w:val="bottom"/>
          </w:tcPr>
          <w:p>
            <w:pPr>
              <w:ind w:left="20"/>
              <w:spacing w:after="0"/>
              <w:rPr>
                <w:sz w:val="20"/>
                <w:szCs w:val="20"/>
                <w:color w:val="auto"/>
              </w:rPr>
            </w:pPr>
            <w:r>
              <w:rPr>
                <w:rFonts w:ascii="Arial" w:cs="Arial" w:eastAsia="Arial" w:hAnsi="Arial"/>
                <w:sz w:val="14"/>
                <w:szCs w:val="14"/>
                <w:color w:val="auto"/>
              </w:rPr>
              <w:t>Name</w:t>
            </w:r>
          </w:p>
        </w:tc>
        <w:tc>
          <w:tcPr>
            <w:tcW w:w="400" w:type="dxa"/>
            <w:vAlign w:val="bottom"/>
          </w:tcPr>
          <w:p>
            <w:pPr>
              <w:spacing w:after="0"/>
              <w:rPr>
                <w:sz w:val="15"/>
                <w:szCs w:val="15"/>
                <w:color w:val="auto"/>
              </w:rPr>
            </w:pPr>
          </w:p>
        </w:tc>
        <w:tc>
          <w:tcPr>
            <w:tcW w:w="2500" w:type="dxa"/>
            <w:vAlign w:val="bottom"/>
            <w:gridSpan w:val="2"/>
          </w:tcPr>
          <w:p>
            <w:pPr>
              <w:jc w:val="right"/>
              <w:ind w:right="1440"/>
              <w:spacing w:after="0"/>
              <w:rPr>
                <w:sz w:val="20"/>
                <w:szCs w:val="20"/>
                <w:color w:val="auto"/>
              </w:rPr>
            </w:pPr>
            <w:r>
              <w:rPr>
                <w:rFonts w:ascii="Arial" w:cs="Arial" w:eastAsia="Arial" w:hAnsi="Arial"/>
                <w:sz w:val="14"/>
                <w:szCs w:val="14"/>
                <w:color w:val="auto"/>
              </w:rPr>
              <w:t>For</w:t>
            </w:r>
          </w:p>
        </w:tc>
        <w:tc>
          <w:tcPr>
            <w:tcW w:w="1800" w:type="dxa"/>
            <w:vAlign w:val="bottom"/>
            <w:gridSpan w:val="2"/>
          </w:tcPr>
          <w:p>
            <w:pPr>
              <w:jc w:val="right"/>
              <w:ind w:right="960"/>
              <w:spacing w:after="0"/>
              <w:rPr>
                <w:sz w:val="20"/>
                <w:szCs w:val="20"/>
                <w:color w:val="auto"/>
              </w:rPr>
            </w:pPr>
            <w:r>
              <w:rPr>
                <w:rFonts w:ascii="Arial" w:cs="Arial" w:eastAsia="Arial" w:hAnsi="Arial"/>
                <w:sz w:val="14"/>
                <w:szCs w:val="14"/>
                <w:color w:val="auto"/>
              </w:rPr>
              <w:t>Against</w:t>
            </w:r>
          </w:p>
        </w:tc>
        <w:tc>
          <w:tcPr>
            <w:tcW w:w="1780" w:type="dxa"/>
            <w:vAlign w:val="bottom"/>
            <w:gridSpan w:val="2"/>
          </w:tcPr>
          <w:p>
            <w:pPr>
              <w:jc w:val="right"/>
              <w:ind w:right="940"/>
              <w:spacing w:after="0"/>
              <w:rPr>
                <w:sz w:val="20"/>
                <w:szCs w:val="20"/>
                <w:color w:val="auto"/>
              </w:rPr>
            </w:pPr>
            <w:r>
              <w:rPr>
                <w:rFonts w:ascii="Arial" w:cs="Arial" w:eastAsia="Arial" w:hAnsi="Arial"/>
                <w:sz w:val="14"/>
                <w:szCs w:val="14"/>
                <w:color w:val="auto"/>
              </w:rPr>
              <w:t>Abstain</w:t>
            </w:r>
          </w:p>
        </w:tc>
        <w:tc>
          <w:tcPr>
            <w:tcW w:w="1640" w:type="dxa"/>
            <w:vAlign w:val="bottom"/>
          </w:tcPr>
          <w:p>
            <w:pPr>
              <w:jc w:val="right"/>
              <w:ind w:right="248"/>
              <w:spacing w:after="0"/>
              <w:rPr>
                <w:sz w:val="20"/>
                <w:szCs w:val="20"/>
                <w:color w:val="auto"/>
              </w:rPr>
            </w:pPr>
            <w:r>
              <w:rPr>
                <w:rFonts w:ascii="Arial" w:cs="Arial" w:eastAsia="Arial" w:hAnsi="Arial"/>
                <w:sz w:val="14"/>
                <w:szCs w:val="14"/>
                <w:color w:val="auto"/>
              </w:rPr>
              <w:t>Broker Non-Vote</w:t>
            </w:r>
          </w:p>
        </w:tc>
        <w:tc>
          <w:tcPr>
            <w:tcW w:w="40" w:type="dxa"/>
            <w:vAlign w:val="bottom"/>
          </w:tcPr>
          <w:p>
            <w:pPr>
              <w:spacing w:after="0"/>
              <w:rPr>
                <w:sz w:val="15"/>
                <w:szCs w:val="15"/>
                <w:color w:val="auto"/>
              </w:rPr>
            </w:pPr>
          </w:p>
        </w:tc>
      </w:tr>
      <w:tr>
        <w:trPr>
          <w:trHeight w:val="169"/>
        </w:trPr>
        <w:tc>
          <w:tcPr>
            <w:tcW w:w="3080" w:type="dxa"/>
            <w:vAlign w:val="bottom"/>
            <w:tcBorders>
              <w:top w:val="single" w:sz="8" w:color="auto"/>
            </w:tcBorders>
            <w:shd w:val="clear" w:color="auto" w:fill="BDD7EE"/>
          </w:tcPr>
          <w:p>
            <w:pPr>
              <w:ind w:left="20"/>
              <w:spacing w:after="0"/>
              <w:rPr>
                <w:sz w:val="20"/>
                <w:szCs w:val="20"/>
                <w:color w:val="auto"/>
              </w:rPr>
            </w:pPr>
            <w:r>
              <w:rPr>
                <w:rFonts w:ascii="Arial" w:cs="Arial" w:eastAsia="Arial" w:hAnsi="Arial"/>
                <w:sz w:val="14"/>
                <w:szCs w:val="14"/>
                <w:color w:val="auto"/>
              </w:rPr>
              <w:t>Adam K. Bernstein</w:t>
            </w:r>
          </w:p>
        </w:tc>
        <w:tc>
          <w:tcPr>
            <w:tcW w:w="400" w:type="dxa"/>
            <w:vAlign w:val="bottom"/>
            <w:shd w:val="clear" w:color="auto" w:fill="BDD7EE"/>
          </w:tcPr>
          <w:p>
            <w:pPr>
              <w:spacing w:after="0"/>
              <w:rPr>
                <w:sz w:val="14"/>
                <w:szCs w:val="14"/>
                <w:color w:val="auto"/>
              </w:rPr>
            </w:pPr>
          </w:p>
        </w:tc>
        <w:tc>
          <w:tcPr>
            <w:tcW w:w="192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8,294,263</w:t>
            </w:r>
          </w:p>
        </w:tc>
        <w:tc>
          <w:tcPr>
            <w:tcW w:w="580" w:type="dxa"/>
            <w:vAlign w:val="bottom"/>
            <w:shd w:val="clear" w:color="auto" w:fill="BDD7EE"/>
          </w:tcPr>
          <w:p>
            <w:pPr>
              <w:spacing w:after="0"/>
              <w:rPr>
                <w:sz w:val="14"/>
                <w:szCs w:val="14"/>
                <w:color w:val="auto"/>
              </w:rPr>
            </w:pPr>
          </w:p>
        </w:tc>
        <w:tc>
          <w:tcPr>
            <w:tcW w:w="124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3,031,189</w:t>
            </w:r>
          </w:p>
        </w:tc>
        <w:tc>
          <w:tcPr>
            <w:tcW w:w="560" w:type="dxa"/>
            <w:vAlign w:val="bottom"/>
            <w:shd w:val="clear" w:color="auto" w:fill="BDD7EE"/>
          </w:tcPr>
          <w:p>
            <w:pPr>
              <w:spacing w:after="0"/>
              <w:rPr>
                <w:sz w:val="14"/>
                <w:szCs w:val="14"/>
                <w:color w:val="auto"/>
              </w:rPr>
            </w:pPr>
          </w:p>
        </w:tc>
        <w:tc>
          <w:tcPr>
            <w:tcW w:w="122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372,304</w:t>
            </w:r>
          </w:p>
        </w:tc>
        <w:tc>
          <w:tcPr>
            <w:tcW w:w="560" w:type="dxa"/>
            <w:vAlign w:val="bottom"/>
            <w:shd w:val="clear" w:color="auto" w:fill="BDD7EE"/>
          </w:tcPr>
          <w:p>
            <w:pPr>
              <w:spacing w:after="0"/>
              <w:rPr>
                <w:sz w:val="14"/>
                <w:szCs w:val="14"/>
                <w:color w:val="auto"/>
              </w:rPr>
            </w:pPr>
          </w:p>
        </w:tc>
        <w:tc>
          <w:tcPr>
            <w:tcW w:w="164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13,475,318</w:t>
            </w:r>
          </w:p>
        </w:tc>
        <w:tc>
          <w:tcPr>
            <w:tcW w:w="40" w:type="dxa"/>
            <w:vAlign w:val="bottom"/>
            <w:shd w:val="clear" w:color="auto" w:fill="BDD7EE"/>
          </w:tcPr>
          <w:p>
            <w:pPr>
              <w:spacing w:after="0"/>
              <w:rPr>
                <w:sz w:val="14"/>
                <w:szCs w:val="14"/>
                <w:color w:val="auto"/>
              </w:rPr>
            </w:pPr>
          </w:p>
        </w:tc>
      </w:tr>
      <w:tr>
        <w:trPr>
          <w:trHeight w:val="176"/>
        </w:trPr>
        <w:tc>
          <w:tcPr>
            <w:tcW w:w="3080" w:type="dxa"/>
            <w:vAlign w:val="bottom"/>
          </w:tcPr>
          <w:p>
            <w:pPr>
              <w:ind w:left="1000"/>
              <w:spacing w:after="0"/>
              <w:rPr>
                <w:sz w:val="20"/>
                <w:szCs w:val="20"/>
                <w:color w:val="auto"/>
              </w:rPr>
            </w:pPr>
            <w:r>
              <w:rPr>
                <w:rFonts w:ascii="Arial" w:cs="Arial" w:eastAsia="Arial" w:hAnsi="Arial"/>
                <w:sz w:val="14"/>
                <w:szCs w:val="14"/>
                <w:color w:val="auto"/>
              </w:rPr>
              <w:t>% of Shares Voted</w:t>
            </w:r>
          </w:p>
        </w:tc>
        <w:tc>
          <w:tcPr>
            <w:tcW w:w="2900" w:type="dxa"/>
            <w:vAlign w:val="bottom"/>
            <w:gridSpan w:val="3"/>
          </w:tcPr>
          <w:p>
            <w:pPr>
              <w:jc w:val="right"/>
              <w:ind w:right="460"/>
              <w:spacing w:after="0"/>
              <w:rPr>
                <w:sz w:val="20"/>
                <w:szCs w:val="20"/>
                <w:color w:val="auto"/>
              </w:rPr>
            </w:pPr>
            <w:r>
              <w:rPr>
                <w:rFonts w:ascii="Arial" w:cs="Arial" w:eastAsia="Arial" w:hAnsi="Arial"/>
                <w:sz w:val="14"/>
                <w:szCs w:val="14"/>
                <w:color w:val="auto"/>
              </w:rPr>
              <w:t>70.90 %</w:t>
            </w:r>
          </w:p>
        </w:tc>
        <w:tc>
          <w:tcPr>
            <w:tcW w:w="1800" w:type="dxa"/>
            <w:vAlign w:val="bottom"/>
            <w:gridSpan w:val="2"/>
          </w:tcPr>
          <w:p>
            <w:pPr>
              <w:jc w:val="right"/>
              <w:ind w:right="420"/>
              <w:spacing w:after="0"/>
              <w:rPr>
                <w:sz w:val="20"/>
                <w:szCs w:val="20"/>
                <w:color w:val="auto"/>
              </w:rPr>
            </w:pPr>
            <w:r>
              <w:rPr>
                <w:rFonts w:ascii="Arial" w:cs="Arial" w:eastAsia="Arial" w:hAnsi="Arial"/>
                <w:sz w:val="14"/>
                <w:szCs w:val="14"/>
                <w:color w:val="auto"/>
              </w:rPr>
              <w:t>25.91 %</w:t>
            </w:r>
          </w:p>
        </w:tc>
        <w:tc>
          <w:tcPr>
            <w:tcW w:w="1780" w:type="dxa"/>
            <w:vAlign w:val="bottom"/>
            <w:gridSpan w:val="2"/>
          </w:tcPr>
          <w:p>
            <w:pPr>
              <w:jc w:val="right"/>
              <w:ind w:right="420"/>
              <w:spacing w:after="0"/>
              <w:rPr>
                <w:sz w:val="20"/>
                <w:szCs w:val="20"/>
                <w:color w:val="auto"/>
              </w:rPr>
            </w:pPr>
            <w:r>
              <w:rPr>
                <w:rFonts w:ascii="Arial" w:cs="Arial" w:eastAsia="Arial" w:hAnsi="Arial"/>
                <w:sz w:val="14"/>
                <w:szCs w:val="14"/>
                <w:color w:val="auto"/>
              </w:rPr>
              <w:t>3.18 %</w:t>
            </w:r>
          </w:p>
        </w:tc>
        <w:tc>
          <w:tcPr>
            <w:tcW w:w="1640" w:type="dxa"/>
            <w:vAlign w:val="bottom"/>
          </w:tcPr>
          <w:p>
            <w:pPr>
              <w:jc w:val="right"/>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5"/>
                <w:szCs w:val="15"/>
                <w:color w:val="auto"/>
              </w:rPr>
            </w:pPr>
          </w:p>
        </w:tc>
      </w:tr>
      <w:tr>
        <w:trPr>
          <w:trHeight w:val="175"/>
        </w:trPr>
        <w:tc>
          <w:tcPr>
            <w:tcW w:w="3080" w:type="dxa"/>
            <w:vAlign w:val="bottom"/>
            <w:shd w:val="clear" w:color="auto" w:fill="BDD7EE"/>
          </w:tcPr>
          <w:p>
            <w:pPr>
              <w:ind w:left="20"/>
              <w:spacing w:after="0"/>
              <w:rPr>
                <w:sz w:val="20"/>
                <w:szCs w:val="20"/>
                <w:color w:val="auto"/>
              </w:rPr>
            </w:pPr>
            <w:r>
              <w:rPr>
                <w:rFonts w:ascii="Arial" w:cs="Arial" w:eastAsia="Arial" w:hAnsi="Arial"/>
                <w:sz w:val="14"/>
                <w:szCs w:val="14"/>
                <w:color w:val="auto"/>
              </w:rPr>
              <w:t>Jeffrey Flug</w:t>
            </w:r>
          </w:p>
        </w:tc>
        <w:tc>
          <w:tcPr>
            <w:tcW w:w="2320" w:type="dxa"/>
            <w:vAlign w:val="bottom"/>
            <w:gridSpan w:val="2"/>
            <w:shd w:val="clear" w:color="auto" w:fill="BDD7EE"/>
          </w:tcPr>
          <w:p>
            <w:pPr>
              <w:jc w:val="right"/>
              <w:spacing w:after="0"/>
              <w:rPr>
                <w:sz w:val="20"/>
                <w:szCs w:val="20"/>
                <w:color w:val="auto"/>
              </w:rPr>
            </w:pPr>
            <w:r>
              <w:rPr>
                <w:rFonts w:ascii="Arial" w:cs="Arial" w:eastAsia="Arial" w:hAnsi="Arial"/>
                <w:sz w:val="14"/>
                <w:szCs w:val="14"/>
                <w:color w:val="auto"/>
              </w:rPr>
              <w:t>9,121,794</w:t>
            </w:r>
          </w:p>
        </w:tc>
        <w:tc>
          <w:tcPr>
            <w:tcW w:w="580" w:type="dxa"/>
            <w:vAlign w:val="bottom"/>
            <w:shd w:val="clear" w:color="auto" w:fill="BDD7EE"/>
          </w:tcPr>
          <w:p>
            <w:pPr>
              <w:spacing w:after="0"/>
              <w:rPr>
                <w:sz w:val="15"/>
                <w:szCs w:val="15"/>
                <w:color w:val="auto"/>
              </w:rPr>
            </w:pPr>
          </w:p>
        </w:tc>
        <w:tc>
          <w:tcPr>
            <w:tcW w:w="1240" w:type="dxa"/>
            <w:vAlign w:val="bottom"/>
            <w:shd w:val="clear" w:color="auto" w:fill="BDD7EE"/>
          </w:tcPr>
          <w:p>
            <w:pPr>
              <w:jc w:val="right"/>
              <w:spacing w:after="0"/>
              <w:rPr>
                <w:sz w:val="20"/>
                <w:szCs w:val="20"/>
                <w:color w:val="auto"/>
              </w:rPr>
            </w:pPr>
            <w:r>
              <w:rPr>
                <w:rFonts w:ascii="Arial" w:cs="Arial" w:eastAsia="Arial" w:hAnsi="Arial"/>
                <w:sz w:val="14"/>
                <w:szCs w:val="14"/>
                <w:color w:val="auto"/>
              </w:rPr>
              <w:t>2,202,979</w:t>
            </w:r>
          </w:p>
        </w:tc>
        <w:tc>
          <w:tcPr>
            <w:tcW w:w="560" w:type="dxa"/>
            <w:vAlign w:val="bottom"/>
            <w:shd w:val="clear" w:color="auto" w:fill="BDD7EE"/>
          </w:tcPr>
          <w:p>
            <w:pPr>
              <w:spacing w:after="0"/>
              <w:rPr>
                <w:sz w:val="15"/>
                <w:szCs w:val="15"/>
                <w:color w:val="auto"/>
              </w:rPr>
            </w:pPr>
          </w:p>
        </w:tc>
        <w:tc>
          <w:tcPr>
            <w:tcW w:w="1220" w:type="dxa"/>
            <w:vAlign w:val="bottom"/>
            <w:shd w:val="clear" w:color="auto" w:fill="BDD7EE"/>
          </w:tcPr>
          <w:p>
            <w:pPr>
              <w:jc w:val="right"/>
              <w:spacing w:after="0"/>
              <w:rPr>
                <w:sz w:val="20"/>
                <w:szCs w:val="20"/>
                <w:color w:val="auto"/>
              </w:rPr>
            </w:pPr>
            <w:r>
              <w:rPr>
                <w:rFonts w:ascii="Arial" w:cs="Arial" w:eastAsia="Arial" w:hAnsi="Arial"/>
                <w:sz w:val="14"/>
                <w:szCs w:val="14"/>
                <w:color w:val="auto"/>
              </w:rPr>
              <w:t>372,983</w:t>
            </w:r>
          </w:p>
        </w:tc>
        <w:tc>
          <w:tcPr>
            <w:tcW w:w="560" w:type="dxa"/>
            <w:vAlign w:val="bottom"/>
            <w:shd w:val="clear" w:color="auto" w:fill="BDD7EE"/>
          </w:tcPr>
          <w:p>
            <w:pPr>
              <w:spacing w:after="0"/>
              <w:rPr>
                <w:sz w:val="15"/>
                <w:szCs w:val="15"/>
                <w:color w:val="auto"/>
              </w:rPr>
            </w:pPr>
          </w:p>
        </w:tc>
        <w:tc>
          <w:tcPr>
            <w:tcW w:w="1640" w:type="dxa"/>
            <w:vAlign w:val="bottom"/>
            <w:shd w:val="clear" w:color="auto" w:fill="BDD7EE"/>
          </w:tcPr>
          <w:p>
            <w:pPr>
              <w:jc w:val="right"/>
              <w:spacing w:after="0"/>
              <w:rPr>
                <w:sz w:val="20"/>
                <w:szCs w:val="20"/>
                <w:color w:val="auto"/>
              </w:rPr>
            </w:pPr>
            <w:r>
              <w:rPr>
                <w:rFonts w:ascii="Arial" w:cs="Arial" w:eastAsia="Arial" w:hAnsi="Arial"/>
                <w:sz w:val="14"/>
                <w:szCs w:val="14"/>
                <w:color w:val="auto"/>
              </w:rPr>
              <w:t>13,475,318</w:t>
            </w:r>
          </w:p>
        </w:tc>
        <w:tc>
          <w:tcPr>
            <w:tcW w:w="40" w:type="dxa"/>
            <w:vAlign w:val="bottom"/>
            <w:shd w:val="clear" w:color="auto" w:fill="BDD7EE"/>
          </w:tcPr>
          <w:p>
            <w:pPr>
              <w:spacing w:after="0"/>
              <w:rPr>
                <w:sz w:val="15"/>
                <w:szCs w:val="15"/>
                <w:color w:val="auto"/>
              </w:rPr>
            </w:pPr>
          </w:p>
        </w:tc>
      </w:tr>
      <w:tr>
        <w:trPr>
          <w:trHeight w:val="182"/>
        </w:trPr>
        <w:tc>
          <w:tcPr>
            <w:tcW w:w="3080" w:type="dxa"/>
            <w:vAlign w:val="bottom"/>
          </w:tcPr>
          <w:p>
            <w:pPr>
              <w:ind w:left="1000"/>
              <w:spacing w:after="0"/>
              <w:rPr>
                <w:sz w:val="20"/>
                <w:szCs w:val="20"/>
                <w:color w:val="auto"/>
              </w:rPr>
            </w:pPr>
            <w:r>
              <w:rPr>
                <w:rFonts w:ascii="Arial" w:cs="Arial" w:eastAsia="Arial" w:hAnsi="Arial"/>
                <w:sz w:val="14"/>
                <w:szCs w:val="14"/>
                <w:color w:val="auto"/>
              </w:rPr>
              <w:t>% of Shares Voted</w:t>
            </w:r>
          </w:p>
        </w:tc>
        <w:tc>
          <w:tcPr>
            <w:tcW w:w="2900" w:type="dxa"/>
            <w:vAlign w:val="bottom"/>
            <w:gridSpan w:val="3"/>
          </w:tcPr>
          <w:p>
            <w:pPr>
              <w:jc w:val="right"/>
              <w:ind w:right="460"/>
              <w:spacing w:after="0"/>
              <w:rPr>
                <w:sz w:val="20"/>
                <w:szCs w:val="20"/>
                <w:color w:val="auto"/>
              </w:rPr>
            </w:pPr>
            <w:r>
              <w:rPr>
                <w:rFonts w:ascii="Arial" w:cs="Arial" w:eastAsia="Arial" w:hAnsi="Arial"/>
                <w:sz w:val="14"/>
                <w:szCs w:val="14"/>
                <w:color w:val="auto"/>
              </w:rPr>
              <w:t>77.98 %</w:t>
            </w:r>
          </w:p>
        </w:tc>
        <w:tc>
          <w:tcPr>
            <w:tcW w:w="1800" w:type="dxa"/>
            <w:vAlign w:val="bottom"/>
            <w:gridSpan w:val="2"/>
          </w:tcPr>
          <w:p>
            <w:pPr>
              <w:jc w:val="right"/>
              <w:ind w:right="420"/>
              <w:spacing w:after="0"/>
              <w:rPr>
                <w:sz w:val="20"/>
                <w:szCs w:val="20"/>
                <w:color w:val="auto"/>
              </w:rPr>
            </w:pPr>
            <w:r>
              <w:rPr>
                <w:rFonts w:ascii="Arial" w:cs="Arial" w:eastAsia="Arial" w:hAnsi="Arial"/>
                <w:sz w:val="14"/>
                <w:szCs w:val="14"/>
                <w:color w:val="auto"/>
              </w:rPr>
              <w:t>18.83 %</w:t>
            </w:r>
          </w:p>
        </w:tc>
        <w:tc>
          <w:tcPr>
            <w:tcW w:w="1780" w:type="dxa"/>
            <w:vAlign w:val="bottom"/>
            <w:gridSpan w:val="2"/>
          </w:tcPr>
          <w:p>
            <w:pPr>
              <w:jc w:val="right"/>
              <w:ind w:right="420"/>
              <w:spacing w:after="0"/>
              <w:rPr>
                <w:sz w:val="20"/>
                <w:szCs w:val="20"/>
                <w:color w:val="auto"/>
              </w:rPr>
            </w:pPr>
            <w:r>
              <w:rPr>
                <w:rFonts w:ascii="Arial" w:cs="Arial" w:eastAsia="Arial" w:hAnsi="Arial"/>
                <w:sz w:val="14"/>
                <w:szCs w:val="14"/>
                <w:color w:val="auto"/>
              </w:rPr>
              <w:t>3.19 %</w:t>
            </w:r>
          </w:p>
        </w:tc>
        <w:tc>
          <w:tcPr>
            <w:tcW w:w="1640" w:type="dxa"/>
            <w:vAlign w:val="bottom"/>
          </w:tcPr>
          <w:p>
            <w:pPr>
              <w:jc w:val="right"/>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5"/>
                <w:szCs w:val="15"/>
                <w:color w:val="auto"/>
              </w:rPr>
            </w:pPr>
          </w:p>
        </w:tc>
      </w:tr>
    </w:tbl>
    <w:p>
      <w:pPr>
        <w:spacing w:after="0" w:line="349"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b w:val="1"/>
          <w:bCs w:val="1"/>
          <w:color w:val="auto"/>
        </w:rPr>
        <w:t xml:space="preserve">Proposal 2. </w:t>
      </w:r>
      <w:r>
        <w:rPr>
          <w:rFonts w:ascii="Arial" w:cs="Arial" w:eastAsia="Arial" w:hAnsi="Arial"/>
          <w:sz w:val="14"/>
          <w:szCs w:val="14"/>
          <w:color w:val="auto"/>
        </w:rPr>
        <w:t>The Company’s stockholders ratified the selection of RSM US LLP to serve as the Company’s independent registered public accounting firm for the year ending September 30, 2022</w:t>
      </w:r>
      <w:r>
        <w:rPr>
          <w:rFonts w:ascii="Arial" w:cs="Arial" w:eastAsia="Arial" w:hAnsi="Arial"/>
          <w:sz w:val="14"/>
          <w:szCs w:val="14"/>
          <w:b w:val="1"/>
          <w:bCs w:val="1"/>
          <w:color w:val="auto"/>
        </w:rPr>
        <w:t xml:space="preserve"> </w:t>
      </w:r>
      <w:r>
        <w:rPr>
          <w:rFonts w:ascii="Arial" w:cs="Arial" w:eastAsia="Arial" w:hAnsi="Arial"/>
          <w:sz w:val="14"/>
          <w:szCs w:val="14"/>
          <w:color w:val="auto"/>
        </w:rPr>
        <w: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voting results as of February 8, 2022, as certified by the inspector of election, are set forth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60" w:type="dxa"/>
            <w:vAlign w:val="bottom"/>
          </w:tcPr>
          <w:p>
            <w:pPr>
              <w:spacing w:after="0"/>
              <w:rPr>
                <w:sz w:val="15"/>
                <w:szCs w:val="15"/>
                <w:color w:val="auto"/>
              </w:rPr>
            </w:pPr>
          </w:p>
        </w:tc>
        <w:tc>
          <w:tcPr>
            <w:tcW w:w="1520" w:type="dxa"/>
            <w:vAlign w:val="bottom"/>
          </w:tcPr>
          <w:p>
            <w:pPr>
              <w:ind w:left="1100"/>
              <w:spacing w:after="0"/>
              <w:rPr>
                <w:sz w:val="20"/>
                <w:szCs w:val="20"/>
                <w:color w:val="auto"/>
              </w:rPr>
            </w:pPr>
            <w:r>
              <w:rPr>
                <w:rFonts w:ascii="Arial" w:cs="Arial" w:eastAsia="Arial" w:hAnsi="Arial"/>
                <w:sz w:val="14"/>
                <w:szCs w:val="14"/>
                <w:color w:val="auto"/>
              </w:rPr>
              <w:t>For</w:t>
            </w: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ind w:left="540"/>
              <w:spacing w:after="0"/>
              <w:rPr>
                <w:sz w:val="20"/>
                <w:szCs w:val="20"/>
                <w:color w:val="auto"/>
              </w:rPr>
            </w:pPr>
            <w:r>
              <w:rPr>
                <w:rFonts w:ascii="Arial" w:cs="Arial" w:eastAsia="Arial" w:hAnsi="Arial"/>
                <w:sz w:val="14"/>
                <w:szCs w:val="14"/>
                <w:color w:val="auto"/>
                <w:w w:val="98"/>
              </w:rPr>
              <w:t>Against</w:t>
            </w: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4"/>
                <w:szCs w:val="14"/>
                <w:color w:val="auto"/>
              </w:rPr>
              <w:t>Abstain</w:t>
            </w:r>
          </w:p>
        </w:tc>
      </w:tr>
      <w:tr>
        <w:trPr>
          <w:trHeight w:val="169"/>
        </w:trPr>
        <w:tc>
          <w:tcPr>
            <w:tcW w:w="4260" w:type="dxa"/>
            <w:vAlign w:val="bottom"/>
            <w:shd w:val="clear" w:color="auto" w:fill="BDD7EE"/>
          </w:tcPr>
          <w:p>
            <w:pPr>
              <w:ind w:left="20"/>
              <w:spacing w:after="0"/>
              <w:rPr>
                <w:sz w:val="20"/>
                <w:szCs w:val="20"/>
                <w:color w:val="auto"/>
              </w:rPr>
            </w:pPr>
            <w:r>
              <w:rPr>
                <w:rFonts w:ascii="Arial" w:cs="Arial" w:eastAsia="Arial" w:hAnsi="Arial"/>
                <w:sz w:val="14"/>
                <w:szCs w:val="14"/>
                <w:color w:val="auto"/>
              </w:rPr>
              <w:t>Shares Voted</w:t>
            </w:r>
          </w:p>
        </w:tc>
        <w:tc>
          <w:tcPr>
            <w:tcW w:w="1520" w:type="dxa"/>
            <w:vAlign w:val="bottom"/>
            <w:tcBorders>
              <w:top w:val="single" w:sz="8" w:color="auto"/>
            </w:tcBorders>
            <w:shd w:val="clear" w:color="auto" w:fill="BDD7EE"/>
          </w:tcPr>
          <w:p>
            <w:pPr>
              <w:spacing w:after="0"/>
              <w:rPr>
                <w:sz w:val="14"/>
                <w:szCs w:val="14"/>
                <w:color w:val="auto"/>
              </w:rPr>
            </w:pPr>
          </w:p>
        </w:tc>
        <w:tc>
          <w:tcPr>
            <w:tcW w:w="88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24,648,733</w:t>
            </w:r>
          </w:p>
        </w:tc>
        <w:tc>
          <w:tcPr>
            <w:tcW w:w="680" w:type="dxa"/>
            <w:vAlign w:val="bottom"/>
            <w:shd w:val="clear" w:color="auto" w:fill="BDD7EE"/>
          </w:tcPr>
          <w:p>
            <w:pPr>
              <w:spacing w:after="0"/>
              <w:rPr>
                <w:sz w:val="14"/>
                <w:szCs w:val="14"/>
                <w:color w:val="auto"/>
              </w:rPr>
            </w:pPr>
          </w:p>
        </w:tc>
        <w:tc>
          <w:tcPr>
            <w:tcW w:w="1020" w:type="dxa"/>
            <w:vAlign w:val="bottom"/>
            <w:tcBorders>
              <w:top w:val="single" w:sz="8" w:color="auto"/>
            </w:tcBorders>
            <w:shd w:val="clear" w:color="auto" w:fill="BDD7EE"/>
          </w:tcPr>
          <w:p>
            <w:pPr>
              <w:spacing w:after="0"/>
              <w:rPr>
                <w:sz w:val="14"/>
                <w:szCs w:val="14"/>
                <w:color w:val="auto"/>
              </w:rPr>
            </w:pPr>
          </w:p>
        </w:tc>
        <w:tc>
          <w:tcPr>
            <w:tcW w:w="52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w w:val="94"/>
              </w:rPr>
              <w:t>230,118</w:t>
            </w:r>
          </w:p>
        </w:tc>
        <w:tc>
          <w:tcPr>
            <w:tcW w:w="640" w:type="dxa"/>
            <w:vAlign w:val="bottom"/>
            <w:shd w:val="clear" w:color="auto" w:fill="BDD7EE"/>
          </w:tcPr>
          <w:p>
            <w:pPr>
              <w:spacing w:after="0"/>
              <w:rPr>
                <w:sz w:val="14"/>
                <w:szCs w:val="14"/>
                <w:color w:val="auto"/>
              </w:rPr>
            </w:pPr>
          </w:p>
        </w:tc>
        <w:tc>
          <w:tcPr>
            <w:tcW w:w="1540" w:type="dxa"/>
            <w:vAlign w:val="bottom"/>
            <w:tcBorders>
              <w:top w:val="single" w:sz="8" w:color="auto"/>
            </w:tcBorders>
            <w:shd w:val="clear" w:color="auto" w:fill="BDD7EE"/>
          </w:tcPr>
          <w:p>
            <w:pPr>
              <w:jc w:val="right"/>
              <w:spacing w:after="0"/>
              <w:rPr>
                <w:sz w:val="20"/>
                <w:szCs w:val="20"/>
                <w:color w:val="auto"/>
              </w:rPr>
            </w:pPr>
            <w:r>
              <w:rPr>
                <w:rFonts w:ascii="Arial" w:cs="Arial" w:eastAsia="Arial" w:hAnsi="Arial"/>
                <w:sz w:val="14"/>
                <w:szCs w:val="14"/>
                <w:color w:val="auto"/>
              </w:rPr>
              <w:t>294,223</w:t>
            </w:r>
          </w:p>
        </w:tc>
        <w:tc>
          <w:tcPr>
            <w:tcW w:w="180" w:type="dxa"/>
            <w:vAlign w:val="bottom"/>
            <w:shd w:val="clear" w:color="auto" w:fill="BDD7EE"/>
          </w:tcPr>
          <w:p>
            <w:pPr>
              <w:spacing w:after="0"/>
              <w:rPr>
                <w:sz w:val="14"/>
                <w:szCs w:val="14"/>
                <w:color w:val="auto"/>
              </w:rPr>
            </w:pPr>
          </w:p>
        </w:tc>
      </w:tr>
      <w:tr>
        <w:trPr>
          <w:trHeight w:val="182"/>
        </w:trPr>
        <w:tc>
          <w:tcPr>
            <w:tcW w:w="5780" w:type="dxa"/>
            <w:vAlign w:val="bottom"/>
            <w:gridSpan w:val="2"/>
          </w:tcPr>
          <w:p>
            <w:pPr>
              <w:ind w:left="1360"/>
              <w:spacing w:after="0"/>
              <w:rPr>
                <w:sz w:val="20"/>
                <w:szCs w:val="20"/>
                <w:color w:val="auto"/>
              </w:rPr>
            </w:pPr>
            <w:r>
              <w:rPr>
                <w:rFonts w:ascii="Arial" w:cs="Arial" w:eastAsia="Arial" w:hAnsi="Arial"/>
                <w:sz w:val="14"/>
                <w:szCs w:val="14"/>
                <w:color w:val="auto"/>
              </w:rPr>
              <w:t>% of Shares Voted</w:t>
            </w:r>
          </w:p>
        </w:tc>
        <w:tc>
          <w:tcPr>
            <w:tcW w:w="1560" w:type="dxa"/>
            <w:vAlign w:val="bottom"/>
            <w:gridSpan w:val="2"/>
          </w:tcPr>
          <w:p>
            <w:pPr>
              <w:jc w:val="right"/>
              <w:ind w:right="540"/>
              <w:spacing w:after="0"/>
              <w:rPr>
                <w:sz w:val="20"/>
                <w:szCs w:val="20"/>
                <w:color w:val="auto"/>
              </w:rPr>
            </w:pPr>
            <w:r>
              <w:rPr>
                <w:rFonts w:ascii="Arial" w:cs="Arial" w:eastAsia="Arial" w:hAnsi="Arial"/>
                <w:sz w:val="14"/>
                <w:szCs w:val="14"/>
                <w:color w:val="auto"/>
              </w:rPr>
              <w:t>97.92 %</w:t>
            </w:r>
          </w:p>
        </w:tc>
        <w:tc>
          <w:tcPr>
            <w:tcW w:w="102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color w:val="auto"/>
              </w:rPr>
              <w:t>0.91 %</w:t>
            </w:r>
          </w:p>
        </w:tc>
        <w:tc>
          <w:tcPr>
            <w:tcW w:w="1720" w:type="dxa"/>
            <w:vAlign w:val="bottom"/>
            <w:gridSpan w:val="2"/>
          </w:tcPr>
          <w:p>
            <w:pPr>
              <w:jc w:val="right"/>
              <w:ind w:right="40"/>
              <w:spacing w:after="0"/>
              <w:rPr>
                <w:sz w:val="20"/>
                <w:szCs w:val="20"/>
                <w:color w:val="auto"/>
              </w:rPr>
            </w:pPr>
            <w:r>
              <w:rPr>
                <w:rFonts w:ascii="Arial" w:cs="Arial" w:eastAsia="Arial" w:hAnsi="Arial"/>
                <w:sz w:val="14"/>
                <w:szCs w:val="14"/>
                <w:color w:val="auto"/>
              </w:rPr>
              <w:t>1.17 %</w:t>
            </w:r>
          </w:p>
        </w:tc>
      </w:tr>
      <w:tr>
        <w:trPr>
          <w:trHeight w:val="743"/>
        </w:trPr>
        <w:tc>
          <w:tcPr>
            <w:tcW w:w="4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0"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w:t>
      </w:r>
    </w:p>
    <w:p>
      <w:pPr>
        <w:spacing w:after="0" w:line="181" w:lineRule="exact"/>
        <w:rPr>
          <w:sz w:val="20"/>
          <w:szCs w:val="20"/>
          <w:color w:val="auto"/>
        </w:rPr>
      </w:pPr>
    </w:p>
    <w:p>
      <w:pPr>
        <w:ind w:firstLine="481"/>
        <w:spacing w:after="0" w:line="27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45"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PennantPark Floating Rate Capital Ltd.</w:t>
      </w:r>
    </w:p>
    <w:p>
      <w:pPr>
        <w:spacing w:after="0" w:line="42" w:lineRule="exact"/>
        <w:rPr>
          <w:sz w:val="20"/>
          <w:szCs w:val="20"/>
          <w:color w:val="auto"/>
        </w:rPr>
      </w:pPr>
    </w:p>
    <w:p>
      <w:pPr>
        <w:ind w:left="20"/>
        <w:spacing w:after="0"/>
        <w:tabs>
          <w:tab w:leader="none" w:pos="7740" w:val="left"/>
        </w:tabs>
        <w:rPr>
          <w:sz w:val="20"/>
          <w:szCs w:val="20"/>
          <w:color w:val="auto"/>
        </w:rPr>
      </w:pPr>
      <w:r>
        <w:rPr>
          <w:rFonts w:ascii="Arial" w:cs="Arial" w:eastAsia="Arial" w:hAnsi="Arial"/>
          <w:sz w:val="14"/>
          <w:szCs w:val="14"/>
          <w:color w:val="auto"/>
        </w:rPr>
        <w:t>Dated: February 14, 2022</w:t>
      </w:r>
      <w:r>
        <w:rPr>
          <w:sz w:val="20"/>
          <w:szCs w:val="20"/>
          <w:color w:val="auto"/>
        </w:rPr>
        <w:tab/>
      </w:r>
      <w:r>
        <w:rPr>
          <w:rFonts w:ascii="Arial" w:cs="Arial" w:eastAsia="Arial" w:hAnsi="Arial"/>
          <w:sz w:val="20"/>
          <w:szCs w:val="20"/>
          <w:color w:val="auto"/>
          <w:vertAlign w:val="subscript"/>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82550</wp:posOffset>
            </wp:positionV>
            <wp:extent cx="34721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98" w:lineRule="exact"/>
        <w:rPr>
          <w:sz w:val="20"/>
          <w:szCs w:val="20"/>
          <w:color w:val="auto"/>
        </w:rPr>
      </w:pPr>
    </w:p>
    <w:p>
      <w:pPr>
        <w:jc w:val="center"/>
        <w:ind w:left="5720"/>
        <w:spacing w:after="0"/>
        <w:rPr>
          <w:sz w:val="20"/>
          <w:szCs w:val="20"/>
          <w:color w:val="auto"/>
        </w:rPr>
      </w:pPr>
      <w:r>
        <w:rPr>
          <w:rFonts w:ascii="Arial" w:cs="Arial" w:eastAsia="Arial" w:hAnsi="Arial"/>
          <w:sz w:val="14"/>
          <w:szCs w:val="14"/>
          <w:color w:val="auto"/>
        </w:rPr>
        <w:t>Richard Cheung</w:t>
      </w:r>
    </w:p>
    <w:p>
      <w:pPr>
        <w:jc w:val="center"/>
        <w:ind w:left="5720"/>
        <w:spacing w:after="0"/>
        <w:rPr>
          <w:sz w:val="20"/>
          <w:szCs w:val="20"/>
          <w:color w:val="auto"/>
        </w:rPr>
      </w:pPr>
      <w:r>
        <w:rPr>
          <w:rFonts w:ascii="Arial" w:cs="Arial" w:eastAsia="Arial" w:hAnsi="Arial"/>
          <w:sz w:val="14"/>
          <w:szCs w:val="14"/>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60"/>
      </w:cols>
      <w:pgMar w:left="320" w:top="61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2022-02-14T16:31:48Z</dcterms:created>
  <dcterms:modified xsi:type="dcterms:W3CDTF">2022-02-14T16:31:48Z</dcterms:modified>
</cp:coreProperties>
</file>