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5"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line="237" w:lineRule="auto"/>
        <w:rPr>
          <w:sz w:val="20"/>
          <w:szCs w:val="20"/>
          <w:color w:val="auto"/>
        </w:rPr>
      </w:pPr>
      <w:r>
        <w:rPr>
          <w:rFonts w:ascii="Times New Roman" w:cs="Times New Roman" w:eastAsia="Times New Roman" w:hAnsi="Times New Roman"/>
          <w:sz w:val="32"/>
          <w:szCs w:val="32"/>
          <w:b w:val="1"/>
          <w:bCs w:val="1"/>
          <w:color w:val="auto"/>
        </w:rPr>
        <w:t>Washington, D.C. 20549</w:t>
      </w:r>
    </w:p>
    <w:p>
      <w:pPr>
        <w:ind w:left="4000"/>
        <w:spacing w:after="0" w:line="238" w:lineRule="auto"/>
        <w:rPr>
          <w:sz w:val="20"/>
          <w:szCs w:val="20"/>
          <w:color w:val="auto"/>
        </w:rPr>
      </w:pPr>
      <w:r>
        <w:rPr>
          <w:rFonts w:ascii="Times New Roman" w:cs="Times New Roman" w:eastAsia="Times New Roman" w:hAnsi="Times New Roman"/>
          <w:sz w:val="32"/>
          <w:szCs w:val="32"/>
          <w:b w:val="1"/>
          <w:bCs w:val="1"/>
          <w:color w:val="auto"/>
        </w:rPr>
        <w:t>——————————</w:t>
      </w:r>
    </w:p>
    <w:p>
      <w:pPr>
        <w:spacing w:after="0" w:line="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9" w:lineRule="exact"/>
        <w:rPr>
          <w:sz w:val="24"/>
          <w:szCs w:val="24"/>
          <w:color w:val="auto"/>
        </w:rPr>
      </w:pPr>
    </w:p>
    <w:p>
      <w:pPr>
        <w:jc w:val="center"/>
        <w:ind w:left="2280" w:right="280"/>
        <w:spacing w:after="0" w:line="272" w:lineRule="auto"/>
        <w:rPr>
          <w:sz w:val="20"/>
          <w:szCs w:val="20"/>
          <w:color w:val="auto"/>
        </w:rPr>
      </w:pPr>
      <w:r>
        <w:rPr>
          <w:rFonts w:ascii="Times New Roman" w:cs="Times New Roman" w:eastAsia="Times New Roman" w:hAnsi="Times New Roman"/>
          <w:sz w:val="32"/>
          <w:szCs w:val="32"/>
          <w:b w:val="1"/>
          <w:bCs w:val="1"/>
          <w:color w:val="auto"/>
        </w:rPr>
        <w:t>Proxy Statement Pursuant to Section 14(a) of the Securities Exchange Act of 1934 ——————————</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7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PennantPark Floating Rate Capital Ltd.</w:t>
      </w:r>
    </w:p>
    <w:p>
      <w:pPr>
        <w:spacing w:after="0" w:line="8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23"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19685</wp:posOffset>
            </wp:positionV>
            <wp:extent cx="6489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96"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16" w:right="1440" w:bottom="1440" w:gutter="0" w:footer="0" w:header="0"/>
        </w:sectPr>
      </w:pPr>
    </w:p>
    <w:bookmarkStart w:id="1" w:name="page2"/>
    <w:bookmarkEnd w:id="1"/>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174625</wp:posOffset>
            </wp:positionV>
            <wp:extent cx="64890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406400</wp:posOffset>
            </wp:positionV>
            <wp:extent cx="2065655"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65655" cy="4800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December 13,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the 2024 Annual Meeting of Stockholders (the “Annual Meeting”) of PennantPark Floating Rate Capital Ltd., a Maryland corporation (“PFLT” or the “Company”), to be held on February 6, 2024 at 9:45 AM, Eastern Time. The Annual Meeting will be conducted as a virtual meeting hosted by means of a live audio webcast. The Annual Meeting can be accessed on the above date and time, and you or your proxyholder can participate in and vote at the virtual Annual Meeting by registering at www.virtualshareholdermeeting.com/PFLT2024 and using the Control Number included in the Notice of Internet Availability of Proxy Materials.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Notice of Virtual Annual Meeting of Stockholders and the Proxy Statement of the Company, which is accessible on the Internet or by request, provides an outline of the business to be conducted at the Annual Meeting. At the Annual Meeting, you will be asked to consider and vote upon: (1) the election of two directors to the board of directors of the Company and (2) the ratification of the selection of RSM US LLP to serve as the Company’s independent registered public accounting firm for the fiscal year ending September 30, 2024.</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Whether or not you plan to attend the meeting in person (virtually), I urge you to follow the instructions on the Notice of Internet Availability of Proxy Materials to authorize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authorize your proxy by returning your proxy card to us after you request the hard copy materials. If you hold your shares through a Tel Aviv Stock Exchange member, please follow the voting instructions in the Proxy Statement, which are otherwise different from that of other stockholders.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Your vote and participation in the governance of the Company is very important to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1155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786-297-9500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VIRTUAL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www.virtualshareholdermeeting.com/PFLT2024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February 6, 2024</w:t>
      </w:r>
    </w:p>
    <w:p>
      <w:pPr>
        <w:spacing w:after="0" w:line="211"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6"/>
          <w:szCs w:val="16"/>
          <w:color w:val="auto"/>
        </w:rPr>
        <w:t>December 13, 2023</w:t>
      </w:r>
    </w:p>
    <w:p>
      <w:pPr>
        <w:spacing w:after="0" w:line="235"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Notice is hereby given to the owners of shares of common stock (the “Stockholders”) of PennantPark Floating Rate Capital Ltd., a Maryland corporation (“PFLT” or the “Company”), that:</w:t>
      </w:r>
    </w:p>
    <w:p>
      <w:pPr>
        <w:spacing w:after="0" w:line="151" w:lineRule="exact"/>
        <w:rPr>
          <w:sz w:val="20"/>
          <w:szCs w:val="20"/>
          <w:color w:val="auto"/>
        </w:rPr>
      </w:pPr>
    </w:p>
    <w:p>
      <w:pPr>
        <w:ind w:right="580" w:firstLine="509"/>
        <w:spacing w:after="0" w:line="298" w:lineRule="auto"/>
        <w:rPr>
          <w:sz w:val="20"/>
          <w:szCs w:val="20"/>
          <w:color w:val="auto"/>
        </w:rPr>
      </w:pPr>
      <w:r>
        <w:rPr>
          <w:rFonts w:ascii="Times New Roman" w:cs="Times New Roman" w:eastAsia="Times New Roman" w:hAnsi="Times New Roman"/>
          <w:sz w:val="16"/>
          <w:szCs w:val="16"/>
          <w:color w:val="auto"/>
        </w:rPr>
        <w:t>The 2024 Annual Meeting of Stockholders of the Company (the “Annual Meeting”) will be held virtually on February 6, 2024 at 9:45 a.m., Eastern Time, at www.virtualshareholdermeeting.com/PFLT2024 for the following purposes:</w:t>
      </w:r>
    </w:p>
    <w:p>
      <w:pPr>
        <w:spacing w:after="0" w:line="56" w:lineRule="exact"/>
        <w:rPr>
          <w:sz w:val="20"/>
          <w:szCs w:val="20"/>
          <w:color w:val="auto"/>
        </w:rPr>
      </w:pPr>
    </w:p>
    <w:p>
      <w:pPr>
        <w:ind w:left="1020" w:right="360" w:hanging="503"/>
        <w:spacing w:after="0" w:line="298"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consider and vote upon the election of two directors to the Board of Directors of the Company, who will each serve for a term of three years until the 2027 annual meeting of Stockholders and until his successor is duly elected and qualifies;</w:t>
      </w:r>
    </w:p>
    <w:p>
      <w:pPr>
        <w:spacing w:after="0" w:line="56" w:lineRule="exact"/>
        <w:rPr>
          <w:rFonts w:ascii="Times New Roman" w:cs="Times New Roman" w:eastAsia="Times New Roman" w:hAnsi="Times New Roman"/>
          <w:sz w:val="16"/>
          <w:szCs w:val="16"/>
          <w:color w:val="auto"/>
        </w:rPr>
      </w:pPr>
    </w:p>
    <w:p>
      <w:pPr>
        <w:ind w:left="1020" w:right="100" w:hanging="503"/>
        <w:spacing w:after="0" w:line="298"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consider and vote upon the ratification of the selection of RSM US LLP to serve as the Company’s independent registered public accounting firm for the fiscal year ending September 30, 2024 and</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Annual Meeting or any postponement or adjournment of the Annual Meeting.</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Annual Meeting will only be accessible virtually via live webcast over the Internet at www.virtualshareholdermeeting.com/PFLT2024.</w:t>
      </w:r>
    </w:p>
    <w:p>
      <w:pPr>
        <w:spacing w:after="0" w:line="221"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6"/>
          <w:szCs w:val="16"/>
          <w:color w:val="auto"/>
        </w:rPr>
        <w:t>You have the right to receive notice of, and to vote at, the Annual Meeting if you were a stockholder of record of the Company at the close of business on December 6, 2023. The Company is furnishing a Proxy Statement and proxy card to the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authorize your proxy, on the Internet.</w:t>
      </w:r>
    </w:p>
    <w:p>
      <w:pPr>
        <w:spacing w:after="0" w:line="172"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6"/>
          <w:szCs w:val="16"/>
          <w:color w:val="auto"/>
        </w:rPr>
        <w:t>Your vote is extremely important to us. Whether or not you plan to attend the Annual Meeting virtually, we encourage you to authorize your proxy on the Internet by following the instructions provided on the Notice of Internet Availability of Proxy Materials. You may also request from us free of charge hard copies of the Proxy Statement and proxy card for the Company by following the instructions on the Notice of Internet Availability of Proxy Materials. In the event there are not sufficient votes for a quorum or to approve the Company’s proposals at the time of the Annual Meeting, the Annual Meeting may be adjourned in order to permit further solicitation of proxies by the Company.</w:t>
      </w:r>
    </w:p>
    <w:p>
      <w:pPr>
        <w:spacing w:after="0" w:line="170"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6"/>
          <w:szCs w:val="16"/>
          <w:b w:val="1"/>
          <w:bCs w:val="1"/>
          <w:color w:val="auto"/>
        </w:rPr>
        <w:t>THE COMPANY’S BOARD OF DIRECTORS, INCLUDING EACH OF THE INDEPENDENT DIRECTORS, UNANIMOUSLY RECOMMENDS THAT YOU VOTE “FOR” EACH OF THE PROPOSALS.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96925" cy="248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6925" cy="2489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Thomas J. Friedmann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Secretary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PennantPark Floating Rate Capital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786-297-9500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136130" cy="552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52450"/>
                    </a:xfrm>
                    <a:prstGeom prst="rect">
                      <a:avLst/>
                    </a:prstGeom>
                    <a:noFill/>
                  </pic:spPr>
                </pic:pic>
              </a:graphicData>
            </a:graphic>
          </wp:anchor>
        </w:drawing>
      </w:r>
    </w:p>
    <w:p>
      <w:pPr>
        <w:spacing w:after="0" w:line="212" w:lineRule="exact"/>
        <w:rPr>
          <w:sz w:val="20"/>
          <w:szCs w:val="20"/>
          <w:color w:val="auto"/>
        </w:rPr>
      </w:pPr>
    </w:p>
    <w:p>
      <w:pPr>
        <w:jc w:val="both"/>
        <w:ind w:left="140" w:right="140"/>
        <w:spacing w:after="0" w:line="276" w:lineRule="auto"/>
        <w:rPr>
          <w:sz w:val="20"/>
          <w:szCs w:val="20"/>
          <w:color w:val="auto"/>
        </w:rPr>
      </w:pPr>
      <w:r>
        <w:rPr>
          <w:rFonts w:ascii="Times New Roman" w:cs="Times New Roman" w:eastAsia="Times New Roman" w:hAnsi="Times New Roman"/>
          <w:sz w:val="16"/>
          <w:szCs w:val="16"/>
          <w:b w:val="1"/>
          <w:bCs w:val="1"/>
          <w:color w:val="auto"/>
        </w:rPr>
        <w:t>This is an important meeting. To ensure proper representation at the Annual Meeting, please follow the instructions on the Notice of Internet Availability of Proxy Materials to authorize your proxy via the Internet or request, complete, sign, date and return a proxy card. Your vote is extremely important no matter how many or how few shares you own. Even if you vote your shares prior to the Annual Meeting, you still may attend the Annual Meeting and vote your shares in person (virtually) should you wish to change your vote.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22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0"/>
          <w:szCs w:val="20"/>
          <w:color w:val="auto"/>
        </w:rPr>
      </w:pPr>
    </w:p>
    <w:p>
      <w:pPr>
        <w:ind w:left="5480" w:hanging="441"/>
        <w:spacing w:after="0"/>
        <w:tabs>
          <w:tab w:leader="none" w:pos="54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297-9500</w:t>
      </w:r>
    </w:p>
    <w:p>
      <w:pPr>
        <w:spacing w:after="0" w:line="9" w:lineRule="exact"/>
        <w:rPr>
          <w:rFonts w:ascii="Times New Roman" w:cs="Times New Roman" w:eastAsia="Times New Roman" w:hAnsi="Times New Roman"/>
          <w:sz w:val="18"/>
          <w:szCs w:val="18"/>
          <w:b w:val="1"/>
          <w:bCs w:val="1"/>
          <w:color w:val="auto"/>
        </w:rPr>
      </w:pPr>
    </w:p>
    <w:p>
      <w:pPr>
        <w:ind w:left="4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PROXY STATEMENT</w:t>
      </w:r>
    </w:p>
    <w:p>
      <w:pPr>
        <w:spacing w:after="0" w:line="9" w:lineRule="exact"/>
        <w:rPr>
          <w:rFonts w:ascii="Times New Roman" w:cs="Times New Roman" w:eastAsia="Times New Roman" w:hAnsi="Times New Roman"/>
          <w:sz w:val="18"/>
          <w:szCs w:val="18"/>
          <w:b w:val="1"/>
          <w:bCs w:val="1"/>
          <w:color w:val="auto"/>
        </w:rPr>
      </w:pPr>
    </w:p>
    <w:p>
      <w:pPr>
        <w:ind w:left="5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2024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www.virtualshareholdermeeting.com/PFLT2024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February 6, 2024</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document will give you the information you need to vote on the matters listed on the accompanying Notice of Virtual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786-297-9500.</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PennantPark Floating Rate Capital Ltd., a Maryland corporation (“PFLT,” the “Company,” “we,” “us” or “our”) for use at the Company’s 2024 Virtual Annual Meeting of Stockholders (the “Annual Meeting”) to be held on Tuesday, February 6, 2024 at 9:45 a.m., Eastern Time, at www.virtualshareholdermeeting.com/PFLT2024, and at any postponements or adjournments thereof. To participate in the Annual Meeting virtually, you will need the Control Number provided with the Notice of Internet Availability of Proxy Materials. Please note that those using the dial-in number for the listen-only conference call will not be able to vote or submit questions. This Proxy Statement and the Company’s Annual Report on Form 10-K for the fiscal year ended September 30, 2023 (the “Annual Report”) are being provided to the stockholders thereof (the “Stockholders”) via the Internet on or about December 27, 2023. In addition, a Notice of Annual Meeting and a Notice of Internet Availability of Proxy Materials are being sent to Stockholders of record of the Company as of the close of business on December 6, 2023 (the “Record Date”).</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encourage you to vote your shares, either by voting in person (virtually) at the Annual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Annual Meeting, your shares will be voted at the proxyholder’s discretion unless you specifically state otherwise on your proxy.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You may revoke a proxy at any time before it is exercised by notifying the Company’s Secretary in writing, by submitting a properly executed, later-dated proxy or by voting in person (virtually) at the virtual Annual Meeting and voting online. Participating in the virtual Annual Meeting does not revoke your proxy unless you also vote online at the Annual Meeting. Any Stockholder entitled to vote at the Annual Meeting may attend the Annual Meeting and vote in person (virtually), whether or not he or she has previously voted his or her shares via proxy or wishes to change a previous vote.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will be eligible to authorize your proxy electronically via the Internet, by telephone or by mail.</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you want to submit a question during the Annual Meeting, log into the live webcast at www.virtualshareholdermeeting.com/PFLT2024, type your question into the “Ask a Question” field, and click “Submit.”</w:t>
      </w:r>
    </w:p>
    <w:p>
      <w:pPr>
        <w:spacing w:after="0" w:line="162"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8"/>
          <w:szCs w:val="18"/>
          <w:color w:val="auto"/>
        </w:rPr>
        <w:t>Only questions submitted via the live webcast that are pertinent to Annual Meeting matters will be answered during the Annual Meeting, subject to time constraints. Please note that no questions may be submitted via the listen-only conference call. We will attempt to answer all questions or comments related to the proxy or to our business. Questions or comments that are not related to the proposals under discussion, including personal concerns not shared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 w:name="page5"/>
    <w:bookmarkEnd w:id="4"/>
    <w:p>
      <w:pPr>
        <w:ind w:right="20"/>
        <w:spacing w:after="0" w:line="282" w:lineRule="auto"/>
        <w:rPr>
          <w:sz w:val="20"/>
          <w:szCs w:val="20"/>
          <w:color w:val="auto"/>
        </w:rPr>
      </w:pPr>
      <w:r>
        <w:rPr>
          <w:rFonts w:ascii="Times New Roman" w:cs="Times New Roman" w:eastAsia="Times New Roman" w:hAnsi="Times New Roman"/>
          <w:sz w:val="18"/>
          <w:szCs w:val="18"/>
          <w:color w:val="auto"/>
        </w:rPr>
        <w:t>by Stockholders generally, or questions or comments that use blatantly offensive language may be ruled out of order. Additionally, the Company may not be able to answer multiple questions submitted by the same Stockholder.</w:t>
      </w:r>
    </w:p>
    <w:p>
      <w:pPr>
        <w:spacing w:after="0" w:line="26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i w:val="1"/>
          <w:iCs w:val="1"/>
          <w:color w:val="auto"/>
        </w:rPr>
        <w:t>Purpose of Meeting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Annual Meeting, you will be asked to vote on the following proposals:</w:t>
      </w:r>
    </w:p>
    <w:p>
      <w:pPr>
        <w:spacing w:after="0" w:line="239" w:lineRule="exact"/>
        <w:rPr>
          <w:sz w:val="20"/>
          <w:szCs w:val="20"/>
          <w:color w:val="auto"/>
        </w:rPr>
      </w:pPr>
    </w:p>
    <w:p>
      <w:pPr>
        <w:ind w:left="1260" w:right="200" w:hanging="368"/>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election of two directors to the Board, who will each serve for a term of three years until the 2027 annual meeting of Stockholders and until his successor is duly elected and qualifies (“Proposal 1”);</w:t>
      </w:r>
    </w:p>
    <w:p>
      <w:pPr>
        <w:spacing w:after="0" w:line="53" w:lineRule="exact"/>
        <w:rPr>
          <w:rFonts w:ascii="Times New Roman" w:cs="Times New Roman" w:eastAsia="Times New Roman" w:hAnsi="Times New Roman"/>
          <w:sz w:val="18"/>
          <w:szCs w:val="18"/>
          <w:color w:val="auto"/>
        </w:rPr>
      </w:pPr>
    </w:p>
    <w:p>
      <w:pPr>
        <w:ind w:left="1260" w:right="240" w:hanging="368"/>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RSM US LLP (“RSM”) to serve as the Company’s independent registered public accounting firm for the fiscal year ending September 30, 2024 (“Proposal 2”); and</w:t>
      </w:r>
    </w:p>
    <w:p>
      <w:pPr>
        <w:spacing w:after="0" w:line="161" w:lineRule="exact"/>
        <w:rPr>
          <w:rFonts w:ascii="Times New Roman" w:cs="Times New Roman" w:eastAsia="Times New Roman" w:hAnsi="Times New Roman"/>
          <w:sz w:val="18"/>
          <w:szCs w:val="18"/>
          <w:color w:val="auto"/>
        </w:rPr>
      </w:pPr>
    </w:p>
    <w:p>
      <w:pPr>
        <w:ind w:left="1260" w:right="380" w:hanging="368"/>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of the Annual Meeting.</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Annual Meeting will only be accessible virtually via live webcast over the Internet at www.virtualshareholdermeeting.com/PFLT2024</w:t>
      </w: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Voting Securities</w:t>
      </w:r>
    </w:p>
    <w:p>
      <w:pPr>
        <w:spacing w:after="0" w:line="3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You may vote your shares at the Annual Meeting only if you were a Stockholder of record of the Company at the close of business on the Record Date. There were 58,734,702 shares of the Company’s common stock, par value $0.001 per share (the “Common Stock”), outstanding on the Record Date. Stockholders are entitled to one vote for each share of Common Stock held.</w:t>
      </w:r>
    </w:p>
    <w:p>
      <w:pPr>
        <w:spacing w:after="0" w:line="1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other similar organization, then you are the beneficial owner of shares held in “street name,” and you should have received a notice containing voting instructions from your nominee rather than from us. You should follow the voting instructions in the notice to ensure that your vote is counted.</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Quorum Required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the Company to conduct business at the Annual Meeting, a quorum of Stockholders for the Company must be present (virtually) at the Annual Meeting. The presence at the Annual Meeting, in person (virtually) or by proxy, of the holders of a majority of the shares of Common Stock outstanding on the Record Date will constitute a quorum for the conduct of business at the Annual Meeting. Those Stockholders who have not otherwise submitted a proxy accessing the Annual Meeting via the listen-only conference call will not be deemed to be “present” for purposes of determining a quorum for the Annual Meeting. Abstentions and Broker Non-Votes (as defined below) will be treated as shares present at the Annual Meeting for quorum purposes. If there are not enough votes for a quorum for the Annual Meeting, the chairman of the Annual Meeting will adjourn the Annual Meeting to permit the further solicitation of proxies.</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Votes Required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an election where the number of nominees is equal to the number of directors to be elected, as is the case at the Annual Meeting, the election of a director to the Board requires the affirmative vote of a majority of the total votes cast for and against such nominee at the Annual Meeting in person (virtually) or by proxy. If you vote “Against” with respect to a nominee, your shares will be voted against the person indicated. Abstentions and Broker Non-Votes will have no effect on the result of the vote.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 w:name="page6"/>
    <w:bookmarkEnd w:id="5"/>
    <w:p>
      <w:pPr>
        <w:ind w:left="520"/>
        <w:spacing w:after="0"/>
        <w:rPr>
          <w:sz w:val="20"/>
          <w:szCs w:val="20"/>
          <w:color w:val="auto"/>
        </w:rPr>
      </w:pPr>
      <w:r>
        <w:rPr>
          <w:rFonts w:ascii="Times New Roman" w:cs="Times New Roman" w:eastAsia="Times New Roman" w:hAnsi="Times New Roman"/>
          <w:sz w:val="18"/>
          <w:szCs w:val="18"/>
          <w:color w:val="auto"/>
        </w:rPr>
        <w:t>Stockholders of the Company may not cumulate their votes.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Annual Meeting in person (virtually) or by proxy is required to ratify the appointment of RSM to serve as the Company’s independent registered public accounting firm. Abstentions will not be included in determining the number of votes cast and, as a result, will have no effect on this proposal.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As a result, if you hold shares of Common Stock in street name, your Broker will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be permitted to exercise voting discretion with respect to Proposal 1.</w:t>
      </w:r>
    </w:p>
    <w:p>
      <w:pPr>
        <w:spacing w:after="0" w:line="6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Accordingly, if you are a Stockholder and you do not vote or give your Broker specific instructions on how to vote for you, your shares will have no effect on the result of Proposal 1. It is imperative that Stockholders vote or provide instructions to their Brokers as to how to vote with respect to Proposal 1 to ensure proper representation at the Annual Meeting.</w:t>
      </w:r>
    </w:p>
    <w:p>
      <w:pPr>
        <w:spacing w:after="0" w:line="6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Proposal 2 is a routine matter. As a result, if you beneficially own shares of Common Stock and you do not vote or provide your Broker with proxy instructions, your Broker will be able to vote your shares for you on Proposal 2 in its discretion.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and Additional Solicitation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there appears not to be enough votes to approve a proposal at the Annual Meeting, the chairman of the Annual Meeting may adjourn the Annual Meeting to permit further solicitation of proxies.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Stockholder vote may be taken on any of the proposals in this Proxy Statement prior to any such adjournment if there are sufficient votes for approval of such proposal.</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This Solicitation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bear the expense of the solicitation of proxies for the Annual Meeting, including the cost of preparing and posting this Proxy Statement and the Annual Report to the Internet and the cost of mailing the Notice of Annual Meeting, the Notice of Internet Availability of Proxy Materials and any requested proxy materials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combine any mailings for multiple accounts going to a single household, which is commonly referred to as “householding,” by delivering to that address the Notice of Internet Availability of Proxy Materials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1691 Michigan Avenue, Miami Beach, Florida 33139 or 786-297-9500. If, at any time, you no longer wish to participate in “householding” and would prefer to receive a separate Notice of Internet Availability of Proxy Materials or other communications, please notify your Broker. Stockholders who currently receive multiple copies of the Notice of Internet Availability of Proxy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Materials or other communications at their addresses and would like to request “householding” of their communications should contact their Brokers.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 transmission by directors or officers of the Company, officers or employees of PennantPark Investment Advisers, LLC, our investment adviser (the “Adviser”), PennantPark Investment Administration, LLC, our administrator (the “Administrator”), and/or by a retained solicitor. No additional compensation will be paid to such directors, officers or regular employees for such services. If we retain a solicitor, we have estimated that we will pay approximately $60,000 for such services. If we engage a solicitor, you could be contacted by telephone on behalf of the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1691 Michigan Avenue, Miami Beach, Florida 33139 .</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Stockholders, other than those who hold shares through a Tel Aviv Stock Exchange (“TASE”) member,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Shares of Common Stock held by a TASE member cannot be voted during the Annual Meeting. If your shares of Common Stock are held by a TASE member and you wish to vote your shares, you must complete, sign and date the form of proxy card that we filed via MAGNA and attach to it an ownership certificate from the TASE member through which your shares are registered (i.e., your broker, bank or other nominee) indicating that you were the beneficial owner of the shares on the Record Date, the record date for voting, and return the proxy card along with the ownership certificate, to the Company’s Israeli counsel, Goldfarb Gross Seligman &amp; Co. (“Goldfarb”), c/o Jonathan Cohen, 98 Yigal Alon Street, 44th Floor, Tel Aviv 6789141, Israel (email: jonathan.cohen@goldfarb.com). The proxy card and ownership certificate must be received no later than February 1, 2024, to be included in the tally of shares voted.</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However, if your shares of Common Stock are held by a TASE member, you may participate and ask questions during the Annual Meeting even if you cannot vote your shares. In order to participate and ask questions (but not vote your shares) during the Annual Meeting, you will need to obtain from your TASE member an executed ownership certificate, signed by your TASE member with respect to the Record Date, and e-mail the executed form to Goldfarb, c/o Jonathan Cohen, 98 Yigal Alon Street, 44th Floor, Tel Aviv 6789141, Israel (email: jonathan.cohen@goldfarb.com), no later than the close of business in Israel on February 1, 2024. Once Goldfarb has received your properly executed certificate, Goldfarb will e-mail you a control number that you can use to enter the Annual Meeting at www.virtualshareholdermeeting.com/PFLT2024.</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Stockholder, other than those who hold shares through a TASE member, wishes to participate in the Annual Meeting, but does not wish to give a proxy by Internet, the Stockholder may attend the Annual Meeting in person (virtually) or request and submit a proxy card by following the instructions on the Notice of Internet Availability of Proxy Materials.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Annual Meeting, (ii) attending the Annual Meeting and voting in person (virtually) or (iii) delivering a notice, provided in writing and signed by the Stockholder, delivered to the Company’s Secretary on any business day before the date of the Annual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229"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the Record Date, to our knowledge, no person would be deemed to “control” (as such term is defined in the Investment Company Act of 1940, as amended (the “1940 Act”)) the Company.</w:t>
      </w:r>
    </w:p>
    <w:p>
      <w:pPr>
        <w:spacing w:after="0" w:line="162"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Our Board consists of two interested directors and four independent directors. An interested director is an “interested person” of the Company, as defined in the 1940 Act, and independent directors are all other directors (the “Independent Directors”).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the Record Date, certain ownership information with respect to the Common Stock for those persons who directly or indirectly own, control or hold with the power to vote, five percent or more of the Company’s outstanding Common Stock and all officers and directors of the Company, as a group.</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4160" w:type="dxa"/>
            <w:vAlign w:val="bottom"/>
          </w:tcPr>
          <w:p>
            <w:pPr>
              <w:spacing w:after="0"/>
              <w:rPr>
                <w:sz w:val="12"/>
                <w:szCs w:val="12"/>
                <w:color w:val="auto"/>
              </w:rPr>
            </w:pP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 of ownership</w:t>
            </w:r>
            <w:r>
              <w:rPr>
                <w:rFonts w:ascii="Times New Roman" w:cs="Times New Roman" w:eastAsia="Times New Roman" w:hAnsi="Times New Roman"/>
                <w:sz w:val="19"/>
                <w:szCs w:val="19"/>
                <w:b w:val="1"/>
                <w:bCs w:val="1"/>
                <w:color w:val="auto"/>
                <w:w w:val="98"/>
                <w:vertAlign w:val="superscript"/>
              </w:rPr>
              <w:t>(3)</w:t>
            </w: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00" w:type="dxa"/>
            <w:vAlign w:val="bottom"/>
            <w:tcBorders>
              <w:bottom w:val="single" w:sz="8" w:color="auto"/>
            </w:tcBorders>
            <w:vMerge w:val="continue"/>
          </w:tcPr>
          <w:p>
            <w:pPr>
              <w:spacing w:after="0"/>
              <w:rPr>
                <w:sz w:val="9"/>
                <w:szCs w:val="9"/>
                <w:color w:val="auto"/>
              </w:rPr>
            </w:pPr>
          </w:p>
        </w:tc>
        <w:tc>
          <w:tcPr>
            <w:tcW w:w="4160" w:type="dxa"/>
            <w:vAlign w:val="bottom"/>
            <w:vMerge w:val="restart"/>
          </w:tcPr>
          <w:p>
            <w:pPr>
              <w:spacing w:after="0"/>
              <w:rPr>
                <w:sz w:val="9"/>
                <w:szCs w:val="9"/>
                <w:color w:val="auto"/>
              </w:rPr>
            </w:pPr>
          </w:p>
        </w:tc>
        <w:tc>
          <w:tcPr>
            <w:tcW w:w="2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4160" w:type="dxa"/>
            <w:vAlign w:val="bottom"/>
            <w:vMerge w:val="continue"/>
          </w:tcPr>
          <w:p>
            <w:pPr>
              <w:spacing w:after="0"/>
              <w:rPr>
                <w:sz w:val="4"/>
                <w:szCs w:val="4"/>
                <w:color w:val="auto"/>
              </w:rPr>
            </w:pPr>
          </w:p>
        </w:tc>
        <w:tc>
          <w:tcPr>
            <w:tcW w:w="276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4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Adam K. Bernstein</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CFF0FC"/>
          </w:tcPr>
          <w:p>
            <w:pPr>
              <w:spacing w:after="0"/>
              <w:rPr>
                <w:sz w:val="21"/>
                <w:szCs w:val="21"/>
                <w:color w:val="auto"/>
              </w:rPr>
            </w:pPr>
          </w:p>
        </w:tc>
        <w:tc>
          <w:tcPr>
            <w:tcW w:w="54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Marshall Brozost</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Jeffrey Flug</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54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Samuel L. Katz</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147,100</w:t>
            </w:r>
          </w:p>
        </w:tc>
        <w:tc>
          <w:tcPr>
            <w:tcW w:w="1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4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shd w:val="clear" w:color="auto" w:fill="CFF0FC"/>
          </w:tcPr>
          <w:p>
            <w:pPr>
              <w:spacing w:after="0"/>
              <w:rPr>
                <w:sz w:val="21"/>
                <w:szCs w:val="21"/>
                <w:color w:val="auto"/>
              </w:rPr>
            </w:pPr>
          </w:p>
        </w:tc>
        <w:tc>
          <w:tcPr>
            <w:tcW w:w="5400" w:type="dxa"/>
            <w:vAlign w:val="bottom"/>
            <w:gridSpan w:val="3"/>
            <w:shd w:val="clear" w:color="auto" w:fill="CFF0FC"/>
          </w:tcPr>
          <w:p>
            <w:pPr>
              <w:ind w:left="180"/>
              <w:spacing w:after="0" w:line="245"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4"/>
                <w:szCs w:val="24"/>
                <w:color w:val="auto"/>
                <w:vertAlign w:val="superscript"/>
              </w:rPr>
              <w:t>(2)</w:t>
            </w: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344,009</w:t>
            </w:r>
          </w:p>
        </w:tc>
        <w:tc>
          <w:tcPr>
            <w:tcW w:w="15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Jos</w:t>
            </w:r>
            <w:r>
              <w:rPr>
                <w:rFonts w:ascii="Calibri" w:cs="Calibri" w:eastAsia="Calibri" w:hAnsi="Calibri"/>
                <w:sz w:val="18"/>
                <w:szCs w:val="18"/>
                <w:color w:val="auto"/>
              </w:rPr>
              <w:t>é</w:t>
            </w:r>
            <w:r>
              <w:rPr>
                <w:rFonts w:ascii="Times New Roman" w:cs="Times New Roman" w:eastAsia="Times New Roman" w:hAnsi="Times New Roman"/>
                <w:sz w:val="18"/>
                <w:szCs w:val="18"/>
                <w:color w:val="auto"/>
              </w:rPr>
              <w:t xml:space="preserve"> A. Briones, Jr.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316,388</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Richard T. Allorto, Jr.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4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 as a group (7 persons)</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822,547</w:t>
            </w:r>
          </w:p>
        </w:tc>
        <w:tc>
          <w:tcPr>
            <w:tcW w:w="220" w:type="dxa"/>
            <w:vAlign w:val="bottom"/>
            <w:gridSpan w:val="2"/>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1691 Michigan Avenue, Miami Beach, Florida 33139 .</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the Managing Member of the Adviser and may therefore be deemed to own beneficially the 344,009 shares held by the Adviser.</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6630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Less than 1 percent.</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1" w:right="27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Dollar Range of Securities Beneficially Owned by Directors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dollar range of (i) the Common Stock and (ii) the common stock of the Fund Complex beneficially owned by each of our directors as of the Record Date. Information as to beneficial ownership is based on information furnished to the Company by such persons. For purposes of this proxy statement, the term “Fund Complex” is defined to include the Company and PennantPark Investment Corporation, a business development company managed by the Adviser (“PNNT”).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06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Dollar Range of the Common</w:t>
            </w:r>
          </w:p>
        </w:tc>
        <w:tc>
          <w:tcPr>
            <w:tcW w:w="220" w:type="dxa"/>
            <w:vAlign w:val="bottom"/>
          </w:tcPr>
          <w:p>
            <w:pPr>
              <w:spacing w:after="0"/>
              <w:rPr>
                <w:sz w:val="13"/>
                <w:szCs w:val="13"/>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Dollar Range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the Common Stock</w:t>
            </w:r>
          </w:p>
        </w:tc>
        <w:tc>
          <w:tcPr>
            <w:tcW w:w="0" w:type="dxa"/>
            <w:vAlign w:val="bottom"/>
          </w:tcPr>
          <w:p>
            <w:pPr>
              <w:spacing w:after="0"/>
              <w:rPr>
                <w:sz w:val="1"/>
                <w:szCs w:val="1"/>
                <w:color w:val="auto"/>
              </w:rPr>
            </w:pPr>
          </w:p>
        </w:tc>
      </w:tr>
      <w:tr>
        <w:trPr>
          <w:trHeight w:val="183"/>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Directors of the Company</w:t>
            </w:r>
          </w:p>
        </w:tc>
        <w:tc>
          <w:tcPr>
            <w:tcW w:w="3060" w:type="dxa"/>
            <w:vAlign w:val="bottom"/>
          </w:tcPr>
          <w:p>
            <w:pPr>
              <w:jc w:val="right"/>
              <w:ind w:right="695"/>
              <w:spacing w:after="0" w:line="175" w:lineRule="exact"/>
              <w:rPr>
                <w:sz w:val="20"/>
                <w:szCs w:val="20"/>
                <w:color w:val="auto"/>
              </w:rPr>
            </w:pPr>
            <w:r>
              <w:rPr>
                <w:rFonts w:ascii="Times New Roman" w:cs="Times New Roman" w:eastAsia="Times New Roman" w:hAnsi="Times New Roman"/>
                <w:sz w:val="14"/>
                <w:szCs w:val="14"/>
                <w:b w:val="1"/>
                <w:bCs w:val="1"/>
                <w:color w:val="auto"/>
              </w:rPr>
              <w:t>Stock of the Company</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5"/>
                <w:szCs w:val="15"/>
                <w:color w:val="auto"/>
              </w:rPr>
            </w:pPr>
          </w:p>
        </w:tc>
        <w:tc>
          <w:tcPr>
            <w:tcW w:w="34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of the Fund Complex</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2880" w:type="dxa"/>
            <w:vAlign w:val="bottom"/>
          </w:tcPr>
          <w:p>
            <w:pPr>
              <w:spacing w:after="0"/>
              <w:rPr>
                <w:sz w:val="15"/>
                <w:szCs w:val="15"/>
                <w:color w:val="auto"/>
              </w:rPr>
            </w:pPr>
          </w:p>
        </w:tc>
        <w:tc>
          <w:tcPr>
            <w:tcW w:w="3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3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Adam K. Bernstein</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$10,001 - $50,000</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$100,001 - $500,000</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Marshall Brozost</w:t>
            </w: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$100,001 - $500,000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Jeffrey Flug</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$100,001 - $500,000</w:t>
            </w:r>
          </w:p>
        </w:tc>
        <w:tc>
          <w:tcPr>
            <w:tcW w:w="220" w:type="dxa"/>
            <w:vAlign w:val="bottom"/>
          </w:tcPr>
          <w:p>
            <w:pPr>
              <w:spacing w:after="0"/>
              <w:rPr>
                <w:sz w:val="20"/>
                <w:szCs w:val="20"/>
                <w:color w:val="auto"/>
              </w:rPr>
            </w:pP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Samuel L. Katz</w:t>
            </w: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shd w:val="clear" w:color="auto" w:fill="CFF0FC"/>
          </w:tcPr>
          <w:p>
            <w:pPr>
              <w:spacing w:after="0"/>
              <w:rPr>
                <w:sz w:val="21"/>
                <w:szCs w:val="21"/>
                <w:color w:val="auto"/>
              </w:rPr>
            </w:pPr>
          </w:p>
        </w:tc>
        <w:tc>
          <w:tcPr>
            <w:tcW w:w="3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41"/>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shd w:val="clear" w:color="auto" w:fill="CFF0FC"/>
          </w:tcPr>
          <w:p>
            <w:pPr>
              <w:spacing w:after="0"/>
              <w:rPr>
                <w:sz w:val="21"/>
                <w:szCs w:val="21"/>
                <w:color w:val="auto"/>
              </w:rPr>
            </w:pPr>
          </w:p>
        </w:tc>
        <w:tc>
          <w:tcPr>
            <w:tcW w:w="4480" w:type="dxa"/>
            <w:vAlign w:val="bottom"/>
            <w:gridSpan w:val="2"/>
            <w:shd w:val="clear" w:color="auto" w:fill="CFF0FC"/>
          </w:tcPr>
          <w:p>
            <w:pPr>
              <w:ind w:left="180"/>
              <w:spacing w:after="0" w:line="245"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4"/>
                <w:szCs w:val="24"/>
                <w:color w:val="auto"/>
                <w:vertAlign w:val="superscript"/>
              </w:rPr>
              <w:t>(2)</w:t>
            </w: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shd w:val="clear" w:color="auto" w:fill="CFF0FC"/>
          </w:tcPr>
          <w:p>
            <w:pPr>
              <w:spacing w:after="0"/>
              <w:rPr>
                <w:sz w:val="21"/>
                <w:szCs w:val="21"/>
                <w:color w:val="auto"/>
              </w:rPr>
            </w:pPr>
          </w:p>
        </w:tc>
        <w:tc>
          <w:tcPr>
            <w:tcW w:w="3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Jos</w:t>
            </w:r>
            <w:r>
              <w:rPr>
                <w:rFonts w:ascii="Calibri" w:cs="Calibri" w:eastAsia="Calibri" w:hAnsi="Calibri"/>
                <w:sz w:val="18"/>
                <w:szCs w:val="18"/>
                <w:color w:val="auto"/>
              </w:rPr>
              <w:t>é</w:t>
            </w:r>
            <w:r>
              <w:rPr>
                <w:rFonts w:ascii="Times New Roman" w:cs="Times New Roman" w:eastAsia="Times New Roman" w:hAnsi="Times New Roman"/>
                <w:sz w:val="18"/>
                <w:szCs w:val="18"/>
                <w:color w:val="auto"/>
              </w:rPr>
              <w:t xml:space="preserve"> A. Briones, Jr.</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tcPr>
          <w:p>
            <w:pPr>
              <w:spacing w:after="0"/>
              <w:rPr>
                <w:sz w:val="21"/>
                <w:szCs w:val="21"/>
                <w:color w:val="auto"/>
              </w:rPr>
            </w:pP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20" w:right="860" w:hanging="512"/>
        <w:spacing w:after="0" w:line="261"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6630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its bylaws, the Company currently has six members on the Board. Directors are divided into three classes and are elected for staggered terms of three years each, with a term of office of one of the three classes of directors expiring each year. After this election, the terms of Class I,</w:t>
      </w:r>
    </w:p>
    <w:p>
      <w:pPr>
        <w:ind w:firstLine="8"/>
        <w:spacing w:after="0" w:line="260" w:lineRule="auto"/>
        <w:tabs>
          <w:tab w:leader="none" w:pos="1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directors will expire at the annual meetings of stockholders in 2027, 2025 and 2026, respectively. Each director will hold office for the term to which he is elected and until a successor is duly elected and qualifies.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Stockholder can vote for or against each nominee named below. In the absence of instructions to the contrary, it is the intention of the person named as proxy to vote such proxy FOR the election of each nominee named below. If a nominee should decline or be unable to serve as a director, it is intended that the proxy will be voted for the election of such person as is nominated by the Board as a replacement. The Board has no reason to believe that either nominee will be unable or unwilling to serve.</w:t>
      </w:r>
    </w:p>
    <w:p>
      <w:pPr>
        <w:spacing w:after="0" w:line="284"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THE ELECTION OF THE NOMINEES NAMED IN THIS PROXY STATEMENT.</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the Nominees and Directors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information with respect to the nominees for election at the Annual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nominees currently serve as directors of the Company.</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of Mr. Marshall Brozost and Mr. Samuel Katz has been nominated for election as a Class I director of PFLT for a three-year term expiring at the annual meeting of stockholders in 2027. Neither Mr. Brozost nor Mr. Katz is being proposed for election pursuant to any agreement or understanding between either Mr. Brozost nor Mr. Katz and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Directorships</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 of Office</w:t>
            </w:r>
          </w:p>
        </w:tc>
        <w:tc>
          <w:tcPr>
            <w:tcW w:w="12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by Director</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20" w:type="dxa"/>
            <w:vAlign w:val="bottom"/>
          </w:tcPr>
          <w:p>
            <w:pPr>
              <w:spacing w:after="0"/>
              <w:rPr>
                <w:sz w:val="12"/>
                <w:szCs w:val="12"/>
                <w:color w:val="auto"/>
              </w:rPr>
            </w:pPr>
          </w:p>
        </w:tc>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Occupation(s) During, at</w:t>
            </w: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Companies in Fund</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Nominee for</w:t>
            </w:r>
          </w:p>
        </w:tc>
        <w:tc>
          <w:tcPr>
            <w:tcW w:w="0" w:type="dxa"/>
            <w:vAlign w:val="bottom"/>
          </w:tcPr>
          <w:p>
            <w:pPr>
              <w:spacing w:after="0"/>
              <w:rPr>
                <w:sz w:val="1"/>
                <w:szCs w:val="1"/>
                <w:color w:val="auto"/>
              </w:rPr>
            </w:pPr>
          </w:p>
        </w:tc>
      </w:tr>
      <w:tr>
        <w:trPr>
          <w:trHeight w:val="146"/>
        </w:trPr>
        <w:tc>
          <w:tcPr>
            <w:tcW w:w="22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Length of Time</w:t>
            </w:r>
          </w:p>
        </w:tc>
        <w:tc>
          <w:tcPr>
            <w:tcW w:w="120" w:type="dxa"/>
            <w:vAlign w:val="bottom"/>
          </w:tcPr>
          <w:p>
            <w:pPr>
              <w:spacing w:after="0"/>
              <w:rPr>
                <w:sz w:val="12"/>
                <w:szCs w:val="12"/>
                <w:color w:val="auto"/>
              </w:rPr>
            </w:pPr>
          </w:p>
        </w:tc>
        <w:tc>
          <w:tcPr>
            <w:tcW w:w="2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least, the</w:t>
            </w:r>
          </w:p>
        </w:tc>
        <w:tc>
          <w:tcPr>
            <w:tcW w:w="100" w:type="dxa"/>
            <w:vAlign w:val="bottom"/>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Complex Overseen</w:t>
            </w:r>
          </w:p>
        </w:tc>
        <w:tc>
          <w:tcPr>
            <w:tcW w:w="120" w:type="dxa"/>
            <w:vAlign w:val="bottom"/>
          </w:tcPr>
          <w:p>
            <w:pPr>
              <w:spacing w:after="0"/>
              <w:rPr>
                <w:sz w:val="12"/>
                <w:szCs w:val="12"/>
                <w:color w:val="auto"/>
              </w:rPr>
            </w:pP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Director During</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 Company</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120" w:type="dxa"/>
            <w:vAlign w:val="bottom"/>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Past 5 Years</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by Director</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6"/>
              </w:rPr>
              <w:t>the Past 5 Years</w:t>
            </w:r>
            <w:r>
              <w:rPr>
                <w:rFonts w:ascii="Times New Roman" w:cs="Times New Roman" w:eastAsia="Times New Roman" w:hAnsi="Times New Roman"/>
                <w:sz w:val="19"/>
                <w:szCs w:val="19"/>
                <w:b w:val="1"/>
                <w:bCs w:val="1"/>
                <w:color w:val="auto"/>
                <w:w w:val="96"/>
                <w:vertAlign w:val="superscript"/>
              </w:rPr>
              <w:t>(2)</w:t>
            </w:r>
          </w:p>
        </w:tc>
        <w:tc>
          <w:tcPr>
            <w:tcW w:w="0" w:type="dxa"/>
            <w:vAlign w:val="bottom"/>
          </w:tcPr>
          <w:p>
            <w:pPr>
              <w:spacing w:after="0"/>
              <w:rPr>
                <w:sz w:val="1"/>
                <w:szCs w:val="1"/>
                <w:color w:val="auto"/>
              </w:rPr>
            </w:pPr>
          </w:p>
        </w:tc>
      </w:tr>
      <w:tr>
        <w:trPr>
          <w:trHeight w:val="321"/>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Independent Directors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Adam K. Bernstein (60)</w:t>
            </w:r>
          </w:p>
        </w:tc>
        <w:tc>
          <w:tcPr>
            <w:tcW w:w="12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PFLT - Class II</w:t>
            </w:r>
          </w:p>
        </w:tc>
        <w:tc>
          <w:tcPr>
            <w:tcW w:w="12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President of The Bernstein Companies,</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Two</w:t>
            </w:r>
          </w:p>
        </w:tc>
        <w:tc>
          <w:tcPr>
            <w:tcW w:w="12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Advisory Board Member</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 Washington, D.C.-based real estate</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 University Research</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and development firm, since</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Corporation since 2020</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Term expires 2025</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1995 and President and Chief Executive</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Officer of Consortium Atlantic Realty</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Trust, Inc., a private real estate</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trust operating in the Mid-</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Atlantic region, from 2006. Also, Mr.</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Bernstein served on the Board of</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Overseers of the School of Arts and</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Sciences at the University of</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Pennsylvania from 2012 to 2021 and the</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Board of Trustees of the School of Arts</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and Sciences at the University of</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Pennsylvania from 2018 to 2022.</w:t>
            </w: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Marshall Brozost (56)</w:t>
            </w:r>
          </w:p>
        </w:tc>
        <w:tc>
          <w:tcPr>
            <w:tcW w:w="15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PFLT - Class I</w:t>
            </w:r>
          </w:p>
        </w:tc>
        <w:tc>
          <w:tcPr>
            <w:tcW w:w="2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Partner at Allen Matkins Leck Gamble</w:t>
            </w:r>
          </w:p>
        </w:tc>
      </w:tr>
      <w:tr>
        <w:trPr>
          <w:trHeight w:val="148"/>
        </w:trPr>
        <w:tc>
          <w:tcPr>
            <w:tcW w:w="1800" w:type="dxa"/>
            <w:vAlign w:val="bottom"/>
          </w:tcPr>
          <w:p>
            <w:pPr>
              <w:spacing w:after="0"/>
              <w:rPr>
                <w:sz w:val="12"/>
                <w:szCs w:val="12"/>
                <w:color w:val="auto"/>
              </w:rPr>
            </w:pPr>
          </w:p>
        </w:tc>
        <w:tc>
          <w:tcPr>
            <w:tcW w:w="15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Nominee</w:t>
            </w:r>
          </w:p>
        </w:tc>
        <w:tc>
          <w:tcPr>
            <w:tcW w:w="17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Mallory &amp; Natsis LLP, where he serves</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as co-chair of the New York real estate</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Term expires, if</w:t>
            </w: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group, since September 2023. Prior to</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elected, 2027</w:t>
            </w: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Allen Matkins Leck Gamble Mallory &amp;</w:t>
            </w:r>
          </w:p>
        </w:tc>
      </w:tr>
      <w:tr>
        <w:trPr>
          <w:trHeight w:val="149"/>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Natsis LLP, Mr. Brozost practiced law</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at McDermott Will &amp; Emery LLP, From</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April 2022 to September 2023; Orrick,</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Herrington &amp; Sutcliffe LLP, from July</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2016 to April 2022; at Schulte Roth &amp;</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Zabel LLP from May 2012 to July</w:t>
            </w:r>
          </w:p>
        </w:tc>
      </w:tr>
      <w:tr>
        <w:trPr>
          <w:trHeight w:val="149"/>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2016; and at Dewey &amp; LeBoeuf LLP</w:t>
            </w:r>
          </w:p>
        </w:tc>
      </w:tr>
      <w:tr>
        <w:trPr>
          <w:trHeight w:val="188"/>
        </w:trPr>
        <w:tc>
          <w:tcPr>
            <w:tcW w:w="1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from 2005 to 2012.</w:t>
            </w:r>
          </w:p>
        </w:tc>
      </w:tr>
      <w:tr>
        <w:trPr>
          <w:trHeight w:val="284"/>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Jeffrey Flug (61)</w:t>
            </w:r>
          </w:p>
        </w:tc>
        <w:tc>
          <w:tcPr>
            <w:tcW w:w="15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PFLT - Class II</w:t>
            </w:r>
          </w:p>
        </w:tc>
        <w:tc>
          <w:tcPr>
            <w:tcW w:w="2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Mr. Flug was President of Union Square</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Hospitality Group, an exclusive chain of</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restaurants, from 2009 to June 2015.</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Term expires 2025</w:t>
            </w: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Mr. Flug served as Chief Executive</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Officer and Executive Director of</w:t>
            </w:r>
          </w:p>
        </w:tc>
      </w:tr>
      <w:tr>
        <w:trPr>
          <w:trHeight w:val="149"/>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Millennium Promise Alliance, Inc., a</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non-profit organization whose mission</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 to eradicate extreme global poverty,</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from 2006 to 2008. From 2000 to 2006,</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Mr. Flug was a Managing Director and</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Head of North American Institutional</w:t>
            </w:r>
          </w:p>
        </w:tc>
      </w:tr>
      <w:tr>
        <w:trPr>
          <w:trHeight w:val="188"/>
        </w:trPr>
        <w:tc>
          <w:tcPr>
            <w:tcW w:w="1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Sales at JP Morgan’s Investment Bank.</w:t>
            </w:r>
          </w:p>
        </w:tc>
      </w:tr>
      <w:tr>
        <w:trPr>
          <w:trHeight w:val="284"/>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Samuel L. Katz (58)</w:t>
            </w:r>
          </w:p>
        </w:tc>
        <w:tc>
          <w:tcPr>
            <w:tcW w:w="15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Director</w:t>
            </w:r>
          </w:p>
        </w:tc>
        <w:tc>
          <w:tcPr>
            <w:tcW w:w="1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PFLT - Class I</w:t>
            </w:r>
          </w:p>
        </w:tc>
        <w:tc>
          <w:tcPr>
            <w:tcW w:w="2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Managing Partner of TZP Group LLC, a</w:t>
            </w:r>
          </w:p>
        </w:tc>
      </w:tr>
      <w:tr>
        <w:trPr>
          <w:trHeight w:val="149"/>
        </w:trPr>
        <w:tc>
          <w:tcPr>
            <w:tcW w:w="1800" w:type="dxa"/>
            <w:vAlign w:val="bottom"/>
          </w:tcPr>
          <w:p>
            <w:pPr>
              <w:spacing w:after="0"/>
              <w:rPr>
                <w:sz w:val="12"/>
                <w:szCs w:val="12"/>
                <w:color w:val="auto"/>
              </w:rPr>
            </w:pPr>
          </w:p>
        </w:tc>
        <w:tc>
          <w:tcPr>
            <w:tcW w:w="15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color w:val="auto"/>
              </w:rPr>
              <w:t>Nominee</w:t>
            </w:r>
          </w:p>
        </w:tc>
        <w:tc>
          <w:tcPr>
            <w:tcW w:w="17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private equity fund, since 2007. Chief</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Executive Officer and director of TZP</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Term expires, if</w:t>
            </w: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Strategies Acquisition Corp. (Nasdaq:</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elected, 2027</w:t>
            </w: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TZPS), a special purpose acquisition</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company; Before joining TZP Group,</w:t>
            </w:r>
          </w:p>
        </w:tc>
      </w:tr>
      <w:tr>
        <w:trPr>
          <w:trHeight w:val="149"/>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Mr. Katz was Chief Executive Officer</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of MacAndrews &amp; Forbes Acquisition</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Holdings, Inc. from 2006 to 2007. Prior</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to that position, Mr. Katz was Chairman</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and Chief Executive Officer of the</w:t>
            </w:r>
          </w:p>
        </w:tc>
      </w:tr>
      <w:tr>
        <w:trPr>
          <w:trHeight w:val="148"/>
        </w:trPr>
        <w:tc>
          <w:tcPr>
            <w:tcW w:w="1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Cendant Travel Distribution Services</w:t>
            </w:r>
          </w:p>
        </w:tc>
      </w:tr>
      <w:tr>
        <w:trPr>
          <w:trHeight w:val="188"/>
        </w:trPr>
        <w:tc>
          <w:tcPr>
            <w:tcW w:w="1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Division from 2001 to 2005.</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740" w:val="left"/>
        </w:tabs>
        <w:rPr>
          <w:sz w:val="20"/>
          <w:szCs w:val="20"/>
          <w:color w:val="auto"/>
        </w:rPr>
      </w:pPr>
      <w:r>
        <w:rPr>
          <w:rFonts w:ascii="Times New Roman" w:cs="Times New Roman" w:eastAsia="Times New Roman" w:hAnsi="Times New Roman"/>
          <w:sz w:val="14"/>
          <w:szCs w:val="14"/>
          <w:color w:val="auto"/>
        </w:rPr>
        <w:t>Two</w:t>
      </w:r>
      <w:r>
        <w:rPr>
          <w:sz w:val="20"/>
          <w:szCs w:val="20"/>
          <w:color w:val="auto"/>
        </w:rPr>
        <w:tab/>
      </w: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Two</w:t>
            </w:r>
          </w:p>
        </w:tc>
        <w:tc>
          <w:tcPr>
            <w:tcW w:w="1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Shake Shack Inc., since</w:t>
            </w:r>
          </w:p>
        </w:tc>
      </w:tr>
      <w:tr>
        <w:trPr>
          <w:trHeight w:val="148"/>
        </w:trPr>
        <w:tc>
          <w:tcPr>
            <w:tcW w:w="720" w:type="dxa"/>
            <w:vAlign w:val="bottom"/>
          </w:tcPr>
          <w:p>
            <w:pPr>
              <w:spacing w:after="0"/>
              <w:rPr>
                <w:sz w:val="12"/>
                <w:szCs w:val="12"/>
                <w:color w:val="auto"/>
              </w:rPr>
            </w:pPr>
          </w:p>
        </w:tc>
        <w:tc>
          <w:tcPr>
            <w:tcW w:w="19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September 2014; Tender</w:t>
            </w:r>
          </w:p>
        </w:tc>
      </w:tr>
      <w:tr>
        <w:trPr>
          <w:trHeight w:val="148"/>
        </w:trPr>
        <w:tc>
          <w:tcPr>
            <w:tcW w:w="720" w:type="dxa"/>
            <w:vAlign w:val="bottom"/>
          </w:tcPr>
          <w:p>
            <w:pPr>
              <w:spacing w:after="0"/>
              <w:rPr>
                <w:sz w:val="12"/>
                <w:szCs w:val="12"/>
                <w:color w:val="auto"/>
              </w:rPr>
            </w:pPr>
          </w:p>
        </w:tc>
        <w:tc>
          <w:tcPr>
            <w:tcW w:w="19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Greens, a private</w:t>
            </w:r>
          </w:p>
        </w:tc>
      </w:tr>
      <w:tr>
        <w:trPr>
          <w:trHeight w:val="148"/>
        </w:trPr>
        <w:tc>
          <w:tcPr>
            <w:tcW w:w="720" w:type="dxa"/>
            <w:vAlign w:val="bottom"/>
          </w:tcPr>
          <w:p>
            <w:pPr>
              <w:spacing w:after="0"/>
              <w:rPr>
                <w:sz w:val="12"/>
                <w:szCs w:val="12"/>
                <w:color w:val="auto"/>
              </w:rPr>
            </w:pPr>
          </w:p>
        </w:tc>
        <w:tc>
          <w:tcPr>
            <w:tcW w:w="19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company, since 2015;</w:t>
            </w:r>
          </w:p>
        </w:tc>
      </w:tr>
      <w:tr>
        <w:trPr>
          <w:trHeight w:val="148"/>
        </w:trPr>
        <w:tc>
          <w:tcPr>
            <w:tcW w:w="720" w:type="dxa"/>
            <w:vAlign w:val="bottom"/>
          </w:tcPr>
          <w:p>
            <w:pPr>
              <w:spacing w:after="0"/>
              <w:rPr>
                <w:sz w:val="12"/>
                <w:szCs w:val="12"/>
                <w:color w:val="auto"/>
              </w:rPr>
            </w:pPr>
          </w:p>
        </w:tc>
        <w:tc>
          <w:tcPr>
            <w:tcW w:w="19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Sears Hometown and</w:t>
            </w:r>
          </w:p>
        </w:tc>
      </w:tr>
      <w:tr>
        <w:trPr>
          <w:trHeight w:val="149"/>
        </w:trPr>
        <w:tc>
          <w:tcPr>
            <w:tcW w:w="720" w:type="dxa"/>
            <w:vAlign w:val="bottom"/>
          </w:tcPr>
          <w:p>
            <w:pPr>
              <w:spacing w:after="0"/>
              <w:rPr>
                <w:sz w:val="12"/>
                <w:szCs w:val="12"/>
                <w:color w:val="auto"/>
              </w:rPr>
            </w:pPr>
          </w:p>
        </w:tc>
        <w:tc>
          <w:tcPr>
            <w:tcW w:w="19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Outlet Stores, Inc., from</w:t>
            </w:r>
          </w:p>
        </w:tc>
      </w:tr>
      <w:tr>
        <w:trPr>
          <w:trHeight w:val="148"/>
        </w:trPr>
        <w:tc>
          <w:tcPr>
            <w:tcW w:w="720" w:type="dxa"/>
            <w:vAlign w:val="bottom"/>
          </w:tcPr>
          <w:p>
            <w:pPr>
              <w:spacing w:after="0"/>
              <w:rPr>
                <w:sz w:val="12"/>
                <w:szCs w:val="12"/>
                <w:color w:val="auto"/>
              </w:rPr>
            </w:pPr>
          </w:p>
        </w:tc>
        <w:tc>
          <w:tcPr>
            <w:tcW w:w="19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October 2012 to</w:t>
            </w:r>
          </w:p>
        </w:tc>
      </w:tr>
      <w:tr>
        <w:trPr>
          <w:trHeight w:val="188"/>
        </w:trPr>
        <w:tc>
          <w:tcPr>
            <w:tcW w:w="720" w:type="dxa"/>
            <w:vAlign w:val="bottom"/>
          </w:tcPr>
          <w:p>
            <w:pPr>
              <w:spacing w:after="0"/>
              <w:rPr>
                <w:sz w:val="16"/>
                <w:szCs w:val="16"/>
                <w:color w:val="auto"/>
              </w:rPr>
            </w:pPr>
          </w:p>
        </w:tc>
        <w:tc>
          <w:tcPr>
            <w:tcW w:w="1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September 2015.</w:t>
            </w:r>
          </w:p>
        </w:tc>
      </w:tr>
      <w:tr>
        <w:trPr>
          <w:trHeight w:val="87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Two</w:t>
            </w:r>
          </w:p>
        </w:tc>
        <w:tc>
          <w:tcPr>
            <w:tcW w:w="194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Director of TZP</w:t>
            </w:r>
          </w:p>
        </w:tc>
      </w:tr>
      <w:tr>
        <w:trPr>
          <w:trHeight w:val="149"/>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Strategies Acquisition</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Corp.; BQ Resorts, LLC;</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Lift Brands, Inc.;</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HomeRiver Group;</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color w:val="auto"/>
              </w:rPr>
              <w:t>Pyramid Hotel Group;</w:t>
            </w:r>
          </w:p>
        </w:tc>
      </w:tr>
      <w:tr>
        <w:trPr>
          <w:trHeight w:val="149"/>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Triangle Home Fashions</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Holdings, LLC;</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Whitestone Home</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Furnishings, LLC (d/b/a</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The Saatva Company);</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Dwellworks; Rebath</w:t>
            </w:r>
          </w:p>
        </w:tc>
      </w:tr>
      <w:tr>
        <w:trPr>
          <w:trHeight w:val="149"/>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Member: Executive</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Committee of YRF</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rPr>
              <w:t>Darca; Board of Advisors</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of Columbia University</w:t>
            </w:r>
          </w:p>
        </w:tc>
      </w:tr>
      <w:tr>
        <w:trPr>
          <w:trHeight w:val="188"/>
        </w:trPr>
        <w:tc>
          <w:tcPr>
            <w:tcW w:w="720" w:type="dxa"/>
            <w:vAlign w:val="bottom"/>
          </w:tcPr>
          <w:p>
            <w:pPr>
              <w:spacing w:after="0"/>
              <w:rPr>
                <w:sz w:val="16"/>
                <w:szCs w:val="16"/>
                <w:color w:val="auto"/>
              </w:rPr>
            </w:pPr>
          </w:p>
        </w:tc>
        <w:tc>
          <w:tcPr>
            <w:tcW w:w="194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Irving Medical Center</w:t>
            </w:r>
          </w:p>
        </w:tc>
      </w:tr>
    </w:tbl>
    <w:p>
      <w:pPr>
        <w:sectPr>
          <w:pgSz w:w="11900" w:h="16838" w:orient="portrait"/>
          <w:cols w:equalWidth="0" w:num="2">
            <w:col w:w="7820" w:space="720"/>
            <w:col w:w="2660"/>
          </w:cols>
          <w:pgMar w:left="340" w:top="118" w:right="359" w:bottom="1440" w:gutter="0" w:footer="0" w:header="0"/>
        </w:sectPr>
      </w:pPr>
    </w:p>
    <w:bookmarkStart w:id="11" w:name="page12"/>
    <w:bookmarkEnd w:id="1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Interested Director</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Arthur H. Penn (60)</w:t>
            </w:r>
            <w:r>
              <w:rPr>
                <w:rFonts w:ascii="Times New Roman" w:cs="Times New Roman" w:eastAsia="Times New Roman" w:hAnsi="Times New Roman"/>
                <w:sz w:val="19"/>
                <w:szCs w:val="19"/>
                <w:color w:val="auto"/>
                <w:vertAlign w:val="superscript"/>
              </w:rPr>
              <w:t>(3)</w:t>
            </w:r>
          </w:p>
        </w:tc>
        <w:tc>
          <w:tcPr>
            <w:tcW w:w="1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Director</w:t>
            </w:r>
          </w:p>
        </w:tc>
        <w:tc>
          <w:tcPr>
            <w:tcW w:w="1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PFLT - Class III</w:t>
            </w:r>
          </w:p>
        </w:tc>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Founder, Chairman and Chief Executive</w:t>
            </w:r>
          </w:p>
        </w:tc>
        <w:tc>
          <w:tcPr>
            <w:tcW w:w="1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Two</w:t>
            </w:r>
          </w:p>
        </w:tc>
        <w:tc>
          <w:tcPr>
            <w:tcW w:w="1060" w:type="dxa"/>
            <w:vAlign w:val="bottom"/>
          </w:tcPr>
          <w:p>
            <w:pPr>
              <w:ind w:left="740"/>
              <w:spacing w:after="0"/>
              <w:rPr>
                <w:sz w:val="20"/>
                <w:szCs w:val="20"/>
                <w:color w:val="auto"/>
              </w:rPr>
            </w:pPr>
            <w:r>
              <w:rPr>
                <w:rFonts w:ascii="Times New Roman" w:cs="Times New Roman" w:eastAsia="Times New Roman" w:hAnsi="Times New Roman"/>
                <w:sz w:val="14"/>
                <w:szCs w:val="14"/>
                <w:color w:val="auto"/>
                <w:w w:val="98"/>
              </w:rPr>
              <w:t>None</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Chief Executive</w:t>
            </w:r>
          </w:p>
        </w:tc>
        <w:tc>
          <w:tcPr>
            <w:tcW w:w="15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Officer of the Company from its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inception in 2010. Mr. Penn also is the</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Officer and</w:t>
            </w:r>
          </w:p>
        </w:tc>
        <w:tc>
          <w:tcPr>
            <w:tcW w:w="15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Term expires 2026</w:t>
            </w: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Founder and Managing Member of the</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Chairman of the</w:t>
            </w: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Adviser. Before founding PNNT, Mr.</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Board of</w:t>
            </w: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Penn was the Co-Founder of Apollo</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Directors</w:t>
            </w: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Investment Management, where he was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 Managing Partner from 2004 to 2006.</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He also served as Chief Operating</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Officer of Apollo Investment</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Corporation from inception in 2004 to</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2006 and served as President and Chief</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Operating Officer in 2006. He formerly</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was a Managing Partner of Apollo</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Value Fund L.P. (formerly Apollo</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Distressed Investment Fund, L.P.) from</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José A. Briones, Jr. (53)</w:t>
            </w:r>
            <w:r>
              <w:rPr>
                <w:rFonts w:ascii="Times New Roman" w:cs="Times New Roman" w:eastAsia="Times New Roman" w:hAnsi="Times New Roman"/>
                <w:sz w:val="19"/>
                <w:szCs w:val="19"/>
                <w:color w:val="auto"/>
                <w:vertAlign w:val="superscript"/>
              </w:rPr>
              <w:t>(4)</w:t>
            </w:r>
          </w:p>
        </w:tc>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2003 to 2006.</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vMerge w:val="continue"/>
          </w:tcPr>
          <w:p>
            <w:pPr>
              <w:spacing w:after="0"/>
              <w:rPr>
                <w:sz w:val="12"/>
                <w:szCs w:val="12"/>
                <w:color w:val="auto"/>
              </w:rPr>
            </w:pPr>
          </w:p>
        </w:tc>
        <w:tc>
          <w:tcPr>
            <w:tcW w:w="16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Director</w:t>
            </w:r>
          </w:p>
        </w:tc>
        <w:tc>
          <w:tcPr>
            <w:tcW w:w="15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PFLT - Class III</w:t>
            </w: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Mr. Briones joined the Adviser in</w:t>
            </w:r>
          </w:p>
        </w:tc>
        <w:tc>
          <w:tcPr>
            <w:tcW w:w="148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Two</w:t>
            </w:r>
          </w:p>
        </w:tc>
        <w:tc>
          <w:tcPr>
            <w:tcW w:w="1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w w:val="98"/>
              </w:rPr>
              <w:t>None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December 2009 and is a Senior Partner.</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May 2022;</w:t>
            </w: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Before joining the Adviser, Mr. Briones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Term expires 2026</w:t>
            </w: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was a Partner of Apollo Investment</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Management, L.P. and a member of its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investment committee since 2006.</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Before that, he was a Managing</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Director with UBS Securities LLC in</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the Financial Sponsors and Leveraged</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Finance Group from 2001 to 2006.</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Before joining UBS, he was a Vice</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President with JP Morgan in the Global</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Leveraged Finance Group from 1999 to</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2001. From 1992 to 1999, Mr. Briones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was a Vice President at BT Securities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and BT Alex Brown Inc. in the</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Finance Department.</w:t>
            </w: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1691 Michigan Avenue, Miami Beach, Florida 33139 .</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otherwise serves as a director of an investment company subject to the 1940 Act.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an interested director due to his position as an officer of the Company and of the Adviser.</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Briones is an interested director due to his position as an officer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1663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6" w:right="33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New York Stock Exchange ("NYSE") corporate governance rules require listed companies to have a board of directors with at least a majority of independent directors.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Under NYSE corporate governance rules, in order for a director to be deemed independent, the Board must affirmatively determine that the individual does not have a material relationship with the Company, either directly or as a partner, shareholder or officer of an organization that has a relationship with the Company. On an annual basis, each director is required to complete an independence questionnaire designed to provide information to assist the Board in determining whether the director is independent under NYSE corporate governance rules, the 1940 Act and applicable corporate governance guidelines. The Board has determined that each of its directors, other than Mr. Penn, is independent under the applicable listing standards of the NYSE and under the Securities Exchange Act of 1934, as amended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Board’s Oversight Role in Management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243" w:lineRule="exact"/>
        <w:rPr>
          <w:sz w:val="20"/>
          <w:szCs w:val="20"/>
          <w:color w:val="auto"/>
        </w:rPr>
      </w:pPr>
    </w:p>
    <w:p>
      <w:pPr>
        <w:ind w:left="520" w:right="16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of the common stock of the Company transferred from Nasdaq to NYSE effective April 14, 2022. Prior to such transfer, the Company's practices complied with the applicable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1663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3" w:name="page14"/>
    <w:bookmarkEnd w:id="13"/>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ability of the Company to incur indebtedness is limited by the asset coverage ratio set forth in the 1940 Act (as modified by any exemptive relief granted by the SEC) and the Company generally must invest at least 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must be evaluated on a case by 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Board’s Composition and Leadership Structure</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1940 Act requires that at least a majority of the Company’s directors not be “interested persons” (as defined in the 1940 Act) of the Company. Currently, four of the six directors on the Board are Independent Directors.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two-thirds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Each Director’s Experience, Qualifications, Attributes or Skills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or professional training or practice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finance, accounting or 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Role of the Chairman and Chief Executive Officer</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 Qualifications, Attributes and/or Skills that Led to the Board’s Conclusion that such Members Should Serve as Directors of the Company</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Board believes that, collectively, the directors have balanced and diverse experience, qualifications, attributes and skills, which allow the Board to operate effectively in governing the Company and protecting the interests of the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Arthur H. Penn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 K. Bernstein</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Mr. Bernstein brings to the Board over 30 years of experience at a real estate development, investment and management business in the Mid-Atlantic region of the United States.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From 2012 to 2021, Mr. Bernstein was appointed to the Board of Overseers of the School of Arts and Sciences at the University of Pennsylvania and has served on the Board of Trustees of the School of Arts and Sciences at the University of Pennsylvania from 2018 to 2022 and on the Advisory Board of University Research Corporation since 2020.</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José A. Briones, Jr.</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Mr. Briones brings to the Board 30 years of business leadership and experience and knowledge of senior lending, mezzanine lending, leveraged finance, distressed debt and private equity businesses, as well as diverse management practices. He is responsible for and oversees originating, underwriting, executing, and monitoring investments for the Adviser, as well as overseeing various strategic initiatives and serves as a Portfolio Manager. Before joining the Adviser, Mr. Briones was a Partner of Apollo Investment Management, L.P. and a member of its investment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committee. Before that, Mr. Briones was a Managing Director with UBS Securities LLC in the Financial Sponsors and Leveraged Finance Group from 2001 to 2006. Before joining UBS, Mr. Briones was a Vice President with JP Morgan in the Global Leveraged Finance Group from 1999 to 2001. From 1992 to 1999, Mr. Briones was a Vice President at BT Securities and BT Alex Brown Inc. in the Corporate Finance Department.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Marshall Brozost</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Mr. Brozost brings to the Board 25 years of experience in the areas of finance, private equity, mergers and acquisitions and restructurings. Since September 2023, Mr. Brozost has been a Partner at Allen Matkins Leck Gamble Mallory &amp; Natsis LLP, where he serves as co-chair of the New York real estate group. Prior to Allen Matkins Leck Gamble Mallory &amp; Natsis LLP, Mr. Brozost practiced law at McDermott Will &amp; Emery LLP from April 2022 to September 2023, at Orrick, Herrington &amp; Sutcliffe LLP from July 2016 to April 2022,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Jeffrey Flug</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Mr. Flug brings to the Board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Mr. Flug has also served as a director of Tender Greens, a private company, since 2015.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Samuel L Katz</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Mr. Katz brings to the Board a diverse knowledge of business and finance as a result of his career over the past 30 years. Mr. Katz currently serves as the Chief Executive Officer and director of TZP Strategies Acquisition Corp. (Nasdaq: TZPS), a special purpose acquisition company, and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 Mr. Katz also currently serves as a director of the following companies: BQ Resorts, LLC; Lift Brands, Inc.; HomeRiver Group; Pyramid Hotel Group; Triangle Home Fashions Holdings, LLC; Whitestone Home Furnishings, LLC (d/b/a The Saatva Company); Dwellworks Investors; Rebath and YRF Darca; and he currently serves on the Board of Advisors of Columbia University Irving Medical Center.</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Board has established an Audit Committee, a Nominating and Corporate Governance Committee and a Compensation Committee. For the fiscal year ended September 30, 2023, the Board held four Board meetings, four Audit Committee meetings, two Nominating and Corporate Governance Committee meetings and two Compensation Committee meetings.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 Stockholders’ meetings. Last year, all members of the Board attended by audio webcast the annual Stockholders’ meeting that was held virtually.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members of the Audit Committee of the Board are Messrs. Bernstein, Brozost, Flug and Katz, each of whom is independent for purposes of the 1940 Act and the NYSE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Reports on Form 10-K; reviewing and discussing with management and the auditors the Company’s quarterly financial statements prior to the filings of its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of the Board are Messrs. Bernstein, Brozost, Flug and Katz, each of whom is independent for purposes of the 1940 Act and the NYSE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1691 Michigan Avenue, Miami Beach, Florida 33139 .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Criteria considered by the Nominating and Corporate Governance Committee in evaluating the qualifications of individuals for election as a director of the Board include: compliance with the independence and other applicable requirements of the NYSE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but the Nominating and Corporate Governance Committee will consider such factors as they may deem are in the best interests of the Company and the Stockholders. Those factors may include a person’s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the Board with all matters related to compensation, as directed by the Board. The current members of the Compensation Committee are Messrs. Bernstein, Brozost, Flug and Katz, each of whom is independent for purposes of the 1940 Act and the NYSE corporate governance rules. As discussed below, none of our executive officers are directly compensated by the Company and, as a result, the Compensation Committee does not produce and/or review and report on executive compensation practices. The Compensation Committee Charter is available on the Company’s website (http://www.pennantpark.com).</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Communication with the Board of Directors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Stockholders with questions about the Company are encouraged to contact our Investor Relations Department at 1691 Michigan Avenue, Miami Beach, Florida 33139 or by visiting the investor relations web page on our website (http://www.pennantpark.com). However, if Stockholders believe that their questions have not been addressed, they may communicate with the Board by sending their communications to Thomas J. Friedmann, Secretary, c/o PennantPark, 1691 Michigan Avenue, Miami Beach, Florida 33139 . All Stockholder communications received in this manner will be delivered to one or more members of the Board.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Executive Officer Who is Not a Director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pertains to our executive officer who is not a director of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220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3"/>
                <w:szCs w:val="13"/>
                <w:color w:val="auto"/>
              </w:rPr>
            </w:pPr>
          </w:p>
        </w:tc>
        <w:tc>
          <w:tcPr>
            <w:tcW w:w="67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87"/>
        </w:trPr>
        <w:tc>
          <w:tcPr>
            <w:tcW w:w="2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6"/>
                <w:szCs w:val="16"/>
                <w:color w:val="auto"/>
              </w:rPr>
            </w:pPr>
          </w:p>
        </w:tc>
        <w:tc>
          <w:tcPr>
            <w:tcW w:w="6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Richard T. Allorto, Jr. (51)</w:t>
            </w:r>
          </w:p>
        </w:tc>
        <w:tc>
          <w:tcPr>
            <w:tcW w:w="120" w:type="dxa"/>
            <w:vAlign w:val="bottom"/>
          </w:tcPr>
          <w:p>
            <w:pPr>
              <w:spacing w:after="0"/>
              <w:rPr>
                <w:sz w:val="17"/>
                <w:szCs w:val="17"/>
                <w:color w:val="auto"/>
              </w:rPr>
            </w:pPr>
          </w:p>
        </w:tc>
        <w:tc>
          <w:tcPr>
            <w:tcW w:w="22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Chief Financial Officer and</w:t>
            </w:r>
          </w:p>
        </w:tc>
        <w:tc>
          <w:tcPr>
            <w:tcW w:w="120" w:type="dxa"/>
            <w:vAlign w:val="bottom"/>
          </w:tcPr>
          <w:p>
            <w:pPr>
              <w:spacing w:after="0"/>
              <w:rPr>
                <w:sz w:val="17"/>
                <w:szCs w:val="17"/>
                <w:color w:val="auto"/>
              </w:rPr>
            </w:pPr>
          </w:p>
        </w:tc>
        <w:tc>
          <w:tcPr>
            <w:tcW w:w="6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Chief Financial Officer and Treasurer of the Company and PNNT since June 2, 2022. Mr.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Allorto was most recently the Chief Financial Officer of Medley Management Inc. and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served as the Chief Financial Officer of Sierra Income Corporation and before that Medley</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Capital Corporation. Before that, he was a Managing Director at GSC Group from 2001 to</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540" w:right="2060" w:hanging="5532"/>
        <w:spacing w:after="0" w:line="532" w:lineRule="auto"/>
        <w:tabs>
          <w:tab w:leader="none" w:pos="5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executive officer is c/o PennantPark, 1691 Michigan Avenue, Miami Beach, Florida 33139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16630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630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Information about Chief Compliance Officer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pertains to our CCO who is not a director of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220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20" w:type="dxa"/>
            <w:vAlign w:val="bottom"/>
          </w:tcPr>
          <w:p>
            <w:pPr>
              <w:spacing w:after="0"/>
              <w:rPr>
                <w:sz w:val="13"/>
                <w:szCs w:val="13"/>
                <w:color w:val="auto"/>
              </w:rPr>
            </w:pPr>
          </w:p>
        </w:tc>
        <w:tc>
          <w:tcPr>
            <w:tcW w:w="670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87"/>
        </w:trPr>
        <w:tc>
          <w:tcPr>
            <w:tcW w:w="2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6"/>
                <w:szCs w:val="16"/>
                <w:color w:val="auto"/>
              </w:rPr>
            </w:pPr>
          </w:p>
        </w:tc>
        <w:tc>
          <w:tcPr>
            <w:tcW w:w="6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Frank Galea (55)</w:t>
            </w:r>
          </w:p>
        </w:tc>
        <w:tc>
          <w:tcPr>
            <w:tcW w:w="120" w:type="dxa"/>
            <w:vAlign w:val="bottom"/>
          </w:tcPr>
          <w:p>
            <w:pPr>
              <w:spacing w:after="0"/>
              <w:rPr>
                <w:sz w:val="17"/>
                <w:szCs w:val="17"/>
                <w:color w:val="auto"/>
              </w:rPr>
            </w:pPr>
          </w:p>
        </w:tc>
        <w:tc>
          <w:tcPr>
            <w:tcW w:w="220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Chief Compliance Officer</w:t>
            </w:r>
          </w:p>
        </w:tc>
        <w:tc>
          <w:tcPr>
            <w:tcW w:w="120" w:type="dxa"/>
            <w:vAlign w:val="bottom"/>
          </w:tcPr>
          <w:p>
            <w:pPr>
              <w:spacing w:after="0"/>
              <w:rPr>
                <w:sz w:val="17"/>
                <w:szCs w:val="17"/>
                <w:color w:val="auto"/>
              </w:rPr>
            </w:pPr>
          </w:p>
        </w:tc>
        <w:tc>
          <w:tcPr>
            <w:tcW w:w="6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Chief Compliance Officer of the Company and PFLT from May 2023. Mr. Galea joined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Company’s outsourced Compliance service provider, ACA Group, in 2022 serving as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deputy to the Company’s previous Chief Compliance Officer. Prior to joining ACA, Mr.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Galea worked for TIAA and its Nuveen subsidiary since 2010 in various Compliance roles,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including Chief Compliance Officer for its agribusiness investment adviser. Mr. Galea has</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been a Chartered Financial Analyst (CFA) charterholder since 2006.</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CCO is c/o PennantPark, 1691 Michigan Avenue, Miami Beach, Florida 33139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6630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Code of Ethics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(http://www.pennantpark.com). The Code of Conduct applies to the directors, officers and staff of the Company.</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required by the 1940 Act, the Company maintains a Code of Ethics with the Adviser that establishes procedures that apply to the Company’s directors, officers, staff and the employees of the Adviser with respect to their personal investments and investment transactions. The Code of Ethics generally does not permit investments by the Company’s directors, officers or any other covered person in securities that may be purchased or held by the Company. The Company filed the Code of Ethics as Exhibit 14.1 to the Annual Report, filed with the SEC on December 8, 2023. You may access the Code of Ethics via the Internet site of the SEC (http://www.sec.gov) or our website (http://www.pennantpark.com). The Company intends to disclose any material amendments to or waivers of required provisions of its Code of Conduct or its Code of Ethics on Form 8-K.</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Each Independent Director receives an annual payment of $110,000 for services performed on behalf of the Company as a director. The Independent Directors also receive $2,500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 and Executive Officer</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paid by (i) the Company and (ii) all of the companies in the Fund Complex, including the Company, in the aggregate, to our directors for the fiscal year ended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September 30, 2023. No compensation is paid directly by the Company to any interested director or executive officer of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3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or</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 accrued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from the</w:t>
            </w:r>
          </w:p>
        </w:tc>
        <w:tc>
          <w:tcPr>
            <w:tcW w:w="320" w:type="dxa"/>
            <w:vAlign w:val="bottom"/>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part of our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from the Fund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5"/>
                <w:szCs w:val="15"/>
                <w:color w:val="auto"/>
              </w:rPr>
            </w:pPr>
          </w:p>
        </w:tc>
        <w:tc>
          <w:tcPr>
            <w:tcW w:w="14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20" w:type="dxa"/>
            <w:vAlign w:val="bottom"/>
          </w:tcPr>
          <w:p>
            <w:pPr>
              <w:spacing w:after="0"/>
              <w:rPr>
                <w:sz w:val="15"/>
                <w:szCs w:val="15"/>
                <w:color w:val="auto"/>
              </w:rPr>
            </w:pPr>
          </w:p>
        </w:tc>
        <w:tc>
          <w:tcPr>
            <w:tcW w:w="182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expense</w:t>
            </w:r>
            <w:r>
              <w:rPr>
                <w:rFonts w:ascii="Times New Roman" w:cs="Times New Roman" w:eastAsia="Times New Roman" w:hAnsi="Times New Roman"/>
                <w:sz w:val="19"/>
                <w:szCs w:val="19"/>
                <w:b w:val="1"/>
                <w:bCs w:val="1"/>
                <w:color w:val="auto"/>
                <w:w w:val="94"/>
                <w:vertAlign w:val="superscript"/>
              </w:rPr>
              <w:t>(1)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from the Company</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Complex</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3440" w:type="dxa"/>
            <w:vAlign w:val="bottom"/>
            <w:gridSpan w:val="5"/>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Independent directors</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CFF0FC"/>
            </w:tcBorders>
          </w:tcPr>
          <w:p>
            <w:pPr>
              <w:spacing w:after="0"/>
              <w:rPr>
                <w:sz w:val="20"/>
                <w:szCs w:val="20"/>
                <w:color w:val="auto"/>
              </w:rPr>
            </w:pPr>
          </w:p>
        </w:tc>
        <w:tc>
          <w:tcPr>
            <w:tcW w:w="17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Adam K. Bernstein</w:t>
            </w:r>
          </w:p>
        </w:tc>
        <w:tc>
          <w:tcPr>
            <w:tcW w:w="174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101,250</w:t>
            </w:r>
          </w:p>
        </w:tc>
        <w:tc>
          <w:tcPr>
            <w:tcW w:w="320" w:type="dxa"/>
            <w:vAlign w:val="bottom"/>
            <w:tcBorders>
              <w:top w:val="single" w:sz="8" w:color="CFF0FC"/>
            </w:tcBorders>
          </w:tcPr>
          <w:p>
            <w:pPr>
              <w:spacing w:after="0"/>
              <w:rPr>
                <w:sz w:val="20"/>
                <w:szCs w:val="20"/>
                <w:color w:val="auto"/>
              </w:rPr>
            </w:pPr>
          </w:p>
        </w:tc>
        <w:tc>
          <w:tcPr>
            <w:tcW w:w="1820" w:type="dxa"/>
            <w:vAlign w:val="bottom"/>
            <w:tcBorders>
              <w:top w:val="single" w:sz="8" w:color="CFF0FC"/>
            </w:tcBorders>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101,250</w:t>
            </w:r>
          </w:p>
        </w:tc>
        <w:tc>
          <w:tcPr>
            <w:tcW w:w="54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223,750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Marshall Brozost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101,250</w:t>
            </w:r>
          </w:p>
        </w:tc>
        <w:tc>
          <w:tcPr>
            <w:tcW w:w="320" w:type="dxa"/>
            <w:vAlign w:val="bottom"/>
            <w:shd w:val="clear" w:color="auto" w:fill="CFF0FC"/>
          </w:tcPr>
          <w:p>
            <w:pPr>
              <w:spacing w:after="0"/>
              <w:rPr>
                <w:sz w:val="21"/>
                <w:szCs w:val="21"/>
                <w:color w:val="auto"/>
              </w:rPr>
            </w:pPr>
          </w:p>
        </w:tc>
        <w:tc>
          <w:tcPr>
            <w:tcW w:w="18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101,250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Jeffrey Flug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320" w:type="dxa"/>
            <w:vAlign w:val="bottom"/>
          </w:tcPr>
          <w:p>
            <w:pPr>
              <w:spacing w:after="0"/>
              <w:rPr>
                <w:sz w:val="20"/>
                <w:szCs w:val="20"/>
                <w:color w:val="auto"/>
              </w:rPr>
            </w:pPr>
          </w:p>
        </w:tc>
        <w:tc>
          <w:tcPr>
            <w:tcW w:w="18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Samuel L. Katz</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320" w:type="dxa"/>
            <w:vAlign w:val="bottom"/>
            <w:shd w:val="clear" w:color="auto" w:fill="CFF0FC"/>
          </w:tcPr>
          <w:p>
            <w:pPr>
              <w:spacing w:after="0"/>
              <w:rPr>
                <w:sz w:val="21"/>
                <w:szCs w:val="21"/>
                <w:color w:val="auto"/>
              </w:rPr>
            </w:pPr>
          </w:p>
        </w:tc>
        <w:tc>
          <w:tcPr>
            <w:tcW w:w="18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46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Interested director</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6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Arthur H. Penn</w:t>
            </w: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shd w:val="clear" w:color="auto" w:fill="CFF0FC"/>
          </w:tcPr>
          <w:p>
            <w:pPr>
              <w:spacing w:after="0"/>
              <w:rPr>
                <w:sz w:val="21"/>
                <w:szCs w:val="21"/>
                <w:color w:val="auto"/>
              </w:rPr>
            </w:pPr>
          </w:p>
        </w:tc>
        <w:tc>
          <w:tcPr>
            <w:tcW w:w="18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9"/>
        </w:trPr>
        <w:tc>
          <w:tcPr>
            <w:tcW w:w="3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José A. Briones, Jr.</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tcPr>
          <w:p>
            <w:pPr>
              <w:spacing w:after="0"/>
              <w:rPr>
                <w:sz w:val="20"/>
                <w:szCs w:val="20"/>
                <w:color w:val="auto"/>
              </w:rPr>
            </w:pPr>
          </w:p>
        </w:tc>
        <w:tc>
          <w:tcPr>
            <w:tcW w:w="18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Executive officer</w:t>
            </w:r>
          </w:p>
        </w:tc>
        <w:tc>
          <w:tcPr>
            <w:tcW w:w="2140" w:type="dxa"/>
            <w:vAlign w:val="bottom"/>
            <w:tcBorders>
              <w:bottom w:val="single" w:sz="8" w:color="CFF0FC"/>
            </w:tcBorders>
            <w:gridSpan w:val="3"/>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3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Richard T. Allorto, Jr.</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20" w:type="dxa"/>
            <w:vAlign w:val="bottom"/>
          </w:tcPr>
          <w:p>
            <w:pPr>
              <w:spacing w:after="0"/>
              <w:rPr>
                <w:sz w:val="24"/>
                <w:szCs w:val="24"/>
                <w:color w:val="auto"/>
              </w:rPr>
            </w:pPr>
          </w:p>
        </w:tc>
        <w:tc>
          <w:tcPr>
            <w:tcW w:w="18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7"/>
              </w:rPr>
              <w:t>None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profit sharing or retirement plan, and directors do not receive any pension or retirement benefits from us.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Allorto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6630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of an error in the classification and presentation of cash as noted in the Company’s financial statements for the fiscal year ended September 30, 2023, the Company conducted an analysis to determine whether incentive-based compensation was erroneously awarded, thereby necessitating recovery under the Clawback Policy the Company adopted effective December 1, 2023. Because the Company does not pay or otherwise award incentive-based compensation to its executives, the Company concluded that error did not result in erroneously-awarded incentive-based compensation, and therefore no compensation recovery was required.</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Party Transactions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investment activities are managed by the Adviser and supervised by the Board, of which two-thirds of the members are Independent Directors. The Company’s Investment Advisory Management Agreement with the Adviser (the “Investment Management Agreement”) was most recently re-approved by the Board, including a majority of the Independent Directors, in February 2023. Under the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2023, the Adviser earned a base management fee of $11.4 million and an incentive fee of $16.9 million from the Company.</w:t>
      </w:r>
    </w:p>
    <w:p>
      <w:pPr>
        <w:spacing w:after="0" w:line="18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Company’s Administration Agreement with the Administrator was re-approved by the Board, including a majority of the Independent Directors, in February 2023 and was amended (as amended, the “Administration Agreement”) with Board approval, including a majority of Independent Directors, on July 1, 2022. Under the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Corporate Counsel and their respective staffs. The Company’s Chief Financial Officer is a Managing Director of the Administrator. For the fiscal year ended September 30, 2023, the Adviser and the Administrator, collectively, were reimbursed $1.0 million from the Company for the services described above.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Adviser has granted a non-exclusive, royalty-free license to the Company to use the name “PennantPark.”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 w:name="page21"/>
    <w:bookmarkEnd w:id="20"/>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pursuant to the terms of the Administration Agreement, the Administrator provides the Company with the office facilities and administrative services necessary to conduct its day-to-day operations. Arthur H. Penn is the managing member of the Adviser and the Administrator.</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in consultation with the Company’s Chief Executive Officer, CCO and legal counsel, has established a written policy to govern the review of potential related party transactions. The Audit Committee of the Board conducts quarterly reviews of any potential related party transactions and, during these reviews, it also considers any conflicts of interest brought to its attention pursuant to the Company’s Code of Conduct or Code of Ethics.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SELECTION OF INDEPENDENT REGISTERED PUBLIC ACCOUNTING FIRM</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RSM US LLP (“RSM”), has been selected as the independent registered public accounting firm to audit the consolidated financial statements of the Company and its subsidiaries on and during the Company’s fiscal year ending September 30, 2024. RSM was selected by the Audit Committee, and that selection was ratified by a majority of the Board, including all of the Independent Directors, by a vote cast during the Company's most recent Board meeting. This selection is subject to ratification or rejection by the Stockholders of the Company. The Company does not know of any direct or indirect financial interest of RSM in the Company. Representative(s) of RSM will attend the Annual Meeting and will have the opportunity to make a statement if they desire to do so and will be available to answer questions.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aggregate fees by RSM were billed to the Company for work attributed to audit, tax and other services provided to the Company for the fiscal years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4458335</wp:posOffset>
            </wp:positionH>
            <wp:positionV relativeFrom="paragraph">
              <wp:posOffset>101600</wp:posOffset>
            </wp:positionV>
            <wp:extent cx="9398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101600</wp:posOffset>
            </wp:positionV>
            <wp:extent cx="939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15430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26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3040" w:type="dxa"/>
            <w:vAlign w:val="bottom"/>
            <w:tcBorders>
              <w:top w:val="single" w:sz="8" w:color="auto"/>
              <w:bottom w:val="single" w:sz="8" w:color="auto"/>
            </w:tcBorders>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r>
      <w:tr>
        <w:trPr>
          <w:trHeight w:val="23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2680" w:type="dxa"/>
            <w:vAlign w:val="bottom"/>
            <w:shd w:val="clear" w:color="auto" w:fill="CFF0FC"/>
          </w:tcPr>
          <w:p>
            <w:pPr>
              <w:jc w:val="right"/>
              <w:ind w:right="24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500,493</w:t>
            </w:r>
          </w:p>
        </w:tc>
        <w:tc>
          <w:tcPr>
            <w:tcW w:w="106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452,957</w:t>
            </w:r>
          </w:p>
        </w:tc>
        <w:tc>
          <w:tcPr>
            <w:tcW w:w="100" w:type="dxa"/>
            <w:vAlign w:val="bottom"/>
            <w:shd w:val="clear" w:color="auto" w:fill="CFF0FC"/>
          </w:tcPr>
          <w:p>
            <w:pPr>
              <w:spacing w:after="0"/>
              <w:rPr>
                <w:sz w:val="20"/>
                <w:szCs w:val="20"/>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Related Fees</w:t>
            </w:r>
          </w:p>
        </w:tc>
        <w:tc>
          <w:tcPr>
            <w:tcW w:w="26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26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shd w:val="clear" w:color="auto" w:fill="CFF0FC"/>
          </w:tcPr>
          <w:p>
            <w:pPr>
              <w:spacing w:after="0"/>
              <w:rPr>
                <w:sz w:val="21"/>
                <w:szCs w:val="21"/>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2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25,240</w:t>
            </w:r>
          </w:p>
        </w:tc>
        <w:tc>
          <w:tcPr>
            <w:tcW w:w="100" w:type="dxa"/>
            <w:vAlign w:val="bottom"/>
          </w:tcPr>
          <w:p>
            <w:pPr>
              <w:spacing w:after="0"/>
              <w:rPr>
                <w:sz w:val="20"/>
                <w:szCs w:val="20"/>
                <w:color w:val="auto"/>
              </w:rPr>
            </w:pPr>
          </w:p>
        </w:tc>
      </w:tr>
      <w:tr>
        <w:trPr>
          <w:trHeight w:val="241"/>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shd w:val="clear" w:color="auto" w:fill="CFF0FC"/>
          </w:tcPr>
          <w:p>
            <w:pPr>
              <w:jc w:val="right"/>
              <w:ind w:right="24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582,385</w:t>
            </w:r>
          </w:p>
        </w:tc>
        <w:tc>
          <w:tcPr>
            <w:tcW w:w="106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495,697</w:t>
            </w:r>
          </w:p>
        </w:tc>
        <w:tc>
          <w:tcPr>
            <w:tcW w:w="100" w:type="dxa"/>
            <w:vAlign w:val="bottom"/>
            <w:shd w:val="clear" w:color="auto" w:fill="CFF0FC"/>
          </w:tcPr>
          <w:p>
            <w:pPr>
              <w:spacing w:after="0"/>
              <w:rPr>
                <w:sz w:val="20"/>
                <w:szCs w:val="20"/>
                <w:color w:val="auto"/>
              </w:rPr>
            </w:pPr>
          </w:p>
        </w:tc>
      </w:tr>
    </w:tbl>
    <w:p>
      <w:pPr>
        <w:spacing w:after="0" w:line="223"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normally provided in connection with statutory and regulatory filings.</w:t>
      </w:r>
    </w:p>
    <w:p>
      <w:pPr>
        <w:spacing w:after="0" w:line="15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7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fees billed for professional services for tax compliance. These services include assistance regarding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tax compliance.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Other fees would include fees billed for products and services other than the services reported above.</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2023 were approved by the Audit Committee in accordance with such policy.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Company management.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Report </w:t>
      </w:r>
      <w:r>
        <w:rPr>
          <w:rFonts w:ascii="Times New Roman" w:cs="Times New Roman" w:eastAsia="Times New Roman" w:hAnsi="Times New Roman"/>
          <w:sz w:val="24"/>
          <w:szCs w:val="24"/>
          <w:b w:val="1"/>
          <w:bCs w:val="1"/>
          <w:i w:val="1"/>
          <w:iCs w:val="1"/>
          <w:color w:val="auto"/>
          <w:vertAlign w:val="superscript"/>
        </w:rPr>
        <w:t>(1)</w:t>
      </w:r>
    </w:p>
    <w:p>
      <w:pPr>
        <w:spacing w:after="0" w:line="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the report of the Audit Committee with respect to the Company’s audited financial statements for the fiscal year ended September 30, 2023.</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8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Based on the Audit Committee’s review and discussions referred to above, the Audit Committee recommended to the Board (and the Board has approved) that the Company’s audited financial statements be included in the Annual Report for filing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Jeffrey Flug,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Samuel L. Katz,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Marshall Brozost</w:t>
      </w:r>
    </w:p>
    <w:p>
      <w:pPr>
        <w:spacing w:after="0" w:line="261" w:lineRule="exact"/>
        <w:rPr>
          <w:sz w:val="20"/>
          <w:szCs w:val="20"/>
          <w:color w:val="auto"/>
        </w:rPr>
      </w:pPr>
    </w:p>
    <w:p>
      <w:pPr>
        <w:ind w:left="520" w:right="1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16630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OTHER BUSINESS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 that is likely to come before the Annual Meeting or that may properly come before the Annual Meeting, apart from the consideration of an adjournment or postponement. If any other matter properly comes before the Annual Meeting, however, the persons named in the proxies will vote on such matter in their discretion.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sufficient number of shares are not present to establish a quorum for the Annual Meeting or there are not sufficient votes to approve a proposal at the Annual Meeting, the chairman of the Annual Meeting may adjourn the Annual Meeting with respect to the Company to permit the further solicitation of proxies.</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ANNUAL AND QUARTERLY REPORTS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1691 Michigan Avenue, Miami Beach, Florida 33139 . Copies of such reports are also posted via the SEC’s Electronic Data Gathering, Analysis, and Retrieval system available on the SEC’s website (http://www.sec.gov).</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Whether or not you expect to participate in the virtual Annual Meeting, please follow the instructions on the Notice of Internet Availability of Proxy Materials to authorize your proxy via the Internet or telephone, or request, sign, date and return a proxy card so that you may be represented at the Annual Meeting. The Annual Meeting will be a completely virtual meeting of Stockholders and will be conducted exclusively by webcast. To participate in the Annual Meeting, visit www.virtualshareholdermeeting.com/PFLT2024, and enter the 16-digit Control Number included in your Notice of Internet Availability of Proxy Materials. Online check-in will begin at 9:45 AM, Eastern Time. Please allow time for online check-in procedures. For questions regarding the virtual Annual Meeting please call the support number that will be posted on the virtual Annual Meeting platform log-in page at www.virtualshareholdermeeting.com/PFLT2024.</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SUBMISSION OF STOCKHOLDER PROPOSALS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expects to hold its 2025 Annual Meeting of Stockholders in February 2025, but the exact date, time and location of such meeting have yet to be determined. Pursuant to Rule 14a-8 of the Exchange Act, a Stockholder of the Company who intends to present a proposal at that meeting, including nomination of a director, must submit the proposal in writing addressed to Thomas J. Friedmann, Secretary, c/o PennantPark, 1691 Michigan Avenue, Miami Beach, Florida 33139. Such proposal must also comply with the requirements as to form and substance established by the SEC if such proposal is to be included in the proxy statement and form of proxy. In addition, our Bylaws require that notices of intention to present proposals, including nomination of a director, at the 2025 Annual Meeting of Stockholders must be received by the Company between July 30, 2024 and August 29, 2024 and contain the information required therein.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involving the CCO, may submit complaints directly to the Audit Committee’s Co-Chairs. Complaints may be submitted on an anonymous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CCO may be contacted at:</w:t>
      </w:r>
    </w:p>
    <w:p>
      <w:pPr>
        <w:spacing w:after="0" w:line="1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Co-Chairs may be contacted at: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Messrs. Jeffrey Flug and/or Samuel L. Katz</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Audit Committee Co-Chair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Miami Beach, Florida 33139</w:t>
      </w:r>
    </w:p>
    <w:p>
      <w:pPr>
        <w:spacing w:after="0" w:line="38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in person (virtually). Whether or not you plan to attend the Annual Meeting, you are requested to vote in accordance with the voting instructions in the Notice of Internet Availability of Proxy Materials, or by requesting and promptly returning a completed, dated and signed proxy card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96925" cy="248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9692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Beach,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13, 2023</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 w:name="page26"/>
    <w:bookmarkEnd w:id="25"/>
    <w:p>
      <w:pPr>
        <w:ind w:left="368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PROXY CARD FOR STOCKHOLDERS WHO HOLD SHARES VIA TASE MEMBERS</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www.virtualshareholdermeeting.com/PFLT2024</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February 6, 2024 at 9:45 AM, Eastern</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undersigned hereby appoints Mr. Arthur H. Penn or his designated substitute to act as attorney and proxy for the undersigned to vote all the shares of Common Stock of PennantPark Floating Rate Capital Ltd. (the "Company") which the undersigned is entitled to vote and to otherwise represent the undersigned at the Annual Meeting of Stockholders of the Company (the “Annual Meeting”) to be held </w:t>
      </w:r>
      <w:r>
        <w:rPr>
          <w:rFonts w:ascii="Times New Roman" w:cs="Times New Roman" w:eastAsia="Times New Roman" w:hAnsi="Times New Roman"/>
          <w:sz w:val="16"/>
          <w:szCs w:val="16"/>
          <w:color w:val="auto"/>
        </w:rPr>
        <w:t>virtually via live webcast over the Internet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www.virtualshareholdermeeting.com/PFLT2024</w:t>
      </w:r>
      <w:r>
        <w:rPr>
          <w:rFonts w:ascii="Times New Roman" w:cs="Times New Roman" w:eastAsia="Times New Roman" w:hAnsi="Times New Roman"/>
          <w:sz w:val="17"/>
          <w:szCs w:val="17"/>
          <w:color w:val="auto"/>
        </w:rPr>
        <w:t>, on February 6, 2024 at 9:45 AM, Eastern time, and at all adjournments thereof, as indicated on this proxy.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undersigned hereby acknowledges receipt of the Notice of Virtual Annual Meeting of Stockholders and of the accompanying Proxy Statement, the terms of each of which are incorporated by reference, and revokes any proxy heretofore given with respect to such Annual Meeting.</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If no direction is made, this proxy will be voted in accordance with the Board of Directors’ recommendations. The votes entitled to be cast by the undersigned will be cast in the discretion of the Proxy holder on any other matter that may properly come before the Annual Meeting or any postponements or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Please sign and date this proxy card and return it promptly, together with an Ownership Certificate from the TASE member through which your shares are registered, to the Company's Israeli counsel, Goldfarb Gross Seligman &amp; Co., c/o Jonathan Cohen, 98 Yigal Alon Street, 44th Floor, Tel Aviv 6789141, Israel (email: jonathan.cohen@goldfarb.com) so your shares may be represented at the Annual Meeting. The proxy card and Ownership Certificate must be received no later than February 1, 2024 to be validly included in the tally of shares voted at the Annual Meeting.</w:t>
      </w:r>
    </w:p>
    <w:p>
      <w:pPr>
        <w:spacing w:after="0" w:line="36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Continued and to be signed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Board of Directors recommends you vote FOR the following:</w:t>
      </w:r>
    </w:p>
    <w:p>
      <w:pPr>
        <w:spacing w:after="0" w:line="225"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w:t>
      </w:r>
    </w:p>
    <w:p>
      <w:pPr>
        <w:spacing w:after="0" w:line="225" w:lineRule="exact"/>
        <w:rPr>
          <w:sz w:val="20"/>
          <w:szCs w:val="20"/>
          <w:color w:val="auto"/>
        </w:rPr>
      </w:pPr>
    </w:p>
    <w:p>
      <w:pPr>
        <w:ind w:left="520"/>
        <w:spacing w:after="0"/>
        <w:tabs>
          <w:tab w:leader="none" w:pos="1740" w:val="left"/>
        </w:tabs>
        <w:rPr>
          <w:sz w:val="20"/>
          <w:szCs w:val="20"/>
          <w:color w:val="auto"/>
        </w:rPr>
      </w:pPr>
      <w:r>
        <w:rPr>
          <w:rFonts w:ascii="Times New Roman" w:cs="Times New Roman" w:eastAsia="Times New Roman" w:hAnsi="Times New Roman"/>
          <w:sz w:val="18"/>
          <w:szCs w:val="18"/>
          <w:color w:val="auto"/>
        </w:rPr>
        <w:t>Nominee:</w:t>
      </w:r>
      <w:r>
        <w:rPr>
          <w:sz w:val="20"/>
          <w:szCs w:val="20"/>
          <w:color w:val="auto"/>
        </w:rPr>
        <w:tab/>
      </w:r>
      <w:r>
        <w:rPr>
          <w:rFonts w:ascii="Times New Roman" w:cs="Times New Roman" w:eastAsia="Times New Roman" w:hAnsi="Times New Roman"/>
          <w:sz w:val="18"/>
          <w:szCs w:val="18"/>
          <w:color w:val="auto"/>
        </w:rPr>
        <w:t>01 Mr. Marshall Brozost</w:t>
      </w:r>
    </w:p>
    <w:p>
      <w:pPr>
        <w:spacing w:after="0" w:line="198" w:lineRule="exact"/>
        <w:rPr>
          <w:sz w:val="20"/>
          <w:szCs w:val="20"/>
          <w:color w:val="auto"/>
        </w:rPr>
      </w:pPr>
    </w:p>
    <w:p>
      <w:pPr>
        <w:ind w:left="2260"/>
        <w:spacing w:after="0" w:line="207" w:lineRule="exact"/>
        <w:tabs>
          <w:tab w:leader="none" w:pos="3840" w:val="left"/>
          <w:tab w:leader="none" w:pos="6000" w:val="left"/>
        </w:tabs>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2"/>
          <w:szCs w:val="12"/>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2"/>
          <w:szCs w:val="12"/>
          <w:b w:val="1"/>
          <w:bCs w:val="1"/>
          <w:color w:val="auto"/>
        </w:rPr>
        <w:t>withhold</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bstain</w:t>
      </w:r>
    </w:p>
    <w:p>
      <w:pPr>
        <w:spacing w:after="0" w:line="200" w:lineRule="exact"/>
        <w:rPr>
          <w:sz w:val="20"/>
          <w:szCs w:val="20"/>
          <w:color w:val="auto"/>
        </w:rPr>
      </w:pPr>
    </w:p>
    <w:p>
      <w:pPr>
        <w:spacing w:after="0" w:line="29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02 Mr. Samuel Katz</w:t>
      </w:r>
    </w:p>
    <w:p>
      <w:pPr>
        <w:spacing w:after="0" w:line="198" w:lineRule="exact"/>
        <w:rPr>
          <w:sz w:val="20"/>
          <w:szCs w:val="20"/>
          <w:color w:val="auto"/>
        </w:rPr>
      </w:pPr>
    </w:p>
    <w:p>
      <w:pPr>
        <w:ind w:left="2260"/>
        <w:spacing w:after="0" w:line="207" w:lineRule="exact"/>
        <w:tabs>
          <w:tab w:leader="none" w:pos="3840" w:val="left"/>
          <w:tab w:leader="none" w:pos="6000" w:val="left"/>
        </w:tabs>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2"/>
          <w:szCs w:val="12"/>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2"/>
          <w:szCs w:val="12"/>
          <w:b w:val="1"/>
          <w:bCs w:val="1"/>
          <w:color w:val="auto"/>
        </w:rPr>
        <w:t>withhold</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bstain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recommends you vote FOR the following:</w:t>
      </w:r>
    </w:p>
    <w:p>
      <w:pPr>
        <w:spacing w:after="0" w:line="117" w:lineRule="exact"/>
        <w:rPr>
          <w:sz w:val="20"/>
          <w:szCs w:val="20"/>
          <w:color w:val="auto"/>
        </w:rPr>
      </w:pPr>
    </w:p>
    <w:p>
      <w:pPr>
        <w:ind w:left="520" w:right="76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RSM US LLP to serve as the Company's independent registered public accounting firm for the fiscal year ending September 30, 2024.</w:t>
      </w:r>
    </w:p>
    <w:p>
      <w:pPr>
        <w:spacing w:after="0" w:line="134" w:lineRule="exact"/>
        <w:rPr>
          <w:sz w:val="20"/>
          <w:szCs w:val="20"/>
          <w:color w:val="auto"/>
        </w:rPr>
      </w:pPr>
    </w:p>
    <w:p>
      <w:pPr>
        <w:ind w:left="2260"/>
        <w:spacing w:after="0" w:line="196" w:lineRule="exact"/>
        <w:tabs>
          <w:tab w:leader="none" w:pos="3840" w:val="left"/>
          <w:tab w:leader="none" w:pos="6000" w:val="left"/>
        </w:tabs>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2"/>
          <w:szCs w:val="12"/>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2"/>
          <w:szCs w:val="12"/>
          <w:b w:val="1"/>
          <w:bCs w:val="1"/>
          <w:color w:val="auto"/>
        </w:rPr>
        <w:t>against</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2"/>
          <w:szCs w:val="12"/>
          <w:b w:val="1"/>
          <w:bCs w:val="1"/>
          <w:color w:val="auto"/>
        </w:rPr>
        <w:t>abstain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indicate if you plan to attend this meeting</w:t>
      </w:r>
    </w:p>
    <w:p>
      <w:pPr>
        <w:spacing w:after="0" w:line="198" w:lineRule="exact"/>
        <w:rPr>
          <w:sz w:val="20"/>
          <w:szCs w:val="20"/>
          <w:color w:val="auto"/>
        </w:rPr>
      </w:pPr>
    </w:p>
    <w:p>
      <w:pPr>
        <w:ind w:left="2260"/>
        <w:spacing w:after="0" w:line="196" w:lineRule="exact"/>
        <w:tabs>
          <w:tab w:leader="none" w:pos="3840" w:val="left"/>
        </w:tabs>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2"/>
          <w:szCs w:val="12"/>
          <w:b w:val="1"/>
          <w:bCs w:val="1"/>
          <w:color w:val="auto"/>
        </w:rPr>
        <w:t xml:space="preserve"> yes</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2"/>
          <w:szCs w:val="12"/>
          <w:b w:val="1"/>
          <w:bCs w:val="1"/>
          <w:color w:val="auto"/>
        </w:rPr>
        <w:t>no</w:t>
      </w:r>
    </w:p>
    <w:p>
      <w:pPr>
        <w:spacing w:after="0" w:line="331"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Please sign exactly as your name(s) appear(s) on the ownership confirmation issued by your TASE member. When signing as attorney, executor, administrator, or other fiduciary, please give full title as such. Joint holders should each sign personally. All holders must sign. If a corporation or partnership, please sign in full corporate or partnership name by duly authorized officer.</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Print name</w:t>
            </w:r>
          </w:p>
        </w:tc>
        <w:tc>
          <w:tcPr>
            <w:tcW w:w="120" w:type="dxa"/>
            <w:vAlign w:val="bottom"/>
          </w:tcPr>
          <w:p>
            <w:pPr>
              <w:spacing w:after="0"/>
              <w:rPr>
                <w:sz w:val="21"/>
                <w:szCs w:val="21"/>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Signature</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160" w:type="dxa"/>
            <w:vAlign w:val="bottom"/>
          </w:tcPr>
          <w:p>
            <w:pPr>
              <w:spacing w:after="0"/>
              <w:rPr>
                <w:sz w:val="21"/>
                <w:szCs w:val="21"/>
                <w:color w:val="auto"/>
              </w:rPr>
            </w:pPr>
          </w:p>
        </w:tc>
      </w:tr>
      <w:tr>
        <w:trPr>
          <w:trHeight w:val="670"/>
        </w:trPr>
        <w:tc>
          <w:tcPr>
            <w:tcW w:w="1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160" w:type="dxa"/>
            <w:vAlign w:val="bottom"/>
          </w:tcPr>
          <w:p>
            <w:pPr>
              <w:spacing w:after="0"/>
              <w:rPr>
                <w:sz w:val="24"/>
                <w:szCs w:val="24"/>
                <w:color w:val="auto"/>
              </w:rPr>
            </w:pPr>
          </w:p>
        </w:tc>
      </w:tr>
      <w:tr>
        <w:trPr>
          <w:trHeight w:val="228"/>
        </w:trPr>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Print name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(Joint Owners)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Signature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spacing w:after="0"/>
              <w:rPr>
                <w:sz w:val="19"/>
                <w:szCs w:val="19"/>
                <w:color w:val="auto"/>
              </w:rPr>
            </w:pPr>
          </w:p>
        </w:tc>
      </w:tr>
      <w:tr>
        <w:trPr>
          <w:trHeight w:val="380"/>
        </w:trPr>
        <w:tc>
          <w:tcPr>
            <w:tcW w:w="1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363220</wp:posOffset>
            </wp:positionV>
            <wp:extent cx="7157720" cy="72053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7205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363220</wp:posOffset>
            </wp:positionV>
            <wp:extent cx="7157720" cy="72053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7205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363220</wp:posOffset>
            </wp:positionV>
            <wp:extent cx="7157720" cy="7213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7213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363220</wp:posOffset>
            </wp:positionV>
            <wp:extent cx="7157720" cy="7213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7213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786"/>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upperLetter"/>
      <w:start w:val="35"/>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2023-12-13T15:21:30Z</dcterms:created>
  <dcterms:modified xsi:type="dcterms:W3CDTF">2023-12-13T15:21:30Z</dcterms:modified>
</cp:coreProperties>
</file>